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681"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1411574" cy="432911"/>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1574" cy="432911"/>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1"/>
        <w:rPr>
          <w:rFonts w:ascii="Times New Roman" w:hAnsi="Times New Roman" w:cs="Times New Roman" w:eastAsia="Times New Roman" w:hint="default"/>
          <w:sz w:val="14"/>
          <w:szCs w:val="14"/>
        </w:rPr>
      </w:pPr>
    </w:p>
    <w:p>
      <w:pPr>
        <w:spacing w:line="441" w:lineRule="auto" w:before="0"/>
        <w:ind w:left="3164" w:right="4144" w:firstLine="0"/>
        <w:jc w:val="center"/>
        <w:rPr>
          <w:rFonts w:ascii="Times New Roman" w:hAnsi="Times New Roman" w:cs="Times New Roman" w:eastAsia="Times New Roman" w:hint="default"/>
          <w:sz w:val="32"/>
          <w:szCs w:val="32"/>
        </w:rPr>
      </w:pPr>
      <w:r>
        <w:rPr>
          <w:rFonts w:ascii="宋体" w:hAnsi="宋体" w:cs="宋体" w:eastAsia="宋体" w:hint="default"/>
          <w:b/>
          <w:bCs/>
          <w:sz w:val="36"/>
          <w:szCs w:val="36"/>
        </w:rPr>
        <w:t>朗新科技股份有限公司</w:t>
      </w:r>
      <w:r>
        <w:rPr>
          <w:rFonts w:ascii="宋体" w:hAnsi="宋体" w:cs="宋体" w:eastAsia="宋体" w:hint="default"/>
          <w:b/>
          <w:bCs/>
          <w:w w:val="99"/>
          <w:sz w:val="36"/>
          <w:szCs w:val="36"/>
        </w:rPr>
        <w:t> </w:t>
      </w: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年年度报告</w:t>
      </w:r>
      <w:r>
        <w:rPr>
          <w:rFonts w:ascii="宋体" w:hAnsi="宋体" w:cs="宋体" w:eastAsia="宋体" w:hint="default"/>
          <w:b/>
          <w:bCs/>
          <w:w w:val="99"/>
          <w:sz w:val="32"/>
          <w:szCs w:val="32"/>
        </w:rPr>
        <w:t> </w:t>
      </w:r>
      <w:r>
        <w:rPr>
          <w:rFonts w:ascii="宋体" w:hAnsi="宋体" w:cs="宋体" w:eastAsia="宋体" w:hint="default"/>
          <w:b/>
          <w:bCs/>
          <w:sz w:val="32"/>
          <w:szCs w:val="32"/>
        </w:rPr>
        <w:t>公告编号：</w:t>
      </w:r>
      <w:r>
        <w:rPr>
          <w:rFonts w:ascii="Times New Roman" w:hAnsi="Times New Roman" w:cs="Times New Roman" w:eastAsia="Times New Roman" w:hint="default"/>
          <w:b/>
          <w:bCs/>
          <w:sz w:val="32"/>
          <w:szCs w:val="32"/>
        </w:rPr>
        <w:t>2019-029</w:t>
      </w:r>
      <w:r>
        <w:rPr>
          <w:rFonts w:ascii="Times New Roman" w:hAnsi="Times New Roman" w:cs="Times New Roman" w:eastAsia="Times New Roman" w:hint="default"/>
          <w:sz w:val="32"/>
          <w:szCs w:val="32"/>
        </w:rPr>
      </w: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before="201"/>
        <w:ind w:left="3164" w:right="414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2" w:top="1060" w:bottom="118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129"/>
        <w:jc w:val="left"/>
        <w:rPr>
          <w:b w:val="0"/>
          <w:bCs w:val="0"/>
        </w:rPr>
      </w:pPr>
      <w:bookmarkStart w:name="第一节 重要提示、目录和释义"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29"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3"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公司负责人郑新标、主管会计工作负责人鲁清芳及会计机构负责人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鲁清芳声明：保证年度报告中财务报告的真实、准确、完整。</w:t>
      </w:r>
      <w:r>
        <w:rPr>
          <w:rFonts w:ascii="宋体" w:hAnsi="宋体" w:cs="宋体" w:eastAsia="宋体" w:hint="default"/>
          <w:sz w:val="28"/>
          <w:szCs w:val="28"/>
        </w:rPr>
      </w:r>
    </w:p>
    <w:p>
      <w:pPr>
        <w:tabs>
          <w:tab w:pos="1412" w:val="left" w:leader="none"/>
        </w:tabs>
        <w:spacing w:line="472" w:lineRule="auto" w:before="148"/>
        <w:ind w:left="714" w:right="2057"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本公司请投资者认真阅读本年度报告全文，并特别注意下列风险：</w:t>
      </w:r>
      <w:r>
        <w:rPr>
          <w:rFonts w:ascii="宋体" w:hAnsi="宋体" w:cs="宋体" w:eastAsia="宋体" w:hint="default"/>
          <w:b/>
          <w:bCs/>
          <w:w w:val="99"/>
          <w:sz w:val="28"/>
          <w:szCs w:val="28"/>
        </w:rPr>
        <w:t> </w:t>
      </w:r>
      <w:r>
        <w:rPr>
          <w:rFonts w:ascii="Times New Roman" w:hAnsi="Times New Roman" w:cs="Times New Roman" w:eastAsia="Times New Roman" w:hint="default"/>
          <w:b/>
          <w:bCs/>
          <w:spacing w:val="-1"/>
          <w:sz w:val="28"/>
          <w:szCs w:val="28"/>
        </w:rPr>
        <w:t>1</w:t>
      </w:r>
      <w:r>
        <w:rPr>
          <w:rFonts w:ascii="宋体" w:hAnsi="宋体" w:cs="宋体" w:eastAsia="宋体" w:hint="default"/>
          <w:b/>
          <w:bCs/>
          <w:spacing w:val="-1"/>
          <w:sz w:val="28"/>
          <w:szCs w:val="28"/>
        </w:rPr>
        <w:t>、</w:t>
        <w:tab/>
      </w:r>
      <w:r>
        <w:rPr>
          <w:rFonts w:ascii="宋体" w:hAnsi="宋体" w:cs="宋体" w:eastAsia="宋体" w:hint="default"/>
          <w:b/>
          <w:bCs/>
          <w:sz w:val="28"/>
          <w:szCs w:val="28"/>
        </w:rPr>
        <w:t>对少数集团客户依赖的风险</w:t>
      </w:r>
      <w:r>
        <w:rPr>
          <w:rFonts w:ascii="宋体" w:hAnsi="宋体" w:cs="宋体" w:eastAsia="宋体" w:hint="default"/>
          <w:sz w:val="28"/>
          <w:szCs w:val="28"/>
        </w:rPr>
      </w:r>
    </w:p>
    <w:p>
      <w:pPr>
        <w:spacing w:line="405" w:lineRule="auto" w:before="36"/>
        <w:ind w:left="152" w:right="1129"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公司目前的主要收入来自于为国家电网、南方电网提供信息技术解决方案</w:t>
      </w:r>
      <w:r>
        <w:rPr>
          <w:rFonts w:ascii="宋体" w:hAnsi="宋体" w:cs="宋体" w:eastAsia="宋体" w:hint="default"/>
          <w:b/>
          <w:bCs/>
          <w:w w:val="99"/>
          <w:sz w:val="28"/>
          <w:szCs w:val="28"/>
        </w:rPr>
        <w:t> </w:t>
      </w:r>
      <w:r>
        <w:rPr>
          <w:rFonts w:ascii="宋体" w:hAnsi="宋体" w:cs="宋体" w:eastAsia="宋体" w:hint="default"/>
          <w:b/>
          <w:bCs/>
          <w:sz w:val="28"/>
          <w:szCs w:val="28"/>
        </w:rPr>
        <w:t>的收入，这部分收入占公司报告期主营业务收入的</w:t>
      </w:r>
      <w:r>
        <w:rPr>
          <w:rFonts w:ascii="宋体" w:hAnsi="宋体" w:cs="宋体" w:eastAsia="宋体" w:hint="default"/>
          <w:b/>
          <w:bCs/>
          <w:spacing w:val="-62"/>
          <w:sz w:val="28"/>
          <w:szCs w:val="28"/>
        </w:rPr>
        <w:t> </w:t>
      </w:r>
      <w:r>
        <w:rPr>
          <w:rFonts w:ascii="Times New Roman" w:hAnsi="Times New Roman" w:cs="Times New Roman" w:eastAsia="Times New Roman" w:hint="default"/>
          <w:b/>
          <w:bCs/>
          <w:sz w:val="28"/>
          <w:szCs w:val="28"/>
        </w:rPr>
        <w:t>80%</w:t>
      </w:r>
      <w:r>
        <w:rPr>
          <w:rFonts w:ascii="宋体" w:hAnsi="宋体" w:cs="宋体" w:eastAsia="宋体" w:hint="default"/>
          <w:b/>
          <w:bCs/>
          <w:sz w:val="28"/>
          <w:szCs w:val="28"/>
        </w:rPr>
        <w:t>以上。尽管为了减弱对</w:t>
      </w:r>
      <w:r>
        <w:rPr>
          <w:rFonts w:ascii="宋体" w:hAnsi="宋体" w:cs="宋体" w:eastAsia="宋体" w:hint="default"/>
          <w:b/>
          <w:bCs/>
          <w:w w:val="99"/>
          <w:sz w:val="28"/>
          <w:szCs w:val="28"/>
        </w:rPr>
        <w:t> </w:t>
      </w:r>
      <w:r>
        <w:rPr>
          <w:rFonts w:ascii="宋体" w:hAnsi="宋体" w:cs="宋体" w:eastAsia="宋体" w:hint="default"/>
          <w:b/>
          <w:bCs/>
          <w:spacing w:val="2"/>
          <w:sz w:val="28"/>
          <w:szCs w:val="28"/>
        </w:rPr>
        <w:t>少数集团客户的依赖，公司正在积极开拓地方电力公司、海外电力市场、燃气</w:t>
      </w:r>
      <w:r>
        <w:rPr>
          <w:rFonts w:ascii="宋体" w:hAnsi="宋体" w:cs="宋体" w:eastAsia="宋体" w:hint="default"/>
          <w:b/>
          <w:bCs/>
          <w:w w:val="99"/>
          <w:sz w:val="28"/>
          <w:szCs w:val="28"/>
        </w:rPr>
        <w:t> </w:t>
      </w:r>
      <w:r>
        <w:rPr>
          <w:rFonts w:ascii="宋体" w:hAnsi="宋体" w:cs="宋体" w:eastAsia="宋体" w:hint="default"/>
          <w:b/>
          <w:bCs/>
          <w:spacing w:val="2"/>
          <w:sz w:val="28"/>
          <w:szCs w:val="28"/>
        </w:rPr>
        <w:t>行业市场和其它创新业务市场，但新市场、新业务开拓前期投入大、时间长，</w:t>
      </w:r>
      <w:r>
        <w:rPr>
          <w:rFonts w:ascii="宋体" w:hAnsi="宋体" w:cs="宋体" w:eastAsia="宋体" w:hint="default"/>
          <w:b/>
          <w:bCs/>
          <w:w w:val="99"/>
          <w:sz w:val="28"/>
          <w:szCs w:val="28"/>
        </w:rPr>
        <w:t> </w:t>
      </w:r>
      <w:r>
        <w:rPr>
          <w:rFonts w:ascii="宋体" w:hAnsi="宋体" w:cs="宋体" w:eastAsia="宋体" w:hint="default"/>
          <w:b/>
          <w:bCs/>
          <w:sz w:val="28"/>
          <w:szCs w:val="28"/>
        </w:rPr>
        <w:t>且存在不确定性，因此，短期之内公司对少数集团客户存在较强的依赖。</w:t>
      </w:r>
      <w:r>
        <w:rPr>
          <w:rFonts w:ascii="宋体" w:hAnsi="宋体" w:cs="宋体" w:eastAsia="宋体" w:hint="default"/>
          <w:b/>
          <w:bCs/>
          <w:spacing w:val="-60"/>
          <w:sz w:val="28"/>
          <w:szCs w:val="28"/>
        </w:rPr>
        <w:t> </w:t>
      </w:r>
      <w:r>
        <w:rPr>
          <w:rFonts w:ascii="宋体" w:hAnsi="宋体" w:cs="宋体" w:eastAsia="宋体" w:hint="default"/>
          <w:b/>
          <w:bCs/>
          <w:sz w:val="28"/>
          <w:szCs w:val="28"/>
        </w:rPr>
        <w:t>如国</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家电网、南方电网调整公司所在业务领域的投资计划、采购模式或公司产品服</w:t>
      </w:r>
      <w:r>
        <w:rPr>
          <w:rFonts w:ascii="宋体" w:hAnsi="宋体" w:cs="宋体" w:eastAsia="宋体" w:hint="default"/>
          <w:b/>
          <w:bCs/>
          <w:w w:val="99"/>
          <w:sz w:val="28"/>
          <w:szCs w:val="28"/>
        </w:rPr>
        <w:t> </w:t>
      </w:r>
      <w:r>
        <w:rPr>
          <w:rFonts w:ascii="宋体" w:hAnsi="宋体" w:cs="宋体" w:eastAsia="宋体" w:hint="default"/>
          <w:b/>
          <w:bCs/>
          <w:spacing w:val="2"/>
          <w:sz w:val="28"/>
          <w:szCs w:val="28"/>
        </w:rPr>
        <w:t>务不能满足客户需求，将可能导致国家电网、南方电网向公司采购规模下降或</w:t>
      </w:r>
      <w:r>
        <w:rPr>
          <w:rFonts w:ascii="宋体" w:hAnsi="宋体" w:cs="宋体" w:eastAsia="宋体" w:hint="default"/>
          <w:b/>
          <w:bCs/>
          <w:w w:val="99"/>
          <w:sz w:val="28"/>
          <w:szCs w:val="28"/>
        </w:rPr>
        <w:t> </w:t>
      </w:r>
      <w:r>
        <w:rPr>
          <w:rFonts w:ascii="宋体" w:hAnsi="宋体" w:cs="宋体" w:eastAsia="宋体" w:hint="default"/>
          <w:b/>
          <w:bCs/>
          <w:sz w:val="28"/>
          <w:szCs w:val="28"/>
        </w:rPr>
        <w:t>公司已投入开发的项目不能实现销售，最终对公司盈利能力产生不利影响。</w:t>
      </w:r>
      <w:r>
        <w:rPr>
          <w:rFonts w:ascii="宋体" w:hAnsi="宋体" w:cs="宋体" w:eastAsia="宋体" w:hint="default"/>
          <w:b/>
          <w:bCs/>
          <w:spacing w:val="-59"/>
          <w:sz w:val="28"/>
          <w:szCs w:val="28"/>
        </w:rPr>
        <w:t> </w:t>
      </w:r>
      <w:r>
        <w:rPr>
          <w:rFonts w:ascii="宋体" w:hAnsi="宋体" w:cs="宋体" w:eastAsia="宋体" w:hint="default"/>
          <w:b/>
          <w:bCs/>
          <w:sz w:val="28"/>
          <w:szCs w:val="28"/>
        </w:rPr>
        <w:t>对</w:t>
      </w:r>
      <w:r>
        <w:rPr>
          <w:rFonts w:ascii="宋体" w:hAnsi="宋体" w:cs="宋体" w:eastAsia="宋体" w:hint="default"/>
          <w:b/>
          <w:bCs/>
          <w:w w:val="99"/>
          <w:sz w:val="28"/>
          <w:szCs w:val="28"/>
        </w:rPr>
        <w:t> </w:t>
      </w:r>
      <w:r>
        <w:rPr>
          <w:rFonts w:ascii="宋体" w:hAnsi="宋体" w:cs="宋体" w:eastAsia="宋体" w:hint="default"/>
          <w:b/>
          <w:bCs/>
          <w:spacing w:val="2"/>
          <w:sz w:val="28"/>
          <w:szCs w:val="28"/>
        </w:rPr>
        <w:t>此，公司将在已进入的燃气行业市场以及地方电力和海外电力市场积极拓展，</w:t>
      </w:r>
      <w:r>
        <w:rPr>
          <w:rFonts w:ascii="宋体" w:hAnsi="宋体" w:cs="宋体" w:eastAsia="宋体" w:hint="default"/>
          <w:b/>
          <w:bCs/>
          <w:w w:val="99"/>
          <w:sz w:val="28"/>
          <w:szCs w:val="28"/>
        </w:rPr>
        <w:t> </w:t>
      </w:r>
      <w:r>
        <w:rPr>
          <w:rFonts w:ascii="宋体" w:hAnsi="宋体" w:cs="宋体" w:eastAsia="宋体" w:hint="default"/>
          <w:b/>
          <w:bCs/>
          <w:spacing w:val="-6"/>
          <w:sz w:val="28"/>
          <w:szCs w:val="28"/>
        </w:rPr>
        <w:t>尽快提升新市场营业收入比重。同时，公司将在公共服务、公用事业、新能源、</w:t>
      </w:r>
      <w:r>
        <w:rPr>
          <w:rFonts w:ascii="宋体" w:hAnsi="宋体" w:cs="宋体" w:eastAsia="宋体" w:hint="default"/>
          <w:b/>
          <w:bCs/>
          <w:spacing w:val="-138"/>
          <w:sz w:val="28"/>
          <w:szCs w:val="28"/>
        </w:rPr>
        <w:t> </w:t>
      </w:r>
      <w:r>
        <w:rPr>
          <w:rFonts w:ascii="宋体" w:hAnsi="宋体" w:cs="宋体" w:eastAsia="宋体" w:hint="default"/>
          <w:b/>
          <w:bCs/>
          <w:spacing w:val="-138"/>
          <w:sz w:val="28"/>
          <w:szCs w:val="28"/>
        </w:rPr>
      </w:r>
      <w:r>
        <w:rPr>
          <w:rFonts w:ascii="宋体" w:hAnsi="宋体" w:cs="宋体" w:eastAsia="宋体" w:hint="default"/>
          <w:b/>
          <w:bCs/>
          <w:spacing w:val="2"/>
          <w:sz w:val="28"/>
          <w:szCs w:val="28"/>
        </w:rPr>
        <w:t>新外贸数字服务、工业互联网等产业互联网服务领域积极开拓。在国家电网、</w:t>
      </w:r>
      <w:r>
        <w:rPr>
          <w:rFonts w:ascii="宋体" w:hAnsi="宋体" w:cs="宋体" w:eastAsia="宋体" w:hint="default"/>
          <w:spacing w:val="2"/>
          <w:sz w:val="28"/>
          <w:szCs w:val="28"/>
        </w:rPr>
      </w:r>
    </w:p>
    <w:p>
      <w:pPr>
        <w:spacing w:after="0" w:line="405" w:lineRule="auto"/>
        <w:jc w:val="both"/>
        <w:rPr>
          <w:rFonts w:ascii="宋体" w:hAnsi="宋体" w:cs="宋体" w:eastAsia="宋体" w:hint="default"/>
          <w:sz w:val="28"/>
          <w:szCs w:val="28"/>
        </w:rPr>
        <w:sectPr>
          <w:footerReference w:type="default" r:id="rId8"/>
          <w:pgSz w:w="11910" w:h="16840"/>
          <w:pgMar w:footer="982" w:header="745" w:top="1060" w:bottom="118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408" w:lineRule="auto" w:before="14"/>
        <w:ind w:left="152" w:right="1129" w:firstLine="0"/>
        <w:jc w:val="left"/>
        <w:rPr>
          <w:rFonts w:ascii="宋体" w:hAnsi="宋体" w:cs="宋体" w:eastAsia="宋体" w:hint="default"/>
          <w:sz w:val="28"/>
          <w:szCs w:val="28"/>
        </w:rPr>
      </w:pPr>
      <w:r>
        <w:rPr>
          <w:rFonts w:ascii="宋体" w:hAnsi="宋体" w:cs="宋体" w:eastAsia="宋体" w:hint="default"/>
          <w:b/>
          <w:bCs/>
          <w:spacing w:val="2"/>
          <w:sz w:val="28"/>
          <w:szCs w:val="28"/>
        </w:rPr>
        <w:t>南方电网市场，公司作为领先的技术与服务提供商，将继续加强研究与研发投</w:t>
      </w:r>
      <w:r>
        <w:rPr>
          <w:rFonts w:ascii="宋体" w:hAnsi="宋体" w:cs="宋体" w:eastAsia="宋体" w:hint="default"/>
          <w:b/>
          <w:bCs/>
          <w:w w:val="99"/>
          <w:sz w:val="28"/>
          <w:szCs w:val="28"/>
        </w:rPr>
        <w:t> </w:t>
      </w:r>
      <w:r>
        <w:rPr>
          <w:rFonts w:ascii="宋体" w:hAnsi="宋体" w:cs="宋体" w:eastAsia="宋体" w:hint="default"/>
          <w:b/>
          <w:bCs/>
          <w:sz w:val="28"/>
          <w:szCs w:val="28"/>
        </w:rPr>
        <w:t>入，保持业务与技术的领先，以成就客户为导向，积极创新。</w:t>
      </w:r>
      <w:r>
        <w:rPr>
          <w:rFonts w:ascii="宋体" w:hAnsi="宋体" w:cs="宋体" w:eastAsia="宋体" w:hint="default"/>
          <w:sz w:val="28"/>
          <w:szCs w:val="28"/>
        </w:rPr>
      </w:r>
    </w:p>
    <w:p>
      <w:pPr>
        <w:tabs>
          <w:tab w:pos="1412" w:val="left" w:leader="none"/>
        </w:tabs>
        <w:spacing w:line="446" w:lineRule="auto" w:before="162"/>
        <w:ind w:left="714" w:right="1129" w:hanging="1"/>
        <w:jc w:val="left"/>
        <w:rPr>
          <w:rFonts w:ascii="宋体" w:hAnsi="宋体" w:cs="宋体" w:eastAsia="宋体" w:hint="default"/>
          <w:sz w:val="28"/>
          <w:szCs w:val="28"/>
        </w:rPr>
      </w:pPr>
      <w:r>
        <w:rPr>
          <w:rFonts w:ascii="Times New Roman" w:hAnsi="Times New Roman" w:cs="Times New Roman" w:eastAsia="Times New Roman" w:hint="default"/>
          <w:b/>
          <w:bCs/>
          <w:spacing w:val="-1"/>
          <w:sz w:val="28"/>
          <w:szCs w:val="28"/>
        </w:rPr>
        <w:t>2</w:t>
      </w:r>
      <w:r>
        <w:rPr>
          <w:rFonts w:ascii="宋体" w:hAnsi="宋体" w:cs="宋体" w:eastAsia="宋体" w:hint="default"/>
          <w:b/>
          <w:bCs/>
          <w:spacing w:val="-1"/>
          <w:sz w:val="28"/>
          <w:szCs w:val="28"/>
        </w:rPr>
        <w:t>、</w:t>
        <w:tab/>
      </w:r>
      <w:r>
        <w:rPr>
          <w:rFonts w:ascii="宋体" w:hAnsi="宋体" w:cs="宋体" w:eastAsia="宋体" w:hint="default"/>
          <w:b/>
          <w:bCs/>
          <w:sz w:val="28"/>
          <w:szCs w:val="28"/>
        </w:rPr>
        <w:t>经营业绩季节性波动风险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由于公司主要客户为电网公司及其下属企业，电网公司垂直管理的特性，</w:t>
      </w:r>
      <w:r>
        <w:rPr>
          <w:rFonts w:ascii="宋体" w:hAnsi="宋体" w:cs="宋体" w:eastAsia="宋体" w:hint="default"/>
          <w:spacing w:val="2"/>
          <w:sz w:val="28"/>
          <w:szCs w:val="28"/>
        </w:rPr>
      </w:r>
    </w:p>
    <w:p>
      <w:pPr>
        <w:spacing w:line="408" w:lineRule="auto" w:before="16"/>
        <w:ind w:left="152" w:right="986" w:firstLine="0"/>
        <w:jc w:val="left"/>
        <w:rPr>
          <w:rFonts w:ascii="宋体" w:hAnsi="宋体" w:cs="宋体" w:eastAsia="宋体" w:hint="default"/>
          <w:sz w:val="28"/>
          <w:szCs w:val="28"/>
        </w:rPr>
      </w:pPr>
      <w:r>
        <w:rPr>
          <w:rFonts w:ascii="宋体" w:hAnsi="宋体" w:cs="宋体" w:eastAsia="宋体" w:hint="default"/>
          <w:b/>
          <w:bCs/>
          <w:spacing w:val="2"/>
          <w:sz w:val="28"/>
          <w:szCs w:val="28"/>
        </w:rPr>
        <w:t>决定了电网公司内部投资审批决策、管理流程都有较强的计划性。一般来看，</w:t>
      </w:r>
      <w:r>
        <w:rPr>
          <w:rFonts w:ascii="宋体" w:hAnsi="宋体" w:cs="宋体" w:eastAsia="宋体" w:hint="default"/>
          <w:b/>
          <w:bCs/>
          <w:w w:val="99"/>
          <w:sz w:val="28"/>
          <w:szCs w:val="28"/>
        </w:rPr>
        <w:t> </w:t>
      </w:r>
      <w:r>
        <w:rPr>
          <w:rFonts w:ascii="宋体" w:hAnsi="宋体" w:cs="宋体" w:eastAsia="宋体" w:hint="default"/>
          <w:b/>
          <w:bCs/>
          <w:spacing w:val="2"/>
          <w:sz w:val="28"/>
          <w:szCs w:val="28"/>
        </w:rPr>
        <w:t>电网公司在前一年年底制订下一年的各类（含信息化）项目，经集团公司总部</w:t>
      </w:r>
      <w:r>
        <w:rPr>
          <w:rFonts w:ascii="宋体" w:hAnsi="宋体" w:cs="宋体" w:eastAsia="宋体" w:hint="default"/>
          <w:b/>
          <w:bCs/>
          <w:w w:val="99"/>
          <w:sz w:val="28"/>
          <w:szCs w:val="28"/>
        </w:rPr>
        <w:t> </w:t>
      </w:r>
      <w:r>
        <w:rPr>
          <w:rFonts w:ascii="宋体" w:hAnsi="宋体" w:cs="宋体" w:eastAsia="宋体" w:hint="default"/>
          <w:b/>
          <w:bCs/>
          <w:spacing w:val="2"/>
          <w:sz w:val="28"/>
          <w:szCs w:val="28"/>
        </w:rPr>
        <w:t>各部门审批后，第二年分批逐步开展项目招标和项目启动及建设。对于提供技</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术服务的业务，公司根据不同类别合同在客户验收后确认收入或在签订合同后</w:t>
      </w:r>
      <w:r>
        <w:rPr>
          <w:rFonts w:ascii="宋体" w:hAnsi="宋体" w:cs="宋体" w:eastAsia="宋体" w:hint="default"/>
          <w:b/>
          <w:bCs/>
          <w:w w:val="99"/>
          <w:sz w:val="28"/>
          <w:szCs w:val="28"/>
        </w:rPr>
        <w:t> </w:t>
      </w:r>
      <w:r>
        <w:rPr>
          <w:rFonts w:ascii="宋体" w:hAnsi="宋体" w:cs="宋体" w:eastAsia="宋体" w:hint="default"/>
          <w:b/>
          <w:bCs/>
          <w:spacing w:val="-2"/>
          <w:sz w:val="28"/>
          <w:szCs w:val="28"/>
        </w:rPr>
        <w:t>按完工百分比法或根据服务期确认收入。受电网公司内部合同流程管理的限制，</w:t>
      </w:r>
      <w:r>
        <w:rPr>
          <w:rFonts w:ascii="宋体" w:hAnsi="宋体" w:cs="宋体" w:eastAsia="宋体" w:hint="default"/>
          <w:b/>
          <w:bCs/>
          <w:spacing w:val="-132"/>
          <w:sz w:val="28"/>
          <w:szCs w:val="28"/>
        </w:rPr>
        <w:t> </w:t>
      </w:r>
      <w:r>
        <w:rPr>
          <w:rFonts w:ascii="宋体" w:hAnsi="宋体" w:cs="宋体" w:eastAsia="宋体" w:hint="default"/>
          <w:b/>
          <w:bCs/>
          <w:spacing w:val="-132"/>
          <w:sz w:val="28"/>
          <w:szCs w:val="28"/>
        </w:rPr>
      </w:r>
      <w:r>
        <w:rPr>
          <w:rFonts w:ascii="宋体" w:hAnsi="宋体" w:cs="宋体" w:eastAsia="宋体" w:hint="default"/>
          <w:b/>
          <w:bCs/>
          <w:spacing w:val="2"/>
          <w:sz w:val="28"/>
          <w:szCs w:val="28"/>
        </w:rPr>
        <w:t>第四季度签署合同并取得上线报告或完工验收报告较多，造成第四季度确认收</w:t>
      </w:r>
      <w:r>
        <w:rPr>
          <w:rFonts w:ascii="宋体" w:hAnsi="宋体" w:cs="宋体" w:eastAsia="宋体" w:hint="default"/>
          <w:b/>
          <w:bCs/>
          <w:w w:val="99"/>
          <w:sz w:val="28"/>
          <w:szCs w:val="28"/>
        </w:rPr>
        <w:t> </w:t>
      </w:r>
      <w:r>
        <w:rPr>
          <w:rFonts w:ascii="宋体" w:hAnsi="宋体" w:cs="宋体" w:eastAsia="宋体" w:hint="default"/>
          <w:b/>
          <w:bCs/>
          <w:spacing w:val="-2"/>
          <w:w w:val="99"/>
          <w:sz w:val="28"/>
          <w:szCs w:val="28"/>
        </w:rPr>
        <w:t>入较多。，这也导致了公司第一季度、上半年甚至前三季度净利润有可能为负，</w:t>
      </w:r>
      <w:r>
        <w:rPr>
          <w:rFonts w:ascii="宋体" w:hAnsi="宋体" w:cs="宋体" w:eastAsia="宋体" w:hint="default"/>
          <w:b/>
          <w:bCs/>
          <w:spacing w:val="-134"/>
          <w:w w:val="99"/>
          <w:sz w:val="28"/>
          <w:szCs w:val="28"/>
        </w:rPr>
        <w:t> </w:t>
      </w:r>
      <w:r>
        <w:rPr>
          <w:rFonts w:ascii="宋体" w:hAnsi="宋体" w:cs="宋体" w:eastAsia="宋体" w:hint="default"/>
          <w:b/>
          <w:bCs/>
          <w:spacing w:val="-134"/>
          <w:w w:val="99"/>
          <w:sz w:val="28"/>
          <w:szCs w:val="28"/>
        </w:rPr>
      </w:r>
      <w:r>
        <w:rPr>
          <w:rFonts w:ascii="宋体" w:hAnsi="宋体" w:cs="宋体" w:eastAsia="宋体" w:hint="default"/>
          <w:b/>
          <w:bCs/>
          <w:spacing w:val="2"/>
          <w:sz w:val="28"/>
          <w:szCs w:val="28"/>
        </w:rPr>
        <w:t>公司经营业绩呈现较强的季节性波动风险，对投资者投资决策可能产生不利影</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响。对此，公司将积极对接电网客户计划和流程，主动沟通，与电网客户建立</w:t>
      </w:r>
      <w:r>
        <w:rPr>
          <w:rFonts w:ascii="宋体" w:hAnsi="宋体" w:cs="宋体" w:eastAsia="宋体" w:hint="default"/>
          <w:b/>
          <w:bCs/>
          <w:w w:val="99"/>
          <w:sz w:val="28"/>
          <w:szCs w:val="28"/>
        </w:rPr>
        <w:t> </w:t>
      </w:r>
      <w:r>
        <w:rPr>
          <w:rFonts w:ascii="宋体" w:hAnsi="宋体" w:cs="宋体" w:eastAsia="宋体" w:hint="default"/>
          <w:b/>
          <w:bCs/>
          <w:spacing w:val="2"/>
          <w:sz w:val="28"/>
          <w:szCs w:val="28"/>
        </w:rPr>
        <w:t>紧密的协作机制，增加业务计划的可预期性。同时，公司将积极拓展新的客户</w:t>
      </w:r>
      <w:r>
        <w:rPr>
          <w:rFonts w:ascii="宋体" w:hAnsi="宋体" w:cs="宋体" w:eastAsia="宋体" w:hint="default"/>
          <w:b/>
          <w:bCs/>
          <w:w w:val="99"/>
          <w:sz w:val="28"/>
          <w:szCs w:val="28"/>
        </w:rPr>
        <w:t> </w:t>
      </w:r>
      <w:r>
        <w:rPr>
          <w:rFonts w:ascii="宋体" w:hAnsi="宋体" w:cs="宋体" w:eastAsia="宋体" w:hint="default"/>
          <w:b/>
          <w:bCs/>
          <w:sz w:val="28"/>
          <w:szCs w:val="28"/>
        </w:rPr>
        <w:t>与新的业务领域，逐步平滑经营业绩的季节性波动。</w:t>
      </w:r>
      <w:r>
        <w:rPr>
          <w:rFonts w:ascii="宋体" w:hAnsi="宋体" w:cs="宋体" w:eastAsia="宋体" w:hint="default"/>
          <w:sz w:val="28"/>
          <w:szCs w:val="28"/>
        </w:rPr>
      </w:r>
    </w:p>
    <w:p>
      <w:pPr>
        <w:tabs>
          <w:tab w:pos="1412" w:val="left" w:leader="none"/>
        </w:tabs>
        <w:spacing w:line="448" w:lineRule="auto" w:before="162"/>
        <w:ind w:left="714" w:right="1129" w:hanging="1"/>
        <w:jc w:val="left"/>
        <w:rPr>
          <w:rFonts w:ascii="宋体" w:hAnsi="宋体" w:cs="宋体" w:eastAsia="宋体" w:hint="default"/>
          <w:sz w:val="28"/>
          <w:szCs w:val="28"/>
        </w:rPr>
      </w:pPr>
      <w:r>
        <w:rPr>
          <w:rFonts w:ascii="Times New Roman" w:hAnsi="Times New Roman" w:cs="Times New Roman" w:eastAsia="Times New Roman" w:hint="default"/>
          <w:b/>
          <w:bCs/>
          <w:spacing w:val="-1"/>
          <w:sz w:val="28"/>
          <w:szCs w:val="28"/>
        </w:rPr>
        <w:t>3</w:t>
      </w:r>
      <w:r>
        <w:rPr>
          <w:rFonts w:ascii="宋体" w:hAnsi="宋体" w:cs="宋体" w:eastAsia="宋体" w:hint="default"/>
          <w:b/>
          <w:bCs/>
          <w:spacing w:val="-1"/>
          <w:sz w:val="28"/>
          <w:szCs w:val="28"/>
        </w:rPr>
        <w:t>、</w:t>
        <w:tab/>
      </w:r>
      <w:r>
        <w:rPr>
          <w:rFonts w:ascii="宋体" w:hAnsi="宋体" w:cs="宋体" w:eastAsia="宋体" w:hint="default"/>
          <w:b/>
          <w:bCs/>
          <w:sz w:val="28"/>
          <w:szCs w:val="28"/>
        </w:rPr>
        <w:t>行业竞争加剧风险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随着行业技术的不断成熟和行业管理的日益规范，公用事业信息化行业进</w:t>
      </w:r>
      <w:r>
        <w:rPr>
          <w:rFonts w:ascii="宋体" w:hAnsi="宋体" w:cs="宋体" w:eastAsia="宋体" w:hint="default"/>
          <w:spacing w:val="2"/>
          <w:sz w:val="28"/>
          <w:szCs w:val="28"/>
        </w:rPr>
      </w:r>
    </w:p>
    <w:p>
      <w:pPr>
        <w:spacing w:line="408" w:lineRule="auto" w:before="14"/>
        <w:ind w:left="152" w:right="1134" w:firstLine="0"/>
        <w:jc w:val="both"/>
        <w:rPr>
          <w:rFonts w:ascii="宋体" w:hAnsi="宋体" w:cs="宋体" w:eastAsia="宋体" w:hint="default"/>
          <w:sz w:val="28"/>
          <w:szCs w:val="28"/>
        </w:rPr>
      </w:pPr>
      <w:r>
        <w:rPr>
          <w:rFonts w:ascii="宋体" w:hAnsi="宋体" w:cs="宋体" w:eastAsia="宋体" w:hint="default"/>
          <w:b/>
          <w:bCs/>
          <w:spacing w:val="2"/>
          <w:sz w:val="28"/>
          <w:szCs w:val="28"/>
        </w:rPr>
        <w:t>入壁垒日益提高，对行业内企业规模和资金实力的要求越来越高，缺乏业绩和</w:t>
      </w:r>
      <w:r>
        <w:rPr>
          <w:rFonts w:ascii="宋体" w:hAnsi="宋体" w:cs="宋体" w:eastAsia="宋体" w:hint="default"/>
          <w:b/>
          <w:bCs/>
          <w:w w:val="99"/>
          <w:sz w:val="28"/>
          <w:szCs w:val="28"/>
        </w:rPr>
        <w:t> </w:t>
      </w:r>
      <w:r>
        <w:rPr>
          <w:rFonts w:ascii="宋体" w:hAnsi="宋体" w:cs="宋体" w:eastAsia="宋体" w:hint="default"/>
          <w:b/>
          <w:bCs/>
          <w:spacing w:val="2"/>
          <w:sz w:val="28"/>
          <w:szCs w:val="28"/>
        </w:rPr>
        <w:t>技术支撑的企业将被市场淘汰。随着行业市场竞争的逐步加剧，如果本公司不</w:t>
      </w:r>
      <w:r>
        <w:rPr>
          <w:rFonts w:ascii="宋体" w:hAnsi="宋体" w:cs="宋体" w:eastAsia="宋体" w:hint="default"/>
          <w:b/>
          <w:bCs/>
          <w:w w:val="99"/>
          <w:sz w:val="28"/>
          <w:szCs w:val="28"/>
        </w:rPr>
        <w:t> </w:t>
      </w:r>
      <w:r>
        <w:rPr>
          <w:rFonts w:ascii="宋体" w:hAnsi="宋体" w:cs="宋体" w:eastAsia="宋体" w:hint="default"/>
          <w:b/>
          <w:bCs/>
          <w:spacing w:val="2"/>
          <w:sz w:val="28"/>
          <w:szCs w:val="28"/>
        </w:rPr>
        <w:t>能保持现有的竞争优势和品牌效应，则有可能导致本公司的市场份额减少。同</w:t>
      </w:r>
      <w:r>
        <w:rPr>
          <w:rFonts w:ascii="宋体" w:hAnsi="宋体" w:cs="宋体" w:eastAsia="宋体" w:hint="default"/>
          <w:b/>
          <w:bCs/>
          <w:w w:val="99"/>
          <w:sz w:val="28"/>
          <w:szCs w:val="28"/>
        </w:rPr>
        <w:t> </w:t>
      </w:r>
      <w:r>
        <w:rPr>
          <w:rFonts w:ascii="宋体" w:hAnsi="宋体" w:cs="宋体" w:eastAsia="宋体" w:hint="default"/>
          <w:b/>
          <w:bCs/>
          <w:spacing w:val="2"/>
          <w:sz w:val="28"/>
          <w:szCs w:val="28"/>
        </w:rPr>
        <w:t>时随着行业竞争的加剧，公司产品和服务的价格可能下降，将导致公司毛利率</w:t>
      </w:r>
      <w:r>
        <w:rPr>
          <w:rFonts w:ascii="宋体" w:hAnsi="宋体" w:cs="宋体" w:eastAsia="宋体" w:hint="default"/>
          <w:spacing w:val="2"/>
          <w:sz w:val="28"/>
          <w:szCs w:val="28"/>
        </w:rPr>
      </w:r>
    </w:p>
    <w:p>
      <w:pPr>
        <w:spacing w:after="0" w:line="408" w:lineRule="auto"/>
        <w:jc w:val="both"/>
        <w:rPr>
          <w:rFonts w:ascii="宋体" w:hAnsi="宋体" w:cs="宋体" w:eastAsia="宋体" w:hint="default"/>
          <w:sz w:val="28"/>
          <w:szCs w:val="28"/>
        </w:rPr>
        <w:sectPr>
          <w:pgSz w:w="11910" w:h="16840"/>
          <w:pgMar w:header="745" w:footer="982" w:top="1060" w:bottom="118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08" w:lineRule="auto" w:before="14"/>
        <w:ind w:left="152" w:right="1134" w:firstLine="0"/>
        <w:jc w:val="both"/>
        <w:rPr>
          <w:rFonts w:ascii="宋体" w:hAnsi="宋体" w:cs="宋体" w:eastAsia="宋体" w:hint="default"/>
          <w:sz w:val="28"/>
          <w:szCs w:val="28"/>
        </w:rPr>
      </w:pPr>
      <w:r>
        <w:rPr>
          <w:rFonts w:ascii="宋体" w:hAnsi="宋体" w:cs="宋体" w:eastAsia="宋体" w:hint="default"/>
          <w:b/>
          <w:bCs/>
          <w:spacing w:val="2"/>
          <w:sz w:val="28"/>
          <w:szCs w:val="28"/>
        </w:rPr>
        <w:t>和盈利能力的下降。对此，公司将紧密关注行业竞争格局的变化，通过技术与</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业务创新以及优秀人才的培养与引进，加强公司质量管理，确保公司技术和业</w:t>
      </w:r>
      <w:r>
        <w:rPr>
          <w:rFonts w:ascii="宋体" w:hAnsi="宋体" w:cs="宋体" w:eastAsia="宋体" w:hint="default"/>
          <w:b/>
          <w:bCs/>
          <w:w w:val="99"/>
          <w:sz w:val="28"/>
          <w:szCs w:val="28"/>
        </w:rPr>
        <w:t> </w:t>
      </w:r>
      <w:r>
        <w:rPr>
          <w:rFonts w:ascii="宋体" w:hAnsi="宋体" w:cs="宋体" w:eastAsia="宋体" w:hint="default"/>
          <w:b/>
          <w:bCs/>
          <w:spacing w:val="2"/>
          <w:sz w:val="28"/>
          <w:szCs w:val="28"/>
        </w:rPr>
        <w:t>务能力在行业里持续领先，同时，公司将基于对行业的深刻理解，加强与合作</w:t>
      </w:r>
      <w:r>
        <w:rPr>
          <w:rFonts w:ascii="宋体" w:hAnsi="宋体" w:cs="宋体" w:eastAsia="宋体" w:hint="default"/>
          <w:b/>
          <w:bCs/>
          <w:w w:val="99"/>
          <w:sz w:val="28"/>
          <w:szCs w:val="28"/>
        </w:rPr>
        <w:t> </w:t>
      </w:r>
      <w:r>
        <w:rPr>
          <w:rFonts w:ascii="宋体" w:hAnsi="宋体" w:cs="宋体" w:eastAsia="宋体" w:hint="default"/>
          <w:b/>
          <w:bCs/>
          <w:sz w:val="28"/>
          <w:szCs w:val="28"/>
        </w:rPr>
        <w:t>伙伴的深度合作，共同推动行业的创新发展。</w:t>
      </w:r>
      <w:r>
        <w:rPr>
          <w:rFonts w:ascii="宋体" w:hAnsi="宋体" w:cs="宋体" w:eastAsia="宋体" w:hint="default"/>
          <w:sz w:val="28"/>
          <w:szCs w:val="28"/>
        </w:rPr>
      </w:r>
    </w:p>
    <w:p>
      <w:pPr>
        <w:tabs>
          <w:tab w:pos="1412" w:val="left" w:leader="none"/>
        </w:tabs>
        <w:spacing w:line="446" w:lineRule="auto" w:before="162"/>
        <w:ind w:left="714" w:right="1133" w:hanging="1"/>
        <w:jc w:val="left"/>
        <w:rPr>
          <w:rFonts w:ascii="宋体" w:hAnsi="宋体" w:cs="宋体" w:eastAsia="宋体" w:hint="default"/>
          <w:sz w:val="28"/>
          <w:szCs w:val="28"/>
        </w:rPr>
      </w:pPr>
      <w:r>
        <w:rPr>
          <w:rFonts w:ascii="Times New Roman" w:hAnsi="Times New Roman" w:cs="Times New Roman" w:eastAsia="Times New Roman" w:hint="default"/>
          <w:b/>
          <w:bCs/>
          <w:spacing w:val="-1"/>
          <w:sz w:val="28"/>
          <w:szCs w:val="28"/>
        </w:rPr>
        <w:t>4</w:t>
      </w:r>
      <w:r>
        <w:rPr>
          <w:rFonts w:ascii="宋体" w:hAnsi="宋体" w:cs="宋体" w:eastAsia="宋体" w:hint="default"/>
          <w:b/>
          <w:bCs/>
          <w:spacing w:val="-1"/>
          <w:sz w:val="28"/>
          <w:szCs w:val="28"/>
        </w:rPr>
        <w:t>、</w:t>
        <w:tab/>
      </w:r>
      <w:r>
        <w:rPr>
          <w:rFonts w:ascii="宋体" w:hAnsi="宋体" w:cs="宋体" w:eastAsia="宋体" w:hint="default"/>
          <w:b/>
          <w:bCs/>
          <w:sz w:val="28"/>
          <w:szCs w:val="28"/>
        </w:rPr>
        <w:t>创新业务带来的成本费用上升风险</w:t>
      </w:r>
      <w:r>
        <w:rPr>
          <w:rFonts w:ascii="宋体" w:hAnsi="宋体" w:cs="宋体" w:eastAsia="宋体" w:hint="default"/>
          <w:b/>
          <w:bCs/>
          <w:w w:val="99"/>
          <w:sz w:val="28"/>
          <w:szCs w:val="28"/>
        </w:rPr>
        <w:t> </w:t>
      </w:r>
      <w:r>
        <w:rPr>
          <w:rFonts w:ascii="宋体" w:hAnsi="宋体" w:cs="宋体" w:eastAsia="宋体" w:hint="default"/>
          <w:b/>
          <w:bCs/>
          <w:sz w:val="28"/>
          <w:szCs w:val="28"/>
        </w:rPr>
        <w:t>公司一贯重视技术与业务创新，近年来研发费用占总收入比保持在</w:t>
      </w:r>
      <w:r>
        <w:rPr>
          <w:rFonts w:ascii="宋体" w:hAnsi="宋体" w:cs="宋体" w:eastAsia="宋体" w:hint="default"/>
          <w:b/>
          <w:bCs/>
          <w:spacing w:val="-62"/>
          <w:sz w:val="28"/>
          <w:szCs w:val="28"/>
        </w:rPr>
        <w:t> </w:t>
      </w:r>
      <w:r>
        <w:rPr>
          <w:rFonts w:ascii="Times New Roman" w:hAnsi="Times New Roman" w:cs="Times New Roman" w:eastAsia="Times New Roman" w:hint="default"/>
          <w:b/>
          <w:bCs/>
          <w:sz w:val="28"/>
          <w:szCs w:val="28"/>
        </w:rPr>
        <w:t>10%</w:t>
      </w:r>
      <w:r>
        <w:rPr>
          <w:rFonts w:ascii="宋体" w:hAnsi="宋体" w:cs="宋体" w:eastAsia="宋体" w:hint="default"/>
          <w:b/>
          <w:bCs/>
          <w:sz w:val="28"/>
          <w:szCs w:val="28"/>
        </w:rPr>
        <w:t>以</w:t>
      </w:r>
      <w:r>
        <w:rPr>
          <w:rFonts w:ascii="宋体" w:hAnsi="宋体" w:cs="宋体" w:eastAsia="宋体" w:hint="default"/>
          <w:sz w:val="28"/>
          <w:szCs w:val="28"/>
        </w:rPr>
      </w:r>
    </w:p>
    <w:p>
      <w:pPr>
        <w:spacing w:line="336" w:lineRule="exact" w:before="0"/>
        <w:ind w:left="152" w:right="0" w:firstLine="0"/>
        <w:jc w:val="both"/>
        <w:rPr>
          <w:rFonts w:ascii="宋体" w:hAnsi="宋体" w:cs="宋体" w:eastAsia="宋体" w:hint="default"/>
          <w:sz w:val="28"/>
          <w:szCs w:val="28"/>
        </w:rPr>
      </w:pPr>
      <w:r>
        <w:rPr>
          <w:rFonts w:ascii="宋体" w:hAnsi="宋体" w:cs="宋体" w:eastAsia="宋体" w:hint="default"/>
          <w:b/>
          <w:bCs/>
          <w:spacing w:val="2"/>
          <w:sz w:val="28"/>
          <w:szCs w:val="28"/>
        </w:rPr>
        <w:t>上，通过大力度的创新投入公司在行业里保持了技术引领和业务创新的良好口</w:t>
      </w:r>
      <w:r>
        <w:rPr>
          <w:rFonts w:ascii="宋体" w:hAnsi="宋体" w:cs="宋体" w:eastAsia="宋体" w:hint="default"/>
          <w:spacing w:val="2"/>
          <w:sz w:val="28"/>
          <w:szCs w:val="28"/>
        </w:rPr>
      </w:r>
    </w:p>
    <w:p>
      <w:pPr>
        <w:spacing w:line="240" w:lineRule="auto" w:before="9"/>
        <w:rPr>
          <w:rFonts w:ascii="宋体" w:hAnsi="宋体" w:cs="宋体" w:eastAsia="宋体" w:hint="default"/>
          <w:b/>
          <w:bCs/>
          <w:sz w:val="19"/>
          <w:szCs w:val="19"/>
        </w:rPr>
      </w:pPr>
    </w:p>
    <w:p>
      <w:pPr>
        <w:spacing w:line="408" w:lineRule="auto" w:before="0"/>
        <w:ind w:left="152" w:right="1134" w:firstLine="0"/>
        <w:jc w:val="both"/>
        <w:rPr>
          <w:rFonts w:ascii="宋体" w:hAnsi="宋体" w:cs="宋体" w:eastAsia="宋体" w:hint="default"/>
          <w:sz w:val="28"/>
          <w:szCs w:val="28"/>
        </w:rPr>
      </w:pPr>
      <w:r>
        <w:rPr>
          <w:rFonts w:ascii="宋体" w:hAnsi="宋体" w:cs="宋体" w:eastAsia="宋体" w:hint="default"/>
          <w:b/>
          <w:bCs/>
          <w:spacing w:val="2"/>
          <w:sz w:val="28"/>
          <w:szCs w:val="28"/>
        </w:rPr>
        <w:t>碑，同时也在不断培育出新的具有巨大发展前景的产业互联网创新业务，为公</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司的持续发展打下了坚实的基础。未来公司仍将会加大创新业务研发和技术研</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发投入，必将产生一定的成本和费用，如果相关业务短期之内不能为公司带来</w:t>
      </w:r>
      <w:r>
        <w:rPr>
          <w:rFonts w:ascii="宋体" w:hAnsi="宋体" w:cs="宋体" w:eastAsia="宋体" w:hint="default"/>
          <w:b/>
          <w:bCs/>
          <w:w w:val="99"/>
          <w:sz w:val="28"/>
          <w:szCs w:val="28"/>
        </w:rPr>
        <w:t> </w:t>
      </w:r>
      <w:r>
        <w:rPr>
          <w:rFonts w:ascii="宋体" w:hAnsi="宋体" w:cs="宋体" w:eastAsia="宋体" w:hint="default"/>
          <w:b/>
          <w:bCs/>
          <w:spacing w:val="2"/>
          <w:sz w:val="28"/>
          <w:szCs w:val="28"/>
        </w:rPr>
        <w:t>收入，将对公司盈利能力产生不利影响。对此，公司将紧密跟踪技术变革和行</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业发展趋势，确保公司处于行业技术领先又不至于造成研发浪费，公司在创新</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业务拓展领域将采取稳健的模式，一方面公司将加强产业政策研究、行业发展</w:t>
      </w:r>
      <w:r>
        <w:rPr>
          <w:rFonts w:ascii="宋体" w:hAnsi="宋体" w:cs="宋体" w:eastAsia="宋体" w:hint="default"/>
          <w:b/>
          <w:bCs/>
          <w:w w:val="99"/>
          <w:sz w:val="28"/>
          <w:szCs w:val="28"/>
        </w:rPr>
        <w:t> </w:t>
      </w:r>
      <w:r>
        <w:rPr>
          <w:rFonts w:ascii="宋体" w:hAnsi="宋体" w:cs="宋体" w:eastAsia="宋体" w:hint="default"/>
          <w:b/>
          <w:bCs/>
          <w:spacing w:val="2"/>
          <w:sz w:val="28"/>
          <w:szCs w:val="28"/>
        </w:rPr>
        <w:t>趋势研究和新技术发展趋势研究，提高创新业务的方向性和成功率，另一方面</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公司在创新业务上将采取轻模式探索和试点的方式，在树立标杆后再大规模推</w:t>
      </w:r>
      <w:r>
        <w:rPr>
          <w:rFonts w:ascii="宋体" w:hAnsi="宋体" w:cs="宋体" w:eastAsia="宋体" w:hint="default"/>
          <w:b/>
          <w:bCs/>
          <w:w w:val="99"/>
          <w:sz w:val="28"/>
          <w:szCs w:val="28"/>
        </w:rPr>
        <w:t> </w:t>
      </w:r>
      <w:r>
        <w:rPr>
          <w:rFonts w:ascii="宋体" w:hAnsi="宋体" w:cs="宋体" w:eastAsia="宋体" w:hint="default"/>
          <w:b/>
          <w:bCs/>
          <w:sz w:val="28"/>
          <w:szCs w:val="28"/>
        </w:rPr>
        <w:t>广，降低创新业务高度不确定性所带来的投入风险。</w:t>
      </w:r>
      <w:r>
        <w:rPr>
          <w:rFonts w:ascii="宋体" w:hAnsi="宋体" w:cs="宋体" w:eastAsia="宋体" w:hint="default"/>
          <w:sz w:val="28"/>
          <w:szCs w:val="28"/>
        </w:rPr>
      </w:r>
    </w:p>
    <w:p>
      <w:pPr>
        <w:tabs>
          <w:tab w:pos="1412" w:val="left" w:leader="none"/>
        </w:tabs>
        <w:spacing w:line="448" w:lineRule="auto" w:before="162"/>
        <w:ind w:left="714" w:right="1129" w:hanging="1"/>
        <w:jc w:val="left"/>
        <w:rPr>
          <w:rFonts w:ascii="宋体" w:hAnsi="宋体" w:cs="宋体" w:eastAsia="宋体" w:hint="default"/>
          <w:sz w:val="28"/>
          <w:szCs w:val="28"/>
        </w:rPr>
      </w:pPr>
      <w:r>
        <w:rPr>
          <w:rFonts w:ascii="Times New Roman" w:hAnsi="Times New Roman" w:cs="Times New Roman" w:eastAsia="Times New Roman" w:hint="default"/>
          <w:b/>
          <w:bCs/>
          <w:spacing w:val="-1"/>
          <w:sz w:val="28"/>
          <w:szCs w:val="28"/>
        </w:rPr>
        <w:t>5</w:t>
      </w:r>
      <w:r>
        <w:rPr>
          <w:rFonts w:ascii="宋体" w:hAnsi="宋体" w:cs="宋体" w:eastAsia="宋体" w:hint="default"/>
          <w:b/>
          <w:bCs/>
          <w:spacing w:val="-1"/>
          <w:sz w:val="28"/>
          <w:szCs w:val="28"/>
        </w:rPr>
        <w:t>、</w:t>
        <w:tab/>
      </w:r>
      <w:r>
        <w:rPr>
          <w:rFonts w:ascii="宋体" w:hAnsi="宋体" w:cs="宋体" w:eastAsia="宋体" w:hint="default"/>
          <w:b/>
          <w:bCs/>
          <w:sz w:val="28"/>
          <w:szCs w:val="28"/>
        </w:rPr>
        <w:t>劳动力成本上升风险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公司是一家轻资产型公司，人力资源相关费用是公司成本费用的重要组成</w:t>
      </w:r>
      <w:r>
        <w:rPr>
          <w:rFonts w:ascii="宋体" w:hAnsi="宋体" w:cs="宋体" w:eastAsia="宋体" w:hint="default"/>
          <w:spacing w:val="2"/>
          <w:sz w:val="28"/>
          <w:szCs w:val="28"/>
        </w:rPr>
      </w:r>
    </w:p>
    <w:p>
      <w:pPr>
        <w:spacing w:line="408" w:lineRule="auto" w:before="14"/>
        <w:ind w:left="152" w:right="1134" w:firstLine="0"/>
        <w:jc w:val="both"/>
        <w:rPr>
          <w:rFonts w:ascii="宋体" w:hAnsi="宋体" w:cs="宋体" w:eastAsia="宋体" w:hint="default"/>
          <w:sz w:val="28"/>
          <w:szCs w:val="28"/>
        </w:rPr>
      </w:pPr>
      <w:r>
        <w:rPr>
          <w:rFonts w:ascii="宋体" w:hAnsi="宋体" w:cs="宋体" w:eastAsia="宋体" w:hint="default"/>
          <w:b/>
          <w:bCs/>
          <w:spacing w:val="-6"/>
          <w:sz w:val="28"/>
          <w:szCs w:val="28"/>
        </w:rPr>
        <w:t>部分，如相关领域人员劳动力成本持续提升，将对公司盈利能力产生不利影响。</w:t>
      </w:r>
      <w:r>
        <w:rPr>
          <w:rFonts w:ascii="宋体" w:hAnsi="宋体" w:cs="宋体" w:eastAsia="宋体" w:hint="default"/>
          <w:b/>
          <w:bCs/>
          <w:spacing w:val="-136"/>
          <w:sz w:val="28"/>
          <w:szCs w:val="28"/>
        </w:rPr>
        <w:t> </w:t>
      </w:r>
      <w:r>
        <w:rPr>
          <w:rFonts w:ascii="宋体" w:hAnsi="宋体" w:cs="宋体" w:eastAsia="宋体" w:hint="default"/>
          <w:b/>
          <w:bCs/>
          <w:spacing w:val="-136"/>
          <w:sz w:val="28"/>
          <w:szCs w:val="28"/>
        </w:rPr>
      </w:r>
      <w:r>
        <w:rPr>
          <w:rFonts w:ascii="宋体" w:hAnsi="宋体" w:cs="宋体" w:eastAsia="宋体" w:hint="default"/>
          <w:b/>
          <w:bCs/>
          <w:spacing w:val="-6"/>
          <w:sz w:val="28"/>
          <w:szCs w:val="28"/>
        </w:rPr>
        <w:t>对此，公司将持续优化业务模式，优化内部组织结构与机制，提高软件产品化、</w:t>
      </w:r>
      <w:r>
        <w:rPr>
          <w:rFonts w:ascii="宋体" w:hAnsi="宋体" w:cs="宋体" w:eastAsia="宋体" w:hint="default"/>
          <w:b/>
          <w:bCs/>
          <w:spacing w:val="-138"/>
          <w:sz w:val="28"/>
          <w:szCs w:val="28"/>
        </w:rPr>
        <w:t> </w:t>
      </w:r>
      <w:r>
        <w:rPr>
          <w:rFonts w:ascii="宋体" w:hAnsi="宋体" w:cs="宋体" w:eastAsia="宋体" w:hint="default"/>
          <w:b/>
          <w:bCs/>
          <w:spacing w:val="-138"/>
          <w:sz w:val="28"/>
          <w:szCs w:val="28"/>
        </w:rPr>
      </w:r>
      <w:r>
        <w:rPr>
          <w:rFonts w:ascii="宋体" w:hAnsi="宋体" w:cs="宋体" w:eastAsia="宋体" w:hint="default"/>
          <w:b/>
          <w:bCs/>
          <w:spacing w:val="2"/>
          <w:sz w:val="28"/>
          <w:szCs w:val="28"/>
        </w:rPr>
        <w:t>模块化、组件化水平，加强人员培养与培训，持续提升人员生产效率，从而在</w:t>
      </w:r>
      <w:r>
        <w:rPr>
          <w:rFonts w:ascii="宋体" w:hAnsi="宋体" w:cs="宋体" w:eastAsia="宋体" w:hint="default"/>
          <w:spacing w:val="2"/>
          <w:sz w:val="28"/>
          <w:szCs w:val="28"/>
        </w:rPr>
      </w:r>
    </w:p>
    <w:p>
      <w:pPr>
        <w:spacing w:after="0" w:line="408" w:lineRule="auto"/>
        <w:jc w:val="both"/>
        <w:rPr>
          <w:rFonts w:ascii="宋体" w:hAnsi="宋体" w:cs="宋体" w:eastAsia="宋体" w:hint="default"/>
          <w:sz w:val="28"/>
          <w:szCs w:val="28"/>
        </w:rPr>
        <w:sectPr>
          <w:pgSz w:w="11910" w:h="16840"/>
          <w:pgMar w:header="745" w:footer="982" w:top="1060" w:bottom="118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before="14"/>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不断提升员工待遇的同时，确保公司盈利能力不受影响甚至逐步增强。</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tabs>
          <w:tab w:pos="1412" w:val="left" w:leader="none"/>
        </w:tabs>
        <w:spacing w:line="446" w:lineRule="auto" w:before="0"/>
        <w:ind w:left="714" w:right="1129" w:firstLine="0"/>
        <w:jc w:val="left"/>
        <w:rPr>
          <w:rFonts w:ascii="宋体" w:hAnsi="宋体" w:cs="宋体" w:eastAsia="宋体" w:hint="default"/>
          <w:sz w:val="28"/>
          <w:szCs w:val="28"/>
        </w:rPr>
      </w:pPr>
      <w:r>
        <w:rPr>
          <w:rFonts w:ascii="Times New Roman" w:hAnsi="Times New Roman" w:cs="Times New Roman" w:eastAsia="Times New Roman" w:hint="default"/>
          <w:b/>
          <w:bCs/>
          <w:spacing w:val="-1"/>
          <w:sz w:val="28"/>
          <w:szCs w:val="28"/>
        </w:rPr>
        <w:t>6</w:t>
      </w:r>
      <w:r>
        <w:rPr>
          <w:rFonts w:ascii="宋体" w:hAnsi="宋体" w:cs="宋体" w:eastAsia="宋体" w:hint="default"/>
          <w:b/>
          <w:bCs/>
          <w:spacing w:val="-1"/>
          <w:sz w:val="28"/>
          <w:szCs w:val="28"/>
        </w:rPr>
        <w:t>、</w:t>
        <w:tab/>
      </w:r>
      <w:r>
        <w:rPr>
          <w:rFonts w:ascii="宋体" w:hAnsi="宋体" w:cs="宋体" w:eastAsia="宋体" w:hint="default"/>
          <w:b/>
          <w:bCs/>
          <w:sz w:val="28"/>
          <w:szCs w:val="28"/>
        </w:rPr>
        <w:t>应收账款无法回收风险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报告期内，公司随着业务规模不断扩大、营业收入快速增长，应收账款也</w:t>
      </w:r>
      <w:r>
        <w:rPr>
          <w:rFonts w:ascii="宋体" w:hAnsi="宋体" w:cs="宋体" w:eastAsia="宋体" w:hint="default"/>
          <w:spacing w:val="2"/>
          <w:sz w:val="28"/>
          <w:szCs w:val="28"/>
        </w:rPr>
      </w:r>
    </w:p>
    <w:p>
      <w:pPr>
        <w:spacing w:line="408" w:lineRule="auto" w:before="16"/>
        <w:ind w:left="152" w:right="1132" w:firstLine="0"/>
        <w:jc w:val="both"/>
        <w:rPr>
          <w:rFonts w:ascii="宋体" w:hAnsi="宋体" w:cs="宋体" w:eastAsia="宋体" w:hint="default"/>
          <w:sz w:val="28"/>
          <w:szCs w:val="28"/>
        </w:rPr>
      </w:pPr>
      <w:r>
        <w:rPr>
          <w:rFonts w:ascii="宋体" w:hAnsi="宋体" w:cs="宋体" w:eastAsia="宋体" w:hint="default"/>
          <w:b/>
          <w:bCs/>
          <w:spacing w:val="-6"/>
          <w:sz w:val="28"/>
          <w:szCs w:val="28"/>
        </w:rPr>
        <w:t>相应增长较快。尽管公司主要客户是电网公司及相关企业，该类客户实力雄厚，</w:t>
      </w:r>
      <w:r>
        <w:rPr>
          <w:rFonts w:ascii="宋体" w:hAnsi="宋体" w:cs="宋体" w:eastAsia="宋体" w:hint="default"/>
          <w:b/>
          <w:bCs/>
          <w:spacing w:val="-136"/>
          <w:sz w:val="28"/>
          <w:szCs w:val="28"/>
        </w:rPr>
        <w:t> </w:t>
      </w:r>
      <w:r>
        <w:rPr>
          <w:rFonts w:ascii="宋体" w:hAnsi="宋体" w:cs="宋体" w:eastAsia="宋体" w:hint="default"/>
          <w:b/>
          <w:bCs/>
          <w:spacing w:val="-136"/>
          <w:sz w:val="28"/>
          <w:szCs w:val="28"/>
        </w:rPr>
      </w:r>
      <w:r>
        <w:rPr>
          <w:rFonts w:ascii="宋体" w:hAnsi="宋体" w:cs="宋体" w:eastAsia="宋体" w:hint="default"/>
          <w:b/>
          <w:bCs/>
          <w:spacing w:val="2"/>
          <w:sz w:val="28"/>
          <w:szCs w:val="28"/>
        </w:rPr>
        <w:t>信誉良好，应收账款的收回有可靠保障，且从历史经验看相关应收账款回收良</w:t>
      </w:r>
      <w:r>
        <w:rPr>
          <w:rFonts w:ascii="宋体" w:hAnsi="宋体" w:cs="宋体" w:eastAsia="宋体" w:hint="default"/>
          <w:b/>
          <w:bCs/>
          <w:w w:val="99"/>
          <w:sz w:val="28"/>
          <w:szCs w:val="28"/>
        </w:rPr>
        <w:t> </w:t>
      </w:r>
      <w:r>
        <w:rPr>
          <w:rFonts w:ascii="宋体" w:hAnsi="宋体" w:cs="宋体" w:eastAsia="宋体" w:hint="default"/>
          <w:b/>
          <w:bCs/>
          <w:spacing w:val="2"/>
          <w:sz w:val="28"/>
          <w:szCs w:val="28"/>
        </w:rPr>
        <w:t>好。但是应收账款的快速增长对公司现金流状况产生了影响，增加了公司对业</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务运营资金的需求。随着公司业务规模的扩大，应收账款可能会进一步增加，</w:t>
      </w:r>
      <w:r>
        <w:rPr>
          <w:rFonts w:ascii="宋体" w:hAnsi="宋体" w:cs="宋体" w:eastAsia="宋体" w:hint="default"/>
          <w:b/>
          <w:bCs/>
          <w:w w:val="99"/>
          <w:sz w:val="28"/>
          <w:szCs w:val="28"/>
        </w:rPr>
        <w:t> </w:t>
      </w:r>
      <w:r>
        <w:rPr>
          <w:rFonts w:ascii="宋体" w:hAnsi="宋体" w:cs="宋体" w:eastAsia="宋体" w:hint="default"/>
          <w:b/>
          <w:bCs/>
          <w:spacing w:val="2"/>
          <w:sz w:val="28"/>
          <w:szCs w:val="28"/>
        </w:rPr>
        <w:t>如果出现应收账款不能按期或无法回收发生坏账的情况，公司将面临流动资金</w:t>
      </w:r>
      <w:r>
        <w:rPr>
          <w:rFonts w:ascii="宋体" w:hAnsi="宋体" w:cs="宋体" w:eastAsia="宋体" w:hint="default"/>
          <w:b/>
          <w:bCs/>
          <w:w w:val="99"/>
          <w:sz w:val="28"/>
          <w:szCs w:val="28"/>
        </w:rPr>
        <w:t> </w:t>
      </w:r>
      <w:r>
        <w:rPr>
          <w:rFonts w:ascii="宋体" w:hAnsi="宋体" w:cs="宋体" w:eastAsia="宋体" w:hint="default"/>
          <w:b/>
          <w:bCs/>
          <w:spacing w:val="2"/>
          <w:sz w:val="28"/>
          <w:szCs w:val="28"/>
        </w:rPr>
        <w:t>短缺的风险。对此，公司将继续紧密监控应收账款，加强与客户付款流程的互</w:t>
      </w:r>
      <w:r>
        <w:rPr>
          <w:rFonts w:ascii="宋体" w:hAnsi="宋体" w:cs="宋体" w:eastAsia="宋体" w:hint="default"/>
          <w:b/>
          <w:bCs/>
          <w:w w:val="99"/>
          <w:sz w:val="28"/>
          <w:szCs w:val="28"/>
        </w:rPr>
        <w:t> </w:t>
      </w:r>
      <w:r>
        <w:rPr>
          <w:rFonts w:ascii="宋体" w:hAnsi="宋体" w:cs="宋体" w:eastAsia="宋体" w:hint="default"/>
          <w:b/>
          <w:bCs/>
          <w:sz w:val="28"/>
          <w:szCs w:val="28"/>
        </w:rPr>
        <w:t>动，促进应收账款的及时回收，确保经营性净现金流为正。</w:t>
      </w:r>
      <w:r>
        <w:rPr>
          <w:rFonts w:ascii="宋体" w:hAnsi="宋体" w:cs="宋体" w:eastAsia="宋体" w:hint="default"/>
          <w:sz w:val="28"/>
          <w:szCs w:val="28"/>
        </w:rPr>
      </w:r>
    </w:p>
    <w:p>
      <w:pPr>
        <w:tabs>
          <w:tab w:pos="1412" w:val="left" w:leader="none"/>
        </w:tabs>
        <w:spacing w:line="448" w:lineRule="auto" w:before="162"/>
        <w:ind w:left="714" w:right="1129" w:hanging="1"/>
        <w:jc w:val="left"/>
        <w:rPr>
          <w:rFonts w:ascii="宋体" w:hAnsi="宋体" w:cs="宋体" w:eastAsia="宋体" w:hint="default"/>
          <w:sz w:val="28"/>
          <w:szCs w:val="28"/>
        </w:rPr>
      </w:pPr>
      <w:r>
        <w:rPr>
          <w:rFonts w:ascii="Times New Roman" w:hAnsi="Times New Roman" w:cs="Times New Roman" w:eastAsia="Times New Roman" w:hint="default"/>
          <w:b/>
          <w:bCs/>
          <w:spacing w:val="-1"/>
          <w:sz w:val="28"/>
          <w:szCs w:val="28"/>
        </w:rPr>
        <w:t>7</w:t>
      </w:r>
      <w:r>
        <w:rPr>
          <w:rFonts w:ascii="宋体" w:hAnsi="宋体" w:cs="宋体" w:eastAsia="宋体" w:hint="default"/>
          <w:b/>
          <w:bCs/>
          <w:spacing w:val="-1"/>
          <w:sz w:val="28"/>
          <w:szCs w:val="28"/>
        </w:rPr>
        <w:t>、</w:t>
        <w:tab/>
      </w:r>
      <w:r>
        <w:rPr>
          <w:rFonts w:ascii="宋体" w:hAnsi="宋体" w:cs="宋体" w:eastAsia="宋体" w:hint="default"/>
          <w:b/>
          <w:bCs/>
          <w:sz w:val="28"/>
          <w:szCs w:val="28"/>
        </w:rPr>
        <w:t>人才流失风险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高素质的人才是公司事业成功的根本，随着行业竞争的日趋激烈，对人才</w:t>
      </w:r>
      <w:r>
        <w:rPr>
          <w:rFonts w:ascii="宋体" w:hAnsi="宋体" w:cs="宋体" w:eastAsia="宋体" w:hint="default"/>
          <w:spacing w:val="2"/>
          <w:sz w:val="28"/>
          <w:szCs w:val="28"/>
        </w:rPr>
      </w:r>
    </w:p>
    <w:p>
      <w:pPr>
        <w:spacing w:line="408" w:lineRule="auto" w:before="14"/>
        <w:ind w:left="152" w:right="1132" w:firstLine="0"/>
        <w:jc w:val="both"/>
        <w:rPr>
          <w:rFonts w:ascii="宋体" w:hAnsi="宋体" w:cs="宋体" w:eastAsia="宋体" w:hint="default"/>
          <w:sz w:val="28"/>
          <w:szCs w:val="28"/>
        </w:rPr>
      </w:pPr>
      <w:r>
        <w:rPr>
          <w:rFonts w:ascii="宋体" w:hAnsi="宋体" w:cs="宋体" w:eastAsia="宋体" w:hint="default"/>
          <w:b/>
          <w:bCs/>
          <w:spacing w:val="2"/>
          <w:sz w:val="28"/>
          <w:szCs w:val="28"/>
        </w:rPr>
        <w:t>的争夺亦趋于白热化，一旦公司核心人才流失，且不能及时获得相应补充，将</w:t>
      </w:r>
      <w:r>
        <w:rPr>
          <w:rFonts w:ascii="宋体" w:hAnsi="宋体" w:cs="宋体" w:eastAsia="宋体" w:hint="default"/>
          <w:b/>
          <w:bCs/>
          <w:w w:val="99"/>
          <w:sz w:val="28"/>
          <w:szCs w:val="28"/>
        </w:rPr>
        <w:t> </w:t>
      </w:r>
      <w:r>
        <w:rPr>
          <w:rFonts w:ascii="宋体" w:hAnsi="宋体" w:cs="宋体" w:eastAsia="宋体" w:hint="default"/>
          <w:b/>
          <w:bCs/>
          <w:spacing w:val="2"/>
          <w:sz w:val="28"/>
          <w:szCs w:val="28"/>
        </w:rPr>
        <w:t>对公司的盈利能力产生不利影响。对此，公司通过搭建结合了工作与事业追求</w:t>
      </w:r>
      <w:r>
        <w:rPr>
          <w:rFonts w:ascii="宋体" w:hAnsi="宋体" w:cs="宋体" w:eastAsia="宋体" w:hint="default"/>
          <w:b/>
          <w:bCs/>
          <w:w w:val="99"/>
          <w:sz w:val="28"/>
          <w:szCs w:val="28"/>
        </w:rPr>
        <w:t> </w:t>
      </w:r>
      <w:r>
        <w:rPr>
          <w:rFonts w:ascii="宋体" w:hAnsi="宋体" w:cs="宋体" w:eastAsia="宋体" w:hint="default"/>
          <w:b/>
          <w:bCs/>
          <w:spacing w:val="2"/>
          <w:sz w:val="28"/>
          <w:szCs w:val="28"/>
        </w:rPr>
        <w:t>的平台机制，并提供有竞争力的薪酬、福利以及股权激励，建立公平的竞争晋</w:t>
      </w:r>
      <w:r>
        <w:rPr>
          <w:rFonts w:ascii="宋体" w:hAnsi="宋体" w:cs="宋体" w:eastAsia="宋体" w:hint="default"/>
          <w:b/>
          <w:bCs/>
          <w:spacing w:val="2"/>
          <w:w w:val="99"/>
          <w:sz w:val="28"/>
          <w:szCs w:val="28"/>
        </w:rPr>
        <w:t> </w:t>
      </w:r>
      <w:r>
        <w:rPr>
          <w:rFonts w:ascii="宋体" w:hAnsi="宋体" w:cs="宋体" w:eastAsia="宋体" w:hint="default"/>
          <w:b/>
          <w:bCs/>
          <w:spacing w:val="-6"/>
          <w:sz w:val="28"/>
          <w:szCs w:val="28"/>
        </w:rPr>
        <w:t>升机制，让优秀的人才既有良好的短期工作与生活保障，又有长远的事业追求，</w:t>
      </w:r>
      <w:r>
        <w:rPr>
          <w:rFonts w:ascii="宋体" w:hAnsi="宋体" w:cs="宋体" w:eastAsia="宋体" w:hint="default"/>
          <w:b/>
          <w:bCs/>
          <w:spacing w:val="-136"/>
          <w:sz w:val="28"/>
          <w:szCs w:val="28"/>
        </w:rPr>
        <w:t> </w:t>
      </w:r>
      <w:r>
        <w:rPr>
          <w:rFonts w:ascii="宋体" w:hAnsi="宋体" w:cs="宋体" w:eastAsia="宋体" w:hint="default"/>
          <w:b/>
          <w:bCs/>
          <w:spacing w:val="-136"/>
          <w:sz w:val="28"/>
          <w:szCs w:val="28"/>
        </w:rPr>
      </w:r>
      <w:r>
        <w:rPr>
          <w:rFonts w:ascii="宋体" w:hAnsi="宋体" w:cs="宋体" w:eastAsia="宋体" w:hint="default"/>
          <w:b/>
          <w:bCs/>
          <w:sz w:val="28"/>
          <w:szCs w:val="28"/>
        </w:rPr>
        <w:t>从而保证人才稳定性。</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8"/>
        <w:rPr>
          <w:rFonts w:ascii="宋体" w:hAnsi="宋体" w:cs="宋体" w:eastAsia="宋体" w:hint="default"/>
          <w:b/>
          <w:bCs/>
          <w:sz w:val="39"/>
          <w:szCs w:val="39"/>
        </w:rPr>
      </w:pPr>
    </w:p>
    <w:p>
      <w:pPr>
        <w:spacing w:before="0"/>
        <w:ind w:left="714" w:right="986"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6"/>
          <w:sz w:val="28"/>
          <w:szCs w:val="28"/>
        </w:rPr>
        <w:t> </w:t>
      </w:r>
      <w:r>
        <w:rPr>
          <w:rFonts w:ascii="Times New Roman" w:hAnsi="Times New Roman" w:cs="Times New Roman" w:eastAsia="Times New Roman" w:hint="default"/>
          <w:b/>
          <w:bCs/>
          <w:sz w:val="28"/>
          <w:szCs w:val="28"/>
        </w:rPr>
        <w:t>431,720,862</w:t>
      </w:r>
      <w:r>
        <w:rPr>
          <w:rFonts w:ascii="Times New Roman" w:hAnsi="Times New Roman" w:cs="Times New Roman" w:eastAsia="Times New Roman" w:hint="default"/>
          <w:b/>
          <w:bCs/>
          <w:spacing w:val="-1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0</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2"/>
          <w:w w:val="100"/>
          <w:sz w:val="28"/>
          <w:szCs w:val="28"/>
        </w:rPr>
        <w:t>8</w:t>
      </w:r>
      <w:r>
        <w:rPr>
          <w:rFonts w:ascii="Times New Roman" w:hAnsi="Times New Roman" w:cs="Times New Roman" w:eastAsia="Times New Roman" w:hint="default"/>
          <w:b/>
          <w:bCs/>
          <w:w w:val="100"/>
          <w:sz w:val="28"/>
          <w:szCs w:val="28"/>
        </w:rPr>
        <w:t>1</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5" w:footer="982" w:top="1060" w:bottom="11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4"/>
        <w:ind w:left="3164" w:right="414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8"/>
              </w:rPr>
              <w:t> </w:t>
            </w:r>
            <w:r>
              <w:rPr/>
              <w:t>财务报告</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19"/>
              </w:rPr>
              <w:t> </w:t>
            </w:r>
            <w:r>
              <w:rPr/>
              <w:t>备查文件目录</w:t>
            </w:r>
            <w:r>
              <w:rPr>
                <w:rFonts w:ascii="Times New Roman" w:hAnsi="Times New Roman" w:cs="Times New Roman" w:eastAsia="Times New Roman" w:hint="default"/>
              </w:rPr>
              <w:tab/>
              <w:t>188</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82" w:top="1060" w:bottom="1180" w:left="980" w:right="0"/>
        </w:sectPr>
      </w:pPr>
    </w:p>
    <w:p>
      <w:pPr>
        <w:spacing w:before="944"/>
        <w:ind w:left="3162" w:right="414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41"/>
        <w:gridCol w:w="593"/>
        <w:gridCol w:w="5435"/>
      </w:tblGrid>
      <w:tr>
        <w:trPr>
          <w:trHeight w:val="403" w:hRule="exact"/>
        </w:trPr>
        <w:tc>
          <w:tcPr>
            <w:tcW w:w="35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一、简称</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朗新科技、本公司、公司</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朗新科技股份有限公司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本集团</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朗新科技股份有限公司及子公司的合称</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国网、国家电网</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国家电网公司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南网、南方电网</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中国南方电网有限责任公司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朗新科技股份有限公司董事会</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朗新科技股份有限公司监事会</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朗新科技股份有限公司股东大会</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朗新金关</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朗新金关信息科技有限公司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天正信华</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北京天正信华科技有限公司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易视腾</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易视腾科技股份有限公司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邦道科技有限公司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北京朗新</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北京朗新科技有限公司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朗新智能</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杭州朗新智能技术有限公司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新耀能源</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新耀能源科技有限公司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合肥新耀</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合肥新耀科技有限公司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朗新投资管理</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朗新投资管理无锡有限公司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朗新数据</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朗新数据科技有限公司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朗新云商</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朗新云商科技有限公司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瀚云科技</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瀚云科技有限公司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朗新智元</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朗新智元有限公司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云筑智联</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云筑智联有限公司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无锡智丰</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无锡智丰投资合伙企业（有限合伙）</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视加慧联</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视加慧联科技有限公司</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pStyle w:val="BodyText"/>
        <w:spacing w:line="240" w:lineRule="auto" w:before="44"/>
        <w:ind w:left="0" w:right="1140"/>
        <w:jc w:val="right"/>
      </w:pPr>
      <w:r>
        <w:rPr/>
        <w:pict>
          <v:shape style="position:absolute;margin-left:56.400002pt;margin-top:-87.729301pt;width:479.2pt;height:308.3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二、专业术语</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CMMI</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Capability Maturity Model</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Integration</w:t>
                        </w:r>
                        <w:r>
                          <w:rPr>
                            <w:rFonts w:ascii="宋体" w:hAnsi="宋体" w:cs="宋体" w:eastAsia="宋体" w:hint="default"/>
                            <w:sz w:val="18"/>
                            <w:szCs w:val="18"/>
                          </w:rPr>
                          <w:t>（软件能力成熟度模型集成）的 </w:t>
                        </w:r>
                        <w:r>
                          <w:rPr>
                            <w:rFonts w:ascii="宋体" w:hAnsi="宋体" w:cs="宋体" w:eastAsia="宋体" w:hint="default"/>
                            <w:spacing w:val="-2"/>
                            <w:sz w:val="18"/>
                            <w:szCs w:val="18"/>
                          </w:rPr>
                          <w:t>简称，是一套融合多学科的、可扩充的产品集合，其研制的初步动机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是为了利用两个或多个单一学科的模型实现一个组织的集成化过程 改进，本质是软件管理工程的一个部分。</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PMBOK</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Project Management Body Of</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5"/>
                            <w:sz w:val="18"/>
                            <w:szCs w:val="18"/>
                          </w:rPr>
                          <w:t>Knowledge</w:t>
                        </w:r>
                        <w:r>
                          <w:rPr>
                            <w:rFonts w:ascii="宋体" w:hAnsi="宋体" w:cs="宋体" w:eastAsia="宋体" w:hint="default"/>
                            <w:spacing w:val="-5"/>
                            <w:sz w:val="18"/>
                            <w:szCs w:val="18"/>
                          </w:rPr>
                          <w:t>（项目管理知识体系）的简称</w:t>
                        </w:r>
                        <w:r>
                          <w:rPr>
                            <w:rFonts w:ascii="宋体" w:hAnsi="宋体" w:cs="宋体" w:eastAsia="宋体" w:hint="default"/>
                            <w:w w:val="99"/>
                            <w:sz w:val="18"/>
                            <w:szCs w:val="18"/>
                          </w:rPr>
                          <w:t> </w:t>
                        </w:r>
                        <w:r>
                          <w:rPr>
                            <w:rFonts w:ascii="宋体" w:hAnsi="宋体" w:cs="宋体" w:eastAsia="宋体" w:hint="default"/>
                            <w:sz w:val="18"/>
                            <w:szCs w:val="18"/>
                          </w:rPr>
                          <w:t>是美国项目管理协会（</w:t>
                        </w:r>
                        <w:r>
                          <w:rPr>
                            <w:rFonts w:ascii="Times New Roman" w:hAnsi="Times New Roman" w:cs="Times New Roman" w:eastAsia="Times New Roman" w:hint="default"/>
                            <w:sz w:val="18"/>
                            <w:szCs w:val="18"/>
                          </w:rPr>
                          <w:t>PMI</w:t>
                        </w:r>
                        <w:r>
                          <w:rPr>
                            <w:rFonts w:ascii="宋体" w:hAnsi="宋体" w:cs="宋体" w:eastAsia="宋体" w:hint="default"/>
                            <w:sz w:val="18"/>
                            <w:szCs w:val="18"/>
                          </w:rPr>
                          <w:t>）对项目管理所需的知识、技能和工具进</w:t>
                        </w:r>
                        <w:r>
                          <w:rPr>
                            <w:rFonts w:ascii="宋体" w:hAnsi="宋体" w:cs="宋体" w:eastAsia="宋体" w:hint="default"/>
                            <w:w w:val="99"/>
                            <w:sz w:val="18"/>
                            <w:szCs w:val="18"/>
                          </w:rPr>
                          <w:t> </w:t>
                        </w:r>
                        <w:r>
                          <w:rPr>
                            <w:rFonts w:ascii="宋体" w:hAnsi="宋体" w:cs="宋体" w:eastAsia="宋体" w:hint="default"/>
                            <w:sz w:val="18"/>
                            <w:szCs w:val="18"/>
                          </w:rPr>
                          <w:t>行的概括性描述，把项目管理划分为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个知识领域。</w:t>
                        </w:r>
                      </w:p>
                    </w:tc>
                  </w:tr>
                  <w:tr>
                    <w:trPr>
                      <w:trHeight w:val="133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Cloudcomputing</w:t>
                        </w:r>
                        <w:r>
                          <w:rPr>
                            <w:rFonts w:ascii="宋体" w:hAnsi="宋体" w:cs="宋体" w:eastAsia="宋体" w:hint="default"/>
                            <w:spacing w:val="-3"/>
                            <w:sz w:val="18"/>
                            <w:szCs w:val="18"/>
                          </w:rPr>
                          <w:t>，是基于互联网的相关服务的增加、使用和交付模式</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通常涉及通过互联网来提供动态易扩展且经常是虚拟化的资源，是分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布式计算、并行计算、效用计算、网络存储、虚拟化、负载均衡、热</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备份冗余等传统计算机和网络技术发展融合的产物。</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一个基于互联网、传统电信网等信息承载体，让所有能够被独立寻址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的普通物理对象实现互联互通的网络，其具有智能、先进、互联的三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个重要特征。</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Big</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Data</w:t>
                        </w:r>
                        <w:r>
                          <w:rPr>
                            <w:rFonts w:ascii="宋体" w:hAnsi="宋体" w:cs="宋体" w:eastAsia="宋体" w:hint="default"/>
                            <w:sz w:val="18"/>
                            <w:szCs w:val="18"/>
                          </w:rPr>
                          <w:t>，或称巨量资料，指的是所涉及的资料量规模巨大到无法通 </w:t>
                        </w:r>
                        <w:r>
                          <w:rPr>
                            <w:rFonts w:ascii="宋体" w:hAnsi="宋体" w:cs="宋体" w:eastAsia="宋体" w:hint="default"/>
                            <w:spacing w:val="-2"/>
                            <w:sz w:val="18"/>
                            <w:szCs w:val="18"/>
                          </w:rPr>
                          <w:t>过目前主流软件工具，在合理时间内达到撷取、管理、处理、并整理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成为帮助企业经营决策更积极目的的资讯。</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0" w:right="1140"/>
        <w:jc w:val="right"/>
      </w:pPr>
      <w:r>
        <w:rPr/>
        <w:t>，</w:t>
      </w:r>
    </w:p>
    <w:p>
      <w:pPr>
        <w:spacing w:after="0" w:line="240" w:lineRule="auto"/>
        <w:jc w:val="right"/>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1" w:right="1129"/>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6"/>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9"/>
        <w:jc w:val="left"/>
        <w:rPr>
          <w:b w:val="0"/>
          <w:bCs w:val="0"/>
        </w:rPr>
      </w:pPr>
      <w:r>
        <w:rPr/>
        <w:pict>
          <v:group style="position:absolute;margin-left:171.119995pt;margin-top:114.075615pt;width:362.65pt;height:20.9pt;mso-position-horizontal-relative:page;mso-position-vertical-relative:paragraph;z-index:-1107544" coordorigin="3422,2282" coordsize="7253,418">
            <v:group style="position:absolute;left:3434;top:2294;width:2;height:394" coordorigin="3434,2294" coordsize="2,394">
              <v:shape style="position:absolute;left:3434;top:2294;width:2;height:394" coordorigin="3434,2294" coordsize="0,394" path="m3434,2294l3434,2687e" filled="false" stroked="true" strokeweight="1.2pt" strokecolor="#ffffff">
                <v:path arrowok="t"/>
              </v:shape>
            </v:group>
            <v:group style="position:absolute;left:3446;top:2294;width:7229;height:394" coordorigin="3446,2294" coordsize="7229,394">
              <v:shape style="position:absolute;left:3446;top:2294;width:7229;height:394" coordorigin="3446,2294" coordsize="7229,394" path="m3446,2687l10675,2687,10675,2294,3446,2294,3446,2687xe" filled="true" fillcolor="#ffffff" stroked="false">
                <v:path arrowok="t"/>
                <v:fill type="solid"/>
              </v:shape>
            </v:group>
            <w10:wrap type="none"/>
          </v:group>
        </w:pict>
      </w: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64"/>
        <w:gridCol w:w="2132"/>
        <w:gridCol w:w="2188"/>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朗新科技</w:t>
            </w:r>
          </w:p>
        </w:tc>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300682</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朗新科技股份有限公司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朗新科技</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Longshine Technology Co.,</w:t>
            </w:r>
            <w:r>
              <w:rPr>
                <w:rFonts w:ascii="Times New Roman"/>
                <w:spacing w:val="-23"/>
                <w:sz w:val="18"/>
              </w:rPr>
              <w:t> </w:t>
            </w:r>
            <w:r>
              <w:rPr>
                <w:rFonts w:ascii="Times New Roman"/>
                <w:sz w:val="18"/>
              </w:rPr>
              <w:t>Ltd.</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34"/>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LONGSHINE</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郑新标</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无锡新吴区净慧东路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号无锡软件园天鹅座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214000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无锡新吴区净慧东路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号无锡软件园天鹅座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214000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http://www.longshine.com/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ir@longshine.com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9"/>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王慎勇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季悦</w:t>
            </w:r>
          </w:p>
        </w:tc>
      </w:tr>
      <w:tr>
        <w:trPr>
          <w:trHeight w:val="161" w:hRule="exact"/>
        </w:trPr>
        <w:tc>
          <w:tcPr>
            <w:tcW w:w="3167" w:type="dxa"/>
            <w:tcBorders>
              <w:top w:val="single" w:sz="4" w:space="0" w:color="000000"/>
              <w:left w:val="single" w:sz="4" w:space="0" w:color="000000"/>
              <w:bottom w:val="nil" w:sz="6" w:space="0" w:color="auto"/>
              <w:right w:val="single" w:sz="4" w:space="0" w:color="000000"/>
            </w:tcBorders>
            <w:shd w:val="clear" w:color="auto" w:fill="D4D4D4"/>
          </w:tcPr>
          <w:p>
            <w:pPr/>
          </w:p>
        </w:tc>
        <w:tc>
          <w:tcPr>
            <w:tcW w:w="3200" w:type="dxa"/>
            <w:vMerge w:val="restart"/>
            <w:tcBorders>
              <w:top w:val="single" w:sz="4" w:space="0" w:color="000000"/>
              <w:left w:val="single" w:sz="9" w:space="0" w:color="D4D4D4"/>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北京市朝阳区北辰东路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号院北辰时代</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北京市朝阳区北辰东路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号院北辰时代</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1" w:hRule="exact"/>
        </w:trPr>
        <w:tc>
          <w:tcPr>
            <w:tcW w:w="316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0" w:type="dxa"/>
            <w:vMerge/>
            <w:tcBorders>
              <w:left w:val="single" w:sz="9" w:space="0" w:color="D4D4D4"/>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7" w:type="dxa"/>
            <w:tcBorders>
              <w:top w:val="nil" w:sz="6" w:space="0" w:color="auto"/>
              <w:left w:val="single" w:sz="4" w:space="0" w:color="000000"/>
              <w:bottom w:val="single" w:sz="4" w:space="0" w:color="000000"/>
              <w:right w:val="single" w:sz="4" w:space="0" w:color="000000"/>
            </w:tcBorders>
            <w:shd w:val="clear" w:color="auto" w:fill="D4D4D4"/>
          </w:tcPr>
          <w:p>
            <w:pPr/>
          </w:p>
        </w:tc>
        <w:tc>
          <w:tcPr>
            <w:tcW w:w="3200" w:type="dxa"/>
            <w:vMerge/>
            <w:tcBorders>
              <w:left w:val="single" w:sz="9" w:space="0" w:color="D4D4D4"/>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010-82430888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010-82430888</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010-82430999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010-82430999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ir@longshine.com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ir@longshine.com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9"/>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证券时报、证券日报、中国证券报、上海证券报</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8"/>
                <w:sz w:val="18"/>
                <w:szCs w:val="18"/>
              </w:rPr>
              <w:t> </w:t>
            </w:r>
            <w:hyperlink r:id="rId11">
              <w:r>
                <w:rPr>
                  <w:rFonts w:ascii="Times New Roman" w:hAnsi="Times New Roman" w:cs="Times New Roman" w:eastAsia="Times New Roman" w:hint="default"/>
                  <w:sz w:val="18"/>
                  <w:szCs w:val="18"/>
                </w:rPr>
                <w:t>www.cninfo.com.cn</w:t>
              </w:r>
            </w:hyperlink>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1129"/>
        <w:jc w:val="left"/>
        <w:rPr>
          <w:b w:val="0"/>
          <w:bCs w:val="0"/>
        </w:rPr>
      </w:pPr>
      <w:bookmarkStart w:name="四、其他有关资料" w:id="7"/>
      <w:bookmarkEnd w:id="7"/>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9"/>
        <w:jc w:val="left"/>
      </w:pPr>
      <w:r>
        <w:rPr/>
        <w:t>公司聘请的会计师事务所</w:t>
      </w:r>
    </w:p>
    <w:p>
      <w:pPr>
        <w:spacing w:after="0" w:line="240" w:lineRule="auto"/>
        <w:jc w:val="left"/>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0"/>
        <w:gridCol w:w="6918"/>
      </w:tblGrid>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普华永道中天会计师事务所（特殊普通合伙）</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北京市朝阳区东三环中路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号北京财富中心写字楼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李雪梅、李莎</w:t>
            </w:r>
          </w:p>
        </w:tc>
      </w:tr>
    </w:tbl>
    <w:p>
      <w:pPr>
        <w:pStyle w:val="BodyText"/>
        <w:spacing w:line="240" w:lineRule="auto" w:before="49"/>
        <w:ind w:right="1129"/>
        <w:jc w:val="left"/>
      </w:pPr>
      <w:r>
        <w:rPr/>
        <w:t>公司聘请的报告期内履行持续督导职责的保荐机构</w:t>
      </w:r>
    </w:p>
    <w:p>
      <w:pPr>
        <w:pStyle w:val="BodyText"/>
        <w:spacing w:line="240" w:lineRule="auto" w:before="115"/>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中信证券大厦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赵亮、彭捷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1129"/>
        <w:jc w:val="left"/>
      </w:pPr>
      <w:r>
        <w:rPr/>
        <w:t>公司聘请的报告期内履行持续督导职责的财务顾问</w:t>
      </w:r>
    </w:p>
    <w:p>
      <w:pPr>
        <w:pStyle w:val="BodyText"/>
        <w:spacing w:line="240" w:lineRule="auto" w:before="115"/>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9"/>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9"/>
        <w:jc w:val="left"/>
      </w:pPr>
      <w:r>
        <w:rPr/>
        <w:t>公司是否需追溯调整或重述以前年度会计数据</w:t>
      </w:r>
    </w:p>
    <w:p>
      <w:pPr>
        <w:pStyle w:val="BodyText"/>
        <w:spacing w:line="240" w:lineRule="auto" w:before="115"/>
        <w:ind w:right="11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8"/>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1,015,475,539.46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782,935,041.04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749,510,263.97</w:t>
            </w:r>
            <w:r>
              <w:rPr>
                <w:rFonts w:ascii="Times New Roman"/>
                <w:sz w:val="18"/>
              </w:rPr>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133,683,046.76</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139,136,836.46</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122,086,980.58</w:t>
            </w:r>
            <w:r>
              <w:rPr>
                <w:rFonts w:ascii="Times New Roman"/>
                <w:sz w:val="18"/>
              </w:rPr>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110,179,897.12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110,705,406.18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97,059,479.76</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2,641,988.87</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48,714,313.54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-94.58%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53,658,487.19</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0.3295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0.3710</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-11.19%</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0.3391</w:t>
            </w:r>
            <w:r>
              <w:rPr>
                <w:rFonts w:ascii="Times New Roman"/>
                <w:sz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0.3290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0.3710</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0.3391</w:t>
            </w:r>
            <w:r>
              <w:rPr>
                <w:rFonts w:ascii="Times New Roman"/>
                <w:sz w:val="18"/>
              </w:rPr>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15.40%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2,128,455,317.84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1,645,026,121.93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1,112,997,987.03</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1,360,337,297.93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1,158,277,487.44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809,604,902.09</w:t>
            </w:r>
            <w:r>
              <w:rPr>
                <w:rFonts w:ascii="Times New Roman"/>
                <w:sz w:val="18"/>
              </w:rPr>
            </w:r>
          </w:p>
        </w:tc>
      </w:tr>
    </w:tbl>
    <w:p>
      <w:pPr>
        <w:pStyle w:val="BodyText"/>
        <w:spacing w:line="314" w:lineRule="auto" w:before="49"/>
        <w:ind w:right="1129"/>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61"/>
        <w:ind w:right="11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23"/>
        <w:gridCol w:w="5045"/>
      </w:tblGrid>
      <w:tr>
        <w:trPr>
          <w:trHeight w:val="401" w:hRule="exact"/>
        </w:trPr>
        <w:tc>
          <w:tcPr>
            <w:tcW w:w="4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0.3097</w:t>
            </w:r>
            <w:r>
              <w:rPr>
                <w:rFonts w:ascii="Times New Roman"/>
                <w:sz w:val="18"/>
              </w:rPr>
            </w:r>
          </w:p>
        </w:tc>
      </w:tr>
    </w:tbl>
    <w:p>
      <w:pPr>
        <w:spacing w:line="240" w:lineRule="auto" w:before="1"/>
        <w:rPr>
          <w:rFonts w:ascii="宋体" w:hAnsi="宋体" w:cs="宋体" w:eastAsia="宋体" w:hint="default"/>
          <w:sz w:val="18"/>
          <w:szCs w:val="18"/>
        </w:rPr>
      </w:pPr>
    </w:p>
    <w:p>
      <w:pPr>
        <w:pStyle w:val="Heading2"/>
        <w:spacing w:line="240" w:lineRule="auto" w:before="26"/>
        <w:ind w:right="1129"/>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3"/>
        <w:jc w:val="right"/>
      </w:pPr>
      <w:r>
        <w:rPr/>
        <w:t>单位：元</w:t>
      </w:r>
    </w:p>
    <w:p>
      <w:pPr>
        <w:spacing w:after="0" w:line="240" w:lineRule="auto"/>
        <w:jc w:val="right"/>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54,938,383.59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47,423,878.88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93,297,577.15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819,815,699.84</w:t>
            </w:r>
            <w:r>
              <w:rPr>
                <w:rFonts w:ascii="Times New Roman"/>
                <w:sz w:val="18"/>
              </w:rPr>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-25,084,680.81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-50,630,727.84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-28,826,722.14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238,225,177.55</w:t>
            </w:r>
            <w:r>
              <w:rPr>
                <w:rFonts w:ascii="Times New Roman"/>
                <w:sz w:val="18"/>
              </w:rPr>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-27,354,990.43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-56,760,940.80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-31,358,383.75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225,654,212.10</w:t>
            </w:r>
            <w:r>
              <w:rPr>
                <w:rFonts w:ascii="Times New Roman"/>
                <w:sz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-168,033,155.62</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-21,594,575.26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-16,672,836.40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208,942,556.15</w:t>
            </w:r>
            <w:r>
              <w:rPr>
                <w:rFonts w:ascii="Times New Roman"/>
                <w:sz w:val="18"/>
              </w:rPr>
            </w:r>
          </w:p>
        </w:tc>
      </w:tr>
    </w:tbl>
    <w:p>
      <w:pPr>
        <w:pStyle w:val="BodyText"/>
        <w:spacing w:line="240" w:lineRule="auto" w:before="49"/>
        <w:ind w:right="1129"/>
        <w:jc w:val="left"/>
      </w:pPr>
      <w:r>
        <w:rPr/>
        <w:t>上述财务指标或其加总数是否与公司已披露季度报告、半年度报告相关财务指标存在重大差异</w:t>
      </w:r>
    </w:p>
    <w:p>
      <w:pPr>
        <w:pStyle w:val="BodyText"/>
        <w:spacing w:line="240" w:lineRule="auto" w:before="115"/>
        <w:ind w:right="11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29"/>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9"/>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6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1129"/>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129"/>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-38,405.49</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-28,040.09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154,518.34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18,860,400.00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29,555,375.00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27,368,900.00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8,309,451.72</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2,048,861.55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272" w:type="dxa"/>
            <w:tcBorders>
              <w:top w:val="single" w:sz="4" w:space="0" w:color="000000"/>
              <w:left w:val="single" w:sz="4" w:space="0" w:color="000000"/>
              <w:bottom w:val="nil" w:sz="6" w:space="0" w:color="auto"/>
              <w:right w:val="single" w:sz="4" w:space="0" w:color="000000"/>
            </w:tcBorders>
            <w:shd w:val="clear" w:color="auto" w:fill="D4D4D4"/>
          </w:tcPr>
          <w:p>
            <w:pPr/>
          </w:p>
        </w:tc>
        <w:tc>
          <w:tcPr>
            <w:tcW w:w="1532" w:type="dxa"/>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-1,051,772.17</w:t>
            </w: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6" w:right="0"/>
              <w:jc w:val="left"/>
              <w:rPr>
                <w:rFonts w:ascii="Times New Roman" w:hAnsi="Times New Roman" w:cs="Times New Roman" w:eastAsia="Times New Roman" w:hint="default"/>
                <w:sz w:val="18"/>
                <w:szCs w:val="18"/>
              </w:rPr>
            </w:pPr>
            <w:r>
              <w:rPr>
                <w:rFonts w:ascii="Times New Roman"/>
                <w:sz w:val="18"/>
              </w:rPr>
              <w:t>6,691.39</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9" w:right="0"/>
              <w:jc w:val="left"/>
              <w:rPr>
                <w:rFonts w:ascii="Times New Roman" w:hAnsi="Times New Roman" w:cs="Times New Roman" w:eastAsia="Times New Roman" w:hint="default"/>
                <w:sz w:val="18"/>
                <w:szCs w:val="18"/>
              </w:rPr>
            </w:pPr>
            <w:r>
              <w:rPr>
                <w:rFonts w:ascii="Times New Roman"/>
                <w:sz w:val="18"/>
              </w:rPr>
              <w:t>266,212.09</w:t>
            </w:r>
          </w:p>
        </w:tc>
        <w:tc>
          <w:tcPr>
            <w:tcW w:w="1711"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年增加了</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112.5</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万元的捐赠支出</w:t>
            </w:r>
          </w:p>
        </w:tc>
      </w:tr>
      <w:tr>
        <w:trPr>
          <w:trHeight w:val="391" w:hRule="exact"/>
        </w:trPr>
        <w:tc>
          <w:tcPr>
            <w:tcW w:w="327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vMerge/>
            <w:tcBorders>
              <w:left w:val="single" w:sz="10" w:space="0" w:color="D4D4D4"/>
              <w:right w:val="single" w:sz="4" w:space="0" w:color="000000"/>
            </w:tcBorders>
          </w:tcPr>
          <w:p>
            <w:pPr/>
          </w:p>
        </w:tc>
        <w:tc>
          <w:tcPr>
            <w:tcW w:w="1519"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161" w:hRule="exact"/>
        </w:trPr>
        <w:tc>
          <w:tcPr>
            <w:tcW w:w="3272" w:type="dxa"/>
            <w:tcBorders>
              <w:top w:val="nil" w:sz="6" w:space="0" w:color="auto"/>
              <w:left w:val="single" w:sz="4" w:space="0" w:color="000000"/>
              <w:bottom w:val="single" w:sz="4" w:space="0" w:color="000000"/>
              <w:right w:val="single" w:sz="4" w:space="0" w:color="000000"/>
            </w:tcBorders>
            <w:shd w:val="clear" w:color="auto" w:fill="D4D4D4"/>
          </w:tcPr>
          <w:p>
            <w:pPr/>
          </w:p>
        </w:tc>
        <w:tc>
          <w:tcPr>
            <w:tcW w:w="1532" w:type="dxa"/>
            <w:vMerge/>
            <w:tcBorders>
              <w:left w:val="single" w:sz="10" w:space="0" w:color="D4D4D4"/>
              <w:bottom w:val="single" w:sz="4" w:space="0" w:color="000000"/>
              <w:right w:val="single" w:sz="4" w:space="0" w:color="000000"/>
            </w:tcBorders>
          </w:tcPr>
          <w:p>
            <w:pPr/>
          </w:p>
        </w:tc>
        <w:tc>
          <w:tcPr>
            <w:tcW w:w="1519"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2,506,558.35</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3,151,353.49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2,762,129.61</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69,966.07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83"/>
        <w:gridCol w:w="1532"/>
        <w:gridCol w:w="1519"/>
        <w:gridCol w:w="1534"/>
        <w:gridCol w:w="1687"/>
      </w:tblGrid>
      <w:tr>
        <w:trPr>
          <w:trHeight w:val="403"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457" w:right="0"/>
              <w:jc w:val="left"/>
              <w:rPr>
                <w:rFonts w:ascii="Times New Roman" w:hAnsi="Times New Roman" w:cs="Times New Roman" w:eastAsia="Times New Roman" w:hint="default"/>
                <w:sz w:val="18"/>
                <w:szCs w:val="18"/>
              </w:rPr>
            </w:pPr>
            <w:r>
              <w:rPr>
                <w:rFonts w:ascii="Times New Roman"/>
                <w:sz w:val="18"/>
              </w:rPr>
              <w:t>23,503,149.64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3" w:right="0"/>
              <w:jc w:val="left"/>
              <w:rPr>
                <w:rFonts w:ascii="Times New Roman" w:hAnsi="Times New Roman" w:cs="Times New Roman" w:eastAsia="Times New Roman" w:hint="default"/>
                <w:sz w:val="18"/>
                <w:szCs w:val="18"/>
              </w:rPr>
            </w:pPr>
            <w:r>
              <w:rPr>
                <w:rFonts w:ascii="Times New Roman"/>
                <w:sz w:val="18"/>
              </w:rPr>
              <w:t>28,431,430.28</w:t>
            </w:r>
          </w:p>
        </w:tc>
        <w:tc>
          <w:tcPr>
            <w:tcW w:w="153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left="456" w:right="0"/>
              <w:jc w:val="left"/>
              <w:rPr>
                <w:rFonts w:ascii="Times New Roman" w:hAnsi="Times New Roman" w:cs="Times New Roman" w:eastAsia="Times New Roman" w:hint="default"/>
                <w:sz w:val="18"/>
                <w:szCs w:val="18"/>
              </w:rPr>
            </w:pPr>
            <w:r>
              <w:rPr>
                <w:rFonts w:ascii="Times New Roman"/>
                <w:sz w:val="18"/>
              </w:rPr>
              <w:t>25,027,500.82</w:t>
            </w:r>
          </w:p>
        </w:tc>
        <w:tc>
          <w:tcPr>
            <w:tcW w:w="16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2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3"/>
        <w:gridCol w:w="2126"/>
        <w:gridCol w:w="5179"/>
      </w:tblGrid>
      <w:tr>
        <w:trPr>
          <w:trHeight w:val="401" w:hRule="exact"/>
        </w:trPr>
        <w:tc>
          <w:tcPr>
            <w:tcW w:w="22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7"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亏损合同</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181,162.34</w:t>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本集团在日常经营业务过程中，会对可能存在潜在损失的部分定 制软件开发等业务的合同亏损进行预计并计入营业外支出的</w:t>
            </w:r>
            <w:r>
              <w:rPr>
                <w:rFonts w:ascii="Times New Roman" w:hAnsi="Times New Roman" w:cs="Times New Roman" w:eastAsia="Times New Roman" w:hint="default"/>
                <w:sz w:val="18"/>
                <w:szCs w:val="18"/>
              </w:rPr>
              <w:t>“</w:t>
            </w:r>
            <w:r>
              <w:rPr>
                <w:rFonts w:ascii="宋体" w:hAnsi="宋体" w:cs="宋体" w:eastAsia="宋体" w:hint="default"/>
                <w:sz w:val="18"/>
                <w:szCs w:val="18"/>
              </w:rPr>
              <w:t>亏损 合同</w:t>
            </w:r>
            <w:r>
              <w:rPr>
                <w:rFonts w:ascii="Times New Roman" w:hAnsi="Times New Roman" w:cs="Times New Roman" w:eastAsia="Times New Roman" w:hint="default"/>
                <w:sz w:val="18"/>
                <w:szCs w:val="18"/>
              </w:rPr>
              <w:t>”</w:t>
            </w:r>
            <w:r>
              <w:rPr>
                <w:rFonts w:ascii="宋体" w:hAnsi="宋体" w:cs="宋体" w:eastAsia="宋体" w:hint="default"/>
                <w:sz w:val="18"/>
                <w:szCs w:val="18"/>
              </w:rPr>
              <w:t>项下，该等合同亏损项目并未计入本集团的非经常性损益。</w:t>
            </w:r>
          </w:p>
        </w:tc>
      </w:tr>
      <w:tr>
        <w:trPr>
          <w:trHeight w:val="2897"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税收返还</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6"/>
              <w:jc w:val="right"/>
              <w:rPr>
                <w:rFonts w:ascii="Times New Roman" w:hAnsi="Times New Roman" w:cs="Times New Roman" w:eastAsia="Times New Roman" w:hint="default"/>
                <w:sz w:val="18"/>
                <w:szCs w:val="18"/>
              </w:rPr>
            </w:pPr>
            <w:r>
              <w:rPr>
                <w:rFonts w:ascii="Times New Roman"/>
                <w:spacing w:val="-1"/>
                <w:sz w:val="18"/>
              </w:rPr>
              <w:t>6,764,101.02</w:t>
            </w:r>
            <w:r>
              <w:rPr>
                <w:rFonts w:ascii="Times New Roman"/>
                <w:sz w:val="18"/>
              </w:rPr>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根据财政部和国家税务总局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日发出《关于软件产 </w:t>
            </w:r>
            <w:r>
              <w:rPr>
                <w:rFonts w:ascii="宋体" w:hAnsi="宋体" w:cs="宋体" w:eastAsia="宋体" w:hint="default"/>
                <w:spacing w:val="-5"/>
                <w:sz w:val="18"/>
                <w:szCs w:val="18"/>
              </w:rPr>
              <w:t>品增值税政策的通知》（财税</w:t>
            </w:r>
            <w:r>
              <w:rPr>
                <w:rFonts w:ascii="Times New Roman" w:hAnsi="Times New Roman" w:cs="Times New Roman" w:eastAsia="Times New Roman" w:hint="default"/>
                <w:spacing w:val="-5"/>
                <w:sz w:val="18"/>
                <w:szCs w:val="18"/>
              </w:rPr>
              <w:t>[2011]100</w:t>
            </w:r>
            <w:r>
              <w:rPr>
                <w:rFonts w:ascii="Times New Roman" w:hAnsi="Times New Roman" w:cs="Times New Roman" w:eastAsia="Times New Roman" w:hint="default"/>
                <w:sz w:val="18"/>
                <w:szCs w:val="18"/>
              </w:rPr>
              <w:t> </w:t>
            </w:r>
            <w:r>
              <w:rPr>
                <w:rFonts w:ascii="宋体" w:hAnsi="宋体" w:cs="宋体" w:eastAsia="宋体" w:hint="default"/>
                <w:spacing w:val="-8"/>
                <w:sz w:val="18"/>
                <w:szCs w:val="18"/>
              </w:rPr>
              <w:t>号），本集团销售的经认证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的自行开发软件在获得主管税务机关审批并按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税率（</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日前，本集团适用于</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17%</w:t>
            </w:r>
            <w:r>
              <w:rPr>
                <w:rFonts w:ascii="宋体" w:hAnsi="宋体" w:cs="宋体" w:eastAsia="宋体" w:hint="default"/>
                <w:spacing w:val="-3"/>
                <w:sz w:val="18"/>
                <w:szCs w:val="18"/>
              </w:rPr>
              <w:t>销项税率）征收增值税后，对增值</w:t>
            </w:r>
            <w:r>
              <w:rPr>
                <w:rFonts w:ascii="宋体" w:hAnsi="宋体" w:cs="宋体" w:eastAsia="宋体" w:hint="default"/>
                <w:sz w:val="18"/>
                <w:szCs w:val="18"/>
              </w:rPr>
              <w:t> 税实际税负超过</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的部分实行即征即退政策。前述即征即退的增 值税退税被计入本集团的其他收益，本集团认为该等增值税退税 属于与本集团正常主营的软件开发业务密切相关，并符合国家政 策规定、按照一定标准定额或定量享受的政府补助，故未计入本 集团非经常性损益。</w:t>
            </w:r>
          </w:p>
        </w:tc>
      </w:tr>
    </w:tbl>
    <w:p>
      <w:pPr>
        <w:spacing w:after="0" w:line="307"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45" w:right="1129"/>
        <w:jc w:val="left"/>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9"/>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1129"/>
        <w:jc w:val="left"/>
      </w:pPr>
      <w:r>
        <w:rPr/>
        <w:t>软件与信息技术服务业</w:t>
      </w:r>
    </w:p>
    <w:p>
      <w:pPr>
        <w:pStyle w:val="BodyText"/>
        <w:spacing w:line="340" w:lineRule="auto" w:before="117"/>
        <w:ind w:left="512" w:right="1034" w:hanging="360"/>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公司的主要业务是产业互联网业务，所专注的产业领域包括两大类，一类是基础服务领域，包括公用事业和公共服务，</w:t>
      </w:r>
    </w:p>
    <w:p>
      <w:pPr>
        <w:pStyle w:val="BodyText"/>
        <w:spacing w:line="314" w:lineRule="auto"/>
        <w:ind w:right="1034"/>
        <w:jc w:val="left"/>
      </w:pPr>
      <w:r>
        <w:rPr/>
        <w:t>另一类是产业通用赋能，包括新外贸数字服务和工业互联网。业务类型包括信息技术解决方案业务、互联网运营服务业务、</w:t>
      </w:r>
      <w:r>
        <w:rPr>
          <w:spacing w:val="-86"/>
        </w:rPr>
        <w:t> </w:t>
      </w:r>
      <w:r>
        <w:rPr>
          <w:spacing w:val="-86"/>
        </w:rPr>
      </w:r>
      <w:r>
        <w:rPr>
          <w:rFonts w:ascii="Times New Roman" w:hAnsi="Times New Roman" w:cs="Times New Roman" w:eastAsia="Times New Roman" w:hint="default"/>
        </w:rPr>
        <w:t>SaaS </w:t>
      </w:r>
      <w:r>
        <w:rPr/>
        <w:t>服务业务和平台运营业务。报告期内信息技术解决方案业务仍然是公司的主要收入来源，公司为公用事业机构、政府 </w:t>
      </w:r>
      <w:r>
        <w:rPr>
          <w:spacing w:val="-2"/>
        </w:rPr>
        <w:t>和其它企业提供包括信息化咨询规划、设计开发、建设实施和运行维护在内的全业务链信息技术解决方案，以帮助客户提升</w:t>
      </w:r>
      <w:r>
        <w:rPr>
          <w:spacing w:val="-66"/>
        </w:rPr>
        <w:t> </w:t>
      </w:r>
      <w:r>
        <w:rPr>
          <w:spacing w:val="-66"/>
        </w:rPr>
      </w:r>
      <w:r>
        <w:rPr>
          <w:spacing w:val="-2"/>
        </w:rPr>
        <w:t>新技术应用、数字服务和业务创新水平。同时，公司基于云计算、大数据、物联网、人工智能、区块链等新技术的应用以及</w:t>
      </w:r>
      <w:r>
        <w:rPr>
          <w:spacing w:val="-66"/>
        </w:rPr>
        <w:t> </w:t>
      </w:r>
      <w:r>
        <w:rPr>
          <w:spacing w:val="-66"/>
        </w:rPr>
      </w:r>
      <w:r>
        <w:rPr>
          <w:spacing w:val="-3"/>
        </w:rPr>
        <w:t>互联网服务模式，构建新型的互联网运营、</w:t>
      </w:r>
      <w:r>
        <w:rPr>
          <w:rFonts w:ascii="Times New Roman" w:hAnsi="Times New Roman" w:cs="Times New Roman" w:eastAsia="Times New Roman" w:hint="default"/>
          <w:spacing w:val="-3"/>
        </w:rPr>
        <w:t>SaaS </w:t>
      </w:r>
      <w:r>
        <w:rPr>
          <w:spacing w:val="-3"/>
        </w:rPr>
        <w:t>服务和平台运营服务，直接助力中小公用事业机构、地方政府、产业集群、</w:t>
      </w:r>
      <w:r>
        <w:rPr>
          <w:spacing w:val="-54"/>
        </w:rPr>
        <w:t> </w:t>
      </w:r>
      <w:r>
        <w:rPr>
          <w:spacing w:val="-54"/>
        </w:rPr>
      </w:r>
      <w:r>
        <w:rPr>
          <w:spacing w:val="-2"/>
        </w:rPr>
        <w:t>和中小企业和、业主提升其管理效率、以及产品和服务创新、线上运营和生态合作的能力，从而改善其用户的体验。公司的</w:t>
      </w:r>
      <w:r>
        <w:rPr>
          <w:spacing w:val="-67"/>
        </w:rPr>
        <w:t> </w:t>
      </w:r>
      <w:r>
        <w:rPr>
          <w:spacing w:val="-67"/>
        </w:rPr>
      </w:r>
      <w:r>
        <w:rPr>
          <w:spacing w:val="-2"/>
        </w:rPr>
        <w:t>客户群体主要包括国家电网、南方电网、地方电力公司、海外电力公司、华润燃气、中国燃气、其它区域燃气公司和城市燃</w:t>
      </w:r>
      <w:r>
        <w:rPr>
          <w:spacing w:val="-68"/>
        </w:rPr>
        <w:t> </w:t>
      </w:r>
      <w:r>
        <w:rPr>
          <w:spacing w:val="-68"/>
        </w:rPr>
      </w:r>
      <w:r>
        <w:rPr>
          <w:spacing w:val="-2"/>
        </w:rPr>
        <w:t>气公司、自来水公司、以及国家电子口岸、海关总署、地方口岸、其它行业政府单位、地方政府单位、产业集群企业、以及</w:t>
      </w:r>
      <w:r>
        <w:rPr>
          <w:spacing w:val="-65"/>
        </w:rPr>
        <w:t> </w:t>
      </w:r>
      <w:r>
        <w:rPr>
          <w:spacing w:val="-65"/>
        </w:rPr>
      </w:r>
      <w:r>
        <w:rPr/>
        <w:t>其它进出口企业客户等。</w:t>
      </w:r>
    </w:p>
    <w:p>
      <w:pPr>
        <w:pStyle w:val="BodyText"/>
        <w:spacing w:line="316" w:lineRule="auto" w:before="59"/>
        <w:ind w:right="1130" w:firstLine="360"/>
        <w:jc w:val="both"/>
      </w:pPr>
      <w:r>
        <w:rPr/>
        <w:t>进入</w:t>
      </w:r>
      <w:r>
        <w:rPr>
          <w:spacing w:val="-46"/>
        </w:rPr>
        <w:t> </w:t>
      </w:r>
      <w:r>
        <w:rPr>
          <w:rFonts w:ascii="宋体" w:hAnsi="宋体" w:cs="宋体" w:eastAsia="宋体" w:hint="default"/>
        </w:rPr>
        <w:t>21</w:t>
      </w:r>
      <w:r>
        <w:rPr>
          <w:rFonts w:ascii="宋体" w:hAnsi="宋体" w:cs="宋体" w:eastAsia="宋体" w:hint="default"/>
          <w:spacing w:val="-45"/>
        </w:rPr>
        <w:t> </w:t>
      </w:r>
      <w:r>
        <w:rPr/>
        <w:t>世纪以来，信息技术已逐渐成为推动国民经济发展和促进全社会生产效率提升的强大动力，信息产业作为关系 </w:t>
      </w:r>
      <w:r>
        <w:rPr>
          <w:spacing w:val="-2"/>
        </w:rPr>
        <w:t>到国民经济和社会发展全局的基础性、战略性、先导性产业受到了越来越多国家和地区的重视。宏观经济形势方面，中国经</w:t>
      </w:r>
      <w:r>
        <w:rPr>
          <w:spacing w:val="-66"/>
        </w:rPr>
        <w:t> </w:t>
      </w:r>
      <w:r>
        <w:rPr>
          <w:spacing w:val="-66"/>
        </w:rPr>
      </w:r>
      <w:r>
        <w:rPr>
          <w:spacing w:val="-2"/>
        </w:rPr>
        <w:t>济正处于转变发展方式、优化经济结构、转换增长动能的攻关期，由于外部国际环境变化和内部资源环境约束，传统粗放型</w:t>
      </w:r>
      <w:r>
        <w:rPr>
          <w:spacing w:val="-65"/>
        </w:rPr>
        <w:t> </w:t>
      </w:r>
      <w:r>
        <w:rPr>
          <w:spacing w:val="-65"/>
        </w:rPr>
      </w:r>
      <w:r>
        <w:rPr>
          <w:spacing w:val="-2"/>
        </w:rPr>
        <w:t>增长动能正在快速减弱，而依靠技术进步、改善管理和提高劳动者素质实现新型增长动能成为全社会的共识。而基于新一代</w:t>
      </w:r>
      <w:r>
        <w:rPr>
          <w:spacing w:val="-63"/>
        </w:rPr>
        <w:t> </w:t>
      </w:r>
      <w:r>
        <w:rPr>
          <w:spacing w:val="-63"/>
        </w:rPr>
      </w:r>
      <w:r>
        <w:rPr>
          <w:spacing w:val="-2"/>
        </w:rPr>
        <w:t>信息技术应用的新信息“基础设施建设”对于推动技术进步和改善管理至关重要，这是新时代的“要想富、先修路”，如互</w:t>
      </w:r>
      <w:r>
        <w:rPr>
          <w:spacing w:val="-72"/>
        </w:rPr>
        <w:t> </w:t>
      </w:r>
      <w:r>
        <w:rPr>
          <w:spacing w:val="-72"/>
        </w:rPr>
      </w:r>
      <w:r>
        <w:rPr>
          <w:spacing w:val="-2"/>
        </w:rPr>
        <w:t>联网</w:t>
      </w:r>
      <w:r>
        <w:rPr>
          <w:rFonts w:ascii="宋体" w:hAnsi="宋体" w:cs="宋体" w:eastAsia="宋体" w:hint="default"/>
          <w:spacing w:val="-2"/>
        </w:rPr>
        <w:t>+</w:t>
      </w:r>
      <w:r>
        <w:rPr>
          <w:spacing w:val="-2"/>
        </w:rPr>
        <w:t>电子政务以及云计算</w:t>
      </w:r>
      <w:r>
        <w:rPr>
          <w:rFonts w:ascii="宋体" w:hAnsi="宋体" w:cs="宋体" w:eastAsia="宋体" w:hint="default"/>
          <w:spacing w:val="-2"/>
        </w:rPr>
        <w:t>+</w:t>
      </w:r>
      <w:r>
        <w:rPr>
          <w:spacing w:val="-2"/>
        </w:rPr>
        <w:t>大数据的应用对于政府推行的“放管服”改革落实起着重要的助力，移动互联网、物联网、人工</w:t>
      </w:r>
      <w:r>
        <w:rPr>
          <w:spacing w:val="-64"/>
        </w:rPr>
        <w:t> </w:t>
      </w:r>
      <w:r>
        <w:rPr>
          <w:spacing w:val="-64"/>
        </w:rPr>
      </w:r>
      <w:r>
        <w:rPr/>
        <w:t>智能、区块链正成为各个行业寻求转型升级的关键技术支撑，</w:t>
      </w:r>
      <w:r>
        <w:rPr>
          <w:rFonts w:ascii="宋体" w:hAnsi="宋体" w:cs="宋体" w:eastAsia="宋体" w:hint="default"/>
        </w:rPr>
        <w:t>2018</w:t>
      </w:r>
      <w:r>
        <w:rPr>
          <w:rFonts w:ascii="宋体" w:hAnsi="宋体" w:cs="宋体" w:eastAsia="宋体" w:hint="default"/>
          <w:spacing w:val="-45"/>
        </w:rPr>
        <w:t> </w:t>
      </w:r>
      <w:r>
        <w:rPr/>
        <w:t>年工业互联网更是热度骤升。行业政策方面，</w:t>
      </w:r>
      <w:r>
        <w:rPr>
          <w:rFonts w:ascii="宋体" w:hAnsi="宋体" w:cs="宋体" w:eastAsia="宋体" w:hint="default"/>
        </w:rPr>
        <w:t>2015</w:t>
      </w:r>
      <w:r>
        <w:rPr>
          <w:rFonts w:ascii="宋体" w:hAnsi="宋体" w:cs="宋体" w:eastAsia="宋体" w:hint="default"/>
          <w:spacing w:val="-45"/>
        </w:rPr>
        <w:t> </w:t>
      </w:r>
      <w:r>
        <w:rPr/>
        <w:t>年</w:t>
      </w:r>
      <w:r>
        <w:rPr>
          <w:spacing w:val="-48"/>
        </w:rPr>
        <w:t> </w:t>
      </w:r>
      <w:r>
        <w:rPr>
          <w:rFonts w:ascii="宋体" w:hAnsi="宋体" w:cs="宋体" w:eastAsia="宋体" w:hint="default"/>
        </w:rPr>
        <w:t>5 </w:t>
      </w:r>
      <w:r>
        <w:rPr/>
        <w:t>月国务院发布《中国制造</w:t>
      </w:r>
      <w:r>
        <w:rPr>
          <w:spacing w:val="-35"/>
        </w:rPr>
        <w:t> </w:t>
      </w:r>
      <w:r>
        <w:rPr>
          <w:rFonts w:ascii="宋体" w:hAnsi="宋体" w:cs="宋体" w:eastAsia="宋体" w:hint="default"/>
          <w:spacing w:val="-3"/>
        </w:rPr>
        <w:t>2025</w:t>
      </w:r>
      <w:r>
        <w:rPr>
          <w:spacing w:val="-3"/>
        </w:rPr>
        <w:t>》</w:t>
      </w:r>
      <w:hyperlink r:id="rId12">
        <w:r>
          <w:rPr>
            <w:spacing w:val="-3"/>
          </w:rPr>
          <w:t>，提出把新一代信息技术</w:t>
        </w:r>
      </w:hyperlink>
      <w:r>
        <w:rPr>
          <w:spacing w:val="-3"/>
        </w:rPr>
        <w:t>产业作为重点领域，大力推动其突破发展。</w:t>
      </w:r>
      <w:r>
        <w:rPr>
          <w:rFonts w:ascii="宋体" w:hAnsi="宋体" w:cs="宋体" w:eastAsia="宋体" w:hint="default"/>
          <w:spacing w:val="-3"/>
        </w:rPr>
        <w:t>2016</w:t>
      </w:r>
      <w:r>
        <w:rPr>
          <w:rFonts w:ascii="宋体" w:hAnsi="宋体" w:cs="宋体" w:eastAsia="宋体" w:hint="default"/>
          <w:spacing w:val="-34"/>
        </w:rPr>
        <w:t> </w:t>
      </w:r>
      <w:r>
        <w:rPr>
          <w:spacing w:val="-12"/>
        </w:rPr>
        <w:t>年的《“十三五”</w:t>
      </w:r>
      <w:r>
        <w:rPr>
          <w:spacing w:val="-85"/>
        </w:rPr>
        <w:t> </w:t>
      </w:r>
      <w:r>
        <w:rPr>
          <w:spacing w:val="-85"/>
        </w:rPr>
      </w:r>
      <w:r>
        <w:rPr/>
        <w:t>国家战略性新兴产业发展规划》提出壮大战略性新兴产业的规模，到</w:t>
      </w:r>
      <w:r>
        <w:rPr>
          <w:spacing w:val="-47"/>
        </w:rPr>
        <w:t> </w:t>
      </w:r>
      <w:r>
        <w:rPr>
          <w:rFonts w:ascii="宋体" w:hAnsi="宋体" w:cs="宋体" w:eastAsia="宋体" w:hint="default"/>
        </w:rPr>
        <w:t>2020</w:t>
      </w:r>
      <w:r>
        <w:rPr>
          <w:rFonts w:ascii="宋体" w:hAnsi="宋体" w:cs="宋体" w:eastAsia="宋体" w:hint="default"/>
          <w:spacing w:val="-46"/>
        </w:rPr>
        <w:t> </w:t>
      </w:r>
      <w:r>
        <w:rPr/>
        <w:t>年把新一代信息技术产业及其他</w:t>
      </w:r>
      <w:r>
        <w:rPr>
          <w:spacing w:val="-47"/>
        </w:rPr>
        <w:t> </w:t>
      </w:r>
      <w:r>
        <w:rPr>
          <w:rFonts w:ascii="宋体" w:hAnsi="宋体" w:cs="宋体" w:eastAsia="宋体" w:hint="default"/>
        </w:rPr>
        <w:t>5</w:t>
      </w:r>
      <w:r>
        <w:rPr>
          <w:rFonts w:ascii="宋体" w:hAnsi="宋体" w:cs="宋体" w:eastAsia="宋体" w:hint="default"/>
          <w:spacing w:val="-46"/>
        </w:rPr>
        <w:t> </w:t>
      </w:r>
      <w:r>
        <w:rPr/>
        <w:t>个战略性新兴 产业发展成为产值规模</w:t>
      </w:r>
      <w:r>
        <w:rPr>
          <w:spacing w:val="-59"/>
        </w:rPr>
        <w:t> </w:t>
      </w:r>
      <w:r>
        <w:rPr>
          <w:rFonts w:ascii="宋体" w:hAnsi="宋体" w:cs="宋体" w:eastAsia="宋体" w:hint="default"/>
        </w:rPr>
        <w:t>10</w:t>
      </w:r>
      <w:r>
        <w:rPr>
          <w:rFonts w:ascii="宋体" w:hAnsi="宋体" w:cs="宋体" w:eastAsia="宋体" w:hint="default"/>
          <w:spacing w:val="-58"/>
        </w:rPr>
        <w:t> </w:t>
      </w:r>
      <w:r>
        <w:rPr/>
        <w:t>万亿元级的新支柱。</w:t>
      </w:r>
      <w:r>
        <w:rPr>
          <w:rFonts w:ascii="宋体" w:hAnsi="宋体" w:cs="宋体" w:eastAsia="宋体" w:hint="default"/>
        </w:rPr>
        <w:t>2018</w:t>
      </w:r>
      <w:r>
        <w:rPr>
          <w:rFonts w:ascii="宋体" w:hAnsi="宋体" w:cs="宋体" w:eastAsia="宋体" w:hint="default"/>
          <w:spacing w:val="-58"/>
        </w:rPr>
        <w:t> </w:t>
      </w:r>
      <w:r>
        <w:rPr/>
        <w:t>年从年初福建省人民政府发布的《关于加快全省工业数字经济创新发展 </w:t>
      </w:r>
      <w:r>
        <w:rPr>
          <w:spacing w:val="-2"/>
        </w:rPr>
        <w:t>的意见》到年底上海市人民政府发布的《上海市推进新一代信息基础设施建设助力提升城市能级和核心竞争力三年行动计划</w:t>
      </w:r>
    </w:p>
    <w:p>
      <w:pPr>
        <w:pStyle w:val="BodyText"/>
        <w:spacing w:line="316" w:lineRule="auto" w:before="18"/>
        <w:ind w:right="1133"/>
        <w:jc w:val="both"/>
        <w:rPr>
          <w:rFonts w:ascii="宋体" w:hAnsi="宋体" w:cs="宋体" w:eastAsia="宋体" w:hint="default"/>
        </w:rPr>
      </w:pPr>
      <w:r>
        <w:rPr>
          <w:spacing w:val="-5"/>
        </w:rPr>
        <w:t>（</w:t>
      </w:r>
      <w:r>
        <w:rPr>
          <w:rFonts w:ascii="宋体" w:hAnsi="宋体" w:cs="宋体" w:eastAsia="宋体" w:hint="default"/>
          <w:spacing w:val="-5"/>
        </w:rPr>
        <w:t>2018-2020</w:t>
      </w:r>
      <w:r>
        <w:rPr>
          <w:spacing w:val="-5"/>
        </w:rPr>
        <w:t>）》以及北京市经济和信息化局发布的《北京工业互联网发展行动计划（</w:t>
      </w:r>
      <w:r>
        <w:rPr>
          <w:rFonts w:ascii="宋体" w:hAnsi="宋体" w:cs="宋体" w:eastAsia="宋体" w:hint="default"/>
          <w:spacing w:val="-5"/>
        </w:rPr>
        <w:t>2018-2020</w:t>
      </w:r>
      <w:r>
        <w:rPr>
          <w:spacing w:val="-5"/>
        </w:rPr>
        <w:t>）》，各个地方政府都在推出</w:t>
      </w:r>
      <w:r>
        <w:rPr>
          <w:spacing w:val="-49"/>
        </w:rPr>
        <w:t> </w:t>
      </w:r>
      <w:r>
        <w:rPr>
          <w:spacing w:val="-49"/>
        </w:rPr>
      </w:r>
      <w:r>
        <w:rPr>
          <w:spacing w:val="-2"/>
        </w:rPr>
        <w:t>相应政策加快促进新一代信息基础设施建设与信息技术发展。在此大环境、大背景下，国内从政府到企业，信息化投资需求</w:t>
      </w:r>
      <w:r>
        <w:rPr>
          <w:spacing w:val="-66"/>
        </w:rPr>
        <w:t> </w:t>
      </w:r>
      <w:r>
        <w:rPr>
          <w:spacing w:val="-66"/>
        </w:rPr>
      </w:r>
      <w:r>
        <w:rPr/>
        <w:t>非常旺盛，为行业从业企业带来了较大的发展机遇。</w:t>
      </w:r>
      <w:r>
        <w:rPr>
          <w:rFonts w:ascii="宋体" w:hAnsi="宋体" w:cs="宋体" w:eastAsia="宋体" w:hint="default"/>
        </w:rPr>
        <w:t> </w:t>
      </w:r>
    </w:p>
    <w:p>
      <w:pPr>
        <w:pStyle w:val="BodyText"/>
        <w:spacing w:line="316" w:lineRule="auto" w:before="59"/>
        <w:ind w:right="1130" w:firstLine="360"/>
        <w:jc w:val="both"/>
        <w:rPr>
          <w:rFonts w:ascii="宋体" w:hAnsi="宋体" w:cs="宋体" w:eastAsia="宋体" w:hint="default"/>
        </w:rPr>
      </w:pPr>
      <w:r>
        <w:rPr>
          <w:spacing w:val="-2"/>
        </w:rPr>
        <w:t>公司有着多年行业信息化的深厚积累，尤其是二十多年参与国家电网、南方电网信息化建设，依靠自身技术和人才队伍</w:t>
      </w:r>
      <w:r>
        <w:rPr/>
        <w:t> </w:t>
      </w:r>
      <w:r>
        <w:rPr>
          <w:spacing w:val="-2"/>
        </w:rPr>
        <w:t>培养与激励的优势，为电网信息化取得国内领先地位作出了积极的贡献，同时也为公司赢得了可信赖的行业信息技术合作伙</w:t>
      </w:r>
      <w:r>
        <w:rPr>
          <w:spacing w:val="-64"/>
        </w:rPr>
        <w:t> </w:t>
      </w:r>
      <w:r>
        <w:rPr>
          <w:spacing w:val="-64"/>
        </w:rPr>
      </w:r>
      <w:r>
        <w:rPr>
          <w:spacing w:val="-2"/>
        </w:rPr>
        <w:t>伴品牌。新的一轮信息基础设施建设投资必将给公司带来更多的发展机遇，同时，公司将继续坚定用信息技术助力企业和政</w:t>
      </w:r>
      <w:r>
        <w:rPr>
          <w:spacing w:val="-66"/>
        </w:rPr>
        <w:t> </w:t>
      </w:r>
      <w:r>
        <w:rPr>
          <w:spacing w:val="-66"/>
        </w:rPr>
      </w:r>
      <w:r>
        <w:rPr>
          <w:spacing w:val="-2"/>
        </w:rPr>
        <w:t>府提升管理效率、促进产品和服务创新的理念，让信息技术最终为社会和经济发展服务，让消费者最终享受到体验提升。公</w:t>
      </w:r>
      <w:r>
        <w:rPr>
          <w:spacing w:val="-64"/>
        </w:rPr>
        <w:t> </w:t>
      </w:r>
      <w:r>
        <w:rPr>
          <w:spacing w:val="-64"/>
        </w:rPr>
      </w:r>
      <w:r>
        <w:rPr/>
        <w:t>司的产业互联网业务发展战略正是为此而生。</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9"/>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9"/>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8"/>
        <w:gridCol w:w="6518"/>
      </w:tblGrid>
      <w:tr>
        <w:trPr>
          <w:trHeight w:val="187" w:hRule="exact"/>
        </w:trPr>
        <w:tc>
          <w:tcPr>
            <w:tcW w:w="3038" w:type="dxa"/>
            <w:tcBorders>
              <w:top w:val="single" w:sz="4" w:space="0" w:color="000000"/>
              <w:left w:val="single" w:sz="4" w:space="0" w:color="000000"/>
              <w:bottom w:val="nil" w:sz="6" w:space="0" w:color="auto"/>
              <w:right w:val="single" w:sz="4" w:space="0" w:color="000000"/>
            </w:tcBorders>
            <w:shd w:val="clear" w:color="auto" w:fill="D4D4D4"/>
          </w:tcPr>
          <w:p>
            <w:pPr/>
          </w:p>
        </w:tc>
        <w:tc>
          <w:tcPr>
            <w:tcW w:w="651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30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38" w:type="dxa"/>
            <w:tcBorders>
              <w:top w:val="nil" w:sz="6" w:space="0" w:color="auto"/>
              <w:left w:val="single" w:sz="4" w:space="0" w:color="000000"/>
              <w:bottom w:val="single" w:sz="4" w:space="0" w:color="000000"/>
              <w:right w:val="single" w:sz="4" w:space="0" w:color="000000"/>
            </w:tcBorders>
            <w:shd w:val="clear" w:color="auto" w:fill="D4D4D4"/>
          </w:tcPr>
          <w:p>
            <w:pPr/>
          </w:p>
        </w:tc>
        <w:tc>
          <w:tcPr>
            <w:tcW w:w="651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155.02%</w:t>
            </w:r>
            <w:r>
              <w:rPr>
                <w:rFonts w:ascii="宋体" w:hAnsi="宋体" w:cs="宋体" w:eastAsia="宋体" w:hint="default"/>
                <w:sz w:val="18"/>
                <w:szCs w:val="18"/>
              </w:rPr>
              <w:t>，主要是合营公司邦道科技利润增加所致。</w:t>
            </w:r>
          </w:p>
        </w:tc>
      </w:tr>
      <w:tr>
        <w:trPr>
          <w:trHeight w:val="401" w:hRule="exact"/>
        </w:trPr>
        <w:tc>
          <w:tcPr>
            <w:tcW w:w="30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40.28%</w:t>
            </w:r>
            <w:r>
              <w:rPr>
                <w:rFonts w:ascii="宋体" w:hAnsi="宋体" w:cs="宋体" w:eastAsia="宋体" w:hint="default"/>
                <w:sz w:val="18"/>
                <w:szCs w:val="18"/>
              </w:rPr>
              <w:t>，主要是外购计算机设备增加所致。</w:t>
            </w: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，主要是新耀新建小型分布式光伏电站所致。</w:t>
            </w:r>
          </w:p>
        </w:tc>
      </w:tr>
      <w:tr>
        <w:trPr>
          <w:trHeight w:val="401" w:hRule="exact"/>
        </w:trPr>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32.89%</w:t>
            </w:r>
            <w:r>
              <w:rPr>
                <w:rFonts w:ascii="宋体" w:hAnsi="宋体" w:cs="宋体" w:eastAsia="宋体" w:hint="default"/>
                <w:sz w:val="18"/>
                <w:szCs w:val="18"/>
              </w:rPr>
              <w:t>，主要是收入较上年增长约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所致。</w:t>
            </w: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，主要是控股子公司瀚云科技建设工业互联网平台所致。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0"/>
      <w:bookmarkEnd w:id="20"/>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360" w:lineRule="auto" w:before="25"/>
        <w:ind w:right="3194"/>
        <w:jc w:val="left"/>
      </w:pPr>
      <w:r>
        <w:rPr/>
        <w:t>软件与信息技术服务业 报告期内，公司核心竞争力得到进一步巩固和增强，进一步夯实了公司可持续健康发展的基础。</w:t>
      </w:r>
    </w:p>
    <w:p>
      <w:pPr>
        <w:pStyle w:val="BodyText"/>
        <w:spacing w:line="240" w:lineRule="auto" w:before="27"/>
        <w:ind w:right="0"/>
        <w:jc w:val="both"/>
      </w:pPr>
      <w:r>
        <w:rPr/>
        <w:t>（一）主要核心竞争力</w:t>
      </w:r>
    </w:p>
    <w:p>
      <w:pPr>
        <w:pStyle w:val="BodyText"/>
        <w:spacing w:line="240" w:lineRule="auto" w:before="115"/>
        <w:ind w:right="0"/>
        <w:jc w:val="both"/>
      </w:pPr>
      <w:r>
        <w:rPr>
          <w:rFonts w:ascii="Times New Roman" w:hAnsi="Times New Roman" w:cs="Times New Roman" w:eastAsia="Times New Roman" w:hint="default"/>
        </w:rPr>
        <w:t>1</w:t>
      </w:r>
      <w:r>
        <w:rPr/>
        <w:t>、</w:t>
      </w:r>
      <w:r>
        <w:rPr>
          <w:spacing w:val="-1"/>
        </w:rPr>
        <w:t> </w:t>
      </w:r>
      <w:r>
        <w:rPr/>
        <w:t>业务和技术领先，品牌影响力强</w:t>
      </w:r>
    </w:p>
    <w:p>
      <w:pPr>
        <w:pStyle w:val="BodyText"/>
        <w:spacing w:line="314" w:lineRule="auto" w:before="103"/>
        <w:ind w:right="1130" w:firstLine="360"/>
        <w:jc w:val="both"/>
      </w:pPr>
      <w:r>
        <w:rPr/>
        <w:t>公司从事电网信息化</w:t>
      </w:r>
      <w:r>
        <w:rPr>
          <w:spacing w:val="-46"/>
        </w:rPr>
        <w:t> </w:t>
      </w:r>
      <w:r>
        <w:rPr>
          <w:rFonts w:ascii="Times New Roman" w:hAnsi="Times New Roman" w:cs="Times New Roman" w:eastAsia="Times New Roman" w:hint="default"/>
        </w:rPr>
        <w:t>20 </w:t>
      </w:r>
      <w:r>
        <w:rPr/>
        <w:t>多年，从一开始就非常重视人才队伍的培养激励和业务与技术能力的积累，从而让公司从最开 </w:t>
      </w:r>
      <w:r>
        <w:rPr>
          <w:spacing w:val="-2"/>
        </w:rPr>
        <w:t>始就处于行业领先地位，反过来又促进了行业优秀人才的聚集，公司因此积累和培养了一支规模较大的专业稳定的业务和技</w:t>
      </w:r>
      <w:r>
        <w:rPr>
          <w:spacing w:val="-64"/>
        </w:rPr>
        <w:t> </w:t>
      </w:r>
      <w:r>
        <w:rPr>
          <w:spacing w:val="-64"/>
        </w:rPr>
      </w:r>
      <w:r>
        <w:rPr>
          <w:spacing w:val="-2"/>
        </w:rPr>
        <w:t>术团队，形成了自主核心技术。领先的业务和技术能力，加上公司极强的成就客户的文化，不仅为公司赢得了电力营销领域</w:t>
      </w:r>
      <w:r>
        <w:rPr>
          <w:spacing w:val="-64"/>
        </w:rPr>
        <w:t> </w:t>
      </w:r>
      <w:r>
        <w:rPr>
          <w:spacing w:val="-64"/>
        </w:rPr>
      </w:r>
      <w:r>
        <w:rPr>
          <w:spacing w:val="-2"/>
        </w:rPr>
        <w:t>领先的市场份额，还为公司赢得了良好的客户口碑，建立了很强的行业信息化可信赖合作伙伴品牌影响力，帮助公司成功取</w:t>
      </w:r>
      <w:r>
        <w:rPr>
          <w:spacing w:val="-63"/>
        </w:rPr>
        <w:t> </w:t>
      </w:r>
      <w:r>
        <w:rPr>
          <w:spacing w:val="-63"/>
        </w:rPr>
      </w:r>
      <w:r>
        <w:rPr/>
        <w:t>得了在其它公用事业和公共服务行业信息化领域的领先地位，也促进了公司向新的创新业务行业的拓展。</w:t>
      </w:r>
    </w:p>
    <w:p>
      <w:pPr>
        <w:pStyle w:val="BodyText"/>
        <w:spacing w:line="338" w:lineRule="auto" w:before="61"/>
        <w:ind w:left="512" w:right="1129" w:hanging="360"/>
        <w:jc w:val="left"/>
      </w:pPr>
      <w:r>
        <w:rPr>
          <w:rFonts w:ascii="Times New Roman" w:hAnsi="Times New Roman" w:cs="Times New Roman" w:eastAsia="Times New Roman" w:hint="default"/>
        </w:rPr>
        <w:t>2</w:t>
      </w:r>
      <w:r>
        <w:rPr/>
        <w:t>、</w:t>
      </w:r>
      <w:r>
        <w:rPr>
          <w:spacing w:val="-2"/>
        </w:rPr>
        <w:t> </w:t>
      </w:r>
      <w:r>
        <w:rPr/>
        <w:t>成熟的项目生命周期管理优势</w:t>
      </w:r>
      <w:r>
        <w:rPr/>
        <w:t> </w:t>
      </w:r>
      <w:r>
        <w:rPr>
          <w:spacing w:val="-2"/>
        </w:rPr>
        <w:t>经过多年的持续经营，公司已建立起一支技术精湛、经验丰富、团结合作的先进管理团队。公司的主要管理层均在公用</w:t>
      </w:r>
    </w:p>
    <w:p>
      <w:pPr>
        <w:pStyle w:val="BodyText"/>
        <w:spacing w:line="307" w:lineRule="auto" w:before="2"/>
        <w:ind w:right="1133"/>
        <w:jc w:val="both"/>
      </w:pPr>
      <w:r>
        <w:rPr>
          <w:spacing w:val="-4"/>
        </w:rPr>
        <w:t>事业行业从业多年，有丰富的业务和企业运营能力。</w:t>
      </w:r>
      <w:r>
        <w:rPr>
          <w:rFonts w:ascii="Times New Roman" w:hAnsi="Times New Roman" w:cs="Times New Roman" w:eastAsia="Times New Roman" w:hint="default"/>
          <w:spacing w:val="-4"/>
        </w:rPr>
        <w:t>2005</w:t>
      </w:r>
      <w:r>
        <w:rPr>
          <w:rFonts w:ascii="Times New Roman" w:hAnsi="Times New Roman" w:cs="Times New Roman" w:eastAsia="Times New Roman" w:hint="default"/>
          <w:spacing w:val="4"/>
        </w:rPr>
        <w:t> </w:t>
      </w:r>
      <w:r>
        <w:rPr/>
        <w:t>年公司引进了全球领先的行业软件与技术服务公司</w:t>
      </w:r>
      <w:r>
        <w:rPr>
          <w:spacing w:val="-42"/>
        </w:rPr>
        <w:t> </w:t>
      </w:r>
      <w:r>
        <w:rPr>
          <w:rFonts w:ascii="Times New Roman" w:hAnsi="Times New Roman" w:cs="Times New Roman" w:eastAsia="Times New Roman" w:hint="default"/>
        </w:rPr>
        <w:t>AMDOCS</w:t>
      </w:r>
      <w:r>
        <w:rPr>
          <w:rFonts w:ascii="Times New Roman" w:hAnsi="Times New Roman" w:cs="Times New Roman" w:eastAsia="Times New Roman" w:hint="default"/>
          <w:spacing w:val="4"/>
        </w:rPr>
        <w:t> </w:t>
      </w:r>
      <w:r>
        <w:rPr/>
        <w:t>项目 实施方法论并结合</w:t>
      </w:r>
      <w:r>
        <w:rPr>
          <w:spacing w:val="-47"/>
        </w:rPr>
        <w:t> </w:t>
      </w:r>
      <w:r>
        <w:rPr>
          <w:rFonts w:ascii="Times New Roman" w:hAnsi="Times New Roman" w:cs="Times New Roman" w:eastAsia="Times New Roman" w:hint="default"/>
        </w:rPr>
        <w:t>CMMI</w:t>
      </w:r>
      <w:r>
        <w:rPr>
          <w:rFonts w:ascii="Times New Roman" w:hAnsi="Times New Roman" w:cs="Times New Roman" w:eastAsia="Times New Roman" w:hint="default"/>
          <w:spacing w:val="-2"/>
        </w:rPr>
        <w:t> </w:t>
      </w:r>
      <w:r>
        <w:rPr/>
        <w:t>认证与执行过程贯彻</w:t>
      </w:r>
      <w:r>
        <w:rPr>
          <w:spacing w:val="-47"/>
        </w:rPr>
        <w:t> </w:t>
      </w:r>
      <w:r>
        <w:rPr>
          <w:rFonts w:ascii="Times New Roman" w:hAnsi="Times New Roman" w:cs="Times New Roman" w:eastAsia="Times New Roman" w:hint="default"/>
        </w:rPr>
        <w:t>PMBOK</w:t>
      </w:r>
      <w:r>
        <w:rPr>
          <w:rFonts w:ascii="Times New Roman" w:hAnsi="Times New Roman" w:cs="Times New Roman" w:eastAsia="Times New Roman" w:hint="default"/>
          <w:spacing w:val="-2"/>
        </w:rPr>
        <w:t> </w:t>
      </w:r>
      <w:r>
        <w:rPr/>
        <w:t>项目管理标准，经过多年的消化吸收和项目实践，已经摸索并总结 </w:t>
      </w:r>
      <w:r>
        <w:rPr>
          <w:spacing w:val="-2"/>
        </w:rPr>
        <w:t>制定出一套成熟的项目生命周期管理体系和制度，适合于各行业复杂项目交付，能促成项目成功并为客户和公司创造实际效</w:t>
      </w:r>
      <w:r>
        <w:rPr>
          <w:spacing w:val="-64"/>
        </w:rPr>
        <w:t> </w:t>
      </w:r>
      <w:r>
        <w:rPr>
          <w:spacing w:val="-64"/>
        </w:rPr>
      </w:r>
      <w:r>
        <w:rPr/>
        <w:t>益。基于此，公司具备了较强的项目管理和实施交付能力，支持大规模快速交付，能有效管理项目成本和交付时间。</w:t>
      </w:r>
    </w:p>
    <w:p>
      <w:pPr>
        <w:pStyle w:val="BodyText"/>
        <w:spacing w:line="240" w:lineRule="auto" w:before="67"/>
        <w:ind w:right="0"/>
        <w:jc w:val="both"/>
      </w:pPr>
      <w:r>
        <w:rPr>
          <w:rFonts w:ascii="Times New Roman" w:hAnsi="Times New Roman" w:cs="Times New Roman" w:eastAsia="Times New Roman" w:hint="default"/>
        </w:rPr>
        <w:t>3</w:t>
      </w:r>
      <w:r>
        <w:rPr/>
        <w:t>、</w:t>
      </w:r>
      <w:r>
        <w:rPr>
          <w:spacing w:val="-1"/>
        </w:rPr>
        <w:t> </w:t>
      </w:r>
      <w:r>
        <w:rPr/>
        <w:t>专业化贴身服务优势</w:t>
      </w:r>
    </w:p>
    <w:p>
      <w:pPr>
        <w:pStyle w:val="BodyText"/>
        <w:spacing w:line="309" w:lineRule="auto" w:before="103"/>
        <w:ind w:right="1132" w:firstLine="360"/>
        <w:jc w:val="both"/>
      </w:pPr>
      <w:r>
        <w:rPr/>
        <w:t>公司服务于国家电网、南方电网、华润燃气等从大型集团客户到政府客户到中小企业用户，在</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多年不同客户项目的 </w:t>
      </w:r>
      <w:r>
        <w:rPr>
          <w:spacing w:val="-2"/>
        </w:rPr>
        <w:t>实施过程中，公司积累了大量复杂疑难业务的处理经验，能够在时间紧、任务重的情况下，按照客户要求的上线时间优质完</w:t>
      </w:r>
      <w:r>
        <w:rPr>
          <w:spacing w:val="-65"/>
        </w:rPr>
        <w:t> </w:t>
      </w:r>
      <w:r>
        <w:rPr>
          <w:spacing w:val="-65"/>
        </w:rPr>
      </w:r>
      <w:r>
        <w:rPr/>
        <w:t>成项目实施。</w:t>
      </w:r>
    </w:p>
    <w:p>
      <w:pPr>
        <w:pStyle w:val="BodyText"/>
        <w:spacing w:line="316" w:lineRule="auto" w:before="62"/>
        <w:ind w:right="1132" w:firstLine="360"/>
        <w:jc w:val="both"/>
      </w:pPr>
      <w:r>
        <w:rPr>
          <w:spacing w:val="-5"/>
        </w:rPr>
        <w:t>公司坚持以服务为主导，在国内大部分省份部署有高效的专业本地化服务队伍，能够为客户提供从咨询规划、现场实施、</w:t>
      </w:r>
      <w:r>
        <w:rPr/>
        <w:t> 系统维护到运营管理等全方位的贴身服务；此外，公司经过多年经验积累，基于</w:t>
      </w:r>
      <w:r>
        <w:rPr>
          <w:spacing w:val="-53"/>
        </w:rPr>
        <w:t> </w:t>
      </w:r>
      <w:r>
        <w:rPr>
          <w:rFonts w:ascii="Times New Roman" w:hAnsi="Times New Roman" w:cs="Times New Roman" w:eastAsia="Times New Roman" w:hint="default"/>
        </w:rPr>
        <w:t>ISO20000</w:t>
      </w:r>
      <w:r>
        <w:rPr>
          <w:rFonts w:ascii="Times New Roman" w:hAnsi="Times New Roman" w:cs="Times New Roman" w:eastAsia="Times New Roman" w:hint="default"/>
          <w:spacing w:val="-9"/>
        </w:rPr>
        <w:t> </w:t>
      </w:r>
      <w:r>
        <w:rPr/>
        <w:t>信息技术服务管理标准，结合服</w:t>
      </w:r>
    </w:p>
    <w:p>
      <w:pPr>
        <w:spacing w:after="0" w:line="316" w:lineRule="auto"/>
        <w:jc w:val="both"/>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9"/>
        <w:jc w:val="left"/>
      </w:pPr>
      <w:r>
        <w:rPr/>
        <w:t>务管理实践，形成了一整套完善的技术服务体系，能够为客户提供高效、高品质的服务。</w:t>
      </w:r>
    </w:p>
    <w:p>
      <w:pPr>
        <w:pStyle w:val="BodyText"/>
        <w:spacing w:line="240" w:lineRule="auto" w:before="117"/>
        <w:ind w:right="1129"/>
        <w:jc w:val="left"/>
      </w:pPr>
      <w:r>
        <w:rPr>
          <w:rFonts w:ascii="Times New Roman" w:hAnsi="Times New Roman" w:cs="Times New Roman" w:eastAsia="Times New Roman" w:hint="default"/>
        </w:rPr>
        <w:t>4</w:t>
      </w:r>
      <w:r>
        <w:rPr/>
        <w:t>、</w:t>
      </w:r>
      <w:r>
        <w:rPr>
          <w:spacing w:val="-1"/>
        </w:rPr>
        <w:t> </w:t>
      </w:r>
      <w:r>
        <w:rPr/>
        <w:t>持续自主创新能力和开放的人才引进机制</w:t>
      </w:r>
    </w:p>
    <w:p>
      <w:pPr>
        <w:pStyle w:val="BodyText"/>
        <w:spacing w:line="309" w:lineRule="auto" w:before="101"/>
        <w:ind w:right="1129" w:firstLine="360"/>
        <w:jc w:val="left"/>
      </w:pPr>
      <w:r>
        <w:rPr/>
        <w:t>公司高度重视技术与业务创新，研发投入占总收入比近年来均在</w:t>
      </w:r>
      <w:r>
        <w:rPr>
          <w:spacing w:val="-47"/>
        </w:rPr>
        <w:t> </w:t>
      </w:r>
      <w:r>
        <w:rPr>
          <w:rFonts w:ascii="Times New Roman" w:hAnsi="Times New Roman" w:cs="Times New Roman" w:eastAsia="Times New Roman" w:hint="default"/>
        </w:rPr>
        <w:t>10%</w:t>
      </w:r>
      <w:r>
        <w:rPr/>
        <w:t>以上，从而保证了公司长期的业务和技术的领先 </w:t>
      </w:r>
      <w:r>
        <w:rPr>
          <w:spacing w:val="-2"/>
        </w:rPr>
        <w:t>性。公司坚定相信“因为人才汹涌、所以事业奔腾”，在事业不断创新中，伴随着持续的核心人才引进，并为事业创新伙伴</w:t>
      </w:r>
      <w:r>
        <w:rPr>
          <w:spacing w:val="-72"/>
        </w:rPr>
        <w:t> </w:t>
      </w:r>
      <w:r>
        <w:rPr>
          <w:spacing w:val="-72"/>
        </w:rPr>
      </w:r>
      <w:r>
        <w:rPr/>
        <w:t>特别构建了“共创、共担、共享”的创业合伙人机制。</w:t>
      </w:r>
    </w:p>
    <w:p>
      <w:pPr>
        <w:spacing w:after="0" w:line="309" w:lineRule="auto"/>
        <w:jc w:val="left"/>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63" w:right="1129"/>
        <w:jc w:val="left"/>
        <w:rPr>
          <w:b w:val="0"/>
          <w:bCs w:val="0"/>
        </w:rPr>
      </w:pPr>
      <w:bookmarkStart w:name="第四节 经营情况讨论与分析" w:id="21"/>
      <w:bookmarkEnd w:id="21"/>
      <w:r>
        <w:rPr>
          <w:b w:val="0"/>
          <w:bCs w:val="0"/>
        </w:rPr>
      </w:r>
      <w:bookmarkStart w:name="_bookmark2" w:id="22"/>
      <w:bookmarkEnd w:id="22"/>
      <w:r>
        <w:rPr>
          <w:b w:val="0"/>
          <w:bCs w:val="0"/>
        </w:rPr>
      </w:r>
      <w:r>
        <w:rPr/>
        <w:t>第四节</w:t>
      </w:r>
      <w:r>
        <w:rPr>
          <w:spacing w:val="-4"/>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29"/>
        <w:jc w:val="left"/>
        <w:rPr>
          <w:b w:val="0"/>
          <w:bCs w:val="0"/>
        </w:rPr>
      </w:pPr>
      <w:bookmarkStart w:name="一、概述" w:id="23"/>
      <w:bookmarkEnd w:id="23"/>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2" w:right="1129"/>
        <w:jc w:val="left"/>
      </w:pPr>
      <w:r>
        <w:rPr/>
        <w:t>报告期内，</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年公司实现收入</w:t>
      </w:r>
      <w:r>
        <w:rPr>
          <w:spacing w:val="-47"/>
        </w:rPr>
        <w:t> </w:t>
      </w:r>
      <w:r>
        <w:rPr>
          <w:rFonts w:ascii="Times New Roman" w:hAnsi="Times New Roman" w:cs="Times New Roman" w:eastAsia="Times New Roman" w:hint="default"/>
        </w:rPr>
        <w:t>10.15</w:t>
      </w:r>
      <w:r>
        <w:rPr>
          <w:rFonts w:ascii="Times New Roman" w:hAnsi="Times New Roman" w:cs="Times New Roman" w:eastAsia="Times New Roman" w:hint="default"/>
          <w:spacing w:val="-1"/>
        </w:rPr>
        <w:t> </w:t>
      </w:r>
      <w:r>
        <w:rPr/>
        <w:t>亿，同比</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年增长</w:t>
      </w:r>
      <w:r>
        <w:rPr>
          <w:spacing w:val="-49"/>
        </w:rPr>
        <w:t> </w:t>
      </w:r>
      <w:r>
        <w:rPr>
          <w:rFonts w:ascii="Times New Roman" w:hAnsi="Times New Roman" w:cs="Times New Roman" w:eastAsia="Times New Roman" w:hint="default"/>
        </w:rPr>
        <w:t>29.70%</w:t>
      </w:r>
      <w:r>
        <w:rPr/>
        <w:t>。实现归属于上市公司股东净利润</w:t>
      </w:r>
      <w:r>
        <w:rPr>
          <w:spacing w:val="-47"/>
        </w:rPr>
        <w:t> </w:t>
      </w:r>
      <w:r>
        <w:rPr>
          <w:rFonts w:ascii="Times New Roman" w:hAnsi="Times New Roman" w:cs="Times New Roman" w:eastAsia="Times New Roman" w:hint="default"/>
        </w:rPr>
        <w:t>1.34</w:t>
      </w:r>
      <w:r>
        <w:rPr>
          <w:rFonts w:ascii="Times New Roman" w:hAnsi="Times New Roman" w:cs="Times New Roman" w:eastAsia="Times New Roman" w:hint="default"/>
          <w:spacing w:val="-1"/>
        </w:rPr>
        <w:t> </w:t>
      </w:r>
      <w:r>
        <w:rPr/>
        <w:t>亿元，同</w:t>
      </w:r>
    </w:p>
    <w:p>
      <w:pPr>
        <w:pStyle w:val="BodyText"/>
        <w:spacing w:line="240" w:lineRule="auto" w:before="62"/>
        <w:ind w:right="1129"/>
        <w:jc w:val="left"/>
      </w:pPr>
      <w:r>
        <w:rPr/>
        <w:t>比</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年减少</w:t>
      </w:r>
      <w:r>
        <w:rPr>
          <w:spacing w:val="-48"/>
        </w:rPr>
        <w:t> </w:t>
      </w:r>
      <w:r>
        <w:rPr>
          <w:rFonts w:ascii="Times New Roman" w:hAnsi="Times New Roman" w:cs="Times New Roman" w:eastAsia="Times New Roman" w:hint="default"/>
        </w:rPr>
        <w:t>3.92%</w:t>
      </w:r>
      <w:r>
        <w:rPr/>
        <w:t>，扣除股份支付费用影响后实现归属于上市公司股东净利润</w:t>
      </w:r>
      <w:r>
        <w:rPr>
          <w:spacing w:val="-48"/>
        </w:rPr>
        <w:t> </w:t>
      </w:r>
      <w:r>
        <w:rPr>
          <w:rFonts w:ascii="Times New Roman" w:hAnsi="Times New Roman" w:cs="Times New Roman" w:eastAsia="Times New Roman" w:hint="default"/>
        </w:rPr>
        <w:t>1.91</w:t>
      </w:r>
      <w:r>
        <w:rPr>
          <w:rFonts w:ascii="Times New Roman" w:hAnsi="Times New Roman" w:cs="Times New Roman" w:eastAsia="Times New Roman" w:hint="default"/>
          <w:spacing w:val="-2"/>
        </w:rPr>
        <w:t> </w:t>
      </w:r>
      <w:r>
        <w:rPr/>
        <w:t>亿元，同比</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年增长</w:t>
      </w:r>
      <w:r>
        <w:rPr>
          <w:spacing w:val="-48"/>
        </w:rPr>
        <w:t> </w:t>
      </w:r>
      <w:r>
        <w:rPr>
          <w:rFonts w:ascii="Times New Roman" w:hAnsi="Times New Roman" w:cs="Times New Roman" w:eastAsia="Times New Roman" w:hint="default"/>
        </w:rPr>
        <w:t>30%</w:t>
      </w:r>
      <w:r>
        <w:rPr/>
        <w:t>。</w:t>
      </w:r>
    </w:p>
    <w:p>
      <w:pPr>
        <w:pStyle w:val="BodyText"/>
        <w:spacing w:line="300" w:lineRule="auto" w:before="101"/>
        <w:ind w:right="1185"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年公司产业互联网业务发展战略逐步清晰，业务组成主要由基础业务群的电网、燃气行业信息化和创新业务群新 型产业互联网业务构成。</w:t>
      </w:r>
    </w:p>
    <w:p>
      <w:pPr>
        <w:pStyle w:val="BodyText"/>
        <w:spacing w:line="316" w:lineRule="auto" w:before="72"/>
        <w:ind w:right="1034" w:firstLine="360"/>
        <w:jc w:val="left"/>
      </w:pPr>
      <w:r>
        <w:rPr/>
        <w:t>基础业务群继续强化前端市场经营单元作为利润中心的建设，一方面提升前端组织能力建设，确保前端发现得了机会、 </w:t>
      </w:r>
      <w:r>
        <w:rPr>
          <w:spacing w:val="-2"/>
        </w:rPr>
        <w:t>给得出方案，又能高效整合资源保证交付质量。另一方面考核机制上强化经营导向，前端市场经营单元对为客户创造价值和</w:t>
      </w:r>
      <w:r>
        <w:rPr>
          <w:spacing w:val="-63"/>
        </w:rPr>
        <w:t> </w:t>
      </w:r>
      <w:r>
        <w:rPr>
          <w:spacing w:val="-63"/>
        </w:rPr>
      </w:r>
      <w:r>
        <w:rPr>
          <w:spacing w:val="-2"/>
        </w:rPr>
        <w:t>最终交付质量负责，同时对为公司创造利润负责，在此基础上赋予前端市场经营单元调动后端资源的权力，从而保证整个业</w:t>
      </w:r>
      <w:r>
        <w:rPr>
          <w:spacing w:val="-63"/>
        </w:rPr>
        <w:t> </w:t>
      </w:r>
      <w:r>
        <w:rPr>
          <w:spacing w:val="-63"/>
        </w:rPr>
      </w:r>
      <w:r>
        <w:rPr>
          <w:spacing w:val="-2"/>
        </w:rPr>
        <w:t>务群“力出一孔、利出一孔”。后端中后台能力建设上加大了云计算、大数据、物联网和移动应用方面的研究和研发，确保</w:t>
      </w:r>
      <w:r>
        <w:rPr>
          <w:spacing w:val="-72"/>
        </w:rPr>
        <w:t> </w:t>
      </w:r>
      <w:r>
        <w:rPr>
          <w:spacing w:val="-72"/>
        </w:rPr>
      </w:r>
      <w:r>
        <w:rPr/>
        <w:t>了公司的新技术应用引领能力。</w:t>
      </w:r>
    </w:p>
    <w:p>
      <w:pPr>
        <w:pStyle w:val="BodyText"/>
        <w:spacing w:line="300" w:lineRule="auto" w:before="59"/>
        <w:ind w:right="1128"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年基础业务群业务规模增长明显，同比</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年增长</w:t>
      </w:r>
      <w:r>
        <w:rPr>
          <w:spacing w:val="-59"/>
        </w:rPr>
        <w:t> </w:t>
      </w:r>
      <w:r>
        <w:rPr>
          <w:rFonts w:ascii="Times New Roman" w:hAnsi="Times New Roman" w:cs="Times New Roman" w:eastAsia="Times New Roman" w:hint="default"/>
        </w:rPr>
        <w:t>36%</w:t>
      </w:r>
      <w:r>
        <w:rPr/>
        <w:t>，在电力行业公司通过连续几年在新技术应用能力储备和 </w:t>
      </w:r>
      <w:r>
        <w:rPr>
          <w:spacing w:val="-5"/>
        </w:rPr>
        <w:t>业务创新研究上的投入，在行业里保持了领先的地位，从而获得了大量的项目机会。燃气行业基于华润燃气项目的成功，</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年相继承建了多个大型城市燃气项目，并于年底中标中国燃气</w:t>
      </w:r>
      <w:r>
        <w:rPr>
          <w:spacing w:val="-60"/>
        </w:rPr>
        <w:t> </w:t>
      </w:r>
      <w:r>
        <w:rPr>
          <w:rFonts w:ascii="Times New Roman" w:hAnsi="Times New Roman" w:cs="Times New Roman" w:eastAsia="Times New Roman" w:hint="default"/>
        </w:rPr>
        <w:t>CRM</w:t>
      </w:r>
      <w:r>
        <w:rPr>
          <w:rFonts w:ascii="Times New Roman" w:hAnsi="Times New Roman" w:cs="Times New Roman" w:eastAsia="Times New Roman" w:hint="default"/>
          <w:spacing w:val="-15"/>
        </w:rPr>
        <w:t> </w:t>
      </w:r>
      <w:r>
        <w:rPr/>
        <w:t>系统，这标志着公司成功跻身中国燃气行业市场第一阵 营。</w:t>
      </w:r>
    </w:p>
    <w:p>
      <w:pPr>
        <w:pStyle w:val="BodyText"/>
        <w:spacing w:line="309" w:lineRule="auto" w:before="70"/>
        <w:ind w:right="1133"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年公司创新业务群新增了专注于工业互联网业务的瀚云科技，引入了业界具有丰富物联网平台经验的核心开发运 营团队，再结合公司原有的行业应用物联网开发团队，使得瀚云科技团队能力一开始就处于业界领先水平，</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年相继发 布了瀚云工业互联网平台</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版和</w:t>
      </w:r>
      <w:r>
        <w:rPr>
          <w:spacing w:val="-47"/>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版，获得多个有影响力的奖项，建立了领先的市场品牌和地位，应用和设备连接数快 </w:t>
      </w:r>
      <w:r>
        <w:rPr>
          <w:spacing w:val="-2"/>
        </w:rPr>
        <w:t>速增长。新外贸数字服务板块的朗新云商和朗新金关除继续承建国家电子口岸国际贸易单一窗口国家标准版系统外，新承建</w:t>
      </w:r>
      <w:r>
        <w:rPr>
          <w:spacing w:val="-64"/>
        </w:rPr>
        <w:t> </w:t>
      </w:r>
      <w:r>
        <w:rPr>
          <w:spacing w:val="-64"/>
        </w:rPr>
      </w:r>
      <w:r>
        <w:rPr>
          <w:spacing w:val="-2"/>
        </w:rPr>
        <w:t>海关总署全国新旅客通关系统，参与建设新一代海关核心系统，并通过与地方海关、地方口岸以及区域产业集群的合作，进</w:t>
      </w:r>
      <w:r>
        <w:rPr>
          <w:spacing w:val="-66"/>
        </w:rPr>
        <w:t> </w:t>
      </w:r>
      <w:r>
        <w:rPr>
          <w:spacing w:val="-66"/>
        </w:rPr>
      </w:r>
      <w:r>
        <w:rPr>
          <w:spacing w:val="-2"/>
        </w:rPr>
        <w:t>一步拓展了新外贸综合数字服务的战略实现路径。其它创新业务子公司和子业务品牌朗新数据、新耀能源、朗新云筑和朗新</w:t>
      </w:r>
      <w:r>
        <w:rPr>
          <w:spacing w:val="-66"/>
        </w:rPr>
        <w:t> </w:t>
      </w:r>
      <w:r>
        <w:rPr>
          <w:spacing w:val="-66"/>
        </w:rPr>
      </w:r>
      <w:r>
        <w:rPr/>
        <w:t>智元也都在各自领域探索新的业务模式上取得了积极的进展。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60"/>
        <w:ind w:right="1129"/>
        <w:jc w:val="left"/>
        <w:rPr>
          <w:b w:val="0"/>
          <w:bCs w:val="0"/>
        </w:rPr>
      </w:pPr>
      <w:bookmarkStart w:name="二、主营业务分析" w:id="24"/>
      <w:bookmarkEnd w:id="24"/>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bookmarkStart w:name="1、概述" w:id="25"/>
      <w:bookmarkEnd w:id="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6"/>
      <w:bookmarkEnd w:id="26"/>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29"/>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974"/>
        <w:jc w:val="left"/>
      </w:pPr>
      <w:r>
        <w:rPr/>
        <w:t>公司是否需要遵守光伏产业链相关业的披露要求 否</w:t>
      </w:r>
    </w:p>
    <w:p>
      <w:pPr>
        <w:pStyle w:val="BodyText"/>
        <w:spacing w:line="338" w:lineRule="auto" w:before="27"/>
        <w:ind w:right="1397"/>
        <w:jc w:val="left"/>
      </w:pPr>
      <w:r>
        <w:rPr/>
        <w:t>公司是否需遵守《深圳证券交易所创业板行业信息披露指引第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240" w:lineRule="auto" w:before="43"/>
        <w:ind w:right="1129"/>
        <w:jc w:val="left"/>
      </w:pPr>
      <w:r>
        <w:rPr/>
        <w:t>公司是否需遵守《深圳证券交易所创业板行业信息披露指引第</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spacing w:after="0" w:line="24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9"/>
        <w:jc w:val="left"/>
      </w:pPr>
      <w:r>
        <w:rPr/>
        <w:t>否</w:t>
      </w:r>
    </w:p>
    <w:p>
      <w:pPr>
        <w:pStyle w:val="BodyText"/>
        <w:spacing w:line="338" w:lineRule="auto" w:before="117"/>
        <w:ind w:right="1140"/>
        <w:jc w:val="left"/>
      </w:pPr>
      <w:r>
        <w:rPr/>
        <w:t>公司是否需遵守《深圳证券交易所创业板行业信息披露指引第</w:t>
      </w:r>
      <w:r>
        <w:rPr>
          <w:spacing w:val="-46"/>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4"/>
        </w:rPr>
        <w:t> </w:t>
      </w:r>
      <w:r>
        <w:rPr/>
        <w:t>产业链相关业务》的披露要求： 否</w:t>
      </w:r>
    </w:p>
    <w:p>
      <w:pPr>
        <w:pStyle w:val="BodyText"/>
        <w:spacing w:line="340" w:lineRule="auto" w:before="43"/>
        <w:ind w:right="1665"/>
        <w:jc w:val="left"/>
      </w:pPr>
      <w:r>
        <w:rPr/>
        <w:t>公司是否需遵守《深圳证券交易所创业板行业信息披露指引第</w:t>
      </w:r>
      <w:r>
        <w:rPr>
          <w:spacing w:val="-46"/>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 否</w:t>
      </w:r>
    </w:p>
    <w:p>
      <w:pPr>
        <w:pStyle w:val="BodyText"/>
        <w:spacing w:line="340" w:lineRule="auto" w:before="39"/>
        <w:ind w:right="1665"/>
        <w:jc w:val="left"/>
      </w:pPr>
      <w:r>
        <w:rPr/>
        <w:t>公司是否需遵守《深圳证券交易所行业信息披露指引第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上市公司从软件与信息技术服务业务》的披露要求 是</w:t>
      </w:r>
    </w:p>
    <w:p>
      <w:pPr>
        <w:pStyle w:val="BodyText"/>
        <w:spacing w:line="240" w:lineRule="auto" w:before="41"/>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524"/>
        <w:gridCol w:w="1160"/>
        <w:gridCol w:w="1152"/>
        <w:gridCol w:w="1152"/>
        <w:gridCol w:w="1181"/>
        <w:gridCol w:w="1090"/>
        <w:gridCol w:w="1092"/>
        <w:gridCol w:w="1150"/>
        <w:gridCol w:w="1183"/>
      </w:tblGrid>
      <w:tr>
        <w:trPr>
          <w:trHeight w:val="206" w:hRule="exact"/>
        </w:trPr>
        <w:tc>
          <w:tcPr>
            <w:tcW w:w="524" w:type="dxa"/>
            <w:tcBorders>
              <w:top w:val="single" w:sz="4" w:space="0" w:color="000000"/>
              <w:left w:val="single" w:sz="4" w:space="0" w:color="000000"/>
              <w:bottom w:val="nil" w:sz="6" w:space="0" w:color="auto"/>
              <w:right w:val="single" w:sz="4" w:space="0" w:color="000000"/>
            </w:tcBorders>
            <w:shd w:val="clear" w:color="auto" w:fill="D4D4D4"/>
          </w:tcPr>
          <w:p>
            <w:pPr/>
          </w:p>
        </w:tc>
        <w:tc>
          <w:tcPr>
            <w:tcW w:w="4645" w:type="dxa"/>
            <w:gridSpan w:val="4"/>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514" w:type="dxa"/>
            <w:gridSpan w:val="4"/>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2" w:hRule="exact"/>
        </w:trPr>
        <w:tc>
          <w:tcPr>
            <w:tcW w:w="524" w:type="dxa"/>
            <w:vMerge w:val="restart"/>
            <w:tcBorders>
              <w:top w:val="nil" w:sz="6" w:space="0" w:color="auto"/>
              <w:left w:val="single" w:sz="4" w:space="0" w:color="000000"/>
              <w:right w:val="single" w:sz="4" w:space="0" w:color="000000"/>
            </w:tcBorders>
            <w:shd w:val="clear" w:color="auto" w:fill="D4D4D4"/>
          </w:tcPr>
          <w:p>
            <w:pPr/>
          </w:p>
        </w:tc>
        <w:tc>
          <w:tcPr>
            <w:tcW w:w="4645" w:type="dxa"/>
            <w:gridSpan w:val="4"/>
            <w:vMerge/>
            <w:tcBorders>
              <w:left w:val="single" w:sz="4" w:space="0" w:color="000000"/>
              <w:bottom w:val="single" w:sz="4" w:space="0" w:color="000000"/>
              <w:right w:val="single" w:sz="4" w:space="0" w:color="000000"/>
            </w:tcBorders>
            <w:shd w:val="clear" w:color="auto" w:fill="D4D4D4"/>
          </w:tcPr>
          <w:p>
            <w:pPr/>
          </w:p>
        </w:tc>
        <w:tc>
          <w:tcPr>
            <w:tcW w:w="4514" w:type="dxa"/>
            <w:gridSpan w:val="4"/>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524" w:type="dxa"/>
            <w:vMerge/>
            <w:tcBorders>
              <w:left w:val="single" w:sz="4" w:space="0" w:color="000000"/>
              <w:bottom w:val="nil" w:sz="6" w:space="0" w:color="auto"/>
              <w:right w:val="single" w:sz="4" w:space="0" w:color="000000"/>
            </w:tcBorders>
            <w:shd w:val="clear" w:color="auto" w:fill="D4D4D4"/>
          </w:tcPr>
          <w:p>
            <w:pPr/>
          </w:p>
        </w:tc>
        <w:tc>
          <w:tcPr>
            <w:tcW w:w="11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15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1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15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18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7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80"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15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18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4" w:hRule="exact"/>
        </w:trPr>
        <w:tc>
          <w:tcPr>
            <w:tcW w:w="524"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0" w:type="dxa"/>
            <w:vMerge/>
            <w:tcBorders>
              <w:left w:val="single" w:sz="4" w:space="0" w:color="000000"/>
              <w:bottom w:val="single" w:sz="4" w:space="0" w:color="000000"/>
              <w:right w:val="single" w:sz="4" w:space="0" w:color="000000"/>
            </w:tcBorders>
            <w:shd w:val="clear" w:color="auto" w:fill="D4D4D4"/>
          </w:tcPr>
          <w:p>
            <w:pPr/>
          </w:p>
        </w:tc>
        <w:tc>
          <w:tcPr>
            <w:tcW w:w="1152" w:type="dxa"/>
            <w:vMerge/>
            <w:tcBorders>
              <w:left w:val="single" w:sz="4" w:space="0" w:color="000000"/>
              <w:bottom w:val="single" w:sz="4" w:space="0" w:color="000000"/>
              <w:right w:val="single" w:sz="4" w:space="0" w:color="000000"/>
            </w:tcBorders>
            <w:shd w:val="clear" w:color="auto" w:fill="D4D4D4"/>
          </w:tcPr>
          <w:p>
            <w:pPr/>
          </w:p>
        </w:tc>
        <w:tc>
          <w:tcPr>
            <w:tcW w:w="1152" w:type="dxa"/>
            <w:vMerge/>
            <w:tcBorders>
              <w:left w:val="single" w:sz="4" w:space="0" w:color="000000"/>
              <w:bottom w:val="single" w:sz="4" w:space="0" w:color="000000"/>
              <w:right w:val="single" w:sz="4" w:space="0" w:color="000000"/>
            </w:tcBorders>
            <w:shd w:val="clear" w:color="auto" w:fill="D4D4D4"/>
          </w:tcPr>
          <w:p>
            <w:pPr/>
          </w:p>
        </w:tc>
        <w:tc>
          <w:tcPr>
            <w:tcW w:w="1181" w:type="dxa"/>
            <w:vMerge/>
            <w:tcBorders>
              <w:left w:val="single" w:sz="4" w:space="0" w:color="000000"/>
              <w:bottom w:val="single" w:sz="4" w:space="0" w:color="000000"/>
              <w:right w:val="single" w:sz="4" w:space="0" w:color="000000"/>
            </w:tcBorders>
            <w:shd w:val="clear" w:color="auto" w:fill="D4D4D4"/>
          </w:tcPr>
          <w:p>
            <w:pPr/>
          </w:p>
        </w:tc>
        <w:tc>
          <w:tcPr>
            <w:tcW w:w="1090" w:type="dxa"/>
            <w:vMerge/>
            <w:tcBorders>
              <w:left w:val="single" w:sz="4" w:space="0" w:color="000000"/>
              <w:bottom w:val="single" w:sz="4" w:space="0" w:color="000000"/>
              <w:right w:val="single" w:sz="4" w:space="0" w:color="000000"/>
            </w:tcBorders>
            <w:shd w:val="clear" w:color="auto" w:fill="D4D4D4"/>
          </w:tcPr>
          <w:p>
            <w:pPr/>
          </w:p>
        </w:tc>
        <w:tc>
          <w:tcPr>
            <w:tcW w:w="1092" w:type="dxa"/>
            <w:vMerge/>
            <w:tcBorders>
              <w:left w:val="single" w:sz="4" w:space="0" w:color="000000"/>
              <w:bottom w:val="single" w:sz="4" w:space="0" w:color="000000"/>
              <w:right w:val="single" w:sz="4" w:space="0" w:color="000000"/>
            </w:tcBorders>
            <w:shd w:val="clear" w:color="auto" w:fill="D4D4D4"/>
          </w:tcPr>
          <w:p>
            <w:pPr/>
          </w:p>
        </w:tc>
        <w:tc>
          <w:tcPr>
            <w:tcW w:w="1150" w:type="dxa"/>
            <w:vMerge/>
            <w:tcBorders>
              <w:left w:val="single" w:sz="4" w:space="0" w:color="000000"/>
              <w:bottom w:val="single" w:sz="4" w:space="0" w:color="000000"/>
              <w:right w:val="single" w:sz="4" w:space="0" w:color="000000"/>
            </w:tcBorders>
            <w:shd w:val="clear" w:color="auto" w:fill="D4D4D4"/>
          </w:tcPr>
          <w:p>
            <w:pPr/>
          </w:p>
        </w:tc>
        <w:tc>
          <w:tcPr>
            <w:tcW w:w="1183"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0"/>
              <w:jc w:val="left"/>
              <w:rPr>
                <w:rFonts w:ascii="宋体" w:hAnsi="宋体" w:cs="宋体" w:eastAsia="宋体" w:hint="default"/>
                <w:sz w:val="18"/>
                <w:szCs w:val="18"/>
              </w:rPr>
            </w:pPr>
            <w:r>
              <w:rPr>
                <w:rFonts w:ascii="宋体" w:hAnsi="宋体" w:cs="宋体" w:eastAsia="宋体" w:hint="default"/>
                <w:sz w:val="18"/>
                <w:szCs w:val="18"/>
              </w:rPr>
              <w:t>营业 收入</w:t>
            </w:r>
          </w:p>
        </w:tc>
        <w:tc>
          <w:tcPr>
            <w:tcW w:w="116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54,938,383.59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47,423,878.88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93,297,577.15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819,815,699.84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61,132,719.13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66,198,930.54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84,255,151.91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571,348,239.46</w:t>
            </w:r>
            <w:r>
              <w:rPr>
                <w:rFonts w:ascii="Times New Roman"/>
                <w:sz w:val="18"/>
              </w:rPr>
            </w:r>
          </w:p>
        </w:tc>
      </w:tr>
      <w:tr>
        <w:trPr>
          <w:trHeight w:val="2273" w:hRule="exact"/>
        </w:trPr>
        <w:tc>
          <w:tcPr>
            <w:tcW w:w="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0"/>
              <w:jc w:val="both"/>
              <w:rPr>
                <w:rFonts w:ascii="宋体" w:hAnsi="宋体" w:cs="宋体" w:eastAsia="宋体" w:hint="default"/>
                <w:sz w:val="18"/>
                <w:szCs w:val="18"/>
              </w:rPr>
            </w:pPr>
            <w:r>
              <w:rPr>
                <w:rFonts w:ascii="宋体" w:hAnsi="宋体" w:cs="宋体" w:eastAsia="宋体" w:hint="default"/>
                <w:sz w:val="18"/>
                <w:szCs w:val="18"/>
              </w:rPr>
              <w:t>归属 于上 市公 司股 东的 净利 润</w:t>
            </w:r>
          </w:p>
        </w:tc>
        <w:tc>
          <w:tcPr>
            <w:tcW w:w="116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-25,084,680.81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-50,630,727.84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-28,826,722.14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238,225,177.55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28,095.65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869,341.48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-18,754,205.48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156,993,604.81</w:t>
            </w:r>
            <w:r>
              <w:rPr>
                <w:rFonts w:ascii="Times New Roman"/>
                <w:sz w:val="18"/>
              </w:rPr>
            </w:r>
          </w:p>
        </w:tc>
      </w:tr>
    </w:tbl>
    <w:p>
      <w:pPr>
        <w:spacing w:line="367" w:lineRule="auto" w:before="49"/>
        <w:ind w:left="152" w:right="1129" w:firstLine="0"/>
        <w:jc w:val="left"/>
        <w:rPr>
          <w:rFonts w:ascii="宋体" w:hAnsi="宋体" w:cs="宋体" w:eastAsia="宋体" w:hint="default"/>
          <w:sz w:val="16"/>
          <w:szCs w:val="16"/>
        </w:rPr>
      </w:pPr>
      <w:r>
        <w:rPr>
          <w:rFonts w:ascii="宋体" w:hAnsi="宋体" w:cs="宋体" w:eastAsia="宋体" w:hint="default"/>
          <w:sz w:val="18"/>
          <w:szCs w:val="18"/>
        </w:rPr>
        <w:t>说明经营季节性（或周期性）发生的原因及波动风险 </w:t>
      </w:r>
      <w:r>
        <w:rPr>
          <w:rFonts w:ascii="宋体" w:hAnsi="宋体" w:cs="宋体" w:eastAsia="宋体" w:hint="default"/>
          <w:spacing w:val="-1"/>
          <w:sz w:val="16"/>
          <w:szCs w:val="16"/>
        </w:rPr>
        <w:t>公司的营业收入具有较强的季节性波动，由于每年的大部分合同和收入集中在第四季度签订和实现，而各项费用是随着业务和管理活动的</w:t>
      </w:r>
      <w:r>
        <w:rPr>
          <w:rFonts w:ascii="宋体" w:hAnsi="宋体" w:cs="宋体" w:eastAsia="宋体" w:hint="default"/>
          <w:spacing w:val="-29"/>
          <w:sz w:val="16"/>
          <w:szCs w:val="16"/>
        </w:rPr>
        <w:t> </w:t>
      </w:r>
      <w:r>
        <w:rPr>
          <w:rFonts w:ascii="宋体" w:hAnsi="宋体" w:cs="宋体" w:eastAsia="宋体" w:hint="default"/>
          <w:spacing w:val="-29"/>
          <w:sz w:val="16"/>
          <w:szCs w:val="16"/>
        </w:rPr>
      </w:r>
      <w:r>
        <w:rPr>
          <w:rFonts w:ascii="宋体" w:hAnsi="宋体" w:cs="宋体" w:eastAsia="宋体" w:hint="default"/>
          <w:sz w:val="16"/>
          <w:szCs w:val="16"/>
        </w:rPr>
        <w:t>正常开展而发生的，成本支出并没有明显的季节性波动，因此前三季度公司的净利润为负。</w:t>
      </w:r>
    </w:p>
    <w:p>
      <w:pPr>
        <w:spacing w:line="240" w:lineRule="auto" w:before="7"/>
        <w:rPr>
          <w:rFonts w:ascii="宋体" w:hAnsi="宋体" w:cs="宋体" w:eastAsia="宋体" w:hint="default"/>
          <w:sz w:val="23"/>
          <w:szCs w:val="23"/>
        </w:rPr>
      </w:pPr>
    </w:p>
    <w:p>
      <w:pPr>
        <w:pStyle w:val="BodyText"/>
        <w:spacing w:line="240" w:lineRule="auto" w:before="44"/>
        <w:ind w:right="1129"/>
        <w:jc w:val="left"/>
      </w:pPr>
      <w:r>
        <w:rPr/>
        <w:t>营业收入整体情况</w:t>
      </w:r>
    </w:p>
    <w:p>
      <w:pPr>
        <w:pStyle w:val="BodyText"/>
        <w:spacing w:line="240" w:lineRule="auto" w:before="115"/>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318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4D4D4"/>
          </w:tcPr>
          <w:p>
            <w:pPr/>
          </w:p>
        </w:tc>
        <w:tc>
          <w:tcPr>
            <w:tcW w:w="3184" w:type="dxa"/>
            <w:gridSpan w:val="2"/>
            <w:vMerge/>
            <w:tcBorders>
              <w:left w:val="single" w:sz="4" w:space="0" w:color="000000"/>
              <w:bottom w:val="single" w:sz="4" w:space="0" w:color="000000"/>
              <w:right w:val="single" w:sz="4" w:space="0" w:color="000000"/>
            </w:tcBorders>
            <w:shd w:val="clear" w:color="auto" w:fill="D4D4D4"/>
          </w:tcPr>
          <w:p>
            <w:pPr/>
          </w:p>
        </w:tc>
        <w:tc>
          <w:tcPr>
            <w:tcW w:w="3186" w:type="dxa"/>
            <w:gridSpan w:val="2"/>
            <w:vMerge/>
            <w:tcBorders>
              <w:left w:val="single" w:sz="4" w:space="0" w:color="000000"/>
              <w:bottom w:val="single" w:sz="4" w:space="0" w:color="000000"/>
              <w:right w:val="single" w:sz="4" w:space="0" w:color="000000"/>
            </w:tcBorders>
            <w:shd w:val="clear" w:color="auto" w:fill="D4D4D4"/>
          </w:tcPr>
          <w:p>
            <w:pPr/>
          </w:p>
        </w:tc>
        <w:tc>
          <w:tcPr>
            <w:tcW w:w="15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1" w:type="dxa"/>
            <w:vMerge/>
            <w:tcBorders>
              <w:left w:val="single" w:sz="4" w:space="0" w:color="000000"/>
              <w:bottom w:val="single" w:sz="4" w:space="0" w:color="000000"/>
              <w:right w:val="single" w:sz="4" w:space="0" w:color="000000"/>
            </w:tcBorders>
            <w:shd w:val="clear" w:color="auto" w:fill="D4D4D4"/>
          </w:tcPr>
          <w:p>
            <w:pPr/>
          </w:p>
        </w:tc>
        <w:tc>
          <w:tcPr>
            <w:tcW w:w="1599" w:type="dxa"/>
            <w:vMerge/>
            <w:tcBorders>
              <w:left w:val="single" w:sz="4" w:space="0" w:color="000000"/>
              <w:bottom w:val="single" w:sz="4" w:space="0" w:color="000000"/>
              <w:right w:val="single" w:sz="4" w:space="0" w:color="000000"/>
            </w:tcBorders>
            <w:shd w:val="clear" w:color="auto" w:fill="D4D4D4"/>
          </w:tcPr>
          <w:p>
            <w:pPr/>
          </w:p>
        </w:tc>
        <w:tc>
          <w:tcPr>
            <w:tcW w:w="1588" w:type="dxa"/>
            <w:vMerge/>
            <w:tcBorders>
              <w:left w:val="single" w:sz="4" w:space="0" w:color="000000"/>
              <w:bottom w:val="single" w:sz="4" w:space="0" w:color="000000"/>
              <w:right w:val="single" w:sz="4" w:space="0" w:color="000000"/>
            </w:tcBorders>
            <w:shd w:val="clear" w:color="auto" w:fill="D4D4D4"/>
          </w:tcPr>
          <w:p>
            <w:pPr/>
          </w:p>
        </w:tc>
        <w:tc>
          <w:tcPr>
            <w:tcW w:w="1597"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1,015,475,539.46</w:t>
            </w:r>
          </w:p>
        </w:tc>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782,935,041.04</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29.70%</w:t>
            </w:r>
          </w:p>
        </w:tc>
      </w:tr>
      <w:tr>
        <w:trPr>
          <w:trHeight w:val="398"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827,698,434.30</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81.51%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624,679,211.28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79.79%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32.50%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非电力行业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187,777,105.16</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18.49%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158,255,829.76</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20.21%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18.65%</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定制软件开发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860,161,087.30</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84.71%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667,988,463.49</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85.32%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28.77%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维护服务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88,527,100.97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71,279,891.17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24.20%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第三方软硬件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64,489,445.41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42,452,496.12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51.91%</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2,297,905.78</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1,214,190.26</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89.25%</w:t>
            </w:r>
          </w:p>
        </w:tc>
      </w:tr>
      <w:tr>
        <w:trPr>
          <w:trHeight w:val="403"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340,432,363.71</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33.52%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260,764,050.51</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33.31%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30.55%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109,047,484.77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61,067,764.93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78.57%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261,384,920.84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25.74%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241,029,769.83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8.45%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113,749,427.55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11.20%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110,036,702.00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68,535,853.73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35,279,803.07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94.26%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88,635,463.48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49,602,795.30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78.69%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33,690,025.38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25,154,155.40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33.93%</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0"/>
        </w:sectPr>
      </w:pPr>
    </w:p>
    <w:p>
      <w:pPr>
        <w:pStyle w:val="BodyText"/>
        <w:spacing w:line="348" w:lineRule="auto" w:before="44"/>
        <w:ind w:right="58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公司是否需要遵守特殊行业的披露要求 是</w:t>
      </w:r>
    </w:p>
    <w:p>
      <w:pPr>
        <w:pStyle w:val="BodyText"/>
        <w:spacing w:line="240" w:lineRule="auto" w:before="36"/>
        <w:ind w:right="5832"/>
        <w:jc w:val="left"/>
      </w:pPr>
      <w:r>
        <w:rPr/>
        <w:t>软件与信息技术服务业</w:t>
      </w:r>
    </w:p>
    <w:p>
      <w:pPr>
        <w:pStyle w:val="BodyText"/>
        <w:spacing w:line="240" w:lineRule="auto" w:before="115"/>
        <w:ind w:right="-17"/>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left="-33" w:right="0"/>
        <w:jc w:val="left"/>
      </w:pPr>
      <w:r>
        <w:rPr/>
        <w:t>单位：元</w:t>
      </w:r>
    </w:p>
    <w:p>
      <w:pPr>
        <w:spacing w:after="0" w:line="240" w:lineRule="auto"/>
        <w:jc w:val="left"/>
        <w:sectPr>
          <w:type w:val="continuous"/>
          <w:pgSz w:w="11910" w:h="16840"/>
          <w:pgMar w:top="1060" w:bottom="1180" w:left="980" w:right="0"/>
          <w:cols w:num="2" w:equalWidth="0">
            <w:col w:w="9065" w:space="40"/>
            <w:col w:w="1825"/>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827,698,434.30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382,674,696.86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非电力行业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187,777,105.16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127,281,666.14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42.13%</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定制软件开发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860,161,087.30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414,523,379.86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28.77%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维护服务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88,527,100.97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39,742,900.27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55.11%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24.20%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10.78%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第三方软硬件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64,489,445.41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53,392,177.09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53.63%</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340,432,363.71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174,878,055.00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-11.00%</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109,047,484.77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55,307,047.55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53.62%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261,384,920.84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126,642,329.76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113,749,427.55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63,211,289.20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68,535,853.73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34,688,848.91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94.26%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-39.06%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88,635,463.48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36,895,725.75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103.11%</w:t>
            </w:r>
            <w:r>
              <w:rPr>
                <w:rFonts w:ascii="Times New Roman"/>
                <w:w w:val="95"/>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33,690,025.38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18,333,066.83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33.93%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21.70%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13.64%</w:t>
            </w:r>
          </w:p>
        </w:tc>
      </w:tr>
    </w:tbl>
    <w:p>
      <w:pPr>
        <w:pStyle w:val="BodyText"/>
        <w:spacing w:line="240" w:lineRule="auto" w:before="49"/>
        <w:ind w:right="1129"/>
        <w:jc w:val="left"/>
      </w:pPr>
      <w:r>
        <w:rPr/>
        <w:t>公司主营业务数据统计口径在报告期发生调整的情况下，公司最近</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29"/>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9"/>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0"/>
        </w:sectPr>
      </w:pPr>
    </w:p>
    <w:p>
      <w:pPr>
        <w:pStyle w:val="BodyText"/>
        <w:spacing w:line="338" w:lineRule="auto" w:before="44"/>
        <w:ind w:right="-17"/>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3" w:right="0"/>
        <w:jc w:val="left"/>
      </w:pPr>
      <w:r>
        <w:rPr/>
        <w:t>单位：元</w:t>
      </w:r>
    </w:p>
    <w:p>
      <w:pPr>
        <w:spacing w:after="0" w:line="240" w:lineRule="auto"/>
        <w:jc w:val="left"/>
        <w:sectPr>
          <w:type w:val="continuous"/>
          <w:pgSz w:w="11910" w:h="16840"/>
          <w:pgMar w:top="1060" w:bottom="1180" w:left="980" w:right="0"/>
          <w:cols w:num="2" w:equalWidth="0">
            <w:col w:w="9065" w:space="40"/>
            <w:col w:w="1825"/>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同比增减金额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229,880,890.89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45.29%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192,834,365.72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37,046,525.17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248,531,408.52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48.96%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169,657,666.63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78,873,741.89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1,747,924.45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1,657,679.96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90,244.49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会议及招待费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706,392.38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453,193.32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253,199.06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办公及通信费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2,408,290.86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2,173,998.04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234,292.82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24,383,550.12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19,868,551.55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4,514,998.57</w:t>
            </w:r>
            <w:r>
              <w:rPr>
                <w:rFonts w:ascii="Times New Roman"/>
                <w:sz w:val="18"/>
              </w:rPr>
            </w:r>
          </w:p>
        </w:tc>
      </w:tr>
    </w:tbl>
    <w:p>
      <w:pPr>
        <w:pStyle w:val="BodyText"/>
        <w:spacing w:line="240" w:lineRule="auto" w:before="49"/>
        <w:ind w:right="1129"/>
        <w:jc w:val="left"/>
      </w:pPr>
      <w:r>
        <w:rPr/>
        <w:t>产品分类</w:t>
      </w:r>
    </w:p>
    <w:p>
      <w:pPr>
        <w:pStyle w:val="BodyText"/>
        <w:spacing w:line="240" w:lineRule="auto" w:before="115"/>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定制软件开发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414,523,379.86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81.29%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313,124,348.84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32.38%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39,742,900.27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35,823,789.34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第三方软硬件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53,392,177.09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37,697,317.04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41.63%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2,297,905.78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1,214,190.26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58.75%</w:t>
            </w:r>
          </w:p>
        </w:tc>
      </w:tr>
    </w:tbl>
    <w:p>
      <w:pPr>
        <w:pStyle w:val="BodyText"/>
        <w:spacing w:line="240" w:lineRule="auto" w:before="49"/>
        <w:ind w:right="1129"/>
        <w:jc w:val="left"/>
      </w:pPr>
      <w:r>
        <w:rPr/>
        <w:t>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w:t>
      </w: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13</w:t>
      </w:r>
      <w:r>
        <w:rPr>
          <w:spacing w:val="-2"/>
        </w:rPr>
        <w:t>日，本公司与无锡智丰投资合伙企业（有限合伙）及无锡智哲投资合伙企业（有限合伙）以</w:t>
      </w:r>
      <w:r>
        <w:rPr>
          <w:rFonts w:ascii="Times New Roman" w:hAnsi="Times New Roman" w:cs="Times New Roman" w:eastAsia="Times New Roman" w:hint="default"/>
          <w:spacing w:val="-2"/>
        </w:rPr>
        <w:t>60%</w:t>
      </w:r>
      <w:r>
        <w:rPr>
          <w:spacing w:val="-2"/>
        </w:rPr>
        <w:t>、</w:t>
      </w:r>
      <w:r>
        <w:rPr>
          <w:rFonts w:ascii="Times New Roman" w:hAnsi="Times New Roman" w:cs="Times New Roman" w:eastAsia="Times New Roman" w:hint="default"/>
          <w:spacing w:val="-2"/>
        </w:rPr>
        <w:t>10%</w:t>
      </w:r>
      <w:r>
        <w:rPr>
          <w:spacing w:val="-2"/>
        </w:rPr>
        <w:t>及</w:t>
      </w:r>
      <w:r>
        <w:rPr>
          <w:rFonts w:ascii="Times New Roman" w:hAnsi="Times New Roman" w:cs="Times New Roman" w:eastAsia="Times New Roman" w:hint="default"/>
          <w:spacing w:val="-2"/>
        </w:rPr>
        <w:t>30%</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的持股比例共同发起设立瀚云科技有限公司（以下简称</w:t>
      </w:r>
      <w:r>
        <w:rPr>
          <w:rFonts w:ascii="Times New Roman" w:hAnsi="Times New Roman" w:cs="Times New Roman" w:eastAsia="Times New Roman" w:hint="default"/>
        </w:rPr>
        <w:t>“</w:t>
      </w:r>
      <w:r>
        <w:rPr/>
        <w:t>瀚云科技</w:t>
      </w:r>
      <w:r>
        <w:rPr>
          <w:rFonts w:ascii="Times New Roman" w:hAnsi="Times New Roman" w:cs="Times New Roman" w:eastAsia="Times New Roman" w:hint="default"/>
        </w:rPr>
        <w:t>”</w:t>
      </w:r>
      <w:r>
        <w:rPr/>
        <w:t>），瀚云科技注册资本</w:t>
      </w:r>
      <w:r>
        <w:rPr>
          <w:rFonts w:ascii="Times New Roman" w:hAnsi="Times New Roman" w:cs="Times New Roman" w:eastAsia="Times New Roman" w:hint="default"/>
        </w:rPr>
        <w:t>150,000,000.00</w:t>
      </w:r>
      <w:r>
        <w:rPr/>
        <w:t>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p>
    <w:p>
      <w:pPr>
        <w:pStyle w:val="BodyText"/>
        <w:spacing w:line="600" w:lineRule="auto"/>
        <w:ind w:right="1124"/>
        <w:jc w:val="left"/>
        <w:rPr>
          <w:rFonts w:ascii="Times New Roman" w:hAnsi="Times New Roman" w:cs="Times New Roman" w:eastAsia="Times New Roman" w:hint="default"/>
        </w:rPr>
      </w:pPr>
      <w:r>
        <w:rPr/>
        <w:t>月</w:t>
      </w:r>
      <w:r>
        <w:rPr>
          <w:rFonts w:ascii="Times New Roman" w:hAnsi="Times New Roman" w:cs="Times New Roman" w:eastAsia="Times New Roman" w:hint="default"/>
        </w:rPr>
        <w:t>31</w:t>
      </w:r>
      <w:r>
        <w:rPr/>
        <w:t>日已实缴出资</w:t>
      </w:r>
      <w:r>
        <w:rPr>
          <w:rFonts w:ascii="Times New Roman" w:hAnsi="Times New Roman" w:cs="Times New Roman" w:eastAsia="Times New Roman" w:hint="default"/>
        </w:rPr>
        <w:t>5,000,000.00</w:t>
      </w:r>
      <w:r>
        <w:rPr/>
        <w:t>元，为受本公司控制的子公司，纳入合并范围。 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日，本公司与无锡智丰投资合伙企业（有限合伙）及无锡智林投资合伙企业（有限合伙）以</w:t>
      </w:r>
      <w:r>
        <w:rPr>
          <w:rFonts w:ascii="Times New Roman" w:hAnsi="Times New Roman" w:cs="Times New Roman" w:eastAsia="Times New Roman" w:hint="default"/>
        </w:rPr>
        <w:t>51%</w:t>
      </w:r>
      <w:r>
        <w:rPr/>
        <w:t>、</w:t>
      </w:r>
      <w:r>
        <w:rPr>
          <w:rFonts w:ascii="Times New Roman" w:hAnsi="Times New Roman" w:cs="Times New Roman" w:eastAsia="Times New Roman" w:hint="default"/>
        </w:rPr>
        <w:t>14%</w:t>
      </w:r>
      <w:r>
        <w:rPr/>
        <w:t>及</w:t>
      </w:r>
      <w:r>
        <w:rPr>
          <w:rFonts w:ascii="Times New Roman" w:hAnsi="Times New Roman" w:cs="Times New Roman" w:eastAsia="Times New Roman" w:hint="default"/>
        </w:rPr>
        <w:t>35%</w:t>
      </w:r>
    </w:p>
    <w:p>
      <w:pPr>
        <w:spacing w:after="0" w:line="600" w:lineRule="auto"/>
        <w:jc w:val="left"/>
        <w:rPr>
          <w:rFonts w:ascii="Times New Roman" w:hAnsi="Times New Roman" w:cs="Times New Roman" w:eastAsia="Times New Roman" w:hint="default"/>
        </w:rPr>
        <w:sectPr>
          <w:type w:val="continuous"/>
          <w:pgSz w:w="11910" w:h="16840"/>
          <w:pgMar w:top="1060" w:bottom="1180" w:left="980" w:right="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986"/>
        <w:jc w:val="left"/>
      </w:pPr>
      <w:r>
        <w:rPr/>
        <w:t>的持股比例共同发起设立朗新智元有限公司（以下简称</w:t>
      </w:r>
      <w:r>
        <w:rPr>
          <w:rFonts w:ascii="Times New Roman" w:hAnsi="Times New Roman" w:cs="Times New Roman" w:eastAsia="Times New Roman" w:hint="default"/>
        </w:rPr>
        <w:t>“</w:t>
      </w:r>
      <w:r>
        <w:rPr/>
        <w:t>朗新智元</w:t>
      </w:r>
      <w:r>
        <w:rPr>
          <w:rFonts w:ascii="Times New Roman" w:hAnsi="Times New Roman" w:cs="Times New Roman" w:eastAsia="Times New Roman" w:hint="default"/>
        </w:rPr>
        <w:t>”</w:t>
      </w:r>
      <w:r>
        <w:rPr/>
        <w:t>），朗新智元注册资本</w:t>
      </w:r>
      <w:r>
        <w:rPr>
          <w:rFonts w:ascii="Times New Roman" w:hAnsi="Times New Roman" w:cs="Times New Roman" w:eastAsia="Times New Roman" w:hint="default"/>
        </w:rPr>
        <w:t>50,000,000.00</w:t>
      </w:r>
      <w:r>
        <w:rPr/>
        <w:t>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p>
    <w:p>
      <w:pPr>
        <w:pStyle w:val="BodyText"/>
        <w:spacing w:line="240" w:lineRule="auto" w:before="62"/>
        <w:ind w:right="1129"/>
        <w:jc w:val="left"/>
      </w:pPr>
      <w:r>
        <w:rPr>
          <w:rFonts w:ascii="Times New Roman" w:hAnsi="Times New Roman" w:cs="Times New Roman" w:eastAsia="Times New Roman" w:hint="default"/>
        </w:rPr>
        <w:t>31</w:t>
      </w:r>
      <w:r>
        <w:rPr/>
        <w:t>日尚未实际出资，为受本公司控制的子公司，纳入合并范围。</w:t>
      </w:r>
    </w:p>
    <w:p>
      <w:pPr>
        <w:spacing w:line="240" w:lineRule="auto" w:before="0"/>
        <w:rPr>
          <w:rFonts w:ascii="宋体" w:hAnsi="宋体" w:cs="宋体" w:eastAsia="宋体" w:hint="default"/>
          <w:sz w:val="18"/>
          <w:szCs w:val="18"/>
        </w:rPr>
      </w:pPr>
    </w:p>
    <w:p>
      <w:pPr>
        <w:pStyle w:val="BodyText"/>
        <w:spacing w:line="300" w:lineRule="auto" w:before="139"/>
        <w:ind w:right="1130" w:hanging="1"/>
        <w:jc w:val="both"/>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 </w:t>
      </w:r>
      <w:r>
        <w:rPr>
          <w:spacing w:val="-2"/>
        </w:rPr>
        <w:t>，本公司与无锡智丰投资合伙企业（有限合伙）及无锡智骏投资合伙企业（有限合伙）以</w:t>
      </w:r>
      <w:r>
        <w:rPr>
          <w:rFonts w:ascii="Times New Roman" w:hAnsi="Times New Roman" w:cs="Times New Roman" w:eastAsia="Times New Roman" w:hint="default"/>
          <w:spacing w:val="-2"/>
        </w:rPr>
        <w:t>51%</w:t>
      </w:r>
      <w:r>
        <w:rPr>
          <w:spacing w:val="-2"/>
        </w:rPr>
        <w:t>、</w:t>
      </w:r>
      <w:r>
        <w:rPr>
          <w:rFonts w:ascii="Times New Roman" w:hAnsi="Times New Roman" w:cs="Times New Roman" w:eastAsia="Times New Roman" w:hint="default"/>
          <w:spacing w:val="-2"/>
        </w:rPr>
        <w:t>14%</w:t>
      </w:r>
      <w:r>
        <w:rPr>
          <w:spacing w:val="-2"/>
        </w:rPr>
        <w:t>及</w:t>
      </w:r>
      <w:r>
        <w:rPr>
          <w:rFonts w:ascii="Times New Roman" w:hAnsi="Times New Roman" w:cs="Times New Roman" w:eastAsia="Times New Roman" w:hint="default"/>
          <w:spacing w:val="-2"/>
        </w:rPr>
        <w:t>35%</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spacing w:val="-1"/>
        </w:rPr>
        <w:t>的持股比例共同发起设立云筑智联科技有限公司（以下简称</w:t>
      </w:r>
      <w:r>
        <w:rPr>
          <w:rFonts w:ascii="Times New Roman" w:hAnsi="Times New Roman" w:cs="Times New Roman" w:eastAsia="Times New Roman" w:hint="default"/>
          <w:spacing w:val="-1"/>
        </w:rPr>
        <w:t>“</w:t>
      </w:r>
      <w:r>
        <w:rPr>
          <w:spacing w:val="-1"/>
        </w:rPr>
        <w:t>云筑智联</w:t>
      </w:r>
      <w:r>
        <w:rPr>
          <w:rFonts w:ascii="Times New Roman" w:hAnsi="Times New Roman" w:cs="Times New Roman" w:eastAsia="Times New Roman" w:hint="default"/>
          <w:spacing w:val="-1"/>
        </w:rPr>
        <w:t>”</w:t>
      </w:r>
      <w:r>
        <w:rPr>
          <w:spacing w:val="-1"/>
        </w:rPr>
        <w:t>），云筑智联注册资本</w:t>
      </w:r>
      <w:r>
        <w:rPr>
          <w:rFonts w:ascii="Times New Roman" w:hAnsi="Times New Roman" w:cs="Times New Roman" w:eastAsia="Times New Roman" w:hint="default"/>
          <w:spacing w:val="-1"/>
        </w:rPr>
        <w:t>50,000,000.00</w:t>
      </w:r>
      <w:r>
        <w:rPr>
          <w:spacing w:val="-1"/>
        </w:rPr>
        <w:t>元，截至</w:t>
      </w:r>
      <w:r>
        <w:rPr>
          <w:rFonts w:ascii="Times New Roman" w:hAnsi="Times New Roman" w:cs="Times New Roman" w:eastAsia="Times New Roman" w:hint="default"/>
          <w:spacing w:val="-1"/>
        </w:rPr>
        <w:t>2018</w:t>
      </w:r>
      <w:r>
        <w:rPr>
          <w:spacing w:val="-1"/>
        </w:rPr>
        <w:t>年</w:t>
      </w:r>
      <w:r>
        <w:rPr>
          <w:spacing w:val="-51"/>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日尚未实际出资，为受本公司控制的子公司，纳入合并范围。</w:t>
      </w:r>
    </w:p>
    <w:p>
      <w:pPr>
        <w:pStyle w:val="BodyText"/>
        <w:spacing w:line="624" w:lineRule="exact" w:before="36"/>
        <w:ind w:right="1124"/>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日，本公司之全资子公司天正信华注销，业务、资产负债全部由母公司朗新科技承接。 根据无锡智丰投资合伙企业（有限合伙）于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日经修订的合伙协议，本公司之子公司朗新投资管理无锡有限公司</w:t>
      </w:r>
    </w:p>
    <w:p>
      <w:pPr>
        <w:pStyle w:val="BodyText"/>
        <w:spacing w:line="226" w:lineRule="exact"/>
        <w:ind w:right="986"/>
        <w:jc w:val="left"/>
      </w:pPr>
      <w:r>
        <w:rPr/>
        <w:t>（以下简称</w:t>
      </w:r>
      <w:r>
        <w:rPr>
          <w:rFonts w:ascii="Times New Roman" w:hAnsi="Times New Roman" w:cs="Times New Roman" w:eastAsia="Times New Roman" w:hint="default"/>
        </w:rPr>
        <w:t>“</w:t>
      </w:r>
      <w:r>
        <w:rPr/>
        <w:t>朗新投资管理</w:t>
      </w:r>
      <w:r>
        <w:rPr>
          <w:rFonts w:ascii="Times New Roman" w:hAnsi="Times New Roman" w:cs="Times New Roman" w:eastAsia="Times New Roman" w:hint="default"/>
        </w:rPr>
        <w:t>”</w:t>
      </w:r>
      <w:r>
        <w:rPr/>
        <w:t>）与有限合伙人郑新标分别增资</w:t>
      </w:r>
      <w:r>
        <w:rPr>
          <w:rFonts w:ascii="Times New Roman" w:hAnsi="Times New Roman" w:cs="Times New Roman" w:eastAsia="Times New Roman" w:hint="default"/>
        </w:rPr>
        <w:t>105.70</w:t>
      </w:r>
      <w:r>
        <w:rPr/>
        <w:t>万元及</w:t>
      </w:r>
      <w:r>
        <w:rPr>
          <w:rFonts w:ascii="Times New Roman" w:hAnsi="Times New Roman" w:cs="Times New Roman" w:eastAsia="Times New Roman" w:hint="default"/>
        </w:rPr>
        <w:t>84.30</w:t>
      </w:r>
      <w:r>
        <w:rPr/>
        <w:t>万元。增资完成后，朗新投资管理享有合伙企</w:t>
      </w:r>
    </w:p>
    <w:p>
      <w:pPr>
        <w:pStyle w:val="BodyText"/>
        <w:spacing w:line="300" w:lineRule="auto" w:before="62"/>
        <w:ind w:right="1184"/>
        <w:jc w:val="left"/>
      </w:pPr>
      <w:r>
        <w:rPr/>
        <w:t>业</w:t>
      </w:r>
      <w:r>
        <w:rPr>
          <w:rFonts w:ascii="Times New Roman" w:hAnsi="Times New Roman" w:cs="Times New Roman" w:eastAsia="Times New Roman" w:hint="default"/>
        </w:rPr>
        <w:t>20%</w:t>
      </w:r>
      <w:r>
        <w:rPr/>
        <w:t>的份额，并作为普通合伙人代表合伙企业执行合伙事务，能够控制无锡智丰，纳入合并范围。 由于无锡智丰分别持有新耀能源、瀚云科技、朗新云商、朗新数据、朗新智元及云筑智联</w:t>
      </w:r>
      <w:r>
        <w:rPr>
          <w:rFonts w:ascii="Times New Roman" w:hAnsi="Times New Roman" w:cs="Times New Roman" w:eastAsia="Times New Roman" w:hint="default"/>
        </w:rPr>
        <w:t>15%</w:t>
      </w: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14%</w:t>
      </w:r>
      <w:r>
        <w:rPr/>
        <w:t>、</w:t>
      </w:r>
      <w:r>
        <w:rPr>
          <w:rFonts w:ascii="Times New Roman" w:hAnsi="Times New Roman" w:cs="Times New Roman" w:eastAsia="Times New Roman" w:hint="default"/>
        </w:rPr>
        <w:t>15%</w:t>
      </w:r>
      <w:r>
        <w:rPr/>
        <w:t>、</w:t>
      </w:r>
      <w:r>
        <w:rPr>
          <w:rFonts w:ascii="Times New Roman" w:hAnsi="Times New Roman" w:cs="Times New Roman" w:eastAsia="Times New Roman" w:hint="default"/>
        </w:rPr>
        <w:t>14%</w:t>
      </w:r>
      <w:r>
        <w:rPr/>
        <w:t>及 </w:t>
      </w:r>
      <w:r>
        <w:rPr>
          <w:rFonts w:ascii="Times New Roman" w:hAnsi="Times New Roman" w:cs="Times New Roman" w:eastAsia="Times New Roman" w:hint="default"/>
        </w:rPr>
        <w:t>14%</w:t>
      </w:r>
      <w:r>
        <w:rPr/>
        <w:t>股权，故朗新科技对前述子公司间接持股</w:t>
      </w:r>
      <w:r>
        <w:rPr>
          <w:rFonts w:ascii="Times New Roman" w:hAnsi="Times New Roman" w:cs="Times New Roman" w:eastAsia="Times New Roman" w:hint="default"/>
        </w:rPr>
        <w:t>3%</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2.8%</w:t>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2.8%</w:t>
      </w:r>
      <w:r>
        <w:rPr/>
        <w:t>及</w:t>
      </w:r>
      <w:r>
        <w:rPr>
          <w:rFonts w:ascii="Times New Roman" w:hAnsi="Times New Roman" w:cs="Times New Roman" w:eastAsia="Times New Roman" w:hint="default"/>
        </w:rPr>
        <w:t>2.8%</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4"/>
        <w:ind w:right="1129"/>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9"/>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239,281,019.23</w:t>
            </w:r>
            <w:r>
              <w:rPr>
                <w:rFonts w:ascii="Times New Roman"/>
                <w:sz w:val="18"/>
              </w:rPr>
            </w:r>
          </w:p>
        </w:tc>
      </w:tr>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23.57%</w:t>
            </w:r>
          </w:p>
        </w:tc>
      </w:tr>
      <w:tr>
        <w:trPr>
          <w:trHeight w:val="71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71"/>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29"/>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1"/>
        <w:gridCol w:w="3144"/>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59,177,018.22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58,570,353.53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55,390,823.03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34,112,215.75</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32,030,608.70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239,281,019.23</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23.57%</w:t>
            </w:r>
          </w:p>
        </w:tc>
      </w:tr>
    </w:tbl>
    <w:p>
      <w:pPr>
        <w:pStyle w:val="BodyText"/>
        <w:spacing w:line="240" w:lineRule="auto" w:before="49"/>
        <w:ind w:right="1129"/>
        <w:jc w:val="left"/>
      </w:pPr>
      <w:r>
        <w:rPr/>
        <w:t>主要客户其他情况说明</w:t>
      </w:r>
    </w:p>
    <w:p>
      <w:pPr>
        <w:pStyle w:val="BodyText"/>
        <w:spacing w:line="338"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54,161,343.59</w:t>
            </w:r>
          </w:p>
        </w:tc>
      </w:tr>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19.56%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715"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71"/>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29"/>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1"/>
        <w:gridCol w:w="3144"/>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21,996,000.00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7.95%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9,291,402.67</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8,560,274.92</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8,239,800.00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6,073,866.00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54,161,343.59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19.56%</w:t>
            </w:r>
          </w:p>
        </w:tc>
      </w:tr>
    </w:tbl>
    <w:p>
      <w:pPr>
        <w:pStyle w:val="BodyText"/>
        <w:spacing w:line="240" w:lineRule="auto" w:before="49"/>
        <w:ind w:right="1129"/>
        <w:jc w:val="left"/>
      </w:pPr>
      <w:r>
        <w:rPr/>
        <w:t>主要供应商其他情况说明</w:t>
      </w:r>
    </w:p>
    <w:p>
      <w:pPr>
        <w:pStyle w:val="BodyText"/>
        <w:spacing w:line="240" w:lineRule="auto" w:before="115"/>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9"/>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3"/>
        <w:gridCol w:w="1637"/>
        <w:gridCol w:w="1637"/>
        <w:gridCol w:w="1462"/>
        <w:gridCol w:w="2918"/>
      </w:tblGrid>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7" w:hRule="exact"/>
        </w:trPr>
        <w:tc>
          <w:tcPr>
            <w:tcW w:w="1903" w:type="dxa"/>
            <w:tcBorders>
              <w:top w:val="single" w:sz="4" w:space="0" w:color="000000"/>
              <w:left w:val="single" w:sz="4" w:space="0" w:color="000000"/>
              <w:bottom w:val="nil" w:sz="6" w:space="0" w:color="auto"/>
              <w:right w:val="single" w:sz="4" w:space="0" w:color="000000"/>
            </w:tcBorders>
            <w:shd w:val="clear" w:color="auto" w:fill="D4D4D4"/>
          </w:tcPr>
          <w:p>
            <w:pPr/>
          </w:p>
        </w:tc>
        <w:tc>
          <w:tcPr>
            <w:tcW w:w="1637"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122,902,251.41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88,841,325.12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38.34%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随着销售力度继续加大，销售人员数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量有所增加、工资有所上升、相关销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售费用也相应上升。</w:t>
            </w:r>
          </w:p>
        </w:tc>
      </w:tr>
      <w:tr>
        <w:trPr>
          <w:trHeight w:val="391" w:hRule="exact"/>
        </w:trPr>
        <w:tc>
          <w:tcPr>
            <w:tcW w:w="190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4D4D4"/>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3" w:type="dxa"/>
            <w:tcBorders>
              <w:top w:val="nil" w:sz="6" w:space="0" w:color="auto"/>
              <w:left w:val="single" w:sz="4" w:space="0" w:color="000000"/>
              <w:bottom w:val="single" w:sz="4" w:space="0" w:color="000000"/>
              <w:right w:val="single" w:sz="4" w:space="0" w:color="000000"/>
            </w:tcBorders>
            <w:shd w:val="clear" w:color="auto" w:fill="D4D4D4"/>
          </w:tcPr>
          <w:p>
            <w:pPr/>
          </w:p>
        </w:tc>
        <w:tc>
          <w:tcPr>
            <w:tcW w:w="1637" w:type="dxa"/>
            <w:vMerge/>
            <w:tcBorders>
              <w:left w:val="single" w:sz="9" w:space="0" w:color="D4D4D4"/>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903" w:type="dxa"/>
            <w:tcBorders>
              <w:top w:val="single" w:sz="4" w:space="0" w:color="000000"/>
              <w:left w:val="single" w:sz="4" w:space="0" w:color="000000"/>
              <w:bottom w:val="nil" w:sz="6" w:space="0" w:color="auto"/>
              <w:right w:val="single" w:sz="4" w:space="0" w:color="000000"/>
            </w:tcBorders>
            <w:shd w:val="clear" w:color="auto" w:fill="D4D4D4"/>
          </w:tcPr>
          <w:p>
            <w:pPr/>
          </w:p>
        </w:tc>
        <w:tc>
          <w:tcPr>
            <w:tcW w:w="1637"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198,128,103.59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129,049,755.86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53.53%</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随着本期新增子公司的设立，管理人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员数量有所增加，另中介费也有大幅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增长。</w:t>
            </w:r>
          </w:p>
        </w:tc>
      </w:tr>
      <w:tr>
        <w:trPr>
          <w:trHeight w:val="394" w:hRule="exact"/>
        </w:trPr>
        <w:tc>
          <w:tcPr>
            <w:tcW w:w="190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4D4D4"/>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3" w:type="dxa"/>
            <w:tcBorders>
              <w:top w:val="nil" w:sz="6" w:space="0" w:color="auto"/>
              <w:left w:val="single" w:sz="4" w:space="0" w:color="000000"/>
              <w:bottom w:val="single" w:sz="4" w:space="0" w:color="000000"/>
              <w:right w:val="single" w:sz="4" w:space="0" w:color="000000"/>
            </w:tcBorders>
            <w:shd w:val="clear" w:color="auto" w:fill="D4D4D4"/>
          </w:tcPr>
          <w:p>
            <w:pPr/>
          </w:p>
        </w:tc>
        <w:tc>
          <w:tcPr>
            <w:tcW w:w="1637" w:type="dxa"/>
            <w:vMerge/>
            <w:tcBorders>
              <w:left w:val="single" w:sz="9" w:space="0" w:color="D4D4D4"/>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593" w:right="0"/>
              <w:jc w:val="left"/>
              <w:rPr>
                <w:rFonts w:ascii="Times New Roman" w:hAnsi="Times New Roman" w:cs="Times New Roman" w:eastAsia="Times New Roman" w:hint="default"/>
                <w:sz w:val="18"/>
                <w:szCs w:val="18"/>
              </w:rPr>
            </w:pPr>
            <w:r>
              <w:rPr>
                <w:rFonts w:ascii="Times New Roman"/>
                <w:sz w:val="18"/>
              </w:rPr>
              <w:t>-5,036,294.91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-4,289,646.17</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17.41%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124,268,188.39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96,167,843.83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29.22%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3"/>
              <w:jc w:val="left"/>
              <w:rPr>
                <w:rFonts w:ascii="宋体" w:hAnsi="宋体" w:cs="宋体" w:eastAsia="宋体" w:hint="default"/>
                <w:sz w:val="18"/>
                <w:szCs w:val="18"/>
              </w:rPr>
            </w:pPr>
            <w:r>
              <w:rPr>
                <w:rFonts w:ascii="宋体" w:hAnsi="宋体" w:cs="宋体" w:eastAsia="宋体" w:hint="default"/>
                <w:sz w:val="18"/>
                <w:szCs w:val="18"/>
              </w:rPr>
              <w:t>随着向新兴领域的持续拓展，本期 研发投入相应增加所致。</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21"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技术应用引领能力一直是公司的核心能力之一，因此公司每年度持续保持较大力度的研发投入。本年度公司在新技术应用研</w:t>
      </w:r>
      <w:r>
        <w:rPr>
          <w:spacing w:val="-64"/>
        </w:rPr>
        <w:t> </w:t>
      </w:r>
      <w:r>
        <w:rPr>
          <w:spacing w:val="-64"/>
        </w:rPr>
      </w:r>
      <w:r>
        <w:rPr>
          <w:spacing w:val="-2"/>
        </w:rPr>
        <w:t>究研发、技术平台更新升级、开发平台更新升级、公用事业软件产品、模块及组件研发上继续持续投入，同时为了支撑创新</w:t>
      </w:r>
      <w:r>
        <w:rPr>
          <w:spacing w:val="-67"/>
        </w:rPr>
        <w:t> </w:t>
      </w:r>
      <w:r>
        <w:rPr>
          <w:spacing w:val="-67"/>
        </w:rPr>
      </w:r>
      <w:r>
        <w:rPr>
          <w:spacing w:val="-2"/>
        </w:rPr>
        <w:t>业务的发展，公司本年度在云计算、大数据、物联网、人工智能等新技术应用、平台、工具方面加大了研发投入，对于创新</w:t>
      </w:r>
      <w:r>
        <w:rPr>
          <w:spacing w:val="-66"/>
        </w:rPr>
        <w:t> </w:t>
      </w:r>
      <w:r>
        <w:rPr>
          <w:spacing w:val="-66"/>
        </w:rPr>
      </w:r>
      <w:r>
        <w:rPr>
          <w:spacing w:val="-2"/>
        </w:rPr>
        <w:t>业务涉及的多个行业应用平台、产品进行了研发。整体研发进展符合预期，能够确保公司保持行业技术引领地位，同时将极</w:t>
      </w:r>
      <w:r>
        <w:rPr>
          <w:spacing w:val="-64"/>
        </w:rPr>
        <w:t> </w:t>
      </w:r>
      <w:r>
        <w:rPr>
          <w:spacing w:val="-64"/>
        </w:rPr>
      </w:r>
      <w:r>
        <w:rPr>
          <w:spacing w:val="-2"/>
        </w:rPr>
        <w:t>大地助力创新业务的快速拓展。公司之控股子公司瀚云科技有限公司为提供数据海量并发的处理能力，提供完整的安全认证</w:t>
      </w:r>
      <w:r>
        <w:rPr>
          <w:spacing w:val="-64"/>
        </w:rPr>
        <w:t> </w:t>
      </w:r>
      <w:r>
        <w:rPr>
          <w:spacing w:val="-64"/>
        </w:rPr>
      </w:r>
      <w:r>
        <w:rPr/>
        <w:t>体系和运维保障，大力开发瀚云工业互联网平台。</w:t>
      </w:r>
    </w:p>
    <w:p>
      <w:pPr>
        <w:pStyle w:val="BodyText"/>
        <w:spacing w:line="240" w:lineRule="auto" w:before="56"/>
        <w:ind w:right="1129"/>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2363"/>
        <w:gridCol w:w="2402"/>
        <w:gridCol w:w="2393"/>
        <w:gridCol w:w="2393"/>
      </w:tblGrid>
      <w:tr>
        <w:trPr>
          <w:trHeight w:val="403" w:hRule="exact"/>
        </w:trPr>
        <w:tc>
          <w:tcPr>
            <w:tcW w:w="23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23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52.20%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48.49%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135,196,616.03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97,301,644.68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80,237,320.32</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10.71%</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10,928,427.64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1,133,800.85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2,762,983.40</w:t>
            </w:r>
            <w:r>
              <w:rPr>
                <w:rFonts w:ascii="Times New Roman"/>
                <w:sz w:val="18"/>
              </w:rPr>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3.44%</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w:t>
            </w:r>
          </w:p>
        </w:tc>
      </w:tr>
    </w:tbl>
    <w:p>
      <w:pPr>
        <w:pStyle w:val="BodyText"/>
        <w:spacing w:line="240" w:lineRule="auto" w:before="49"/>
        <w:ind w:right="1129"/>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319" w:lineRule="auto" w:before="41"/>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本公司之控股子公司瀚云科技有限公司于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日开始瀚云工业互联网平台的开发支出，截止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日已经完成</w:t>
      </w:r>
      <w:r>
        <w:rPr>
          <w:spacing w:val="-57"/>
        </w:rPr>
        <w:t> </w:t>
      </w:r>
      <w:r>
        <w:rPr>
          <w:spacing w:val="-57"/>
        </w:rPr>
      </w:r>
      <w:r>
        <w:rPr/>
        <w:t>收集需求、设计方案和技术选型的初期；按项目总体预算</w:t>
      </w:r>
      <w:r>
        <w:rPr>
          <w:rFonts w:ascii="Times New Roman" w:hAnsi="Times New Roman" w:cs="Times New Roman" w:eastAsia="Times New Roman" w:hint="default"/>
        </w:rPr>
        <w:t>2500</w:t>
      </w:r>
      <w:r>
        <w:rPr/>
        <w:t>万，目前完成进度约</w:t>
      </w:r>
      <w:r>
        <w:rPr>
          <w:rFonts w:ascii="Times New Roman" w:hAnsi="Times New Roman" w:cs="Times New Roman" w:eastAsia="Times New Roman" w:hint="default"/>
        </w:rPr>
        <w:t>40%</w:t>
      </w:r>
      <w:r>
        <w:rPr/>
        <w:t>。</w:t>
      </w:r>
    </w:p>
    <w:p>
      <w:pPr>
        <w:pStyle w:val="BodyText"/>
        <w:spacing w:line="240" w:lineRule="auto" w:before="38"/>
        <w:ind w:right="1129"/>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left="0" w:right="1133"/>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702"/>
        <w:gridCol w:w="5102"/>
        <w:gridCol w:w="1205"/>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研发资本化金额</w:t>
            </w:r>
          </w:p>
        </w:tc>
        <w:tc>
          <w:tcPr>
            <w:tcW w:w="51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12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133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95" w:right="144" w:hanging="452"/>
              <w:jc w:val="left"/>
              <w:rPr>
                <w:rFonts w:ascii="宋体" w:hAnsi="宋体" w:cs="宋体" w:eastAsia="宋体" w:hint="default"/>
                <w:sz w:val="18"/>
                <w:szCs w:val="18"/>
              </w:rPr>
            </w:pPr>
            <w:r>
              <w:rPr>
                <w:rFonts w:ascii="宋体" w:hAnsi="宋体" w:cs="宋体" w:eastAsia="宋体" w:hint="default"/>
                <w:sz w:val="18"/>
                <w:szCs w:val="18"/>
              </w:rPr>
              <w:t>瀚云工业互联网 平台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10,054,348.67</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7"/>
              <w:jc w:val="both"/>
              <w:rPr>
                <w:rFonts w:ascii="宋体" w:hAnsi="宋体" w:cs="宋体" w:eastAsia="宋体" w:hint="default"/>
                <w:sz w:val="18"/>
                <w:szCs w:val="18"/>
              </w:rPr>
            </w:pPr>
            <w:r>
              <w:rPr>
                <w:rFonts w:ascii="宋体" w:hAnsi="宋体" w:cs="宋体" w:eastAsia="宋体" w:hint="default"/>
                <w:sz w:val="18"/>
                <w:szCs w:val="18"/>
              </w:rPr>
              <w:t>基于此平台，设备侧和应用层完成解耦。设备侧只需要和平台 对接调试完毕，应用层只需要和平台联调完毕，整个端到端的 应用就开发完毕。瀚云工业互联网平台提供海量并发的处理能 力，提供完整的安全认证体系和运维保障。</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914,082,668.74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812,587,410.92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12.49%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911,440,679.87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763,873,097.38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19.32%</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2,641,988.87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48,714,313.54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-94.58%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474,355,976.72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11,708,491.55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3,951.38%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527,981,077.98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12,689,191.12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4,060.87%</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-53,625,101.26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-980,699.57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-5,368.05%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214,293,320.00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353,916,009.00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-39.45%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23,411,592.80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190,881,727.20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353,916,009.00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3" w:right="0"/>
              <w:jc w:val="left"/>
              <w:rPr>
                <w:rFonts w:ascii="Times New Roman" w:hAnsi="Times New Roman" w:cs="Times New Roman" w:eastAsia="Times New Roman" w:hint="default"/>
                <w:sz w:val="18"/>
                <w:szCs w:val="18"/>
              </w:rPr>
            </w:pPr>
            <w:r>
              <w:rPr>
                <w:rFonts w:ascii="Times New Roman"/>
                <w:sz w:val="18"/>
              </w:rPr>
              <w:t>139,898,614.81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3" w:right="0"/>
              <w:jc w:val="left"/>
              <w:rPr>
                <w:rFonts w:ascii="Times New Roman" w:hAnsi="Times New Roman" w:cs="Times New Roman" w:eastAsia="Times New Roman" w:hint="default"/>
                <w:sz w:val="18"/>
                <w:szCs w:val="18"/>
              </w:rPr>
            </w:pPr>
            <w:r>
              <w:rPr>
                <w:rFonts w:ascii="Times New Roman"/>
                <w:sz w:val="18"/>
              </w:rPr>
              <w:t>401,649,622.97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-65.17%</w:t>
            </w:r>
          </w:p>
        </w:tc>
      </w:tr>
    </w:tbl>
    <w:p>
      <w:pPr>
        <w:pStyle w:val="BodyText"/>
        <w:spacing w:line="240" w:lineRule="auto" w:before="49"/>
        <w:ind w:right="1129"/>
        <w:jc w:val="left"/>
      </w:pPr>
      <w:r>
        <w:rPr/>
        <w:t>相关数据同比发生重大变动的主要影响因素说明</w:t>
      </w:r>
    </w:p>
    <w:p>
      <w:pPr>
        <w:pStyle w:val="BodyText"/>
        <w:spacing w:line="319" w:lineRule="auto" w:before="115"/>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rPr>
        <w:t>(1)</w:t>
      </w:r>
      <w:r>
        <w:rPr/>
        <w:t>经营活动产生的现金流量净额较上期下降</w:t>
      </w:r>
      <w:r>
        <w:rPr>
          <w:rFonts w:ascii="Times New Roman" w:hAnsi="Times New Roman" w:cs="Times New Roman" w:eastAsia="Times New Roman" w:hint="default"/>
        </w:rPr>
        <w:t>94.58%</w:t>
      </w:r>
      <w:r>
        <w:rPr/>
        <w:t>，主要是受创新业务领域前期大力孵化投入影响较大所致。 </w:t>
      </w:r>
      <w:r>
        <w:rPr>
          <w:rFonts w:ascii="Times New Roman" w:hAnsi="Times New Roman" w:cs="Times New Roman" w:eastAsia="Times New Roman" w:hint="default"/>
        </w:rPr>
        <w:t>(2)</w:t>
      </w:r>
      <w:r>
        <w:rPr/>
        <w:t>投资活动现金流入小计较上期增加</w:t>
      </w:r>
      <w:r>
        <w:rPr>
          <w:rFonts w:ascii="Times New Roman" w:hAnsi="Times New Roman" w:cs="Times New Roman" w:eastAsia="Times New Roman" w:hint="default"/>
        </w:rPr>
        <w:t>3951.38%</w:t>
      </w:r>
      <w:r>
        <w:rPr/>
        <w:t>，主要是理财产品到期收回所致。</w:t>
      </w:r>
    </w:p>
    <w:p>
      <w:pPr>
        <w:pStyle w:val="BodyText"/>
        <w:spacing w:line="300" w:lineRule="auto"/>
        <w:ind w:right="1395" w:hanging="1"/>
        <w:jc w:val="left"/>
      </w:pPr>
      <w:r>
        <w:rPr>
          <w:rFonts w:ascii="Times New Roman" w:hAnsi="Times New Roman" w:cs="Times New Roman" w:eastAsia="Times New Roman" w:hint="default"/>
        </w:rPr>
        <w:t>(3)</w:t>
      </w:r>
      <w:r>
        <w:rPr/>
        <w:t>投资活动现金流出小计较上期增加</w:t>
      </w:r>
      <w:r>
        <w:rPr>
          <w:rFonts w:ascii="Times New Roman" w:hAnsi="Times New Roman" w:cs="Times New Roman" w:eastAsia="Times New Roman" w:hint="default"/>
        </w:rPr>
        <w:t>4060.87%</w:t>
      </w:r>
      <w:r>
        <w:rPr/>
        <w:t>，主要是购买理财产品的现金流出以及对外股权投资增加约</w:t>
      </w:r>
      <w:r>
        <w:rPr>
          <w:rFonts w:ascii="Times New Roman" w:hAnsi="Times New Roman" w:cs="Times New Roman" w:eastAsia="Times New Roman" w:hint="default"/>
        </w:rPr>
        <w:t>0.35</w:t>
      </w:r>
      <w:r>
        <w:rPr/>
        <w:t>亿所致。</w:t>
      </w:r>
      <w:r>
        <w:rPr>
          <w:w w:val="99"/>
        </w:rPr>
        <w:t> </w:t>
      </w:r>
      <w:r>
        <w:rPr>
          <w:rFonts w:ascii="Times New Roman" w:hAnsi="Times New Roman" w:cs="Times New Roman" w:eastAsia="Times New Roman" w:hint="default"/>
        </w:rPr>
        <w:t>(4)</w:t>
      </w:r>
      <w:r>
        <w:rPr/>
        <w:t>投资活动产生的现金流量净额较上期下降</w:t>
      </w:r>
      <w:r>
        <w:rPr>
          <w:rFonts w:ascii="Times New Roman" w:hAnsi="Times New Roman" w:cs="Times New Roman" w:eastAsia="Times New Roman" w:hint="default"/>
        </w:rPr>
        <w:t>5368.05%</w:t>
      </w:r>
      <w:r>
        <w:rPr/>
        <w:t>，主要是上述两因素综合影响所致。</w:t>
      </w:r>
      <w:r>
        <w:rPr>
          <w:w w:val="99"/>
        </w:rPr>
        <w:t> </w:t>
      </w:r>
      <w:r>
        <w:rPr>
          <w:rFonts w:ascii="Times New Roman" w:hAnsi="Times New Roman" w:cs="Times New Roman" w:eastAsia="Times New Roman" w:hint="default"/>
        </w:rPr>
        <w:t>(5)</w:t>
      </w:r>
      <w:r>
        <w:rPr/>
        <w:t>筹资活动现金流入小计较上期下降</w:t>
      </w:r>
      <w:r>
        <w:rPr>
          <w:rFonts w:ascii="Times New Roman" w:hAnsi="Times New Roman" w:cs="Times New Roman" w:eastAsia="Times New Roman" w:hint="default"/>
        </w:rPr>
        <w:t>39.45%</w:t>
      </w:r>
      <w:r>
        <w:rPr/>
        <w:t>，主要是上年公开募集资金较本年筹集资金多所致。</w:t>
      </w:r>
      <w:r>
        <w:rPr>
          <w:w w:val="99"/>
        </w:rPr>
        <w:t> </w:t>
      </w:r>
      <w:r>
        <w:rPr>
          <w:rFonts w:ascii="Times New Roman" w:hAnsi="Times New Roman" w:cs="Times New Roman" w:eastAsia="Times New Roman" w:hint="default"/>
        </w:rPr>
        <w:t>(6)</w:t>
      </w:r>
      <w:r>
        <w:rPr/>
        <w:t>筹资活动现金流出小计较上期增加</w:t>
      </w:r>
      <w:r>
        <w:rPr>
          <w:rFonts w:ascii="Times New Roman" w:hAnsi="Times New Roman" w:cs="Times New Roman" w:eastAsia="Times New Roman" w:hint="default"/>
        </w:rPr>
        <w:t>23,411,592.80</w:t>
      </w:r>
      <w:r>
        <w:rPr/>
        <w:t>元，主要是</w:t>
      </w:r>
      <w:r>
        <w:rPr>
          <w:rFonts w:ascii="Times New Roman" w:hAnsi="Times New Roman" w:cs="Times New Roman" w:eastAsia="Times New Roman" w:hint="default"/>
        </w:rPr>
        <w:t>2018</w:t>
      </w:r>
      <w:r>
        <w:rPr/>
        <w:t>年分派股利所致。</w:t>
      </w:r>
    </w:p>
    <w:p>
      <w:pPr>
        <w:pStyle w:val="BodyText"/>
        <w:spacing w:line="240" w:lineRule="auto" w:before="53"/>
        <w:ind w:right="1129"/>
        <w:jc w:val="left"/>
      </w:pPr>
      <w:r>
        <w:rPr/>
        <w:t>报告期内公司经营活动产生的现金净流量与本年度净利润存在重大差异的原因说明</w:t>
      </w:r>
    </w:p>
    <w:p>
      <w:pPr>
        <w:pStyle w:val="BodyText"/>
        <w:spacing w:line="319" w:lineRule="auto" w:before="115"/>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spacing w:val="-2"/>
        </w:rPr>
        <w:t>2018</w:t>
      </w:r>
      <w:r>
        <w:rPr>
          <w:spacing w:val="-2"/>
        </w:rPr>
        <w:t>年度，在传统业务收入规模持续增长的同时，新业务整体处于孵化阶段，新业务资金来源主要来自本公司，故受创新业</w:t>
      </w:r>
      <w:r>
        <w:rPr>
          <w:spacing w:val="-62"/>
        </w:rPr>
        <w:t> </w:t>
      </w:r>
      <w:r>
        <w:rPr>
          <w:spacing w:val="-62"/>
        </w:rPr>
      </w:r>
      <w:r>
        <w:rPr/>
        <w:t>务领域前期大力孵化投入影响，本公司经营性现金净流入约为</w:t>
      </w:r>
      <w:r>
        <w:rPr>
          <w:rFonts w:ascii="Times New Roman" w:hAnsi="Times New Roman" w:cs="Times New Roman" w:eastAsia="Times New Roman" w:hint="default"/>
        </w:rPr>
        <w:t>264</w:t>
      </w:r>
      <w:r>
        <w:rPr/>
        <w:t>万，</w:t>
      </w:r>
      <w:r>
        <w:rPr>
          <w:rFonts w:ascii="Times New Roman" w:hAnsi="Times New Roman" w:cs="Times New Roman" w:eastAsia="Times New Roman" w:hint="default"/>
        </w:rPr>
        <w:t>2017</w:t>
      </w:r>
      <w:r>
        <w:rPr/>
        <w:t>年度约为</w:t>
      </w:r>
      <w:r>
        <w:rPr>
          <w:rFonts w:ascii="Times New Roman" w:hAnsi="Times New Roman" w:cs="Times New Roman" w:eastAsia="Times New Roman" w:hint="default"/>
        </w:rPr>
        <w:t>4,871</w:t>
      </w:r>
      <w:r>
        <w:rPr/>
        <w:t>万元。</w:t>
      </w:r>
    </w:p>
    <w:p>
      <w:pPr>
        <w:spacing w:line="240" w:lineRule="auto" w:before="3"/>
        <w:rPr>
          <w:rFonts w:ascii="宋体" w:hAnsi="宋体" w:cs="宋体" w:eastAsia="宋体" w:hint="default"/>
          <w:sz w:val="19"/>
          <w:szCs w:val="19"/>
        </w:rPr>
      </w:pPr>
    </w:p>
    <w:p>
      <w:pPr>
        <w:pStyle w:val="Heading2"/>
        <w:spacing w:line="240" w:lineRule="auto"/>
        <w:ind w:right="1129"/>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596"/>
        <w:gridCol w:w="1699"/>
        <w:gridCol w:w="2978"/>
        <w:gridCol w:w="1771"/>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9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43"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2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6" w:type="dxa"/>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58,033,852.02</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3" w:right="0"/>
              <w:jc w:val="left"/>
              <w:rPr>
                <w:rFonts w:ascii="Times New Roman" w:hAnsi="Times New Roman" w:cs="Times New Roman" w:eastAsia="Times New Roman" w:hint="default"/>
                <w:sz w:val="18"/>
                <w:szCs w:val="18"/>
              </w:rPr>
            </w:pPr>
            <w:r>
              <w:rPr>
                <w:rFonts w:ascii="Times New Roman"/>
                <w:sz w:val="18"/>
              </w:rPr>
              <w:t>46.32%</w:t>
            </w:r>
          </w:p>
        </w:tc>
        <w:tc>
          <w:tcPr>
            <w:tcW w:w="297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主要是取得邦道科技有限公司投资收 益所致</w:t>
            </w:r>
          </w:p>
        </w:tc>
        <w:tc>
          <w:tcPr>
            <w:tcW w:w="177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4" w:hRule="exact"/>
        </w:trPr>
        <w:tc>
          <w:tcPr>
            <w:tcW w:w="15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96" w:type="dxa"/>
            <w:vMerge/>
            <w:tcBorders>
              <w:left w:val="single" w:sz="10" w:space="0" w:color="D4D4D4"/>
              <w:right w:val="single" w:sz="4" w:space="0" w:color="000000"/>
            </w:tcBorders>
          </w:tcPr>
          <w:p>
            <w:pPr/>
          </w:p>
        </w:tc>
        <w:tc>
          <w:tcPr>
            <w:tcW w:w="1699" w:type="dxa"/>
            <w:vMerge/>
            <w:tcBorders>
              <w:left w:val="single" w:sz="4" w:space="0" w:color="000000"/>
              <w:right w:val="single" w:sz="4" w:space="0" w:color="000000"/>
            </w:tcBorders>
          </w:tcPr>
          <w:p>
            <w:pPr/>
          </w:p>
        </w:tc>
        <w:tc>
          <w:tcPr>
            <w:tcW w:w="2978" w:type="dxa"/>
            <w:vMerge/>
            <w:tcBorders>
              <w:left w:val="single" w:sz="4" w:space="0" w:color="000000"/>
              <w:right w:val="single" w:sz="4" w:space="0" w:color="000000"/>
            </w:tcBorders>
          </w:tcPr>
          <w:p>
            <w:pPr/>
          </w:p>
        </w:tc>
        <w:tc>
          <w:tcPr>
            <w:tcW w:w="1771"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6" w:type="dxa"/>
            <w:vMerge/>
            <w:tcBorders>
              <w:left w:val="single" w:sz="10" w:space="0" w:color="D4D4D4"/>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2978" w:type="dxa"/>
            <w:vMerge/>
            <w:tcBorders>
              <w:left w:val="single" w:sz="4" w:space="0" w:color="000000"/>
              <w:bottom w:val="single" w:sz="4" w:space="0" w:color="000000"/>
              <w:right w:val="single" w:sz="4" w:space="0" w:color="000000"/>
            </w:tcBorders>
          </w:tcPr>
          <w:p>
            <w:pPr/>
          </w:p>
        </w:tc>
        <w:tc>
          <w:tcPr>
            <w:tcW w:w="1771" w:type="dxa"/>
            <w:vMerge/>
            <w:tcBorders>
              <w:left w:val="single" w:sz="4" w:space="0" w:color="000000"/>
              <w:bottom w:val="single" w:sz="4" w:space="0" w:color="000000"/>
              <w:right w:val="single" w:sz="4" w:space="0" w:color="000000"/>
            </w:tcBorders>
          </w:tcPr>
          <w:p>
            <w:pP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5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16,536,177.06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13.20%</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主要是计提资产减值损失所致</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1,083,427.83</w:t>
            </w:r>
            <w:r>
              <w:rPr>
                <w:rFonts w:ascii="Times New Roman"/>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0.86%</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主要是政府补助所致</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1,306,362.34</w:t>
            </w:r>
            <w:r>
              <w:rPr>
                <w:rFonts w:ascii="Times New Roman"/>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1.04%</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主要是对外捐赠支出所致</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24,614,501.02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19.64%</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主要是税收返还</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-38,405.49</w:t>
            </w:r>
            <w:r>
              <w:rPr>
                <w:rFonts w:ascii="Times New Roman"/>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-0.03%</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主要是处置固定资产</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129"/>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9"/>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607"/>
        <w:gridCol w:w="994"/>
        <w:gridCol w:w="1274"/>
        <w:gridCol w:w="852"/>
        <w:gridCol w:w="850"/>
        <w:gridCol w:w="2623"/>
      </w:tblGrid>
      <w:tr>
        <w:trPr>
          <w:trHeight w:val="385" w:hRule="exact"/>
        </w:trPr>
        <w:tc>
          <w:tcPr>
            <w:tcW w:w="1357" w:type="dxa"/>
            <w:tcBorders>
              <w:top w:val="single" w:sz="4" w:space="0" w:color="000000"/>
              <w:left w:val="single" w:sz="4" w:space="0" w:color="000000"/>
              <w:bottom w:val="nil" w:sz="6" w:space="0" w:color="auto"/>
              <w:right w:val="single" w:sz="4" w:space="0" w:color="000000"/>
            </w:tcBorders>
            <w:shd w:val="clear" w:color="auto" w:fill="D4D4D4"/>
          </w:tcPr>
          <w:p>
            <w:pPr/>
          </w:p>
        </w:tc>
        <w:tc>
          <w:tcPr>
            <w:tcW w:w="260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50" w:type="dxa"/>
            <w:tcBorders>
              <w:top w:val="single" w:sz="4" w:space="0" w:color="000000"/>
              <w:left w:val="single" w:sz="4" w:space="0" w:color="000000"/>
              <w:bottom w:val="nil" w:sz="6" w:space="0" w:color="auto"/>
              <w:right w:val="single" w:sz="4" w:space="0" w:color="000000"/>
            </w:tcBorders>
            <w:shd w:val="clear" w:color="auto" w:fill="D4D4D4"/>
          </w:tcPr>
          <w:p>
            <w:pPr/>
          </w:p>
        </w:tc>
        <w:tc>
          <w:tcPr>
            <w:tcW w:w="2623"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79" w:hRule="exact"/>
        </w:trPr>
        <w:tc>
          <w:tcPr>
            <w:tcW w:w="1357" w:type="dxa"/>
            <w:vMerge w:val="restart"/>
            <w:tcBorders>
              <w:top w:val="nil" w:sz="6" w:space="0" w:color="auto"/>
              <w:left w:val="single" w:sz="4" w:space="0" w:color="000000"/>
              <w:right w:val="single" w:sz="4" w:space="0" w:color="000000"/>
            </w:tcBorders>
            <w:shd w:val="clear" w:color="auto" w:fill="D4D4D4"/>
          </w:tcPr>
          <w:p>
            <w:pPr/>
          </w:p>
        </w:tc>
        <w:tc>
          <w:tcPr>
            <w:tcW w:w="1607" w:type="dxa"/>
            <w:tcBorders>
              <w:top w:val="single" w:sz="4" w:space="0" w:color="000000"/>
              <w:left w:val="single" w:sz="4" w:space="0" w:color="000000"/>
              <w:bottom w:val="nil" w:sz="6" w:space="0" w:color="auto"/>
              <w:right w:val="single" w:sz="4" w:space="0" w:color="000000"/>
            </w:tcBorders>
            <w:shd w:val="clear" w:color="auto" w:fill="D4D4D4"/>
          </w:tcPr>
          <w:p>
            <w:pPr/>
          </w:p>
        </w:tc>
        <w:tc>
          <w:tcPr>
            <w:tcW w:w="994"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67"/>
              <w:ind w:left="403" w:right="38"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74" w:type="dxa"/>
            <w:tcBorders>
              <w:top w:val="single" w:sz="4" w:space="0" w:color="000000"/>
              <w:left w:val="single" w:sz="4" w:space="0" w:color="000000"/>
              <w:bottom w:val="nil" w:sz="6" w:space="0" w:color="auto"/>
              <w:right w:val="single" w:sz="4" w:space="0" w:color="000000"/>
            </w:tcBorders>
            <w:shd w:val="clear" w:color="auto" w:fill="D4D4D4"/>
          </w:tcPr>
          <w:p>
            <w:pPr/>
          </w:p>
        </w:tc>
        <w:tc>
          <w:tcPr>
            <w:tcW w:w="852"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67"/>
              <w:ind w:left="242"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5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6"/>
              <w:ind w:left="5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6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6"/>
              <w:ind w:left="76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7" w:type="dxa"/>
            <w:vMerge/>
            <w:tcBorders>
              <w:left w:val="single" w:sz="4" w:space="0" w:color="000000"/>
              <w:bottom w:val="nil" w:sz="6" w:space="0" w:color="auto"/>
              <w:right w:val="single" w:sz="4" w:space="0" w:color="000000"/>
            </w:tcBorders>
            <w:shd w:val="clear" w:color="auto" w:fill="D4D4D4"/>
          </w:tcPr>
          <w:p>
            <w:pPr/>
          </w:p>
        </w:tc>
        <w:tc>
          <w:tcPr>
            <w:tcW w:w="160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vMerge/>
            <w:tcBorders>
              <w:left w:val="single" w:sz="4" w:space="0" w:color="000000"/>
              <w:right w:val="single" w:sz="4" w:space="0" w:color="000000"/>
            </w:tcBorders>
            <w:shd w:val="clear" w:color="auto" w:fill="D4D4D4"/>
          </w:tcPr>
          <w:p>
            <w:pPr/>
          </w:p>
        </w:tc>
        <w:tc>
          <w:tcPr>
            <w:tcW w:w="127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vMerge/>
            <w:tcBorders>
              <w:left w:val="single" w:sz="4" w:space="0" w:color="000000"/>
              <w:right w:val="single" w:sz="4" w:space="0" w:color="000000"/>
            </w:tcBorders>
            <w:shd w:val="clear" w:color="auto" w:fill="D4D4D4"/>
          </w:tcPr>
          <w:p>
            <w:pPr/>
          </w:p>
        </w:tc>
        <w:tc>
          <w:tcPr>
            <w:tcW w:w="850" w:type="dxa"/>
            <w:vMerge/>
            <w:tcBorders>
              <w:left w:val="single" w:sz="4" w:space="0" w:color="000000"/>
              <w:bottom w:val="nil" w:sz="6" w:space="0" w:color="auto"/>
              <w:right w:val="single" w:sz="4" w:space="0" w:color="000000"/>
            </w:tcBorders>
            <w:shd w:val="clear" w:color="auto" w:fill="D4D4D4"/>
          </w:tcPr>
          <w:p>
            <w:pPr/>
          </w:p>
        </w:tc>
        <w:tc>
          <w:tcPr>
            <w:tcW w:w="2623"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4D4D4"/>
          </w:tcPr>
          <w:p>
            <w:pPr/>
          </w:p>
        </w:tc>
        <w:tc>
          <w:tcPr>
            <w:tcW w:w="1607" w:type="dxa"/>
            <w:vMerge/>
            <w:tcBorders>
              <w:left w:val="single" w:sz="4" w:space="0" w:color="000000"/>
              <w:bottom w:val="nil" w:sz="6" w:space="0" w:color="auto"/>
              <w:right w:val="single" w:sz="4" w:space="0" w:color="000000"/>
            </w:tcBorders>
            <w:shd w:val="clear" w:color="auto" w:fill="D4D4D4"/>
          </w:tcPr>
          <w:p>
            <w:pPr/>
          </w:p>
        </w:tc>
        <w:tc>
          <w:tcPr>
            <w:tcW w:w="994"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bottom w:val="nil" w:sz="6" w:space="0" w:color="auto"/>
              <w:right w:val="single" w:sz="4" w:space="0" w:color="000000"/>
            </w:tcBorders>
            <w:shd w:val="clear" w:color="auto" w:fill="D4D4D4"/>
          </w:tcPr>
          <w:p>
            <w:pPr/>
          </w:p>
        </w:tc>
        <w:tc>
          <w:tcPr>
            <w:tcW w:w="852" w:type="dxa"/>
            <w:vMerge/>
            <w:tcBorders>
              <w:left w:val="single" w:sz="4" w:space="0" w:color="000000"/>
              <w:right w:val="single" w:sz="4" w:space="0" w:color="000000"/>
            </w:tcBorders>
            <w:shd w:val="clear" w:color="auto" w:fill="D4D4D4"/>
          </w:tcPr>
          <w:p>
            <w:pPr/>
          </w:p>
        </w:tc>
        <w:tc>
          <w:tcPr>
            <w:tcW w:w="850" w:type="dxa"/>
            <w:vMerge w:val="restart"/>
            <w:tcBorders>
              <w:top w:val="nil" w:sz="6" w:space="0" w:color="auto"/>
              <w:left w:val="single" w:sz="4" w:space="0" w:color="000000"/>
              <w:right w:val="single" w:sz="4" w:space="0" w:color="000000"/>
            </w:tcBorders>
            <w:shd w:val="clear" w:color="auto" w:fill="D4D4D4"/>
          </w:tcPr>
          <w:p>
            <w:pPr/>
          </w:p>
        </w:tc>
        <w:tc>
          <w:tcPr>
            <w:tcW w:w="2623"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4D4D4"/>
          </w:tcPr>
          <w:p>
            <w:pPr/>
          </w:p>
        </w:tc>
        <w:tc>
          <w:tcPr>
            <w:tcW w:w="1607" w:type="dxa"/>
            <w:tcBorders>
              <w:top w:val="nil" w:sz="6" w:space="0" w:color="auto"/>
              <w:left w:val="single" w:sz="4" w:space="0" w:color="000000"/>
              <w:bottom w:val="single" w:sz="4" w:space="0" w:color="000000"/>
              <w:right w:val="single" w:sz="4" w:space="0" w:color="000000"/>
            </w:tcBorders>
            <w:shd w:val="clear" w:color="auto" w:fill="D4D4D4"/>
          </w:tcPr>
          <w:p>
            <w:pPr/>
          </w:p>
        </w:tc>
        <w:tc>
          <w:tcPr>
            <w:tcW w:w="994"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single" w:sz="4" w:space="0" w:color="000000"/>
              <w:right w:val="single" w:sz="4" w:space="0" w:color="000000"/>
            </w:tcBorders>
            <w:shd w:val="clear" w:color="auto" w:fill="D4D4D4"/>
          </w:tcPr>
          <w:p>
            <w:pPr/>
          </w:p>
        </w:tc>
        <w:tc>
          <w:tcPr>
            <w:tcW w:w="852" w:type="dxa"/>
            <w:vMerge/>
            <w:tcBorders>
              <w:left w:val="single" w:sz="4" w:space="0" w:color="000000"/>
              <w:bottom w:val="single" w:sz="4" w:space="0" w:color="000000"/>
              <w:right w:val="single" w:sz="4" w:space="0" w:color="000000"/>
            </w:tcBorders>
            <w:shd w:val="clear" w:color="auto" w:fill="D4D4D4"/>
          </w:tcPr>
          <w:p>
            <w:pPr/>
          </w:p>
        </w:tc>
        <w:tc>
          <w:tcPr>
            <w:tcW w:w="850" w:type="dxa"/>
            <w:vMerge/>
            <w:tcBorders>
              <w:left w:val="single" w:sz="4" w:space="0" w:color="000000"/>
              <w:bottom w:val="single" w:sz="4" w:space="0" w:color="000000"/>
              <w:right w:val="single" w:sz="4" w:space="0" w:color="000000"/>
            </w:tcBorders>
            <w:shd w:val="clear" w:color="auto" w:fill="D4D4D4"/>
          </w:tcPr>
          <w:p>
            <w:pPr/>
          </w:p>
        </w:tc>
        <w:tc>
          <w:tcPr>
            <w:tcW w:w="2623"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4D4D4"/>
          </w:tcPr>
          <w:p>
            <w:pPr/>
          </w:p>
        </w:tc>
        <w:tc>
          <w:tcPr>
            <w:tcW w:w="1607"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4" w:right="0"/>
              <w:jc w:val="left"/>
              <w:rPr>
                <w:rFonts w:ascii="Times New Roman" w:hAnsi="Times New Roman" w:cs="Times New Roman" w:eastAsia="Times New Roman" w:hint="default"/>
                <w:sz w:val="18"/>
                <w:szCs w:val="18"/>
              </w:rPr>
            </w:pPr>
            <w:r>
              <w:rPr>
                <w:rFonts w:ascii="Times New Roman"/>
                <w:sz w:val="18"/>
              </w:rPr>
              <w:t>856,264,678.49</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sz w:val="18"/>
              </w:rPr>
              <w:t>40.23%</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716,415,509.71</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43.55%</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-3.32%</w:t>
            </w:r>
          </w:p>
        </w:tc>
        <w:tc>
          <w:tcPr>
            <w:tcW w:w="2623"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报告期收入增长带来总资产增幅 高于货币资金增幅所致。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07" w:type="dxa"/>
            <w:vMerge/>
            <w:tcBorders>
              <w:left w:val="single" w:sz="9" w:space="0" w:color="D4D4D4"/>
              <w:right w:val="single" w:sz="4" w:space="0" w:color="000000"/>
            </w:tcBorders>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23"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4D4D4"/>
          </w:tcPr>
          <w:p>
            <w:pPr/>
          </w:p>
        </w:tc>
        <w:tc>
          <w:tcPr>
            <w:tcW w:w="1607" w:type="dxa"/>
            <w:vMerge/>
            <w:tcBorders>
              <w:left w:val="single" w:sz="9" w:space="0" w:color="D4D4D4"/>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623" w:type="dxa"/>
            <w:vMerge/>
            <w:tcBorders>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850,174,265.39</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39.94%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center"/>
              <w:rPr>
                <w:rFonts w:ascii="Times New Roman" w:hAnsi="Times New Roman" w:cs="Times New Roman" w:eastAsia="Times New Roman" w:hint="default"/>
                <w:sz w:val="18"/>
                <w:szCs w:val="18"/>
              </w:rPr>
            </w:pPr>
            <w:r>
              <w:rPr>
                <w:rFonts w:ascii="Times New Roman"/>
                <w:sz w:val="18"/>
              </w:rPr>
              <w:t>646,980,421.72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39.33%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0.61%</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报告期收入增长所致。</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0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90,535,844.62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center"/>
              <w:rPr>
                <w:rFonts w:ascii="Times New Roman" w:hAnsi="Times New Roman" w:cs="Times New Roman" w:eastAsia="Times New Roman" w:hint="default"/>
                <w:sz w:val="18"/>
                <w:szCs w:val="18"/>
              </w:rPr>
            </w:pPr>
            <w:r>
              <w:rPr>
                <w:rFonts w:ascii="Times New Roman"/>
                <w:sz w:val="18"/>
              </w:rPr>
              <w:t>73,295,560.33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-0.21%</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608"/>
        <w:gridCol w:w="994"/>
        <w:gridCol w:w="1274"/>
        <w:gridCol w:w="852"/>
        <w:gridCol w:w="850"/>
        <w:gridCol w:w="2623"/>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147,330,118.60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6.92%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57,771,246.60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3.41%</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主要是合营公司邦道科技利润增 加所致。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17,298,343.82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 w:right="0"/>
              <w:jc w:val="center"/>
              <w:rPr>
                <w:rFonts w:ascii="Times New Roman" w:hAnsi="Times New Roman" w:cs="Times New Roman" w:eastAsia="Times New Roman" w:hint="default"/>
                <w:sz w:val="18"/>
                <w:szCs w:val="18"/>
              </w:rPr>
            </w:pPr>
            <w:r>
              <w:rPr>
                <w:rFonts w:ascii="Times New Roman"/>
                <w:sz w:val="18"/>
              </w:rPr>
              <w:t>12,331,561.33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0.06%</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2,383,446.98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0.11%</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0.11%</w:t>
            </w:r>
            <w:r>
              <w:rPr>
                <w:rFonts w:ascii="Times New Roman"/>
                <w:sz w:val="18"/>
              </w:rPr>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报告期子公司小型分布式光伏电 站在建。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110,050,000.00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5.17%</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5.17%</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报告期增加了银行借款。</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42,344,473.53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center"/>
              <w:rPr>
                <w:rFonts w:ascii="Times New Roman" w:hAnsi="Times New Roman" w:cs="Times New Roman" w:eastAsia="Times New Roman" w:hint="default"/>
                <w:sz w:val="18"/>
                <w:szCs w:val="18"/>
              </w:rPr>
            </w:pPr>
            <w:r>
              <w:rPr>
                <w:rFonts w:ascii="Times New Roman"/>
                <w:sz w:val="18"/>
              </w:rPr>
              <w:t>24,632,467.47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0.49%</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随着收入增加，票据结算增加。</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10,054,348.67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0.47%</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0.47%</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报告期子公司对瀚云工业互联网 平台进行投入。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184,092,717.94</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8.65%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104,937,398.80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2.27%</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随着成本增加，对应需采购结算 款也增加。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114,783,535.27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 w:right="0"/>
              <w:jc w:val="center"/>
              <w:rPr>
                <w:rFonts w:ascii="Times New Roman" w:hAnsi="Times New Roman" w:cs="Times New Roman" w:eastAsia="Times New Roman" w:hint="default"/>
                <w:sz w:val="18"/>
                <w:szCs w:val="18"/>
              </w:rPr>
            </w:pPr>
            <w:r>
              <w:rPr>
                <w:rFonts w:ascii="Times New Roman"/>
                <w:sz w:val="18"/>
              </w:rPr>
              <w:t>77,231,218.52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0.70%</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计提年终奖较去年有较大增长。</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26,350,268.36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12,786,447.18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0.46%</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7"/>
              <w:jc w:val="left"/>
              <w:rPr>
                <w:rFonts w:ascii="宋体" w:hAnsi="宋体" w:cs="宋体" w:eastAsia="宋体" w:hint="default"/>
                <w:sz w:val="18"/>
                <w:szCs w:val="18"/>
              </w:rPr>
            </w:pPr>
            <w:r>
              <w:rPr>
                <w:rFonts w:ascii="宋体" w:hAnsi="宋体" w:cs="宋体" w:eastAsia="宋体" w:hint="default"/>
                <w:sz w:val="18"/>
                <w:szCs w:val="18"/>
              </w:rPr>
              <w:t>主要是企业所得税大幅上升所 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238,627,365.99</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11.21%</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164,317,617.00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1.22%</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主要是报告期内增加第二批限制 性股票回购义务所致。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19,404,866.52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0.91%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14,171,047.91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0.05%</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7"/>
              <w:jc w:val="left"/>
              <w:rPr>
                <w:rFonts w:ascii="宋体" w:hAnsi="宋体" w:cs="宋体" w:eastAsia="宋体" w:hint="default"/>
                <w:sz w:val="18"/>
                <w:szCs w:val="18"/>
              </w:rPr>
            </w:pPr>
            <w:r>
              <w:rPr>
                <w:rFonts w:ascii="宋体" w:hAnsi="宋体" w:cs="宋体" w:eastAsia="宋体" w:hint="default"/>
                <w:sz w:val="18"/>
                <w:szCs w:val="18"/>
              </w:rPr>
              <w:t>主要是待转销项税金额增加所 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15,460,000.00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0.73%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 w:right="0"/>
              <w:jc w:val="center"/>
              <w:rPr>
                <w:rFonts w:ascii="Times New Roman" w:hAnsi="Times New Roman" w:cs="Times New Roman" w:eastAsia="Times New Roman" w:hint="default"/>
                <w:sz w:val="18"/>
                <w:szCs w:val="18"/>
              </w:rPr>
            </w:pPr>
            <w:r>
              <w:rPr>
                <w:rFonts w:ascii="Times New Roman"/>
                <w:sz w:val="18"/>
              </w:rPr>
              <w:t>23,040,000.00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-0.67%</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主要是递延收益转损益所致</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9"/>
        <w:jc w:val="left"/>
        <w:rPr>
          <w:b w:val="0"/>
          <w:bCs w:val="0"/>
        </w:rPr>
      </w:pPr>
      <w:bookmarkStart w:name="3、截至报告期末的资产权利受限情况" w:id="42"/>
      <w:bookmarkEnd w:id="42"/>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2"/>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3326"/>
        <w:gridCol w:w="3058"/>
        <w:gridCol w:w="3185"/>
      </w:tblGrid>
      <w:tr>
        <w:trPr>
          <w:trHeight w:val="421" w:hRule="exact"/>
        </w:trPr>
        <w:tc>
          <w:tcPr>
            <w:tcW w:w="3326"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5"/>
              <w:ind w:left="981"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5"/>
              <w:ind w:left="1226" w:right="0"/>
              <w:jc w:val="left"/>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7" w:hRule="exact"/>
        </w:trPr>
        <w:tc>
          <w:tcPr>
            <w:tcW w:w="3326"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0"/>
              <w:jc w:val="right"/>
              <w:rPr>
                <w:rFonts w:ascii="Times New Roman" w:hAnsi="Times New Roman" w:cs="Times New Roman" w:eastAsia="Times New Roman" w:hint="default"/>
                <w:sz w:val="16"/>
                <w:szCs w:val="16"/>
              </w:rPr>
            </w:pPr>
            <w:r>
              <w:rPr>
                <w:rFonts w:ascii="Times New Roman"/>
                <w:spacing w:val="-1"/>
                <w:sz w:val="16"/>
              </w:rPr>
              <w:t>3,962,158.40</w:t>
            </w:r>
            <w:r>
              <w:rPr>
                <w:rFonts w:ascii="Times New Roman"/>
                <w:sz w:val="16"/>
              </w:rPr>
            </w:r>
          </w:p>
        </w:tc>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26" w:right="0"/>
              <w:jc w:val="left"/>
              <w:rPr>
                <w:rFonts w:ascii="宋体" w:hAnsi="宋体" w:cs="宋体" w:eastAsia="宋体" w:hint="default"/>
                <w:sz w:val="18"/>
                <w:szCs w:val="18"/>
              </w:rPr>
            </w:pPr>
            <w:r>
              <w:rPr>
                <w:rFonts w:ascii="宋体" w:hAnsi="宋体" w:cs="宋体" w:eastAsia="宋体" w:hint="default"/>
                <w:sz w:val="18"/>
                <w:szCs w:val="18"/>
              </w:rPr>
              <w:t>履约保函</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26"/>
        <w:ind w:right="1129"/>
        <w:jc w:val="left"/>
        <w:rPr>
          <w:b w:val="0"/>
          <w:bCs w:val="0"/>
        </w:rPr>
      </w:pPr>
      <w:bookmarkStart w:name="五、投资状况分析" w:id="43"/>
      <w:bookmarkEnd w:id="43"/>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9"/>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527,981,077.98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12,689,191.12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4,060.87%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2"/>
        <w:gridCol w:w="660"/>
        <w:gridCol w:w="662"/>
        <w:gridCol w:w="658"/>
        <w:gridCol w:w="655"/>
        <w:gridCol w:w="660"/>
        <w:gridCol w:w="629"/>
        <w:gridCol w:w="739"/>
        <w:gridCol w:w="732"/>
        <w:gridCol w:w="734"/>
        <w:gridCol w:w="722"/>
      </w:tblGrid>
      <w:tr>
        <w:trPr>
          <w:trHeight w:val="1025" w:hRule="exact"/>
        </w:trPr>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1"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23"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4" w:right="119"/>
              <w:jc w:val="both"/>
              <w:rPr>
                <w:rFonts w:ascii="宋体" w:hAnsi="宋体" w:cs="宋体" w:eastAsia="宋体" w:hint="default"/>
                <w:sz w:val="18"/>
                <w:szCs w:val="18"/>
              </w:rPr>
            </w:pPr>
            <w:r>
              <w:rPr>
                <w:rFonts w:ascii="宋体" w:hAnsi="宋体" w:cs="宋体" w:eastAsia="宋体" w:hint="default"/>
                <w:sz w:val="18"/>
                <w:szCs w:val="18"/>
              </w:rPr>
              <w:t>瀚云科 技有限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 w:right="119"/>
              <w:jc w:val="both"/>
              <w:rPr>
                <w:rFonts w:ascii="宋体" w:hAnsi="宋体" w:cs="宋体" w:eastAsia="宋体" w:hint="default"/>
                <w:sz w:val="18"/>
                <w:szCs w:val="18"/>
              </w:rPr>
            </w:pPr>
            <w:r>
              <w:rPr>
                <w:rFonts w:ascii="宋体" w:hAnsi="宋体" w:cs="宋体" w:eastAsia="宋体" w:hint="default"/>
                <w:sz w:val="18"/>
                <w:szCs w:val="18"/>
              </w:rPr>
              <w:t>数据处 理和存 储技术 等</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93,000,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62.00%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无锡智 丰投资 合伙企 业（有 限合 </w:t>
            </w:r>
            <w:r>
              <w:rPr>
                <w:rFonts w:ascii="宋体" w:hAnsi="宋体" w:cs="宋体" w:eastAsia="宋体" w:hint="default"/>
                <w:spacing w:val="-31"/>
                <w:sz w:val="18"/>
                <w:szCs w:val="18"/>
              </w:rPr>
              <w:t>伙）、无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锡智哲 投资合 伙企业</w:t>
            </w:r>
          </w:p>
          <w:p>
            <w:pPr>
              <w:pStyle w:val="TableParagraph"/>
              <w:spacing w:line="316" w:lineRule="auto" w:before="19"/>
              <w:ind w:left="23" w:right="83"/>
              <w:jc w:val="left"/>
              <w:rPr>
                <w:rFonts w:ascii="宋体" w:hAnsi="宋体" w:cs="宋体" w:eastAsia="宋体" w:hint="default"/>
                <w:sz w:val="18"/>
                <w:szCs w:val="18"/>
              </w:rPr>
            </w:pPr>
            <w:r>
              <w:rPr>
                <w:rFonts w:ascii="宋体" w:hAnsi="宋体" w:cs="宋体" w:eastAsia="宋体" w:hint="default"/>
                <w:sz w:val="18"/>
                <w:szCs w:val="18"/>
              </w:rPr>
              <w:t>（有限 合伙）</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-6,798,3</w:t>
            </w:r>
          </w:p>
          <w:p>
            <w:pPr>
              <w:pStyle w:val="TableParagraph"/>
              <w:spacing w:line="240" w:lineRule="auto" w:before="102"/>
              <w:ind w:left="283" w:right="0"/>
              <w:jc w:val="center"/>
              <w:rPr>
                <w:rFonts w:ascii="Times New Roman" w:hAnsi="Times New Roman" w:cs="Times New Roman" w:eastAsia="Times New Roman" w:hint="default"/>
                <w:sz w:val="18"/>
                <w:szCs w:val="18"/>
              </w:rPr>
            </w:pPr>
            <w:r>
              <w:rPr>
                <w:rFonts w:ascii="Times New Roman"/>
                <w:sz w:val="18"/>
              </w:rPr>
              <w:t>82.51</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360" w:lineRule="auto"/>
              <w:ind w:left="23" w:right="20"/>
              <w:jc w:val="left"/>
              <w:rPr>
                <w:rFonts w:ascii="Times New Roman" w:hAnsi="Times New Roman" w:cs="Times New Roman" w:eastAsia="Times New Roman" w:hint="default"/>
                <w:sz w:val="18"/>
                <w:szCs w:val="18"/>
              </w:rPr>
            </w:pPr>
            <w:hyperlink r:id="rId13">
              <w:r>
                <w:rPr>
                  <w:rFonts w:ascii="Times New Roman"/>
                  <w:sz w:val="18"/>
                </w:rPr>
                <w:t>http://w</w:t>
              </w:r>
            </w:hyperlink>
            <w:r>
              <w:rPr>
                <w:rFonts w:ascii="Times New Roman"/>
                <w:w w:val="99"/>
                <w:sz w:val="18"/>
              </w:rPr>
              <w:t> </w:t>
            </w:r>
            <w:r>
              <w:rPr>
                <w:rFonts w:ascii="Times New Roman"/>
                <w:spacing w:val="-2"/>
                <w:sz w:val="18"/>
              </w:rPr>
              <w:t>ww.cninf</w:t>
            </w:r>
            <w:r>
              <w:rPr>
                <w:rFonts w:ascii="Times New Roman"/>
                <w:spacing w:val="-41"/>
                <w:sz w:val="18"/>
              </w:rPr>
              <w:t> </w:t>
            </w:r>
            <w:r>
              <w:rPr>
                <w:rFonts w:ascii="Times New Roman"/>
                <w:spacing w:val="-41"/>
                <w:sz w:val="18"/>
              </w:rPr>
            </w:r>
            <w:r>
              <w:rPr>
                <w:rFonts w:ascii="Times New Roman"/>
                <w:sz w:val="18"/>
              </w:rPr>
              <w:t>o.com.cn</w:t>
            </w:r>
          </w:p>
          <w:p>
            <w:pPr>
              <w:pStyle w:val="TableParagraph"/>
              <w:spacing w:line="362" w:lineRule="auto" w:before="5"/>
              <w:ind w:left="23" w:right="25"/>
              <w:jc w:val="left"/>
              <w:rPr>
                <w:rFonts w:ascii="Times New Roman" w:hAnsi="Times New Roman" w:cs="Times New Roman" w:eastAsia="Times New Roman" w:hint="default"/>
                <w:sz w:val="18"/>
                <w:szCs w:val="18"/>
              </w:rPr>
            </w:pPr>
            <w:r>
              <w:rPr>
                <w:rFonts w:ascii="Times New Roman"/>
                <w:sz w:val="18"/>
              </w:rPr>
              <w:t>/cninfo-n ew/index</w:t>
            </w:r>
          </w:p>
        </w:tc>
      </w:tr>
      <w:tr>
        <w:trPr>
          <w:trHeight w:val="352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119"/>
              <w:jc w:val="both"/>
              <w:rPr>
                <w:rFonts w:ascii="宋体" w:hAnsi="宋体" w:cs="宋体" w:eastAsia="宋体" w:hint="default"/>
                <w:sz w:val="18"/>
                <w:szCs w:val="18"/>
              </w:rPr>
            </w:pPr>
            <w:r>
              <w:rPr>
                <w:rFonts w:ascii="宋体" w:hAnsi="宋体" w:cs="宋体" w:eastAsia="宋体" w:hint="default"/>
                <w:sz w:val="18"/>
                <w:szCs w:val="18"/>
              </w:rPr>
              <w:t>朗新智 元科技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信息技 </w:t>
            </w:r>
            <w:r>
              <w:rPr>
                <w:rFonts w:ascii="宋体" w:hAnsi="宋体" w:cs="宋体" w:eastAsia="宋体" w:hint="default"/>
                <w:spacing w:val="-21"/>
                <w:sz w:val="18"/>
                <w:szCs w:val="18"/>
              </w:rPr>
              <w:t>术、数据</w:t>
            </w:r>
            <w:r>
              <w:rPr>
                <w:rFonts w:ascii="宋体" w:hAnsi="宋体" w:cs="宋体" w:eastAsia="宋体" w:hint="default"/>
                <w:sz w:val="18"/>
                <w:szCs w:val="18"/>
              </w:rPr>
              <w:t> 处理和 存储技 术等</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26,900,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53.80%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无锡智 丰投资 合伙企 业（有 限合 </w:t>
            </w:r>
            <w:r>
              <w:rPr>
                <w:rFonts w:ascii="宋体" w:hAnsi="宋体" w:cs="宋体" w:eastAsia="宋体" w:hint="default"/>
                <w:spacing w:val="-31"/>
                <w:sz w:val="18"/>
                <w:szCs w:val="18"/>
              </w:rPr>
              <w:t>伙）、无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锡智林 投资合 伙企业</w:t>
            </w:r>
          </w:p>
          <w:p>
            <w:pPr>
              <w:pStyle w:val="TableParagraph"/>
              <w:spacing w:line="316" w:lineRule="auto" w:before="19"/>
              <w:ind w:left="23" w:right="83"/>
              <w:jc w:val="left"/>
              <w:rPr>
                <w:rFonts w:ascii="宋体" w:hAnsi="宋体" w:cs="宋体" w:eastAsia="宋体" w:hint="default"/>
                <w:sz w:val="18"/>
                <w:szCs w:val="18"/>
              </w:rPr>
            </w:pPr>
            <w:r>
              <w:rPr>
                <w:rFonts w:ascii="宋体" w:hAnsi="宋体" w:cs="宋体" w:eastAsia="宋体" w:hint="default"/>
                <w:sz w:val="18"/>
                <w:szCs w:val="18"/>
              </w:rPr>
              <w:t>（有限 合伙）</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3523"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 w:right="119"/>
              <w:jc w:val="both"/>
              <w:rPr>
                <w:rFonts w:ascii="宋体" w:hAnsi="宋体" w:cs="宋体" w:eastAsia="宋体" w:hint="default"/>
                <w:sz w:val="18"/>
                <w:szCs w:val="18"/>
              </w:rPr>
            </w:pPr>
            <w:r>
              <w:rPr>
                <w:rFonts w:ascii="宋体" w:hAnsi="宋体" w:cs="宋体" w:eastAsia="宋体" w:hint="default"/>
                <w:sz w:val="18"/>
                <w:szCs w:val="18"/>
              </w:rPr>
              <w:t>云筑智 联科技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信息技 </w:t>
            </w:r>
            <w:r>
              <w:rPr>
                <w:rFonts w:ascii="宋体" w:hAnsi="宋体" w:cs="宋体" w:eastAsia="宋体" w:hint="default"/>
                <w:spacing w:val="-21"/>
                <w:sz w:val="18"/>
                <w:szCs w:val="18"/>
              </w:rPr>
              <w:t>术、数据</w:t>
            </w:r>
            <w:r>
              <w:rPr>
                <w:rFonts w:ascii="宋体" w:hAnsi="宋体" w:cs="宋体" w:eastAsia="宋体" w:hint="default"/>
                <w:sz w:val="18"/>
                <w:szCs w:val="18"/>
              </w:rPr>
              <w:t> 处理和 存储技 术等</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26,900,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53.80%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无锡智 丰投资 合伙企 业（有 限合 </w:t>
            </w:r>
            <w:r>
              <w:rPr>
                <w:rFonts w:ascii="宋体" w:hAnsi="宋体" w:cs="宋体" w:eastAsia="宋体" w:hint="default"/>
                <w:spacing w:val="-31"/>
                <w:sz w:val="18"/>
                <w:szCs w:val="18"/>
              </w:rPr>
              <w:t>伙）、无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锡智骏 投资合 伙企业</w:t>
            </w:r>
          </w:p>
          <w:p>
            <w:pPr>
              <w:pStyle w:val="TableParagraph"/>
              <w:spacing w:line="316" w:lineRule="auto" w:before="19"/>
              <w:ind w:left="23" w:right="83"/>
              <w:jc w:val="left"/>
              <w:rPr>
                <w:rFonts w:ascii="宋体" w:hAnsi="宋体" w:cs="宋体" w:eastAsia="宋体" w:hint="default"/>
                <w:sz w:val="18"/>
                <w:szCs w:val="18"/>
              </w:rPr>
            </w:pPr>
            <w:r>
              <w:rPr>
                <w:rFonts w:ascii="宋体" w:hAnsi="宋体" w:cs="宋体" w:eastAsia="宋体" w:hint="default"/>
                <w:sz w:val="18"/>
                <w:szCs w:val="18"/>
              </w:rPr>
              <w:t>（有限 合伙）</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both"/>
              <w:rPr>
                <w:rFonts w:ascii="宋体" w:hAnsi="宋体" w:cs="宋体" w:eastAsia="宋体" w:hint="default"/>
                <w:sz w:val="18"/>
                <w:szCs w:val="18"/>
              </w:rPr>
            </w:pPr>
            <w:r>
              <w:rPr>
                <w:rFonts w:ascii="宋体" w:hAnsi="宋体" w:cs="宋体" w:eastAsia="宋体" w:hint="default"/>
                <w:sz w:val="18"/>
                <w:szCs w:val="18"/>
              </w:rPr>
              <w:t>无锡智 丰投资 合伙企</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24" w:right="119"/>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1,057,0</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2"/>
              <w:jc w:val="right"/>
              <w:rPr>
                <w:rFonts w:ascii="Times New Roman" w:hAnsi="Times New Roman" w:cs="Times New Roman" w:eastAsia="Times New Roman" w:hint="default"/>
                <w:sz w:val="18"/>
                <w:szCs w:val="18"/>
              </w:rPr>
            </w:pPr>
            <w:r>
              <w:rPr>
                <w:rFonts w:ascii="Times New Roman"/>
                <w:sz w:val="18"/>
              </w:rPr>
              <w:t>20.00%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本公司 之全资 子公司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104.79</w:t>
            </w:r>
            <w:r>
              <w:rPr>
                <w:rFonts w:ascii="Times New Roman"/>
                <w:sz w:val="18"/>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26.360001pt;margin-top:329.039978pt;width:32.5500pt;height:62.4pt;mso-position-horizontal-relative:page;mso-position-vertical-relative:page;z-index:-1107520" coordorigin="2527,6581" coordsize="651,1248">
            <v:shape style="position:absolute;left:2527;top:6581;width:651;height:1248" coordorigin="2527,6581" coordsize="651,1248" path="m2527,7829l3178,7829,3178,6581,2527,6581,2527,7829xe" filled="true" fillcolor="#ffffff" stroked="false">
              <v:path arrowok="t"/>
              <v:fill type="solid"/>
            </v:shape>
            <w10:wrap type="none"/>
          </v:group>
        </w:pict>
      </w:r>
      <w:r>
        <w:rPr/>
        <w:pict>
          <v:group style="position:absolute;margin-left:126.360001pt;margin-top:473.999969pt;width:32.5500pt;height:117pt;mso-position-horizontal-relative:page;mso-position-vertical-relative:page;z-index:-1107496" coordorigin="2527,9480" coordsize="651,2340">
            <v:shape style="position:absolute;left:2527;top:9480;width:651;height:2340" coordorigin="2527,9480" coordsize="651,2340" path="m2527,11820l3178,11820,3178,9480,2527,9480,2527,1182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2"/>
        <w:gridCol w:w="660"/>
        <w:gridCol w:w="662"/>
        <w:gridCol w:w="658"/>
        <w:gridCol w:w="655"/>
        <w:gridCol w:w="660"/>
        <w:gridCol w:w="629"/>
        <w:gridCol w:w="739"/>
        <w:gridCol w:w="732"/>
        <w:gridCol w:w="734"/>
        <w:gridCol w:w="722"/>
      </w:tblGrid>
      <w:tr>
        <w:trPr>
          <w:trHeight w:val="192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pacing w:val="-21"/>
                <w:sz w:val="18"/>
                <w:szCs w:val="18"/>
              </w:rPr>
              <w:t>业（有限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w:t>
            </w:r>
          </w:p>
        </w:tc>
        <w:tc>
          <w:tcPr>
            <w:tcW w:w="694"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3"/>
              <w:jc w:val="both"/>
              <w:rPr>
                <w:rFonts w:ascii="宋体" w:hAnsi="宋体" w:cs="宋体" w:eastAsia="宋体" w:hint="default"/>
                <w:sz w:val="18"/>
                <w:szCs w:val="18"/>
              </w:rPr>
            </w:pPr>
            <w:r>
              <w:rPr>
                <w:rFonts w:ascii="宋体" w:hAnsi="宋体" w:cs="宋体" w:eastAsia="宋体" w:hint="default"/>
                <w:sz w:val="18"/>
                <w:szCs w:val="18"/>
              </w:rPr>
              <w:t>朗新投 资与有 限合伙 人郑新 标共同 成立</w:t>
            </w: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19"/>
              <w:jc w:val="both"/>
              <w:rPr>
                <w:rFonts w:ascii="宋体" w:hAnsi="宋体" w:cs="宋体" w:eastAsia="宋体" w:hint="default"/>
                <w:sz w:val="18"/>
                <w:szCs w:val="18"/>
              </w:rPr>
            </w:pPr>
            <w:r>
              <w:rPr>
                <w:rFonts w:ascii="宋体" w:hAnsi="宋体" w:cs="宋体" w:eastAsia="宋体" w:hint="default"/>
                <w:sz w:val="18"/>
                <w:szCs w:val="18"/>
              </w:rPr>
              <w:t>华威新 耀能源 服务有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与充电 设备有 关的维 修、安 装、施 </w:t>
            </w:r>
            <w:r>
              <w:rPr>
                <w:rFonts w:ascii="宋体" w:hAnsi="宋体" w:cs="宋体" w:eastAsia="宋体" w:hint="default"/>
                <w:spacing w:val="-21"/>
                <w:sz w:val="18"/>
                <w:szCs w:val="18"/>
              </w:rPr>
              <w:t>工、技术</w:t>
            </w:r>
            <w:r>
              <w:rPr>
                <w:rFonts w:ascii="宋体" w:hAnsi="宋体" w:cs="宋体" w:eastAsia="宋体" w:hint="default"/>
                <w:sz w:val="18"/>
                <w:szCs w:val="18"/>
              </w:rPr>
              <w:t> 咨询等</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6,174,0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30.87%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本公司 之控股 子公司 新耀能 源与福 建华威 易行通 有限公 司共同 成立</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-22,599.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2899"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19"/>
              <w:jc w:val="both"/>
              <w:rPr>
                <w:rFonts w:ascii="宋体" w:hAnsi="宋体" w:cs="宋体" w:eastAsia="宋体" w:hint="default"/>
                <w:sz w:val="18"/>
                <w:szCs w:val="18"/>
              </w:rPr>
            </w:pPr>
            <w:r>
              <w:rPr>
                <w:rFonts w:ascii="宋体" w:hAnsi="宋体" w:cs="宋体" w:eastAsia="宋体" w:hint="default"/>
                <w:sz w:val="18"/>
                <w:szCs w:val="18"/>
              </w:rPr>
              <w:t>无锡物 联网创 新中心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19"/>
              <w:jc w:val="both"/>
              <w:rPr>
                <w:rFonts w:ascii="宋体" w:hAnsi="宋体" w:cs="宋体" w:eastAsia="宋体" w:hint="default"/>
                <w:sz w:val="18"/>
                <w:szCs w:val="18"/>
              </w:rPr>
            </w:pPr>
            <w:r>
              <w:rPr>
                <w:rFonts w:ascii="宋体" w:hAnsi="宋体" w:cs="宋体" w:eastAsia="宋体" w:hint="default"/>
                <w:sz w:val="18"/>
                <w:szCs w:val="18"/>
              </w:rPr>
              <w:t>物联网 计算机 电子电 路等相 关技术 的产品 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91"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14.49%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与无锡 产业发 展集团 有限公 司等其 他十一 方出资 人共同 成立</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508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4" w:right="119"/>
              <w:jc w:val="both"/>
              <w:rPr>
                <w:rFonts w:ascii="宋体" w:hAnsi="宋体" w:cs="宋体" w:eastAsia="宋体" w:hint="default"/>
                <w:sz w:val="18"/>
                <w:szCs w:val="18"/>
              </w:rPr>
            </w:pPr>
            <w:r>
              <w:rPr>
                <w:rFonts w:ascii="宋体" w:hAnsi="宋体" w:cs="宋体" w:eastAsia="宋体" w:hint="default"/>
                <w:sz w:val="18"/>
                <w:szCs w:val="18"/>
              </w:rPr>
              <w:t>视加慧 联科技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电视及 </w:t>
            </w:r>
            <w:r>
              <w:rPr>
                <w:rFonts w:ascii="宋体" w:hAnsi="宋体" w:cs="宋体" w:eastAsia="宋体" w:hint="default"/>
                <w:spacing w:val="-21"/>
                <w:sz w:val="18"/>
                <w:szCs w:val="18"/>
              </w:rPr>
              <w:t>视频、信</w:t>
            </w:r>
            <w:r>
              <w:rPr>
                <w:rFonts w:ascii="宋体" w:hAnsi="宋体" w:cs="宋体" w:eastAsia="宋体" w:hint="default"/>
                <w:sz w:val="18"/>
                <w:szCs w:val="18"/>
              </w:rPr>
              <w:t> 息通讯 网络技 术相关 的产品 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
              <w:jc w:val="right"/>
              <w:rPr>
                <w:rFonts w:ascii="Times New Roman" w:hAnsi="Times New Roman" w:cs="Times New Roman" w:eastAsia="Times New Roman" w:hint="default"/>
                <w:sz w:val="18"/>
                <w:szCs w:val="18"/>
              </w:rPr>
            </w:pPr>
            <w:r>
              <w:rPr>
                <w:rFonts w:ascii="Times New Roman"/>
                <w:sz w:val="18"/>
              </w:rPr>
              <w:t>30.00%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6"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易视腾 科技股 份有限 公司、 无锡智 睿投资 合伙企 业（有 限合 伙）及 无锡易 云投资 合伙企 业（有 限合 伙）</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-648,343</w:t>
            </w:r>
          </w:p>
          <w:p>
            <w:pPr>
              <w:pStyle w:val="TableParagraph"/>
              <w:spacing w:line="240" w:lineRule="auto" w:before="105"/>
              <w:ind w:left="482" w:right="0"/>
              <w:jc w:val="left"/>
              <w:rPr>
                <w:rFonts w:ascii="Times New Roman" w:hAnsi="Times New Roman" w:cs="Times New Roman" w:eastAsia="Times New Roman" w:hint="default"/>
                <w:sz w:val="18"/>
                <w:szCs w:val="18"/>
              </w:rPr>
            </w:pPr>
            <w:r>
              <w:rPr>
                <w:rFonts w:ascii="Times New Roman"/>
                <w:sz w:val="18"/>
              </w:rPr>
              <w:t>.64</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119"/>
              <w:jc w:val="left"/>
              <w:rPr>
                <w:rFonts w:ascii="宋体" w:hAnsi="宋体" w:cs="宋体" w:eastAsia="宋体" w:hint="default"/>
                <w:sz w:val="18"/>
                <w:szCs w:val="18"/>
              </w:rPr>
            </w:pPr>
            <w:r>
              <w:rPr>
                <w:rFonts w:ascii="宋体" w:hAnsi="宋体" w:cs="宋体" w:eastAsia="宋体" w:hint="default"/>
                <w:sz w:val="18"/>
                <w:szCs w:val="18"/>
              </w:rPr>
              <w:t>武汉高 领资源</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119"/>
              <w:jc w:val="left"/>
              <w:rPr>
                <w:rFonts w:ascii="宋体" w:hAnsi="宋体" w:cs="宋体" w:eastAsia="宋体" w:hint="default"/>
                <w:sz w:val="18"/>
                <w:szCs w:val="18"/>
              </w:rPr>
            </w:pPr>
            <w:r>
              <w:rPr>
                <w:rFonts w:ascii="宋体" w:hAnsi="宋体" w:cs="宋体" w:eastAsia="宋体" w:hint="default"/>
                <w:sz w:val="18"/>
                <w:szCs w:val="18"/>
              </w:rPr>
              <w:t>管理或 受托管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2,152,0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13.45%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83"/>
              <w:jc w:val="left"/>
              <w:rPr>
                <w:rFonts w:ascii="宋体" w:hAnsi="宋体" w:cs="宋体" w:eastAsia="宋体" w:hint="default"/>
                <w:sz w:val="18"/>
                <w:szCs w:val="18"/>
              </w:rPr>
            </w:pPr>
            <w:r>
              <w:rPr>
                <w:rFonts w:ascii="宋体" w:hAnsi="宋体" w:cs="宋体" w:eastAsia="宋体" w:hint="default"/>
                <w:sz w:val="18"/>
                <w:szCs w:val="18"/>
              </w:rPr>
              <w:t>王文 召、传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806.70</w:t>
            </w:r>
            <w:r>
              <w:rPr>
                <w:rFonts w:ascii="Times New Roman"/>
                <w:sz w:val="18"/>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2"/>
        <w:gridCol w:w="660"/>
        <w:gridCol w:w="662"/>
        <w:gridCol w:w="658"/>
        <w:gridCol w:w="655"/>
        <w:gridCol w:w="660"/>
        <w:gridCol w:w="629"/>
        <w:gridCol w:w="739"/>
        <w:gridCol w:w="732"/>
        <w:gridCol w:w="734"/>
        <w:gridCol w:w="722"/>
      </w:tblGrid>
      <w:tr>
        <w:trPr>
          <w:trHeight w:val="192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股权投 资管理 合伙企 </w:t>
            </w:r>
            <w:r>
              <w:rPr>
                <w:rFonts w:ascii="宋体" w:hAnsi="宋体" w:cs="宋体" w:eastAsia="宋体" w:hint="default"/>
                <w:spacing w:val="-21"/>
                <w:sz w:val="18"/>
                <w:szCs w:val="18"/>
              </w:rPr>
              <w:t>业（有限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9"/>
              <w:jc w:val="both"/>
              <w:rPr>
                <w:rFonts w:ascii="宋体" w:hAnsi="宋体" w:cs="宋体" w:eastAsia="宋体" w:hint="default"/>
                <w:sz w:val="18"/>
                <w:szCs w:val="18"/>
              </w:rPr>
            </w:pPr>
            <w:r>
              <w:rPr>
                <w:rFonts w:ascii="宋体" w:hAnsi="宋体" w:cs="宋体" w:eastAsia="宋体" w:hint="default"/>
                <w:sz w:val="18"/>
                <w:szCs w:val="18"/>
              </w:rPr>
              <w:t>理股权 类投资 并从事 相关咨 询服务 业务</w:t>
            </w: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3"/>
              <w:jc w:val="both"/>
              <w:rPr>
                <w:rFonts w:ascii="宋体" w:hAnsi="宋体" w:cs="宋体" w:eastAsia="宋体" w:hint="default"/>
                <w:sz w:val="18"/>
                <w:szCs w:val="18"/>
              </w:rPr>
            </w:pPr>
            <w:r>
              <w:rPr>
                <w:rFonts w:ascii="宋体" w:hAnsi="宋体" w:cs="宋体" w:eastAsia="宋体" w:hint="default"/>
                <w:sz w:val="18"/>
                <w:szCs w:val="18"/>
              </w:rPr>
              <w:t>神语联 网网络 科技股 份有限 公司</w:t>
            </w: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201,183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-7,468,4</w:t>
            </w:r>
          </w:p>
          <w:p>
            <w:pPr>
              <w:pStyle w:val="TableParagraph"/>
              <w:spacing w:line="240" w:lineRule="auto" w:before="105"/>
              <w:ind w:left="283" w:right="0"/>
              <w:jc w:val="center"/>
              <w:rPr>
                <w:rFonts w:ascii="Times New Roman" w:hAnsi="Times New Roman" w:cs="Times New Roman" w:eastAsia="Times New Roman" w:hint="default"/>
                <w:sz w:val="18"/>
                <w:szCs w:val="18"/>
              </w:rPr>
            </w:pPr>
            <w:r>
              <w:rPr>
                <w:rFonts w:ascii="Times New Roman"/>
                <w:sz w:val="18"/>
              </w:rPr>
              <w:t>13.69</w:t>
            </w:r>
          </w:p>
        </w:tc>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9"/>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9"/>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9"/>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3"/>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1"/>
        <w:gridCol w:w="869"/>
        <w:gridCol w:w="871"/>
        <w:gridCol w:w="869"/>
        <w:gridCol w:w="871"/>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13"/>
              <w:jc w:val="both"/>
              <w:rPr>
                <w:rFonts w:ascii="宋体" w:hAnsi="宋体" w:cs="宋体" w:eastAsia="宋体" w:hint="default"/>
                <w:sz w:val="18"/>
                <w:szCs w:val="18"/>
              </w:rPr>
            </w:pPr>
            <w:r>
              <w:rPr>
                <w:rFonts w:ascii="宋体" w:hAnsi="宋体" w:cs="宋体" w:eastAsia="宋体" w:hint="default"/>
                <w:sz w:val="18"/>
                <w:szCs w:val="18"/>
              </w:rPr>
              <w:t>公开发行 普通股股 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20,067.93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1,267.93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20,067.93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20,067.93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1,267.93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20,067.93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5"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日，本公司本期使用募集资金人民币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12,679,292.38 </w:t>
            </w:r>
            <w:r>
              <w:rPr>
                <w:rFonts w:ascii="宋体" w:hAnsi="宋体" w:cs="宋体" w:eastAsia="宋体" w:hint="default"/>
                <w:spacing w:val="-3"/>
                <w:sz w:val="18"/>
                <w:szCs w:val="18"/>
              </w:rPr>
              <w:t>元，累计使用募集资金总额人民币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200,679,300.00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元，无未使用募集资金。募集资金专户已无余额。</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3"/>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722"/>
        <w:gridCol w:w="720"/>
        <w:gridCol w:w="722"/>
        <w:gridCol w:w="720"/>
        <w:gridCol w:w="720"/>
        <w:gridCol w:w="722"/>
        <w:gridCol w:w="722"/>
        <w:gridCol w:w="720"/>
        <w:gridCol w:w="722"/>
        <w:gridCol w:w="722"/>
        <w:gridCol w:w="712"/>
      </w:tblGrid>
      <w:tr>
        <w:trPr>
          <w:trHeight w:val="361"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0" w:right="0"/>
              <w:jc w:val="left"/>
              <w:rPr>
                <w:rFonts w:ascii="宋体" w:hAnsi="宋体" w:cs="宋体" w:eastAsia="宋体" w:hint="default"/>
                <w:sz w:val="18"/>
                <w:szCs w:val="18"/>
              </w:rPr>
            </w:pPr>
            <w:r>
              <w:rPr>
                <w:rFonts w:ascii="宋体" w:hAnsi="宋体" w:cs="宋体" w:eastAsia="宋体" w:hint="default"/>
                <w:sz w:val="18"/>
                <w:szCs w:val="18"/>
              </w:rPr>
              <w:t>承诺投资项目和超</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是否已</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本报告</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截至期</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截至期</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项目达</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本报告</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截止报</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是否达</w:t>
            </w:r>
          </w:p>
        </w:tc>
        <w:tc>
          <w:tcPr>
            <w:tcW w:w="7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项目可</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21"/>
        <w:gridCol w:w="913"/>
        <w:gridCol w:w="722"/>
        <w:gridCol w:w="720"/>
        <w:gridCol w:w="722"/>
        <w:gridCol w:w="720"/>
        <w:gridCol w:w="720"/>
        <w:gridCol w:w="722"/>
        <w:gridCol w:w="722"/>
        <w:gridCol w:w="720"/>
        <w:gridCol w:w="723"/>
        <w:gridCol w:w="722"/>
        <w:gridCol w:w="722"/>
      </w:tblGrid>
      <w:tr>
        <w:trPr>
          <w:trHeight w:val="1298"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募资金投向</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8"/>
              <w:ind w:left="57" w:right="53"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86" w:right="83"/>
              <w:jc w:val="center"/>
              <w:rPr>
                <w:rFonts w:ascii="宋体" w:hAnsi="宋体" w:cs="宋体" w:eastAsia="宋体" w:hint="default"/>
                <w:sz w:val="18"/>
                <w:szCs w:val="18"/>
              </w:rPr>
            </w:pPr>
            <w:r>
              <w:rPr>
                <w:rFonts w:ascii="宋体" w:hAnsi="宋体" w:cs="宋体" w:eastAsia="宋体" w:hint="default"/>
                <w:sz w:val="18"/>
                <w:szCs w:val="18"/>
              </w:rPr>
              <w:t>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160" w:right="84" w:hanging="75"/>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175" w:right="83" w:hanging="89"/>
              <w:jc w:val="left"/>
              <w:rPr>
                <w:rFonts w:ascii="宋体" w:hAnsi="宋体" w:cs="宋体" w:eastAsia="宋体" w:hint="default"/>
                <w:sz w:val="18"/>
                <w:szCs w:val="18"/>
              </w:rPr>
            </w:pPr>
            <w:r>
              <w:rPr>
                <w:rFonts w:ascii="宋体" w:hAnsi="宋体" w:cs="宋体" w:eastAsia="宋体" w:hint="default"/>
                <w:sz w:val="18"/>
                <w:szCs w:val="18"/>
              </w:rPr>
              <w:t>期投入 金额</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86"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71" w:right="67"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末投资 进度</w:t>
            </w:r>
            <w:r>
              <w:rPr>
                <w:rFonts w:ascii="Times New Roman" w:hAnsi="Times New Roman" w:cs="Times New Roman" w:eastAsia="Times New Roman" w:hint="default"/>
                <w:sz w:val="18"/>
                <w:szCs w:val="18"/>
              </w:rPr>
              <w:t>(3)</w:t>
            </w:r>
          </w:p>
          <w:p>
            <w:pPr>
              <w:pStyle w:val="TableParagraph"/>
              <w:spacing w:line="248" w:lineRule="exact"/>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86" w:right="84"/>
              <w:jc w:val="center"/>
              <w:rPr>
                <w:rFonts w:ascii="宋体" w:hAnsi="宋体" w:cs="宋体" w:eastAsia="宋体" w:hint="default"/>
                <w:sz w:val="18"/>
                <w:szCs w:val="18"/>
              </w:rPr>
            </w:pPr>
            <w:r>
              <w:rPr>
                <w:rFonts w:ascii="宋体" w:hAnsi="宋体" w:cs="宋体" w:eastAsia="宋体" w:hint="default"/>
                <w:sz w:val="18"/>
                <w:szCs w:val="18"/>
              </w:rPr>
              <w:t>到预定 可使用 状态日 期</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86" w:right="83"/>
              <w:jc w:val="left"/>
              <w:rPr>
                <w:rFonts w:ascii="宋体" w:hAnsi="宋体" w:cs="宋体" w:eastAsia="宋体" w:hint="default"/>
                <w:sz w:val="18"/>
                <w:szCs w:val="18"/>
              </w:rPr>
            </w:pPr>
            <w:r>
              <w:rPr>
                <w:rFonts w:ascii="宋体" w:hAnsi="宋体" w:cs="宋体" w:eastAsia="宋体" w:hint="default"/>
                <w:sz w:val="18"/>
                <w:szCs w:val="18"/>
              </w:rPr>
              <w:t>期实现 的效益</w:t>
            </w:r>
          </w:p>
        </w:tc>
        <w:tc>
          <w:tcPr>
            <w:tcW w:w="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88" w:right="82"/>
              <w:jc w:val="center"/>
              <w:rPr>
                <w:rFonts w:ascii="宋体" w:hAnsi="宋体" w:cs="宋体" w:eastAsia="宋体" w:hint="default"/>
                <w:sz w:val="18"/>
                <w:szCs w:val="18"/>
              </w:rPr>
            </w:pPr>
            <w:r>
              <w:rPr>
                <w:rFonts w:ascii="宋体" w:hAnsi="宋体" w:cs="宋体" w:eastAsia="宋体" w:hint="default"/>
                <w:sz w:val="18"/>
                <w:szCs w:val="18"/>
              </w:rPr>
              <w:t>告期末 累计实 现的效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177" w:right="84" w:hanging="92"/>
              <w:jc w:val="left"/>
              <w:rPr>
                <w:rFonts w:ascii="宋体" w:hAnsi="宋体" w:cs="宋体" w:eastAsia="宋体" w:hint="default"/>
                <w:sz w:val="18"/>
                <w:szCs w:val="18"/>
              </w:rPr>
            </w:pPr>
            <w:r>
              <w:rPr>
                <w:rFonts w:ascii="宋体" w:hAnsi="宋体" w:cs="宋体" w:eastAsia="宋体" w:hint="default"/>
                <w:sz w:val="18"/>
                <w:szCs w:val="18"/>
              </w:rPr>
              <w:t>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86" w:right="84"/>
              <w:jc w:val="center"/>
              <w:rPr>
                <w:rFonts w:ascii="宋体" w:hAnsi="宋体" w:cs="宋体" w:eastAsia="宋体" w:hint="default"/>
                <w:sz w:val="18"/>
                <w:szCs w:val="18"/>
              </w:rPr>
            </w:pPr>
            <w:r>
              <w:rPr>
                <w:rFonts w:ascii="宋体" w:hAnsi="宋体" w:cs="宋体" w:eastAsia="宋体" w:hint="default"/>
                <w:sz w:val="18"/>
                <w:szCs w:val="18"/>
              </w:rPr>
              <w:t>行性是 否发生 重大变 化</w:t>
            </w:r>
          </w:p>
        </w:tc>
      </w:tr>
      <w:tr>
        <w:trPr>
          <w:trHeight w:val="401"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下一代电力营销</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8,667.93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8,667.93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1,267.93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8,667.93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技术研发中心</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营销网络建设</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4,400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34"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722" w:type="dxa"/>
            <w:tcBorders>
              <w:top w:val="single" w:sz="4" w:space="0" w:color="000000"/>
              <w:left w:val="single" w:sz="4" w:space="0" w:color="000000"/>
              <w:bottom w:val="nil" w:sz="6" w:space="0" w:color="auto"/>
              <w:right w:val="single" w:sz="4" w:space="0" w:color="000000"/>
            </w:tcBorders>
            <w:shd w:val="clear" w:color="auto" w:fill="D4D4D4"/>
          </w:tcPr>
          <w:p>
            <w:pPr/>
          </w:p>
        </w:tc>
        <w:tc>
          <w:tcPr>
            <w:tcW w:w="720" w:type="dxa"/>
            <w:vMerge w:val="restart"/>
            <w:tcBorders>
              <w:top w:val="single" w:sz="4" w:space="0" w:color="000000"/>
              <w:left w:val="single" w:sz="10"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20,067.9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20,067.9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1,267.93</w:t>
            </w:r>
          </w:p>
        </w:tc>
        <w:tc>
          <w:tcPr>
            <w:tcW w:w="720" w:type="dxa"/>
            <w:vMerge w:val="restart"/>
            <w:tcBorders>
              <w:top w:val="single" w:sz="4" w:space="0" w:color="000000"/>
              <w:left w:val="single" w:sz="4" w:space="0" w:color="000000"/>
              <w:right w:val="single" w:sz="9" w:space="0" w:color="D4D4D4"/>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20,067.9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w:t>
            </w:r>
          </w:p>
        </w:tc>
        <w:tc>
          <w:tcPr>
            <w:tcW w:w="722" w:type="dxa"/>
            <w:tcBorders>
              <w:top w:val="single" w:sz="4" w:space="0" w:color="000000"/>
              <w:left w:val="single" w:sz="4" w:space="0" w:color="000000"/>
              <w:bottom w:val="nil" w:sz="6" w:space="0" w:color="auto"/>
              <w:right w:val="single" w:sz="4" w:space="0" w:color="000000"/>
            </w:tcBorders>
            <w:shd w:val="clear" w:color="auto" w:fill="D4D4D4"/>
          </w:tcPr>
          <w:p>
            <w:pPr/>
          </w:p>
        </w:tc>
        <w:tc>
          <w:tcPr>
            <w:tcW w:w="722" w:type="dxa"/>
            <w:tcBorders>
              <w:top w:val="single" w:sz="4" w:space="0" w:color="000000"/>
              <w:left w:val="single" w:sz="4" w:space="0" w:color="000000"/>
              <w:bottom w:val="nil" w:sz="6" w:space="0" w:color="auto"/>
              <w:right w:val="single" w:sz="4" w:space="0" w:color="000000"/>
            </w:tcBorders>
            <w:shd w:val="clear" w:color="auto" w:fill="D4D4D4"/>
          </w:tcPr>
          <w:p>
            <w:pPr/>
          </w:p>
        </w:tc>
        <w:tc>
          <w:tcPr>
            <w:tcW w:w="720" w:type="dxa"/>
            <w:vMerge w:val="restart"/>
            <w:tcBorders>
              <w:top w:val="single" w:sz="4" w:space="0" w:color="000000"/>
              <w:left w:val="single" w:sz="10" w:space="0" w:color="D4D4D4"/>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3" w:type="dxa"/>
            <w:vMerge w:val="restart"/>
            <w:tcBorders>
              <w:top w:val="single" w:sz="4" w:space="0" w:color="000000"/>
              <w:left w:val="single" w:sz="4" w:space="0" w:color="000000"/>
              <w:right w:val="single" w:sz="9" w:space="0" w:color="D4D4D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nil" w:sz="6" w:space="0" w:color="auto"/>
              <w:right w:val="single" w:sz="4" w:space="0" w:color="000000"/>
            </w:tcBorders>
            <w:shd w:val="clear" w:color="auto" w:fill="D4D4D4"/>
          </w:tcPr>
          <w:p>
            <w:pPr/>
          </w:p>
        </w:tc>
        <w:tc>
          <w:tcPr>
            <w:tcW w:w="72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1634"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10" w:space="0" w:color="D4D4D4"/>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9" w:space="0" w:color="D4D4D4"/>
            </w:tcBorders>
          </w:tcPr>
          <w:p>
            <w:pPr/>
          </w:p>
        </w:tc>
        <w:tc>
          <w:tcPr>
            <w:tcW w:w="72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10" w:space="0" w:color="D4D4D4"/>
              <w:right w:val="single" w:sz="4" w:space="0" w:color="000000"/>
            </w:tcBorders>
          </w:tcPr>
          <w:p>
            <w:pPr/>
          </w:p>
        </w:tc>
        <w:tc>
          <w:tcPr>
            <w:tcW w:w="723" w:type="dxa"/>
            <w:vMerge/>
            <w:tcBorders>
              <w:left w:val="single" w:sz="4" w:space="0" w:color="000000"/>
              <w:right w:val="single" w:sz="9" w:space="0" w:color="D4D4D4"/>
            </w:tcBorders>
          </w:tcPr>
          <w:p>
            <w:pPr/>
          </w:p>
        </w:tc>
        <w:tc>
          <w:tcPr>
            <w:tcW w:w="72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34"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722" w:type="dxa"/>
            <w:tcBorders>
              <w:top w:val="nil" w:sz="6" w:space="0" w:color="auto"/>
              <w:left w:val="single" w:sz="4" w:space="0" w:color="000000"/>
              <w:bottom w:val="single" w:sz="4" w:space="0" w:color="000000"/>
              <w:right w:val="single" w:sz="4" w:space="0" w:color="000000"/>
            </w:tcBorders>
            <w:shd w:val="clear" w:color="auto" w:fill="D4D4D4"/>
          </w:tcPr>
          <w:p>
            <w:pPr/>
          </w:p>
        </w:tc>
        <w:tc>
          <w:tcPr>
            <w:tcW w:w="720" w:type="dxa"/>
            <w:vMerge/>
            <w:tcBorders>
              <w:left w:val="single" w:sz="10" w:space="0" w:color="D4D4D4"/>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9" w:space="0" w:color="D4D4D4"/>
            </w:tcBorders>
          </w:tcPr>
          <w:p>
            <w:pPr/>
          </w:p>
        </w:tc>
        <w:tc>
          <w:tcPr>
            <w:tcW w:w="722" w:type="dxa"/>
            <w:tcBorders>
              <w:top w:val="nil" w:sz="6" w:space="0" w:color="auto"/>
              <w:left w:val="single" w:sz="4" w:space="0" w:color="000000"/>
              <w:bottom w:val="single" w:sz="4" w:space="0" w:color="000000"/>
              <w:right w:val="single" w:sz="4" w:space="0" w:color="000000"/>
            </w:tcBorders>
            <w:shd w:val="clear" w:color="auto" w:fill="D4D4D4"/>
          </w:tcPr>
          <w:p>
            <w:pPr/>
          </w:p>
        </w:tc>
        <w:tc>
          <w:tcPr>
            <w:tcW w:w="722" w:type="dxa"/>
            <w:tcBorders>
              <w:top w:val="nil" w:sz="6" w:space="0" w:color="auto"/>
              <w:left w:val="single" w:sz="4" w:space="0" w:color="000000"/>
              <w:bottom w:val="single" w:sz="4" w:space="0" w:color="000000"/>
              <w:right w:val="single" w:sz="4" w:space="0" w:color="000000"/>
            </w:tcBorders>
            <w:shd w:val="clear" w:color="auto" w:fill="D4D4D4"/>
          </w:tcPr>
          <w:p>
            <w:pPr/>
          </w:p>
        </w:tc>
        <w:tc>
          <w:tcPr>
            <w:tcW w:w="720" w:type="dxa"/>
            <w:vMerge/>
            <w:tcBorders>
              <w:left w:val="single" w:sz="10" w:space="0" w:color="D4D4D4"/>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9" w:space="0" w:color="D4D4D4"/>
            </w:tcBorders>
          </w:tcPr>
          <w:p>
            <w:pPr/>
          </w:p>
        </w:tc>
        <w:tc>
          <w:tcPr>
            <w:tcW w:w="722" w:type="dxa"/>
            <w:tcBorders>
              <w:top w:val="nil" w:sz="6" w:space="0" w:color="auto"/>
              <w:left w:val="single" w:sz="4" w:space="0" w:color="000000"/>
              <w:bottom w:val="single" w:sz="4" w:space="0" w:color="000000"/>
              <w:right w:val="single" w:sz="4" w:space="0" w:color="000000"/>
            </w:tcBorders>
            <w:shd w:val="clear" w:color="auto" w:fill="D4D4D4"/>
          </w:tcPr>
          <w:p>
            <w:pPr/>
          </w:p>
        </w:tc>
        <w:tc>
          <w:tcPr>
            <w:tcW w:w="72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98" w:hRule="exact"/>
        </w:trPr>
        <w:tc>
          <w:tcPr>
            <w:tcW w:w="72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850"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20,067.9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20,067.9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1,267.93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20,067.9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1634" w:type="dxa"/>
            <w:gridSpan w:val="2"/>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2"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FFFFFF"/>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634" w:type="dxa"/>
            <w:gridSpan w:val="2"/>
            <w:vMerge w:val="restart"/>
            <w:tcBorders>
              <w:top w:val="single" w:sz="4" w:space="0" w:color="FFFFFF"/>
              <w:left w:val="single" w:sz="4" w:space="0" w:color="000000"/>
              <w:right w:val="single" w:sz="4" w:space="0" w:color="000000"/>
            </w:tcBorders>
            <w:shd w:val="clear" w:color="auto" w:fill="D4D4D4"/>
          </w:tcPr>
          <w:p>
            <w:pPr>
              <w:pStyle w:val="TableParagraph"/>
              <w:spacing w:line="314" w:lineRule="auto" w:before="94"/>
              <w:ind w:left="24" w:right="23"/>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22" w:type="dxa"/>
            <w:tcBorders>
              <w:top w:val="single" w:sz="4" w:space="0" w:color="FFFFFF"/>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4" w:type="dxa"/>
            <w:gridSpan w:val="2"/>
            <w:vMerge/>
            <w:tcBorders>
              <w:left w:val="single" w:sz="4" w:space="0" w:color="000000"/>
              <w:bottom w:val="single" w:sz="4" w:space="0" w:color="000000"/>
              <w:right w:val="single" w:sz="4" w:space="0" w:color="000000"/>
            </w:tcBorders>
            <w:shd w:val="clear" w:color="auto" w:fill="D4D4D4"/>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4" w:type="dxa"/>
            <w:gridSpan w:val="2"/>
            <w:vMerge/>
            <w:tcBorders>
              <w:left w:val="single" w:sz="4" w:space="0" w:color="000000"/>
              <w:right w:val="single" w:sz="4" w:space="0" w:color="000000"/>
            </w:tcBorders>
            <w:shd w:val="clear" w:color="auto" w:fill="D4D4D4"/>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4" w:type="dxa"/>
            <w:gridSpan w:val="2"/>
            <w:vMerge/>
            <w:tcBorders>
              <w:left w:val="single" w:sz="4" w:space="0" w:color="000000"/>
              <w:bottom w:val="single" w:sz="4" w:space="0" w:color="000000"/>
              <w:right w:val="single" w:sz="4" w:space="0" w:color="000000"/>
            </w:tcBorders>
            <w:shd w:val="clear" w:color="auto" w:fill="D4D4D4"/>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34" w:type="dxa"/>
            <w:gridSpan w:val="2"/>
            <w:vMerge/>
            <w:tcBorders>
              <w:left w:val="single" w:sz="4" w:space="0" w:color="000000"/>
              <w:right w:val="single" w:sz="4" w:space="0" w:color="000000"/>
            </w:tcBorders>
            <w:shd w:val="clear" w:color="auto" w:fill="D4D4D4"/>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4" w:type="dxa"/>
            <w:gridSpan w:val="2"/>
            <w:vMerge/>
            <w:tcBorders>
              <w:left w:val="single" w:sz="4" w:space="0" w:color="000000"/>
              <w:bottom w:val="single" w:sz="4" w:space="0" w:color="000000"/>
              <w:right w:val="single" w:sz="4" w:space="0" w:color="000000"/>
            </w:tcBorders>
            <w:shd w:val="clear" w:color="auto" w:fill="D4D4D4"/>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24" w:right="158"/>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9" w:hRule="exact"/>
        </w:trPr>
        <w:tc>
          <w:tcPr>
            <w:tcW w:w="1634" w:type="dxa"/>
            <w:gridSpan w:val="2"/>
            <w:vMerge/>
            <w:tcBorders>
              <w:left w:val="single" w:sz="4" w:space="0" w:color="000000"/>
              <w:bottom w:val="single" w:sz="4" w:space="0" w:color="000000"/>
              <w:right w:val="single" w:sz="4" w:space="0" w:color="000000"/>
            </w:tcBorders>
            <w:shd w:val="clear" w:color="auto" w:fill="D4D4D4"/>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日，本公司分别置换募集资金</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174,240,000.00 </w:t>
            </w:r>
            <w:r>
              <w:rPr>
                <w:rFonts w:ascii="宋体" w:hAnsi="宋体" w:cs="宋体" w:eastAsia="宋体" w:hint="default"/>
                <w:sz w:val="18"/>
                <w:szCs w:val="18"/>
              </w:rPr>
              <w:t>元、</w:t>
            </w:r>
            <w:r>
              <w:rPr>
                <w:rFonts w:ascii="Times New Roman" w:hAnsi="Times New Roman" w:cs="Times New Roman" w:eastAsia="Times New Roman" w:hint="default"/>
                <w:sz w:val="18"/>
                <w:szCs w:val="18"/>
              </w:rPr>
              <w:t>13,760,007.62 </w:t>
            </w:r>
            <w:r>
              <w:rPr>
                <w:rFonts w:ascii="宋体" w:hAnsi="宋体" w:cs="宋体" w:eastAsia="宋体" w:hint="default"/>
                <w:sz w:val="18"/>
                <w:szCs w:val="18"/>
              </w:rPr>
              <w:t>元及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12,679,292.38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w:t>
            </w:r>
          </w:p>
          <w:p>
            <w:pPr>
              <w:pStyle w:val="TableParagraph"/>
              <w:spacing w:line="300" w:lineRule="auto" w:before="62"/>
              <w:ind w:left="23" w:right="24"/>
              <w:jc w:val="left"/>
              <w:rPr>
                <w:rFonts w:ascii="宋体" w:hAnsi="宋体" w:cs="宋体" w:eastAsia="宋体" w:hint="default"/>
                <w:sz w:val="18"/>
                <w:szCs w:val="18"/>
              </w:rPr>
            </w:pPr>
            <w:r>
              <w:rPr>
                <w:rFonts w:ascii="宋体" w:hAnsi="宋体" w:cs="宋体" w:eastAsia="宋体" w:hint="default"/>
                <w:sz w:val="18"/>
                <w:szCs w:val="18"/>
              </w:rPr>
              <w:t>公司累计以募集资金置换预先已投入募集资金投资项目的自筹资金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200,679,300.00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元，已全 部置换完毕。</w:t>
            </w:r>
          </w:p>
        </w:tc>
      </w:tr>
    </w:tbl>
    <w:p>
      <w:pPr>
        <w:spacing w:after="0" w:line="30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3"/>
        <w:gridCol w:w="722"/>
        <w:gridCol w:w="7214"/>
      </w:tblGrid>
      <w:tr>
        <w:trPr>
          <w:trHeight w:val="401" w:hRule="exact"/>
        </w:trPr>
        <w:tc>
          <w:tcPr>
            <w:tcW w:w="163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2" w:right="158"/>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3" w:type="dxa"/>
            <w:vMerge/>
            <w:tcBorders>
              <w:left w:val="single" w:sz="4" w:space="0" w:color="000000"/>
              <w:bottom w:val="single" w:sz="4" w:space="0" w:color="000000"/>
              <w:right w:val="single" w:sz="4" w:space="0" w:color="000000"/>
            </w:tcBorders>
            <w:shd w:val="clear" w:color="auto" w:fill="D4D4D4"/>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22" w:right="158"/>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3" w:type="dxa"/>
            <w:vMerge/>
            <w:tcBorders>
              <w:left w:val="single" w:sz="4" w:space="0" w:color="000000"/>
              <w:bottom w:val="single" w:sz="4" w:space="0" w:color="000000"/>
              <w:right w:val="single" w:sz="4" w:space="0" w:color="000000"/>
            </w:tcBorders>
            <w:shd w:val="clear" w:color="auto" w:fill="D4D4D4"/>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58"/>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58"/>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29"/>
        <w:jc w:val="left"/>
      </w:pPr>
      <w:r>
        <w:rPr/>
        <w:t>注：如本公司《首次公开发行股票招股意向书》所披露，相关项目不直接产生利润，未单独进行财务评价。</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1129"/>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9"/>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3"/>
        <w:spacing w:line="240" w:lineRule="auto"/>
        <w:ind w:right="1129"/>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9"/>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2" w:top="1060" w:bottom="118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8"/>
        <w:jc w:val="left"/>
      </w:pPr>
      <w:r>
        <w:rPr/>
        <w:t>主要子公司及对公司净利润影响达</w:t>
      </w:r>
      <w:r>
        <w:rPr>
          <w:spacing w:val="-45"/>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0"/>
          <w:cols w:num="2" w:equalWidth="0">
            <w:col w:w="4850" w:space="4068"/>
            <w:col w:w="201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227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4" w:right="119"/>
              <w:jc w:val="left"/>
              <w:rPr>
                <w:rFonts w:ascii="宋体" w:hAnsi="宋体" w:cs="宋体" w:eastAsia="宋体" w:hint="default"/>
                <w:sz w:val="18"/>
                <w:szCs w:val="18"/>
              </w:rPr>
            </w:pPr>
            <w:r>
              <w:rPr>
                <w:rFonts w:ascii="宋体" w:hAnsi="宋体" w:cs="宋体" w:eastAsia="宋体" w:hint="default"/>
                <w:sz w:val="18"/>
                <w:szCs w:val="18"/>
              </w:rPr>
              <w:t>邦道科技有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公共事业行 业专业化 </w:t>
            </w:r>
            <w:r>
              <w:rPr>
                <w:rFonts w:ascii="Times New Roman" w:hAnsi="Times New Roman" w:cs="Times New Roman" w:eastAsia="Times New Roman" w:hint="default"/>
                <w:sz w:val="18"/>
                <w:szCs w:val="18"/>
              </w:rPr>
              <w:t>EBPP</w:t>
            </w:r>
            <w:r>
              <w:rPr>
                <w:rFonts w:ascii="宋体" w:hAnsi="宋体" w:cs="宋体" w:eastAsia="宋体" w:hint="default"/>
                <w:sz w:val="18"/>
                <w:szCs w:val="18"/>
              </w:rPr>
              <w:t>（电子 账单处理及 支付系统） 技术与运营 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374,875,915.</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275,157,078.</w:t>
            </w:r>
            <w:r>
              <w:rPr>
                <w:rFonts w:ascii="Times New Roman"/>
                <w:sz w:val="18"/>
              </w:rPr>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259,208,224.</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146,599,617.</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130,145,390.</w:t>
            </w:r>
            <w:r>
              <w:rPr>
                <w:rFonts w:ascii="Times New Roman"/>
                <w:sz w:val="18"/>
              </w:rPr>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9"/>
        <w:jc w:val="left"/>
      </w:pPr>
      <w:r>
        <w:rPr/>
        <w:t>报告期内取得和处置子公司的情况</w:t>
      </w:r>
    </w:p>
    <w:p>
      <w:pPr>
        <w:pStyle w:val="BodyText"/>
        <w:spacing w:line="240" w:lineRule="auto" w:before="117"/>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瀚云科技有限公司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影响不重大</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朗新智元科技有限公司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影响不重大</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云筑智联科技有限公司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影响不重大</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北京天正信华科技有限公司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影响不重大</w:t>
            </w:r>
          </w:p>
        </w:tc>
      </w:tr>
    </w:tbl>
    <w:p>
      <w:pPr>
        <w:pStyle w:val="BodyText"/>
        <w:spacing w:line="240" w:lineRule="auto" w:before="49"/>
        <w:ind w:right="1129"/>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1129"/>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9"/>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pPr>
      <w:r>
        <w:rPr>
          <w:spacing w:val="-2"/>
        </w:rPr>
        <w:t>公司已建立清晰的产业互联网业务发展战略，基于云计算、大数据、物联网、人工智能、区块链等新技术的应用，从基</w:t>
      </w:r>
      <w:r>
        <w:rPr/>
        <w:t> </w:t>
      </w:r>
      <w:r>
        <w:rPr>
          <w:spacing w:val="-2"/>
        </w:rPr>
        <w:t>础服务（公用事业、公共服务、能源、气象等）和通用赋能（工业互联网、外贸数字服务等）两个维度助力各产业和领域的</w:t>
      </w:r>
      <w:r>
        <w:rPr>
          <w:spacing w:val="-64"/>
        </w:rPr>
        <w:t> </w:t>
      </w:r>
      <w:r>
        <w:rPr>
          <w:spacing w:val="-64"/>
        </w:rPr>
      </w:r>
      <w:r>
        <w:rPr/>
        <w:t>信息化、互联网化和数字智能化，以</w:t>
      </w:r>
      <w:r>
        <w:rPr>
          <w:spacing w:val="-45"/>
        </w:rPr>
        <w:t> </w:t>
      </w:r>
      <w:r>
        <w:rPr>
          <w:rFonts w:ascii="Times New Roman" w:hAnsi="Times New Roman" w:cs="Times New Roman" w:eastAsia="Times New Roman" w:hint="default"/>
        </w:rPr>
        <w:t>B-B-C </w:t>
      </w:r>
      <w:r>
        <w:rPr/>
        <w:t>的业务模式赋能企业和机构，助力产业升级、改善消费者体验。</w:t>
      </w:r>
    </w:p>
    <w:p>
      <w:pPr>
        <w:pStyle w:val="BodyText"/>
        <w:spacing w:line="316" w:lineRule="auto" w:before="37"/>
        <w:ind w:right="1130" w:firstLine="360"/>
        <w:jc w:val="both"/>
      </w:pPr>
      <w:r>
        <w:rPr>
          <w:spacing w:val="-2"/>
        </w:rPr>
        <w:t>公司的这个业务发展战略与国家经济和社会的发展阶段与发展方向高度契合，公司长期服务的国家电网也在年初提出了</w:t>
      </w:r>
      <w:r>
        <w:rPr/>
        <w:t> </w:t>
      </w:r>
      <w:r>
        <w:rPr>
          <w:spacing w:val="-2"/>
        </w:rPr>
        <w:t>泛在电力物联网的发展和建设规划，将自身的未来发展转型方向提炼为“三型两网”，其本质也是产业互联网发展思路。但</w:t>
      </w:r>
      <w:r>
        <w:rPr>
          <w:spacing w:val="-72"/>
        </w:rPr>
        <w:t> </w:t>
      </w:r>
      <w:r>
        <w:rPr>
          <w:spacing w:val="-72"/>
        </w:rPr>
      </w:r>
      <w:r>
        <w:rPr>
          <w:spacing w:val="-2"/>
        </w:rPr>
        <w:t>同时公司也看到，中国经济仍处于转变发展方式、优化经济结构、转换增长动力的攻关期，由于外部国际环境变化和内部资</w:t>
      </w:r>
      <w:r>
        <w:rPr>
          <w:spacing w:val="-65"/>
        </w:rPr>
        <w:t> </w:t>
      </w:r>
      <w:r>
        <w:rPr>
          <w:spacing w:val="-65"/>
        </w:rPr>
      </w:r>
      <w:r>
        <w:rPr>
          <w:spacing w:val="-2"/>
        </w:rPr>
        <w:t>源环境约束，传统粗放型增长动能正在快速减弱，而依靠技术进步、改善管理和提高劳动者素质实现的新型增长动能依然处</w:t>
      </w:r>
      <w:r>
        <w:rPr>
          <w:spacing w:val="-63"/>
        </w:rPr>
        <w:t> </w:t>
      </w:r>
      <w:r>
        <w:rPr>
          <w:spacing w:val="-63"/>
        </w:rPr>
      </w:r>
      <w:r>
        <w:rPr>
          <w:spacing w:val="-2"/>
        </w:rPr>
        <w:t>于积聚能量阶段，给整个经济发展带来很大的不确定性和风险。因此，公司认为机遇与风险并存，将持续坚持稳健的发展策</w:t>
      </w:r>
      <w:r>
        <w:rPr>
          <w:spacing w:val="-64"/>
        </w:rPr>
        <w:t> </w:t>
      </w:r>
      <w:r>
        <w:rPr>
          <w:spacing w:val="-64"/>
        </w:rPr>
      </w:r>
      <w:r>
        <w:rPr/>
        <w:t>略。</w:t>
      </w:r>
    </w:p>
    <w:p>
      <w:pPr>
        <w:pStyle w:val="BodyText"/>
        <w:spacing w:line="316" w:lineRule="auto" w:before="59"/>
        <w:ind w:right="1034" w:firstLine="360"/>
        <w:jc w:val="left"/>
      </w:pPr>
      <w:r>
        <w:rPr>
          <w:spacing w:val="-2"/>
        </w:rPr>
        <w:t>基础服务领域产业互联网业务，公司沿公用事业、公共服务、能源和气象等产业方向进行了广泛的布局。其中在公用事</w:t>
      </w:r>
      <w:r>
        <w:rPr/>
        <w:t> </w:t>
      </w:r>
      <w:r>
        <w:rPr>
          <w:spacing w:val="-2"/>
        </w:rPr>
        <w:t>业领域，国家电网提出“三型两网”的转型发展思路，用建设泛在电力物联网的大理念统一国家电网业务创新与系统建设思</w:t>
      </w:r>
      <w:r>
        <w:rPr>
          <w:spacing w:val="-66"/>
        </w:rPr>
        <w:t> </w:t>
      </w:r>
      <w:r>
        <w:rPr>
          <w:spacing w:val="-66"/>
        </w:rPr>
      </w:r>
      <w:r>
        <w:rPr>
          <w:spacing w:val="-2"/>
        </w:rPr>
        <w:t>路，为公司带来了更多的参与国家电网相关系统规划与建设的机会，同时也将为公司的产业互联网服务模式带来更多的生态</w:t>
      </w:r>
      <w:r>
        <w:rPr>
          <w:spacing w:val="-64"/>
        </w:rPr>
        <w:t> </w:t>
      </w:r>
      <w:r>
        <w:rPr>
          <w:spacing w:val="-64"/>
        </w:rPr>
      </w:r>
      <w:r>
        <w:rPr>
          <w:spacing w:val="-2"/>
        </w:rPr>
        <w:t>合作机会。南方电网的发展思路与国家电网有很多共通之处，也将为公司带来更多的增长机会。在燃气行业，随着行业集中</w:t>
      </w:r>
      <w:r>
        <w:rPr>
          <w:spacing w:val="-64"/>
        </w:rPr>
        <w:t> </w:t>
      </w:r>
      <w:r>
        <w:rPr>
          <w:spacing w:val="-64"/>
        </w:rPr>
      </w:r>
      <w:r>
        <w:rPr>
          <w:spacing w:val="-2"/>
        </w:rPr>
        <w:t>度的提升以及服务改善需求的增加，信息化、互联网化和数字智能化的需求也在稳步增加，公司在服务行业最大公司华润燃</w:t>
      </w:r>
      <w:r>
        <w:rPr>
          <w:spacing w:val="-66"/>
        </w:rPr>
        <w:t> </w:t>
      </w:r>
      <w:r>
        <w:rPr>
          <w:spacing w:val="-66"/>
        </w:rPr>
      </w:r>
      <w:r>
        <w:rPr>
          <w:spacing w:val="-2"/>
        </w:rPr>
        <w:t>气集团以及多个大型城市燃气公司的基础上，新增中国燃气和港华燃气等客户，市场地位已处于行业第一阵营，公司将进一</w:t>
      </w:r>
      <w:r>
        <w:rPr>
          <w:spacing w:val="-63"/>
        </w:rPr>
        <w:t> </w:t>
      </w:r>
      <w:r>
        <w:rPr>
          <w:spacing w:val="-63"/>
        </w:rPr>
      </w:r>
      <w:r>
        <w:rPr>
          <w:spacing w:val="-2"/>
        </w:rPr>
        <w:t>步积极拓展燃气行业市场，巩固公司在大公用事业领域的领先地位。除上市公司自身深耕公用事业外，公司与蚂蚁金服合营</w:t>
      </w:r>
      <w:r>
        <w:rPr>
          <w:spacing w:val="-63"/>
        </w:rPr>
        <w:t> </w:t>
      </w:r>
      <w:r>
        <w:rPr>
          <w:spacing w:val="-63"/>
        </w:rPr>
      </w:r>
      <w:r>
        <w:rPr/>
        <w:t>的邦道科技在公共服务领域积极拓展，朗新数据拓展智慧体育与智慧交管服务，新耀能源拓展新能源发电与新型用能服务，</w:t>
      </w:r>
      <w:r>
        <w:rPr>
          <w:spacing w:val="-86"/>
        </w:rPr>
        <w:t> </w:t>
      </w:r>
      <w:r>
        <w:rPr>
          <w:spacing w:val="-86"/>
        </w:rPr>
      </w:r>
      <w:r>
        <w:rPr/>
        <w:t>朗新云筑拓展智慧社区、智慧园区服务，都将为公司未来的发展创造更多的机会。</w:t>
      </w:r>
    </w:p>
    <w:p>
      <w:pPr>
        <w:pStyle w:val="BodyText"/>
        <w:spacing w:line="316" w:lineRule="auto" w:before="59"/>
        <w:ind w:right="1034" w:firstLine="360"/>
        <w:jc w:val="left"/>
      </w:pPr>
      <w:r>
        <w:rPr>
          <w:spacing w:val="-2"/>
        </w:rPr>
        <w:t>通用赋能领域产业互联网业务，公司在新外贸数字服务和工业互联网平台服务两个方面已经取得了可喜的进展和行业的</w:t>
      </w:r>
      <w:r>
        <w:rPr/>
        <w:t> 认可，公司将继续加大投入，真正实现基于云计算、大数据、物联网、人工智能、区块链等新技术的应用，让外贸更便利，</w:t>
      </w:r>
      <w:r>
        <w:rPr>
          <w:spacing w:val="-86"/>
        </w:rPr>
        <w:t> </w:t>
      </w:r>
      <w:r>
        <w:rPr>
          <w:spacing w:val="-86"/>
        </w:rPr>
      </w:r>
      <w:r>
        <w:rPr/>
        <w:t>让工业更有力。</w:t>
      </w:r>
    </w:p>
    <w:p>
      <w:pPr>
        <w:spacing w:after="0" w:line="316" w:lineRule="auto"/>
        <w:jc w:val="left"/>
        <w:sectPr>
          <w:pgSz w:w="11910" w:h="16840"/>
          <w:pgMar w:header="745"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9"/>
        <w:jc w:val="left"/>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9"/>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745" w:footer="982" w:top="1060" w:bottom="1180" w:left="980" w:right="0"/>
        </w:sectPr>
      </w:pPr>
    </w:p>
    <w:p>
      <w:pPr>
        <w:spacing w:line="240" w:lineRule="auto" w:before="0"/>
        <w:rPr>
          <w:rFonts w:ascii="宋体" w:hAnsi="宋体" w:cs="宋体" w:eastAsia="宋体" w:hint="default"/>
          <w:sz w:val="20"/>
          <w:szCs w:val="20"/>
        </w:rPr>
      </w:pPr>
      <w:r>
        <w:rPr/>
        <w:pict>
          <v:group style="position:absolute;margin-left:243.960007pt;margin-top:663.959961pt;width:289.7pt;height:19.6pt;mso-position-horizontal-relative:page;mso-position-vertical-relative:page;z-index:-1107472" coordorigin="4879,13279" coordsize="5794,392">
            <v:shape style="position:absolute;left:4879;top:13279;width:5794;height:392" coordorigin="4879,13279" coordsize="5794,392" path="m4879,13670l10673,13670,10673,13279,4879,13279,4879,13670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4144"/>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4"/>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9"/>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129"/>
        <w:jc w:val="left"/>
      </w:pPr>
      <w:r>
        <w:rPr/>
        <w:t>报告期内普通股利润分配政策，特别是现金分红政策的制定、执行或调整情况 </w:t>
      </w:r>
      <w:r>
        <w:rPr>
          <w:spacing w:val="-2"/>
        </w:rPr>
        <w:t>在年度盈利且现金流满足正常经营和发展的前提下，公司应当优先采取现金方式分配股利，如无重大投资计划或重大现金支</w:t>
      </w:r>
      <w:r>
        <w:rPr>
          <w:spacing w:val="-64"/>
        </w:rPr>
        <w:t> </w:t>
      </w:r>
      <w:r>
        <w:rPr>
          <w:spacing w:val="-64"/>
        </w:rPr>
      </w:r>
      <w:r>
        <w:rPr>
          <w:spacing w:val="-2"/>
        </w:rPr>
        <w:t>出等事项发生，以现金方式分配的利润不少于当年实现的可分配利润的百分之十五。同时，公司近三年以现金方式累计分配</w:t>
      </w:r>
    </w:p>
    <w:p>
      <w:pPr>
        <w:pStyle w:val="BodyText"/>
        <w:spacing w:line="316" w:lineRule="auto" w:before="2"/>
        <w:ind w:right="1130"/>
        <w:jc w:val="both"/>
        <w:rPr>
          <w:rFonts w:ascii="宋体" w:hAnsi="宋体" w:cs="宋体" w:eastAsia="宋体" w:hint="default"/>
        </w:rPr>
      </w:pPr>
      <w:r>
        <w:rPr>
          <w:spacing w:val="-2"/>
        </w:rPr>
        <w:t>利润不少于最近三年实现的年均可分配利润的百分之三十。在每年现金分红比例保持稳定的基础上，如出现公司业务发展快</w:t>
      </w:r>
      <w:r>
        <w:rPr>
          <w:spacing w:val="-64"/>
        </w:rPr>
        <w:t> </w:t>
      </w:r>
      <w:r>
        <w:rPr>
          <w:spacing w:val="-64"/>
        </w:rPr>
      </w:r>
      <w:r>
        <w:rPr>
          <w:spacing w:val="-2"/>
        </w:rPr>
        <w:t>速、盈利增长较快等情形，董事会认为公司的发展阶段已属于成熟期的，则根据公司有无重大资金支出安排计划，由董事会</w:t>
      </w:r>
      <w:r>
        <w:rPr>
          <w:spacing w:val="-64"/>
        </w:rPr>
        <w:t> </w:t>
      </w:r>
      <w:r>
        <w:rPr>
          <w:spacing w:val="-64"/>
        </w:rPr>
      </w:r>
      <w:r>
        <w:rPr>
          <w:spacing w:val="-2"/>
        </w:rPr>
        <w:t>按照本章程规定的利润分配政策调整的程序提出提高现金分红在本次利润分配中的最低比例，经董事会审议后，提交公司股</w:t>
      </w:r>
      <w:r>
        <w:rPr>
          <w:spacing w:val="-64"/>
        </w:rPr>
        <w:t> </w:t>
      </w:r>
      <w:r>
        <w:rPr>
          <w:spacing w:val="-64"/>
        </w:rPr>
      </w:r>
      <w:r>
        <w:rPr/>
        <w:t>东大会批准。</w:t>
      </w:r>
      <w:r>
        <w:rPr>
          <w:rFonts w:ascii="宋体" w:hAnsi="宋体" w:cs="宋体" w:eastAsia="宋体" w:hint="default"/>
        </w:rPr>
        <w:t> </w:t>
      </w:r>
    </w:p>
    <w:p>
      <w:pPr>
        <w:pStyle w:val="BodyText"/>
        <w:spacing w:line="338" w:lineRule="auto" w:before="59"/>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利润分配政策、特别是现金分红政策的制定、执行或调整情况。</w:t>
      </w:r>
    </w:p>
    <w:tbl>
      <w:tblPr>
        <w:tblW w:w="0" w:type="auto"/>
        <w:jc w:val="left"/>
        <w:tblInd w:w="160" w:type="dxa"/>
        <w:tblLayout w:type="fixed"/>
        <w:tblCellMar>
          <w:top w:w="0" w:type="dxa"/>
          <w:left w:w="0" w:type="dxa"/>
          <w:bottom w:w="0" w:type="dxa"/>
          <w:right w:w="0" w:type="dxa"/>
        </w:tblCellMar>
        <w:tblLook w:val="01E0"/>
      </w:tblPr>
      <w:tblGrid>
        <w:gridCol w:w="4760"/>
        <w:gridCol w:w="4796"/>
      </w:tblGrid>
      <w:tr>
        <w:trPr>
          <w:trHeight w:val="398"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6"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8"/>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8"/>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3"/>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3"/>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3"/>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3"/>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3"/>
              <w:ind w:left="12" w:right="56"/>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3"/>
              <w:ind w:left="12" w:right="56"/>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3"/>
        <w:ind w:right="1129"/>
        <w:jc w:val="left"/>
      </w:pPr>
      <w:r>
        <w:rPr/>
        <w:t>公司报告期利润分配预案及资本公积金转增股本预案与公司章程和分红管理办法等的相关规定一致</w:t>
      </w:r>
    </w:p>
    <w:p>
      <w:pPr>
        <w:pStyle w:val="BodyText"/>
        <w:spacing w:line="348" w:lineRule="auto" w:before="115"/>
        <w:ind w:right="427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本年度利润分配及资本公积金转增股本情况</w:t>
      </w:r>
    </w:p>
    <w:p>
      <w:pPr>
        <w:spacing w:line="240" w:lineRule="auto" w:before="2"/>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6"/>
        <w:gridCol w:w="5851"/>
      </w:tblGrid>
      <w:tr>
        <w:trPr>
          <w:trHeight w:val="403"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0.81</w:t>
            </w:r>
            <w:r>
              <w:rPr>
                <w:rFonts w:ascii="Times New Roman"/>
                <w:sz w:val="18"/>
              </w:rPr>
            </w:r>
          </w:p>
        </w:tc>
      </w:tr>
      <w:tr>
        <w:trPr>
          <w:trHeight w:val="403"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431,720,862</w:t>
            </w:r>
          </w:p>
        </w:tc>
      </w:tr>
      <w:tr>
        <w:trPr>
          <w:trHeight w:val="403"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34,969,389.82</w:t>
            </w:r>
          </w:p>
        </w:tc>
      </w:tr>
      <w:tr>
        <w:trPr>
          <w:trHeight w:val="401" w:hRule="exact"/>
        </w:trPr>
        <w:tc>
          <w:tcPr>
            <w:tcW w:w="3716"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1" w:type="dxa"/>
            <w:tcBorders>
              <w:top w:val="single" w:sz="4" w:space="0" w:color="000000"/>
              <w:left w:val="single" w:sz="13" w:space="0" w:color="FFFFFF"/>
              <w:bottom w:val="single" w:sz="4" w:space="0" w:color="000000"/>
              <w:right w:val="single" w:sz="4" w:space="0" w:color="000000"/>
            </w:tcBorders>
          </w:tcPr>
          <w:p>
            <w:pPr>
              <w:pStyle w:val="TableParagraph"/>
              <w:tabs>
                <w:tab w:pos="5493" w:val="left" w:leader="none"/>
              </w:tabs>
              <w:spacing w:line="240" w:lineRule="auto" w:before="49"/>
              <w:ind w:left="-135"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r>
              <w:rPr>
                <w:rFonts w:ascii="Times New Roman" w:hAnsi="Times New Roman" w:cs="Times New Roman" w:eastAsia="Times New Roman" w:hint="default"/>
                <w:sz w:val="18"/>
                <w:szCs w:val="18"/>
              </w:rPr>
            </w:r>
          </w:p>
        </w:tc>
      </w:tr>
      <w:tr>
        <w:trPr>
          <w:trHeight w:val="403"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34,969,389.82</w:t>
            </w:r>
          </w:p>
        </w:tc>
      </w:tr>
      <w:tr>
        <w:trPr>
          <w:trHeight w:val="401"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116,955,798.67</w:t>
            </w:r>
          </w:p>
        </w:tc>
      </w:tr>
      <w:tr>
        <w:trPr>
          <w:trHeight w:val="715"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44"/>
        <w:ind w:left="0" w:right="1138"/>
        <w:jc w:val="right"/>
      </w:pPr>
      <w:r>
        <w:rPr/>
        <w:pict>
          <v:shape style="position:absolute;margin-left:56.400002pt;margin-top:-76.569267pt;width:479.2pt;height:158.9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9"/>
                  </w:tblGrid>
                  <w:tr>
                    <w:trPr>
                      <w:trHeight w:val="401" w:hRule="exact"/>
                    </w:trPr>
                    <w:tc>
                      <w:tcPr>
                        <w:tcW w:w="95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8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963"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经普华永道中天会计师事务所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审计确认，</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年归属于上市公司股东的净利润为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133,683,046.76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w:t>
                        </w:r>
                      </w:p>
                      <w:p>
                        <w:pPr>
                          <w:pStyle w:val="TableParagraph"/>
                          <w:spacing w:line="240" w:lineRule="auto" w:before="60"/>
                          <w:ind w:left="24" w:right="0"/>
                          <w:jc w:val="both"/>
                          <w:rPr>
                            <w:rFonts w:ascii="宋体" w:hAnsi="宋体" w:cs="宋体" w:eastAsia="宋体" w:hint="default"/>
                            <w:sz w:val="18"/>
                            <w:szCs w:val="18"/>
                          </w:rPr>
                        </w:pPr>
                        <w:r>
                          <w:rPr>
                            <w:rFonts w:ascii="宋体" w:hAnsi="宋体" w:cs="宋体" w:eastAsia="宋体" w:hint="default"/>
                            <w:sz w:val="18"/>
                            <w:szCs w:val="18"/>
                          </w:rPr>
                          <w:t>《上市公司监管指引第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上市公司现金分红》和《公司章程》的有关规定，提取法定盈余公积金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16,727,248.09 </w:t>
                        </w:r>
                        <w:r>
                          <w:rPr>
                            <w:rFonts w:ascii="宋体" w:hAnsi="宋体" w:cs="宋体" w:eastAsia="宋体" w:hint="default"/>
                            <w:sz w:val="18"/>
                            <w:szCs w:val="18"/>
                          </w:rPr>
                          <w:t>元后</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年实现可分配利润为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116,955,798.67 </w:t>
                        </w:r>
                        <w:r>
                          <w:rPr>
                            <w:rFonts w:ascii="宋体" w:hAnsi="宋体" w:cs="宋体" w:eastAsia="宋体" w:hint="default"/>
                            <w:spacing w:val="-4"/>
                            <w:sz w:val="18"/>
                            <w:szCs w:val="18"/>
                          </w:rPr>
                          <w:t>元。结合公司发展与未来资金需求，公司拟以总股本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431,720,862 </w:t>
                        </w:r>
                        <w:r>
                          <w:rPr>
                            <w:rFonts w:ascii="宋体" w:hAnsi="宋体" w:cs="宋体" w:eastAsia="宋体" w:hint="default"/>
                            <w:sz w:val="18"/>
                            <w:szCs w:val="18"/>
                          </w:rPr>
                          <w:t>股为基数</w:t>
                        </w:r>
                      </w:p>
                      <w:p>
                        <w:pPr>
                          <w:pStyle w:val="TableParagraph"/>
                          <w:spacing w:line="300" w:lineRule="auto" w:before="63"/>
                          <w:ind w:left="24" w:right="23"/>
                          <w:jc w:val="both"/>
                          <w:rPr>
                            <w:rFonts w:ascii="宋体" w:hAnsi="宋体" w:cs="宋体" w:eastAsia="宋体" w:hint="default"/>
                            <w:sz w:val="18"/>
                            <w:szCs w:val="18"/>
                          </w:rPr>
                        </w:pPr>
                        <w:r>
                          <w:rPr>
                            <w:rFonts w:ascii="宋体" w:hAnsi="宋体" w:cs="宋体" w:eastAsia="宋体" w:hint="default"/>
                            <w:sz w:val="18"/>
                            <w:szCs w:val="18"/>
                          </w:rPr>
                          <w:t>向全体股东每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股派发现金股利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0.81</w:t>
                        </w:r>
                        <w:r>
                          <w:rPr>
                            <w:rFonts w:ascii="Times New Roman" w:hAnsi="Times New Roman" w:cs="Times New Roman" w:eastAsia="Times New Roman" w:hint="default"/>
                            <w:spacing w:val="2"/>
                            <w:sz w:val="18"/>
                            <w:szCs w:val="18"/>
                          </w:rPr>
                          <w:t> </w:t>
                        </w:r>
                        <w:r>
                          <w:rPr>
                            <w:rFonts w:ascii="宋体" w:hAnsi="宋体" w:cs="宋体" w:eastAsia="宋体" w:hint="default"/>
                            <w:spacing w:val="-14"/>
                            <w:sz w:val="18"/>
                            <w:szCs w:val="18"/>
                          </w:rPr>
                          <w:t>元（含税），送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股，转增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股，总计派发现金股利</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34,969,389.82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元，占归属于上</w:t>
                        </w:r>
                        <w:r>
                          <w:rPr>
                            <w:rFonts w:ascii="宋体" w:hAnsi="宋体" w:cs="宋体" w:eastAsia="宋体" w:hint="default"/>
                            <w:spacing w:val="-87"/>
                            <w:sz w:val="18"/>
                            <w:szCs w:val="18"/>
                          </w:rPr>
                          <w:t> </w:t>
                        </w:r>
                        <w:r>
                          <w:rPr>
                            <w:rFonts w:ascii="宋体" w:hAnsi="宋体" w:cs="宋体" w:eastAsia="宋体" w:hint="default"/>
                            <w:sz w:val="18"/>
                            <w:szCs w:val="18"/>
                          </w:rPr>
                          <w:t>市公司股东</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年实现可分配利润的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29.90%</w:t>
                        </w:r>
                        <w:r>
                          <w:rPr>
                            <w:rFonts w:ascii="宋体" w:hAnsi="宋体" w:cs="宋体" w:eastAsia="宋体" w:hint="default"/>
                            <w:sz w:val="18"/>
                            <w:szCs w:val="18"/>
                          </w:rPr>
                          <w:t>。若在分配方案实施前公司总股本由于再融资新增股份上市、可转债转股、 股份回购、股权激励行权等原因而发生变化的，分配比例将按分派总额不变的原则相应调整。</w:t>
                        </w:r>
                      </w:p>
                    </w:tc>
                  </w:tr>
                </w:tbl>
                <w:p>
                  <w:pPr/>
                </w:p>
              </w:txbxContent>
            </v:textbox>
            <w10:wrap type="none"/>
          </v:shape>
        </w:pict>
      </w:r>
      <w:r>
        <w:rPr/>
        <w:t>，</w:t>
      </w:r>
    </w:p>
    <w:p>
      <w:pPr>
        <w:pStyle w:val="BodyText"/>
        <w:spacing w:line="240" w:lineRule="auto" w:before="76"/>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82" w:top="1060" w:bottom="1180" w:left="980" w:right="0"/>
        </w:sectPr>
      </w:pPr>
    </w:p>
    <w:p>
      <w:pPr>
        <w:pStyle w:val="BodyText"/>
        <w:spacing w:line="240" w:lineRule="auto" w:before="44"/>
        <w:ind w:right="-18"/>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1"/>
        <w:ind w:right="-18"/>
        <w:jc w:val="left"/>
      </w:pPr>
      <w:r>
        <w:rPr>
          <w:rFonts w:ascii="Times New Roman" w:hAnsi="Times New Roman" w:cs="Times New Roman" w:eastAsia="Times New Roman" w:hint="default"/>
        </w:rPr>
        <w:t>1.2016</w:t>
      </w:r>
      <w:r>
        <w:rPr/>
        <w:t>年利润分配方案</w:t>
      </w:r>
    </w:p>
    <w:p>
      <w:pPr>
        <w:pStyle w:val="BodyText"/>
        <w:spacing w:line="240" w:lineRule="auto" w:before="62"/>
        <w:ind w:right="-18"/>
        <w:jc w:val="left"/>
      </w:pPr>
      <w:r>
        <w:rPr>
          <w:rFonts w:ascii="Times New Roman" w:hAnsi="Times New Roman" w:cs="Times New Roman" w:eastAsia="Times New Roman" w:hint="default"/>
        </w:rPr>
        <w:t>2016</w:t>
      </w:r>
      <w:r>
        <w:rPr/>
        <w:t>年未进行利润分配。</w:t>
      </w:r>
    </w:p>
    <w:p>
      <w:pPr>
        <w:pStyle w:val="BodyText"/>
        <w:spacing w:line="319" w:lineRule="auto" w:before="62"/>
        <w:ind w:right="1556"/>
        <w:jc w:val="left"/>
      </w:pPr>
      <w:r>
        <w:rPr>
          <w:rFonts w:ascii="Times New Roman" w:hAnsi="Times New Roman" w:cs="Times New Roman" w:eastAsia="Times New Roman" w:hint="default"/>
        </w:rPr>
        <w:t>2.2017</w:t>
      </w:r>
      <w:r>
        <w:rPr/>
        <w:t>年利润分配方案 以公司现有总股本</w:t>
      </w:r>
      <w:r>
        <w:rPr>
          <w:rFonts w:ascii="Times New Roman" w:hAnsi="Times New Roman" w:cs="Times New Roman" w:eastAsia="Times New Roman" w:hint="default"/>
        </w:rPr>
        <w:t>416,760,300</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0.51</w:t>
      </w:r>
      <w:r>
        <w:rPr/>
        <w:t>元人民币现金。 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2"/>
        <w:ind w:right="0"/>
        <w:jc w:val="left"/>
      </w:pPr>
      <w:r>
        <w:rPr/>
        <w:t>单位：元</w:t>
      </w:r>
    </w:p>
    <w:p>
      <w:pPr>
        <w:spacing w:after="0" w:line="240" w:lineRule="auto"/>
        <w:jc w:val="left"/>
        <w:sectPr>
          <w:type w:val="continuous"/>
          <w:pgSz w:w="11910" w:h="16840"/>
          <w:pgMar w:top="1060" w:bottom="1180" w:left="980" w:right="0"/>
          <w:cols w:num="2" w:equalWidth="0">
            <w:col w:w="8164" w:space="754"/>
            <w:col w:w="2012"/>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5"/>
        <w:gridCol w:w="1196"/>
        <w:gridCol w:w="1196"/>
        <w:gridCol w:w="1195"/>
        <w:gridCol w:w="1207"/>
        <w:gridCol w:w="1174"/>
      </w:tblGrid>
      <w:tr>
        <w:trPr>
          <w:trHeight w:val="163" w:hRule="exact"/>
        </w:trPr>
        <w:tc>
          <w:tcPr>
            <w:tcW w:w="1198" w:type="dxa"/>
            <w:vMerge w:val="restart"/>
            <w:tcBorders>
              <w:top w:val="single" w:sz="4" w:space="0" w:color="000000"/>
              <w:left w:val="single" w:sz="4" w:space="0" w:color="000000"/>
              <w:right w:val="single" w:sz="4" w:space="0" w:color="000000"/>
            </w:tcBorders>
            <w:shd w:val="clear" w:color="auto" w:fill="D4D4D4"/>
          </w:tcPr>
          <w:p>
            <w:pPr/>
          </w:p>
        </w:tc>
        <w:tc>
          <w:tcPr>
            <w:tcW w:w="1195" w:type="dxa"/>
            <w:vMerge w:val="restart"/>
            <w:tcBorders>
              <w:top w:val="single" w:sz="4" w:space="0" w:color="000000"/>
              <w:left w:val="single" w:sz="4" w:space="0" w:color="000000"/>
              <w:right w:val="single" w:sz="4" w:space="0" w:color="000000"/>
            </w:tcBorders>
            <w:shd w:val="clear" w:color="auto" w:fill="D4D4D4"/>
          </w:tcPr>
          <w:p>
            <w:pPr/>
          </w:p>
        </w:tc>
        <w:tc>
          <w:tcPr>
            <w:tcW w:w="1195" w:type="dxa"/>
            <w:vMerge w:val="restart"/>
            <w:tcBorders>
              <w:top w:val="single" w:sz="4" w:space="0" w:color="000000"/>
              <w:left w:val="single" w:sz="4" w:space="0" w:color="000000"/>
              <w:right w:val="single" w:sz="4" w:space="0" w:color="000000"/>
            </w:tcBorders>
            <w:shd w:val="clear" w:color="auto" w:fill="D4D4D4"/>
          </w:tcPr>
          <w:p>
            <w:pPr/>
          </w:p>
        </w:tc>
        <w:tc>
          <w:tcPr>
            <w:tcW w:w="11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96" w:type="dxa"/>
            <w:vMerge w:val="restart"/>
            <w:tcBorders>
              <w:top w:val="single" w:sz="4" w:space="0" w:color="000000"/>
              <w:left w:val="single" w:sz="4" w:space="0" w:color="000000"/>
              <w:right w:val="single" w:sz="4" w:space="0" w:color="000000"/>
            </w:tcBorders>
            <w:shd w:val="clear" w:color="auto" w:fill="D4D4D4"/>
          </w:tcPr>
          <w:p>
            <w:pPr/>
          </w:p>
        </w:tc>
        <w:tc>
          <w:tcPr>
            <w:tcW w:w="1195" w:type="dxa"/>
            <w:tcBorders>
              <w:top w:val="single" w:sz="4" w:space="0" w:color="000000"/>
              <w:left w:val="single" w:sz="4" w:space="0" w:color="000000"/>
              <w:bottom w:val="nil" w:sz="6" w:space="0" w:color="auto"/>
              <w:right w:val="single" w:sz="4" w:space="0" w:color="000000"/>
            </w:tcBorders>
            <w:shd w:val="clear" w:color="auto" w:fill="D4D4D4"/>
          </w:tcPr>
          <w:p>
            <w:pPr/>
          </w:p>
        </w:tc>
        <w:tc>
          <w:tcPr>
            <w:tcW w:w="1207" w:type="dxa"/>
            <w:vMerge w:val="restart"/>
            <w:tcBorders>
              <w:top w:val="single" w:sz="4" w:space="0" w:color="000000"/>
              <w:left w:val="single" w:sz="4" w:space="0" w:color="000000"/>
              <w:right w:val="single" w:sz="4" w:space="0" w:color="000000"/>
            </w:tcBorders>
            <w:shd w:val="clear" w:color="auto" w:fill="D4D4D4"/>
          </w:tcPr>
          <w:p>
            <w:pPr/>
          </w:p>
        </w:tc>
        <w:tc>
          <w:tcPr>
            <w:tcW w:w="117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0"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196"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4D4D4"/>
          </w:tcPr>
          <w:p>
            <w:pPr/>
          </w:p>
        </w:tc>
        <w:tc>
          <w:tcPr>
            <w:tcW w:w="1174" w:type="dxa"/>
            <w:vMerge/>
            <w:tcBorders>
              <w:left w:val="single" w:sz="4" w:space="0" w:color="000000"/>
              <w:right w:val="single" w:sz="4" w:space="0" w:color="000000"/>
            </w:tcBorders>
            <w:shd w:val="clear" w:color="auto" w:fill="D4D4D4"/>
          </w:tcPr>
          <w:p>
            <w:pPr/>
          </w:p>
        </w:tc>
      </w:tr>
      <w:tr>
        <w:trPr>
          <w:trHeight w:val="156" w:hRule="exact"/>
        </w:trPr>
        <w:tc>
          <w:tcPr>
            <w:tcW w:w="1198"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bottom w:val="nil" w:sz="6" w:space="0" w:color="auto"/>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207" w:type="dxa"/>
            <w:vMerge/>
            <w:tcBorders>
              <w:left w:val="single" w:sz="4" w:space="0" w:color="000000"/>
              <w:right w:val="single" w:sz="4" w:space="0" w:color="000000"/>
            </w:tcBorders>
            <w:shd w:val="clear" w:color="auto" w:fill="D4D4D4"/>
          </w:tcPr>
          <w:p>
            <w:pPr/>
          </w:p>
        </w:tc>
        <w:tc>
          <w:tcPr>
            <w:tcW w:w="1174" w:type="dxa"/>
            <w:vMerge/>
            <w:tcBorders>
              <w:left w:val="single" w:sz="4" w:space="0" w:color="000000"/>
              <w:right w:val="single" w:sz="4" w:space="0" w:color="000000"/>
            </w:tcBorders>
            <w:shd w:val="clear" w:color="auto" w:fill="D4D4D4"/>
          </w:tcPr>
          <w:p>
            <w:pPr/>
          </w:p>
        </w:tc>
      </w:tr>
      <w:tr>
        <w:trPr>
          <w:trHeight w:val="156" w:hRule="exact"/>
        </w:trPr>
        <w:tc>
          <w:tcPr>
            <w:tcW w:w="1198"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9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vMerge/>
            <w:tcBorders>
              <w:left w:val="single" w:sz="4" w:space="0" w:color="000000"/>
              <w:right w:val="single" w:sz="4" w:space="0" w:color="000000"/>
            </w:tcBorders>
            <w:shd w:val="clear" w:color="auto" w:fill="D4D4D4"/>
          </w:tcPr>
          <w:p>
            <w:pPr/>
          </w:p>
        </w:tc>
        <w:tc>
          <w:tcPr>
            <w:tcW w:w="1207" w:type="dxa"/>
            <w:vMerge/>
            <w:tcBorders>
              <w:left w:val="single" w:sz="4" w:space="0" w:color="000000"/>
              <w:bottom w:val="nil" w:sz="6" w:space="0" w:color="auto"/>
              <w:right w:val="single" w:sz="4" w:space="0" w:color="000000"/>
            </w:tcBorders>
            <w:shd w:val="clear" w:color="auto" w:fill="D4D4D4"/>
          </w:tcPr>
          <w:p>
            <w:pPr/>
          </w:p>
        </w:tc>
        <w:tc>
          <w:tcPr>
            <w:tcW w:w="1174" w:type="dxa"/>
            <w:vMerge/>
            <w:tcBorders>
              <w:left w:val="single" w:sz="4" w:space="0" w:color="000000"/>
              <w:right w:val="single" w:sz="4" w:space="0" w:color="000000"/>
            </w:tcBorders>
            <w:shd w:val="clear" w:color="auto" w:fill="D4D4D4"/>
          </w:tcPr>
          <w:p>
            <w:pPr/>
          </w:p>
        </w:tc>
      </w:tr>
      <w:tr>
        <w:trPr>
          <w:trHeight w:val="156" w:hRule="exact"/>
        </w:trPr>
        <w:tc>
          <w:tcPr>
            <w:tcW w:w="1198"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20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12" w:right="15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4" w:type="dxa"/>
            <w:vMerge/>
            <w:tcBorders>
              <w:left w:val="single" w:sz="4" w:space="0" w:color="000000"/>
              <w:right w:val="single" w:sz="4" w:space="0" w:color="000000"/>
            </w:tcBorders>
            <w:shd w:val="clear" w:color="auto" w:fill="D4D4D4"/>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5"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207" w:type="dxa"/>
            <w:vMerge/>
            <w:tcBorders>
              <w:left w:val="single" w:sz="4" w:space="0" w:color="000000"/>
              <w:right w:val="single" w:sz="4" w:space="0" w:color="000000"/>
            </w:tcBorders>
            <w:shd w:val="clear" w:color="auto" w:fill="D4D4D4"/>
          </w:tcPr>
          <w:p>
            <w:pPr/>
          </w:p>
        </w:tc>
        <w:tc>
          <w:tcPr>
            <w:tcW w:w="1174" w:type="dxa"/>
            <w:vMerge/>
            <w:tcBorders>
              <w:left w:val="single" w:sz="4" w:space="0" w:color="000000"/>
              <w:right w:val="single" w:sz="4" w:space="0" w:color="000000"/>
            </w:tcBorders>
            <w:shd w:val="clear" w:color="auto" w:fill="D4D4D4"/>
          </w:tcPr>
          <w:p>
            <w:pPr/>
          </w:p>
        </w:tc>
      </w:tr>
      <w:tr>
        <w:trPr>
          <w:trHeight w:val="391" w:hRule="exact"/>
        </w:trPr>
        <w:tc>
          <w:tcPr>
            <w:tcW w:w="119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207" w:type="dxa"/>
            <w:vMerge/>
            <w:tcBorders>
              <w:left w:val="single" w:sz="4" w:space="0" w:color="000000"/>
              <w:right w:val="single" w:sz="4" w:space="0" w:color="000000"/>
            </w:tcBorders>
            <w:shd w:val="clear" w:color="auto" w:fill="D4D4D4"/>
          </w:tcPr>
          <w:p>
            <w:pPr/>
          </w:p>
        </w:tc>
        <w:tc>
          <w:tcPr>
            <w:tcW w:w="1174" w:type="dxa"/>
            <w:vMerge/>
            <w:tcBorders>
              <w:left w:val="single" w:sz="4" w:space="0" w:color="000000"/>
              <w:right w:val="single" w:sz="4" w:space="0" w:color="000000"/>
            </w:tcBorders>
            <w:shd w:val="clear" w:color="auto" w:fill="D4D4D4"/>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207" w:type="dxa"/>
            <w:vMerge/>
            <w:tcBorders>
              <w:left w:val="single" w:sz="4" w:space="0" w:color="000000"/>
              <w:right w:val="single" w:sz="4" w:space="0" w:color="000000"/>
            </w:tcBorders>
            <w:shd w:val="clear" w:color="auto" w:fill="D4D4D4"/>
          </w:tcPr>
          <w:p>
            <w:pPr/>
          </w:p>
        </w:tc>
        <w:tc>
          <w:tcPr>
            <w:tcW w:w="1174" w:type="dxa"/>
            <w:vMerge/>
            <w:tcBorders>
              <w:left w:val="single" w:sz="4" w:space="0" w:color="000000"/>
              <w:right w:val="single" w:sz="4" w:space="0" w:color="000000"/>
            </w:tcBorders>
            <w:shd w:val="clear" w:color="auto" w:fill="D4D4D4"/>
          </w:tcPr>
          <w:p>
            <w:pPr/>
          </w:p>
        </w:tc>
      </w:tr>
      <w:tr>
        <w:trPr>
          <w:trHeight w:val="156" w:hRule="exact"/>
        </w:trPr>
        <w:tc>
          <w:tcPr>
            <w:tcW w:w="1198"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207" w:type="dxa"/>
            <w:vMerge/>
            <w:tcBorders>
              <w:left w:val="single" w:sz="4" w:space="0" w:color="000000"/>
              <w:bottom w:val="nil" w:sz="6" w:space="0" w:color="auto"/>
              <w:right w:val="single" w:sz="4" w:space="0" w:color="000000"/>
            </w:tcBorders>
            <w:shd w:val="clear" w:color="auto" w:fill="D4D4D4"/>
          </w:tcPr>
          <w:p>
            <w:pPr/>
          </w:p>
        </w:tc>
        <w:tc>
          <w:tcPr>
            <w:tcW w:w="1174" w:type="dxa"/>
            <w:vMerge/>
            <w:tcBorders>
              <w:left w:val="single" w:sz="4" w:space="0" w:color="000000"/>
              <w:right w:val="single" w:sz="4" w:space="0" w:color="000000"/>
            </w:tcBorders>
            <w:shd w:val="clear" w:color="auto" w:fill="D4D4D4"/>
          </w:tcPr>
          <w:p>
            <w:pPr/>
          </w:p>
        </w:tc>
      </w:tr>
      <w:tr>
        <w:trPr>
          <w:trHeight w:val="156" w:hRule="exact"/>
        </w:trPr>
        <w:tc>
          <w:tcPr>
            <w:tcW w:w="1198"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bottom w:val="nil" w:sz="6" w:space="0" w:color="auto"/>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207" w:type="dxa"/>
            <w:vMerge w:val="restart"/>
            <w:tcBorders>
              <w:top w:val="nil" w:sz="6" w:space="0" w:color="auto"/>
              <w:left w:val="single" w:sz="4" w:space="0" w:color="000000"/>
              <w:right w:val="single" w:sz="4" w:space="0" w:color="000000"/>
            </w:tcBorders>
            <w:shd w:val="clear" w:color="auto" w:fill="D4D4D4"/>
          </w:tcPr>
          <w:p>
            <w:pPr/>
          </w:p>
        </w:tc>
        <w:tc>
          <w:tcPr>
            <w:tcW w:w="1174" w:type="dxa"/>
            <w:vMerge/>
            <w:tcBorders>
              <w:left w:val="single" w:sz="4" w:space="0" w:color="000000"/>
              <w:right w:val="single" w:sz="4" w:space="0" w:color="000000"/>
            </w:tcBorders>
            <w:shd w:val="clear" w:color="auto" w:fill="D4D4D4"/>
          </w:tcPr>
          <w:p>
            <w:pPr/>
          </w:p>
        </w:tc>
      </w:tr>
      <w:tr>
        <w:trPr>
          <w:trHeight w:val="156" w:hRule="exact"/>
        </w:trPr>
        <w:tc>
          <w:tcPr>
            <w:tcW w:w="1198"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96" w:type="dxa"/>
            <w:vMerge w:val="restart"/>
            <w:tcBorders>
              <w:top w:val="nil" w:sz="6" w:space="0" w:color="auto"/>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207" w:type="dxa"/>
            <w:vMerge/>
            <w:tcBorders>
              <w:left w:val="single" w:sz="4" w:space="0" w:color="000000"/>
              <w:right w:val="single" w:sz="4" w:space="0" w:color="000000"/>
            </w:tcBorders>
            <w:shd w:val="clear" w:color="auto" w:fill="D4D4D4"/>
          </w:tcPr>
          <w:p>
            <w:pPr/>
          </w:p>
        </w:tc>
        <w:tc>
          <w:tcPr>
            <w:tcW w:w="1174" w:type="dxa"/>
            <w:vMerge/>
            <w:tcBorders>
              <w:left w:val="single" w:sz="4" w:space="0" w:color="000000"/>
              <w:right w:val="single" w:sz="4" w:space="0" w:color="000000"/>
            </w:tcBorders>
            <w:shd w:val="clear" w:color="auto" w:fill="D4D4D4"/>
          </w:tcPr>
          <w:p>
            <w:pPr/>
          </w:p>
        </w:tc>
      </w:tr>
      <w:tr>
        <w:trPr>
          <w:trHeight w:val="156" w:hRule="exact"/>
        </w:trPr>
        <w:tc>
          <w:tcPr>
            <w:tcW w:w="1198"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
        </w:tc>
        <w:tc>
          <w:tcPr>
            <w:tcW w:w="1196" w:type="dxa"/>
            <w:vMerge/>
            <w:tcBorders>
              <w:left w:val="single" w:sz="4" w:space="0" w:color="000000"/>
              <w:bottom w:val="nil" w:sz="6" w:space="0" w:color="auto"/>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207" w:type="dxa"/>
            <w:vMerge/>
            <w:tcBorders>
              <w:left w:val="single" w:sz="4" w:space="0" w:color="000000"/>
              <w:right w:val="single" w:sz="4" w:space="0" w:color="000000"/>
            </w:tcBorders>
            <w:shd w:val="clear" w:color="auto" w:fill="D4D4D4"/>
          </w:tcPr>
          <w:p>
            <w:pPr/>
          </w:p>
        </w:tc>
        <w:tc>
          <w:tcPr>
            <w:tcW w:w="1174" w:type="dxa"/>
            <w:vMerge/>
            <w:tcBorders>
              <w:left w:val="single" w:sz="4" w:space="0" w:color="000000"/>
              <w:right w:val="single" w:sz="4" w:space="0" w:color="000000"/>
            </w:tcBorders>
            <w:shd w:val="clear" w:color="auto" w:fill="D4D4D4"/>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6"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7" w:type="dxa"/>
            <w:vMerge/>
            <w:tcBorders>
              <w:left w:val="single" w:sz="4" w:space="0" w:color="000000"/>
              <w:bottom w:val="single" w:sz="4" w:space="0" w:color="000000"/>
              <w:right w:val="single" w:sz="4" w:space="0" w:color="000000"/>
            </w:tcBorders>
            <w:shd w:val="clear" w:color="auto" w:fill="D4D4D4"/>
          </w:tcPr>
          <w:p>
            <w:pPr/>
          </w:p>
        </w:tc>
        <w:tc>
          <w:tcPr>
            <w:tcW w:w="1174"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34,969,389.82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133,683,046.76</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26.16%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34,969,389.82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26.16%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21,254,775.30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139,136,836.46</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15.28%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0"/>
              <w:jc w:val="right"/>
              <w:rPr>
                <w:rFonts w:ascii="Times New Roman" w:hAnsi="Times New Roman" w:cs="Times New Roman" w:eastAsia="Times New Roman" w:hint="default"/>
                <w:sz w:val="18"/>
                <w:szCs w:val="18"/>
              </w:rPr>
            </w:pPr>
            <w:r>
              <w:rPr>
                <w:rFonts w:ascii="Times New Roman"/>
                <w:spacing w:val="-1"/>
                <w:sz w:val="18"/>
              </w:rPr>
              <w:t>21,254,775.30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
              <w:jc w:val="right"/>
              <w:rPr>
                <w:rFonts w:ascii="Times New Roman" w:hAnsi="Times New Roman" w:cs="Times New Roman" w:eastAsia="Times New Roman" w:hint="default"/>
                <w:sz w:val="18"/>
                <w:szCs w:val="18"/>
              </w:rPr>
            </w:pPr>
            <w:r>
              <w:rPr>
                <w:rFonts w:ascii="Times New Roman"/>
                <w:sz w:val="18"/>
              </w:rPr>
              <w:t>15.28%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122,086,980.58</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29"/>
        <w:jc w:val="left"/>
      </w:pPr>
      <w:r>
        <w:rPr/>
        <w:t>公司报告期内盈利且母公司可供普通股股东分配利润为正但未提出普通股现金红利分配预案</w:t>
      </w:r>
    </w:p>
    <w:p>
      <w:pPr>
        <w:pStyle w:val="BodyText"/>
        <w:spacing w:line="240" w:lineRule="auto" w:before="115"/>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9"/>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1129"/>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82"/>
        <w:gridCol w:w="1416"/>
        <w:gridCol w:w="994"/>
        <w:gridCol w:w="4394"/>
        <w:gridCol w:w="566"/>
        <w:gridCol w:w="566"/>
        <w:gridCol w:w="636"/>
      </w:tblGrid>
      <w:tr>
        <w:trPr>
          <w:trHeight w:val="161" w:hRule="exact"/>
        </w:trPr>
        <w:tc>
          <w:tcPr>
            <w:tcW w:w="982" w:type="dxa"/>
            <w:tcBorders>
              <w:top w:val="single" w:sz="4" w:space="0" w:color="000000"/>
              <w:left w:val="single" w:sz="4" w:space="0" w:color="000000"/>
              <w:bottom w:val="nil" w:sz="6" w:space="0" w:color="auto"/>
              <w:right w:val="single" w:sz="4" w:space="0" w:color="000000"/>
            </w:tcBorders>
            <w:shd w:val="clear" w:color="auto" w:fill="D4D4D4"/>
          </w:tcPr>
          <w:p>
            <w:pPr/>
          </w:p>
        </w:tc>
        <w:tc>
          <w:tcPr>
            <w:tcW w:w="1416" w:type="dxa"/>
            <w:tcBorders>
              <w:top w:val="single" w:sz="4" w:space="0" w:color="000000"/>
              <w:left w:val="single" w:sz="4" w:space="0" w:color="000000"/>
              <w:bottom w:val="nil" w:sz="6" w:space="0" w:color="auto"/>
              <w:right w:val="single" w:sz="4" w:space="0" w:color="000000"/>
            </w:tcBorders>
            <w:shd w:val="clear" w:color="auto" w:fill="D4D4D4"/>
          </w:tcPr>
          <w:p>
            <w:pPr/>
          </w:p>
        </w:tc>
        <w:tc>
          <w:tcPr>
            <w:tcW w:w="994" w:type="dxa"/>
            <w:tcBorders>
              <w:top w:val="single" w:sz="4" w:space="0" w:color="000000"/>
              <w:left w:val="single" w:sz="4" w:space="0" w:color="000000"/>
              <w:bottom w:val="nil" w:sz="6" w:space="0" w:color="auto"/>
              <w:right w:val="single" w:sz="4" w:space="0" w:color="000000"/>
            </w:tcBorders>
            <w:shd w:val="clear" w:color="auto" w:fill="D4D4D4"/>
          </w:tcPr>
          <w:p>
            <w:pPr/>
          </w:p>
        </w:tc>
        <w:tc>
          <w:tcPr>
            <w:tcW w:w="4394" w:type="dxa"/>
            <w:tcBorders>
              <w:top w:val="single" w:sz="4" w:space="0" w:color="000000"/>
              <w:left w:val="single" w:sz="4" w:space="0" w:color="000000"/>
              <w:bottom w:val="nil" w:sz="6" w:space="0" w:color="auto"/>
              <w:right w:val="single" w:sz="4" w:space="0" w:color="000000"/>
            </w:tcBorders>
            <w:shd w:val="clear" w:color="auto" w:fill="D4D4D4"/>
          </w:tcPr>
          <w:p>
            <w:pPr/>
          </w:p>
        </w:tc>
        <w:tc>
          <w:tcPr>
            <w:tcW w:w="56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6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63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23" w:right="41" w:hanging="180"/>
              <w:jc w:val="left"/>
              <w:rPr>
                <w:rFonts w:ascii="宋体" w:hAnsi="宋体" w:cs="宋体" w:eastAsia="宋体" w:hint="default"/>
                <w:sz w:val="18"/>
                <w:szCs w:val="18"/>
              </w:rPr>
            </w:pPr>
            <w:r>
              <w:rPr>
                <w:rFonts w:ascii="宋体" w:hAnsi="宋体" w:cs="宋体" w:eastAsia="宋体" w:hint="default"/>
                <w:sz w:val="18"/>
                <w:szCs w:val="18"/>
              </w:rPr>
              <w:t>履行情 况</w:t>
            </w:r>
          </w:p>
        </w:tc>
      </w:tr>
      <w:tr>
        <w:trPr>
          <w:trHeight w:val="394" w:hRule="exact"/>
        </w:trPr>
        <w:tc>
          <w:tcPr>
            <w:tcW w:w="98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41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3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6" w:type="dxa"/>
            <w:vMerge/>
            <w:tcBorders>
              <w:left w:val="single" w:sz="4" w:space="0" w:color="000000"/>
              <w:right w:val="single" w:sz="4" w:space="0" w:color="000000"/>
            </w:tcBorders>
            <w:shd w:val="clear" w:color="auto" w:fill="D4D4D4"/>
          </w:tcPr>
          <w:p>
            <w:pPr/>
          </w:p>
        </w:tc>
        <w:tc>
          <w:tcPr>
            <w:tcW w:w="566" w:type="dxa"/>
            <w:vMerge/>
            <w:tcBorders>
              <w:left w:val="single" w:sz="4" w:space="0" w:color="000000"/>
              <w:right w:val="single" w:sz="4" w:space="0" w:color="000000"/>
            </w:tcBorders>
            <w:shd w:val="clear" w:color="auto" w:fill="D4D4D4"/>
          </w:tcPr>
          <w:p>
            <w:pPr/>
          </w:p>
        </w:tc>
        <w:tc>
          <w:tcPr>
            <w:tcW w:w="636" w:type="dxa"/>
            <w:vMerge/>
            <w:tcBorders>
              <w:left w:val="single" w:sz="4" w:space="0" w:color="000000"/>
              <w:right w:val="single" w:sz="4" w:space="0" w:color="000000"/>
            </w:tcBorders>
            <w:shd w:val="clear" w:color="auto" w:fill="D4D4D4"/>
          </w:tcPr>
          <w:p>
            <w:pPr/>
          </w:p>
        </w:tc>
      </w:tr>
      <w:tr>
        <w:trPr>
          <w:trHeight w:val="161" w:hRule="exact"/>
        </w:trPr>
        <w:tc>
          <w:tcPr>
            <w:tcW w:w="982" w:type="dxa"/>
            <w:tcBorders>
              <w:top w:val="nil" w:sz="6" w:space="0" w:color="auto"/>
              <w:left w:val="single" w:sz="4" w:space="0" w:color="000000"/>
              <w:bottom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single" w:sz="4" w:space="0" w:color="000000"/>
              <w:right w:val="single" w:sz="4" w:space="0" w:color="000000"/>
            </w:tcBorders>
            <w:shd w:val="clear" w:color="auto" w:fill="D4D4D4"/>
          </w:tcPr>
          <w:p>
            <w:pPr/>
          </w:p>
        </w:tc>
        <w:tc>
          <w:tcPr>
            <w:tcW w:w="994" w:type="dxa"/>
            <w:tcBorders>
              <w:top w:val="nil" w:sz="6" w:space="0" w:color="auto"/>
              <w:left w:val="single" w:sz="4" w:space="0" w:color="000000"/>
              <w:bottom w:val="single" w:sz="4" w:space="0" w:color="000000"/>
              <w:right w:val="single" w:sz="4" w:space="0" w:color="000000"/>
            </w:tcBorders>
            <w:shd w:val="clear" w:color="auto" w:fill="D4D4D4"/>
          </w:tcPr>
          <w:p>
            <w:pPr/>
          </w:p>
        </w:tc>
        <w:tc>
          <w:tcPr>
            <w:tcW w:w="4394" w:type="dxa"/>
            <w:tcBorders>
              <w:top w:val="nil" w:sz="6" w:space="0" w:color="auto"/>
              <w:left w:val="single" w:sz="4" w:space="0" w:color="000000"/>
              <w:bottom w:val="single" w:sz="4" w:space="0" w:color="000000"/>
              <w:right w:val="single" w:sz="4" w:space="0" w:color="000000"/>
            </w:tcBorders>
            <w:shd w:val="clear" w:color="auto" w:fill="D4D4D4"/>
          </w:tcPr>
          <w:p>
            <w:pPr/>
          </w:p>
        </w:tc>
        <w:tc>
          <w:tcPr>
            <w:tcW w:w="566" w:type="dxa"/>
            <w:vMerge/>
            <w:tcBorders>
              <w:left w:val="single" w:sz="4" w:space="0" w:color="000000"/>
              <w:bottom w:val="single" w:sz="4" w:space="0" w:color="000000"/>
              <w:right w:val="single" w:sz="4" w:space="0" w:color="000000"/>
            </w:tcBorders>
            <w:shd w:val="clear" w:color="auto" w:fill="D4D4D4"/>
          </w:tcPr>
          <w:p>
            <w:pPr/>
          </w:p>
        </w:tc>
        <w:tc>
          <w:tcPr>
            <w:tcW w:w="566" w:type="dxa"/>
            <w:vMerge/>
            <w:tcBorders>
              <w:left w:val="single" w:sz="4" w:space="0" w:color="000000"/>
              <w:bottom w:val="single" w:sz="4" w:space="0" w:color="000000"/>
              <w:right w:val="single" w:sz="4" w:space="0" w:color="000000"/>
            </w:tcBorders>
            <w:shd w:val="clear" w:color="auto" w:fill="D4D4D4"/>
          </w:tcPr>
          <w:p>
            <w:pPr/>
          </w:p>
        </w:tc>
        <w:tc>
          <w:tcPr>
            <w:tcW w:w="636"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982" w:type="dxa"/>
            <w:tcBorders>
              <w:top w:val="single" w:sz="4" w:space="0" w:color="000000"/>
              <w:left w:val="single" w:sz="4" w:space="0" w:color="000000"/>
              <w:bottom w:val="nil" w:sz="6" w:space="0" w:color="auto"/>
              <w:right w:val="single" w:sz="4" w:space="0" w:color="000000"/>
            </w:tcBorders>
            <w:shd w:val="clear" w:color="auto" w:fill="D4D4D4"/>
          </w:tcPr>
          <w:p>
            <w:pPr/>
          </w:p>
        </w:tc>
        <w:tc>
          <w:tcPr>
            <w:tcW w:w="1416" w:type="dxa"/>
            <w:vMerge w:val="restart"/>
            <w:tcBorders>
              <w:top w:val="single" w:sz="4" w:space="0" w:color="000000"/>
              <w:left w:val="single" w:sz="9" w:space="0" w:color="D4D4D4"/>
              <w:right w:val="single" w:sz="4" w:space="0" w:color="000000"/>
            </w:tcBorders>
          </w:tcPr>
          <w:p>
            <w:pPr>
              <w:pStyle w:val="TableParagraph"/>
              <w:spacing w:line="316" w:lineRule="auto" w:before="49"/>
              <w:ind w:left="18" w:right="19"/>
              <w:jc w:val="left"/>
              <w:rPr>
                <w:rFonts w:ascii="宋体" w:hAnsi="宋体" w:cs="宋体" w:eastAsia="宋体" w:hint="default"/>
                <w:sz w:val="18"/>
                <w:szCs w:val="18"/>
              </w:rPr>
            </w:pPr>
            <w:r>
              <w:rPr>
                <w:rFonts w:ascii="宋体" w:hAnsi="宋体" w:cs="宋体" w:eastAsia="宋体" w:hint="default"/>
                <w:sz w:val="18"/>
                <w:szCs w:val="18"/>
              </w:rPr>
              <w:t>无锡朴华股权投 </w:t>
            </w:r>
            <w:r>
              <w:rPr>
                <w:rFonts w:ascii="宋体" w:hAnsi="宋体" w:cs="宋体" w:eastAsia="宋体" w:hint="default"/>
                <w:spacing w:val="-10"/>
                <w:sz w:val="18"/>
                <w:szCs w:val="18"/>
              </w:rPr>
              <w:t>资合伙企业（有限</w:t>
            </w:r>
            <w:r>
              <w:rPr>
                <w:rFonts w:ascii="宋体" w:hAnsi="宋体" w:cs="宋体" w:eastAsia="宋体" w:hint="default"/>
                <w:sz w:val="18"/>
                <w:szCs w:val="18"/>
              </w:rPr>
              <w:t> 合伙）</w:t>
            </w:r>
            <w:r>
              <w:rPr>
                <w:rFonts w:ascii="Times New Roman" w:hAnsi="Times New Roman" w:cs="Times New Roman" w:eastAsia="Times New Roman" w:hint="default"/>
                <w:sz w:val="18"/>
                <w:szCs w:val="18"/>
              </w:rPr>
              <w:t>;</w:t>
            </w:r>
            <w:r>
              <w:rPr>
                <w:rFonts w:ascii="宋体" w:hAnsi="宋体" w:cs="宋体" w:eastAsia="宋体" w:hint="default"/>
                <w:sz w:val="18"/>
                <w:szCs w:val="18"/>
              </w:rPr>
              <w:t>无锡群英</w:t>
            </w:r>
          </w:p>
        </w:tc>
        <w:tc>
          <w:tcPr>
            <w:tcW w:w="9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9"/>
              <w:jc w:val="both"/>
              <w:rPr>
                <w:rFonts w:ascii="宋体" w:hAnsi="宋体" w:cs="宋体" w:eastAsia="宋体" w:hint="default"/>
                <w:sz w:val="18"/>
                <w:szCs w:val="18"/>
              </w:rPr>
            </w:pPr>
            <w:r>
              <w:rPr>
                <w:rFonts w:ascii="宋体" w:hAnsi="宋体" w:cs="宋体" w:eastAsia="宋体" w:hint="default"/>
                <w:sz w:val="18"/>
                <w:szCs w:val="18"/>
              </w:rPr>
              <w:t>股份流通限 制和自愿锁 定、减持的</w:t>
            </w:r>
          </w:p>
        </w:tc>
        <w:tc>
          <w:tcPr>
            <w:tcW w:w="4394"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自公司股票上市之日起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个月内，不转让或者委托他 </w:t>
            </w:r>
            <w:r>
              <w:rPr>
                <w:rFonts w:ascii="宋体" w:hAnsi="宋体" w:cs="宋体" w:eastAsia="宋体" w:hint="default"/>
                <w:spacing w:val="-2"/>
                <w:sz w:val="18"/>
                <w:szCs w:val="18"/>
              </w:rPr>
              <w:t>人管理本企业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本人直接或间接持有的公司股份，也不由</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公司回购本企业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本人所直接或间接持有的公司股份；在</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97" w:lineRule="auto"/>
              <w:ind w:left="2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63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23" w:right="60"/>
              <w:jc w:val="left"/>
              <w:rPr>
                <w:rFonts w:ascii="宋体" w:hAnsi="宋体" w:cs="宋体" w:eastAsia="宋体" w:hint="default"/>
                <w:sz w:val="18"/>
                <w:szCs w:val="18"/>
              </w:rPr>
            </w:pPr>
            <w:r>
              <w:rPr>
                <w:rFonts w:ascii="宋体" w:hAnsi="宋体" w:cs="宋体" w:eastAsia="宋体" w:hint="default"/>
                <w:sz w:val="18"/>
                <w:szCs w:val="18"/>
              </w:rPr>
              <w:t>正在履 行中</w:t>
            </w:r>
          </w:p>
        </w:tc>
      </w:tr>
      <w:tr>
        <w:trPr>
          <w:trHeight w:val="665" w:hRule="exact"/>
        </w:trPr>
        <w:tc>
          <w:tcPr>
            <w:tcW w:w="98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12" w:right="59"/>
              <w:jc w:val="left"/>
              <w:rPr>
                <w:rFonts w:ascii="宋体" w:hAnsi="宋体" w:cs="宋体" w:eastAsia="宋体" w:hint="default"/>
                <w:sz w:val="18"/>
                <w:szCs w:val="18"/>
              </w:rPr>
            </w:pPr>
            <w:r>
              <w:rPr>
                <w:rFonts w:ascii="宋体" w:hAnsi="宋体" w:cs="宋体" w:eastAsia="宋体" w:hint="default"/>
                <w:sz w:val="18"/>
                <w:szCs w:val="18"/>
              </w:rPr>
              <w:t>首次公开发 行或再融资</w:t>
            </w:r>
          </w:p>
        </w:tc>
        <w:tc>
          <w:tcPr>
            <w:tcW w:w="1416" w:type="dxa"/>
            <w:vMerge/>
            <w:tcBorders>
              <w:left w:val="single" w:sz="9" w:space="0" w:color="D4D4D4"/>
              <w:right w:val="single" w:sz="4" w:space="0" w:color="000000"/>
            </w:tcBorders>
          </w:tcPr>
          <w:p>
            <w:pPr/>
          </w:p>
        </w:tc>
        <w:tc>
          <w:tcPr>
            <w:tcW w:w="994" w:type="dxa"/>
            <w:vMerge/>
            <w:tcBorders>
              <w:left w:val="single" w:sz="4" w:space="0" w:color="000000"/>
              <w:right w:val="single" w:sz="4" w:space="0" w:color="000000"/>
            </w:tcBorders>
          </w:tcPr>
          <w:p>
            <w:pPr/>
          </w:p>
        </w:tc>
        <w:tc>
          <w:tcPr>
            <w:tcW w:w="43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161" w:hRule="exact"/>
        </w:trPr>
        <w:tc>
          <w:tcPr>
            <w:tcW w:w="982" w:type="dxa"/>
            <w:tcBorders>
              <w:top w:val="nil" w:sz="6" w:space="0" w:color="auto"/>
              <w:left w:val="single" w:sz="4" w:space="0" w:color="000000"/>
              <w:bottom w:val="single" w:sz="4" w:space="0" w:color="000000"/>
              <w:right w:val="single" w:sz="4" w:space="0" w:color="000000"/>
            </w:tcBorders>
            <w:shd w:val="clear" w:color="auto" w:fill="D4D4D4"/>
          </w:tcPr>
          <w:p>
            <w:pPr/>
          </w:p>
        </w:tc>
        <w:tc>
          <w:tcPr>
            <w:tcW w:w="1416" w:type="dxa"/>
            <w:vMerge/>
            <w:tcBorders>
              <w:left w:val="single" w:sz="9" w:space="0" w:color="D4D4D4"/>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394"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40.76001pt;margin-top:90.11998pt;width:33.85pt;height:343.2pt;mso-position-horizontal-relative:page;mso-position-vertical-relative:page;z-index:-11074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6"/>
                      <w:szCs w:val="16"/>
                    </w:rPr>
                  </w:pPr>
                </w:p>
                <w:p>
                  <w:pPr>
                    <w:pStyle w:val="BodyText"/>
                    <w:spacing w:line="240" w:lineRule="auto"/>
                    <w:ind w:left="0" w:right="0"/>
                    <w:jc w:val="left"/>
                  </w:pPr>
                  <w:r>
                    <w:rPr/>
                    <w:t>。</w:t>
                  </w:r>
                </w:p>
              </w:txbxContent>
            </v:textbox>
            <w10:wrap type="none"/>
          </v:shape>
        </w:pict>
      </w:r>
      <w:r>
        <w:rPr/>
        <w:pict>
          <v:group style="position:absolute;margin-left:177.479996pt;margin-top:523.559998pt;width:49.1pt;height:23.4pt;mso-position-horizontal-relative:page;mso-position-vertical-relative:page;z-index:-1107376" coordorigin="3550,10471" coordsize="982,468">
            <v:shape style="position:absolute;left:3550;top:10471;width:982;height:468" coordorigin="3550,10471" coordsize="982,468" path="m3550,10939l4531,10939,4531,10471,3550,10471,3550,1093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2"/>
        <w:gridCol w:w="1416"/>
        <w:gridCol w:w="994"/>
        <w:gridCol w:w="4394"/>
        <w:gridCol w:w="566"/>
        <w:gridCol w:w="566"/>
        <w:gridCol w:w="636"/>
      </w:tblGrid>
      <w:tr>
        <w:trPr>
          <w:trHeight w:val="7226" w:hRule="exact"/>
        </w:trPr>
        <w:tc>
          <w:tcPr>
            <w:tcW w:w="9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时所作承诺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70"/>
              <w:jc w:val="both"/>
              <w:rPr>
                <w:rFonts w:ascii="宋体" w:hAnsi="宋体" w:cs="宋体" w:eastAsia="宋体" w:hint="default"/>
                <w:sz w:val="18"/>
                <w:szCs w:val="18"/>
              </w:rPr>
            </w:pPr>
            <w:r>
              <w:rPr>
                <w:rFonts w:ascii="宋体" w:hAnsi="宋体" w:cs="宋体" w:eastAsia="宋体" w:hint="default"/>
                <w:sz w:val="18"/>
                <w:szCs w:val="18"/>
              </w:rPr>
              <w:t>股权投资合伙企 业（有限合伙）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徐长军</w:t>
            </w:r>
            <w:r>
              <w:rPr>
                <w:rFonts w:ascii="Times New Roman" w:hAnsi="Times New Roman" w:cs="Times New Roman" w:eastAsia="Times New Roman" w:hint="default"/>
                <w:sz w:val="18"/>
                <w:szCs w:val="18"/>
              </w:rPr>
              <w:t>;</w:t>
            </w:r>
            <w:r>
              <w:rPr>
                <w:rFonts w:ascii="宋体" w:hAnsi="宋体" w:cs="宋体" w:eastAsia="宋体" w:hint="default"/>
                <w:sz w:val="18"/>
                <w:szCs w:val="18"/>
              </w:rPr>
              <w:t>郑新标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8"/>
              <w:ind w:left="23" w:right="17"/>
              <w:jc w:val="left"/>
              <w:rPr>
                <w:rFonts w:ascii="宋体" w:hAnsi="宋体" w:cs="宋体" w:eastAsia="宋体" w:hint="default"/>
                <w:sz w:val="18"/>
                <w:szCs w:val="18"/>
              </w:rPr>
            </w:pPr>
            <w:r>
              <w:rPr>
                <w:rFonts w:ascii="宋体" w:hAnsi="宋体" w:cs="宋体" w:eastAsia="宋体" w:hint="default"/>
                <w:spacing w:val="-2"/>
                <w:sz w:val="18"/>
                <w:szCs w:val="18"/>
              </w:rPr>
              <w:t>锁定期（包括延长的锁定期）届满后，关于减持本企业</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本人于本次发行前已直接或间接持有的老股（不包括本 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本人在本次发行股票后从公开市场中新买入的股 </w:t>
            </w:r>
            <w:r>
              <w:rPr>
                <w:rFonts w:ascii="宋体" w:hAnsi="宋体" w:cs="宋体" w:eastAsia="宋体" w:hint="default"/>
                <w:spacing w:val="-2"/>
                <w:sz w:val="18"/>
                <w:szCs w:val="18"/>
              </w:rPr>
              <w:t>份）事项，本企业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本人承诺如下：在锁定期（包括延长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的锁定期）届满后的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本人直接或间 接转让所持老股不超过本企业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本人持有公司老股的 </w:t>
            </w:r>
            <w:r>
              <w:rPr>
                <w:rFonts w:ascii="Times New Roman" w:hAnsi="Times New Roman" w:cs="Times New Roman" w:eastAsia="Times New Roman" w:hint="default"/>
                <w:sz w:val="18"/>
                <w:szCs w:val="18"/>
              </w:rPr>
              <w:t>15%</w:t>
            </w:r>
            <w:r>
              <w:rPr>
                <w:rFonts w:ascii="宋体" w:hAnsi="宋体" w:cs="宋体" w:eastAsia="宋体" w:hint="default"/>
                <w:sz w:val="18"/>
                <w:szCs w:val="18"/>
              </w:rPr>
              <w:t>，在锁定期（包括延长的锁定期）届满后的第</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至</w:t>
            </w:r>
          </w:p>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r>
              <w:rPr>
                <w:rFonts w:ascii="宋体" w:hAnsi="宋体" w:cs="宋体" w:eastAsia="宋体" w:hint="default"/>
                <w:spacing w:val="-77"/>
                <w:sz w:val="18"/>
                <w:szCs w:val="18"/>
              </w:rPr>
              <w:t>，</w:t>
            </w: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本人直接</w:t>
            </w:r>
            <w:r>
              <w:rPr>
                <w:rFonts w:ascii="宋体" w:hAnsi="宋体" w:cs="宋体" w:eastAsia="宋体" w:hint="default"/>
                <w:spacing w:val="-3"/>
                <w:sz w:val="18"/>
                <w:szCs w:val="18"/>
              </w:rPr>
              <w:t>或</w:t>
            </w:r>
            <w:r>
              <w:rPr>
                <w:rFonts w:ascii="宋体" w:hAnsi="宋体" w:cs="宋体" w:eastAsia="宋体" w:hint="default"/>
                <w:sz w:val="18"/>
                <w:szCs w:val="18"/>
              </w:rPr>
              <w:t>间接转让所持老股不超过</w:t>
            </w:r>
          </w:p>
          <w:p>
            <w:pPr>
              <w:pStyle w:val="TableParagraph"/>
              <w:spacing w:line="300"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在锁定期届满后第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个月初本企业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本人直接或间接持 有老股的</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本人持有的公司股份的锁定期限</w:t>
            </w:r>
          </w:p>
          <w:p>
            <w:pPr>
              <w:pStyle w:val="TableParagraph"/>
              <w:spacing w:line="312" w:lineRule="auto" w:before="13"/>
              <w:ind w:left="23" w:right="17"/>
              <w:jc w:val="left"/>
              <w:rPr>
                <w:rFonts w:ascii="宋体" w:hAnsi="宋体" w:cs="宋体" w:eastAsia="宋体" w:hint="default"/>
                <w:sz w:val="18"/>
                <w:szCs w:val="18"/>
              </w:rPr>
            </w:pPr>
            <w:r>
              <w:rPr>
                <w:rFonts w:ascii="宋体" w:hAnsi="宋体" w:cs="宋体" w:eastAsia="宋体" w:hint="default"/>
                <w:spacing w:val="-2"/>
                <w:sz w:val="18"/>
                <w:szCs w:val="18"/>
              </w:rPr>
              <w:t>（包括延长的锁定期）届满后，本企业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本人减持直接或</w:t>
            </w:r>
            <w:r>
              <w:rPr>
                <w:rFonts w:ascii="宋体" w:hAnsi="宋体" w:cs="宋体" w:eastAsia="宋体" w:hint="default"/>
                <w:spacing w:val="-70"/>
                <w:sz w:val="18"/>
                <w:szCs w:val="18"/>
              </w:rPr>
              <w:t> </w:t>
            </w:r>
            <w:r>
              <w:rPr>
                <w:rFonts w:ascii="宋体" w:hAnsi="宋体" w:cs="宋体" w:eastAsia="宋体" w:hint="default"/>
                <w:sz w:val="18"/>
                <w:szCs w:val="18"/>
              </w:rPr>
              <w:t>间接所持公司股份时，应提前将减持意向和拟减持数量 等信息以书面方式通知公司，并由公司及时予以公告， 自公告之日起</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pacing w:val="-5"/>
                <w:sz w:val="18"/>
                <w:szCs w:val="18"/>
              </w:rPr>
              <w:t>个交易日后，本企业</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本人方可减持股份</w:t>
            </w:r>
            <w:r>
              <w:rPr>
                <w:rFonts w:ascii="宋体" w:hAnsi="宋体" w:cs="宋体" w:eastAsia="宋体" w:hint="default"/>
                <w:sz w:val="18"/>
                <w:szCs w:val="18"/>
              </w:rPr>
              <w:t> 此外，徐长军、郑新标在担任公司董事、监事、高级管 理人员期间，每年转让直接或间接持有的股份不超过本 人所持有公司股份总数的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 本人直接或间接持有的公司股份。如在公司股票上市交 易之日起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个月内申报离职，则自申报离职之日起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个月内，不转让其直接或间接持有的公司股份；如在股 票上市交易之日起第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个月至第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个月之间申报离职</w:t>
            </w:r>
          </w:p>
          <w:p>
            <w:pPr>
              <w:pStyle w:val="TableParagraph"/>
              <w:spacing w:line="300" w:lineRule="auto" w:before="3"/>
              <w:ind w:left="23" w:right="127"/>
              <w:jc w:val="left"/>
              <w:rPr>
                <w:rFonts w:ascii="宋体" w:hAnsi="宋体" w:cs="宋体" w:eastAsia="宋体" w:hint="default"/>
                <w:sz w:val="18"/>
                <w:szCs w:val="18"/>
              </w:rPr>
            </w:pPr>
            <w:r>
              <w:rPr>
                <w:rFonts w:ascii="宋体" w:hAnsi="宋体" w:cs="宋体" w:eastAsia="宋体" w:hint="default"/>
                <w:sz w:val="18"/>
                <w:szCs w:val="18"/>
              </w:rPr>
              <w:t>则自申报离职之日起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个月内不转让其直接或间接持 有的公司股份。</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686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6"/>
                <w:sz w:val="20"/>
                <w:szCs w:val="20"/>
              </w:rPr>
              <w:pict>
                <v:group style="width:27.85pt;height:343.2pt;mso-position-horizontal-relative:char;mso-position-vertical-relative:line" coordorigin="0,0" coordsize="557,6864">
                  <v:group style="position:absolute;left:0;top:0;width:557;height:6864" coordorigin="0,0" coordsize="557,6864">
                    <v:shape style="position:absolute;left:0;top:0;width:557;height:6864" coordorigin="0,0" coordsize="557,6864" path="m0,6864l557,6864,557,0,0,0,0,6864xe" filled="true" fillcolor="#ffffff" stroked="false">
                      <v:path arrowok="t"/>
                      <v:fill type="solid"/>
                    </v:shape>
                  </v:group>
                </v:group>
              </w:pict>
            </w:r>
            <w:r>
              <w:rPr>
                <w:rFonts w:ascii="Times New Roman" w:hAnsi="Times New Roman" w:cs="Times New Roman" w:eastAsia="Times New Roman" w:hint="default"/>
                <w:position w:val="-136"/>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992" w:type="dxa"/>
            <w:vMerge/>
            <w:tcBorders>
              <w:left w:val="single" w:sz="4" w:space="0" w:color="000000"/>
              <w:right w:val="single" w:sz="4" w:space="0" w:color="000000"/>
            </w:tcBorders>
            <w:shd w:val="clear" w:color="auto" w:fill="D4D4D4"/>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1"/>
              <w:jc w:val="both"/>
              <w:rPr>
                <w:rFonts w:ascii="宋体" w:hAnsi="宋体" w:cs="宋体" w:eastAsia="宋体" w:hint="default"/>
                <w:sz w:val="18"/>
                <w:szCs w:val="18"/>
              </w:rPr>
            </w:pPr>
            <w:r>
              <w:rPr>
                <w:rFonts w:ascii="宋体" w:hAnsi="宋体" w:cs="宋体" w:eastAsia="宋体" w:hint="default"/>
                <w:sz w:val="18"/>
                <w:szCs w:val="18"/>
              </w:rPr>
              <w:t>无锡道元投资合 伙企业（有限合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无锡富赡股 权投资合伙企业</w:t>
            </w:r>
          </w:p>
          <w:p>
            <w:pPr>
              <w:pStyle w:val="TableParagraph"/>
              <w:spacing w:line="309" w:lineRule="auto" w:before="22"/>
              <w:ind w:left="24" w:right="71"/>
              <w:jc w:val="both"/>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无 锡羲华投资合伙 企业（有限合伙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59"/>
              <w:jc w:val="both"/>
              <w:rPr>
                <w:rFonts w:ascii="宋体" w:hAnsi="宋体" w:cs="宋体" w:eastAsia="宋体" w:hint="default"/>
                <w:sz w:val="18"/>
                <w:szCs w:val="18"/>
              </w:rPr>
            </w:pPr>
            <w:r>
              <w:rPr>
                <w:rFonts w:ascii="宋体" w:hAnsi="宋体" w:cs="宋体" w:eastAsia="宋体" w:hint="default"/>
                <w:sz w:val="18"/>
                <w:szCs w:val="18"/>
              </w:rPr>
              <w:t>股份流通限 制和自愿锁 定、减持的 承诺</w:t>
            </w: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09" w:lineRule="auto"/>
              <w:ind w:left="23" w:right="38"/>
              <w:jc w:val="left"/>
              <w:rPr>
                <w:rFonts w:ascii="宋体" w:hAnsi="宋体" w:cs="宋体" w:eastAsia="宋体" w:hint="default"/>
                <w:sz w:val="18"/>
                <w:szCs w:val="18"/>
              </w:rPr>
            </w:pPr>
            <w:r>
              <w:rPr>
                <w:rFonts w:ascii="宋体" w:hAnsi="宋体" w:cs="宋体" w:eastAsia="宋体" w:hint="default"/>
                <w:sz w:val="18"/>
                <w:szCs w:val="18"/>
              </w:rPr>
              <w:t>自发行人首次向社会公开发行的股票上市之日起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月内，不转让或者委托他人管理本单位所持有的发行人 股份，也不由发行人回购本单位所持有的股份。</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正在履 行中</w:t>
            </w:r>
          </w:p>
        </w:tc>
      </w:tr>
      <w:tr>
        <w:trPr>
          <w:trHeight w:val="4418" w:hRule="exact"/>
        </w:trPr>
        <w:tc>
          <w:tcPr>
            <w:tcW w:w="992" w:type="dxa"/>
            <w:vMerge/>
            <w:tcBorders>
              <w:left w:val="single" w:sz="4" w:space="0" w:color="000000"/>
              <w:bottom w:val="single" w:sz="4" w:space="0" w:color="000000"/>
              <w:right w:val="single" w:sz="4" w:space="0" w:color="000000"/>
            </w:tcBorders>
            <w:shd w:val="clear" w:color="auto" w:fill="D4D4D4"/>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62" w:lineRule="auto"/>
              <w:ind w:left="24" w:right="308"/>
              <w:jc w:val="left"/>
              <w:rPr>
                <w:rFonts w:ascii="Times New Roman" w:hAnsi="Times New Roman" w:cs="Times New Roman" w:eastAsia="Times New Roman" w:hint="default"/>
                <w:sz w:val="18"/>
                <w:szCs w:val="18"/>
              </w:rPr>
            </w:pPr>
            <w:r>
              <w:rPr>
                <w:rFonts w:ascii="Times New Roman"/>
                <w:spacing w:val="-7"/>
                <w:sz w:val="18"/>
              </w:rPr>
              <w:t>Yue </w:t>
            </w:r>
            <w:r>
              <w:rPr>
                <w:rFonts w:ascii="Times New Roman"/>
                <w:sz w:val="18"/>
              </w:rPr>
              <w:t>Qi</w:t>
            </w:r>
            <w:r>
              <w:rPr>
                <w:rFonts w:ascii="Times New Roman"/>
                <w:spacing w:val="5"/>
                <w:sz w:val="18"/>
              </w:rPr>
              <w:t> </w:t>
            </w:r>
            <w:r>
              <w:rPr>
                <w:rFonts w:ascii="Times New Roman"/>
                <w:sz w:val="18"/>
              </w:rPr>
              <w:t>Capital</w:t>
            </w:r>
            <w:r>
              <w:rPr>
                <w:rFonts w:ascii="Times New Roman"/>
                <w:sz w:val="18"/>
              </w:rPr>
              <w:t> Limited</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3" w:right="59"/>
              <w:jc w:val="both"/>
              <w:rPr>
                <w:rFonts w:ascii="宋体" w:hAnsi="宋体" w:cs="宋体" w:eastAsia="宋体" w:hint="default"/>
                <w:sz w:val="18"/>
                <w:szCs w:val="18"/>
              </w:rPr>
            </w:pPr>
            <w:r>
              <w:rPr>
                <w:rFonts w:ascii="宋体" w:hAnsi="宋体" w:cs="宋体" w:eastAsia="宋体" w:hint="default"/>
                <w:sz w:val="18"/>
                <w:szCs w:val="18"/>
              </w:rPr>
              <w:t>股份流通限 制和自愿锁 定、减持的 承诺</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自发行人首次向社会公开发行的股票上市之日起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月内，不转让或者委托他人管理本单位所持有的发行人 股份，也不由发行人回购本单位所持有的股份。在锁定 期（包括延长的锁定期）届满后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年内，本企业将根据 公司经营、资本市场、自身资金需求等情况综合分析决 定减持数量。本单位的减持价格将均不低于公司上一年 度经审计的每股净资产值及股票首次公开发行的价格。 若公司已发生派息、送股、资本公积转增股本等除权除 息事项，则上述减持价格指公司股票复权后的价格；本 单位持有的朗新科技股份的锁定期限（包括延长的锁定 期）届满后，本单位减持持有的朗新科技股份时，应提 前将减持意向和拟减持数量等信息以书面方式通知朗新 科技，并由朗新科技及时予以公告，自朗新科技公告之 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个交易日后，本单位方可以减持股份；如本单位</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00" w:lineRule="auto"/>
              <w:ind w:left="2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正在履 行中</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0.640289pt;margin-top:137.399979pt;width:124pt;height:150.25pt;mso-position-horizontal-relative:page;mso-position-vertical-relative:page;z-index:-11073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6"/>
                      <w:szCs w:val="26"/>
                    </w:rPr>
                  </w:pPr>
                </w:p>
                <w:p>
                  <w:pPr>
                    <w:pStyle w:val="BodyText"/>
                    <w:spacing w:line="240" w:lineRule="auto"/>
                    <w:ind w:left="0" w:right="0"/>
                    <w:jc w:val="left"/>
                  </w:pPr>
                  <w:r>
                    <w:rPr/>
                    <w:t>本企业将根据公司经营、</w:t>
                  </w:r>
                </w:p>
              </w:txbxContent>
            </v:textbox>
            <w10:wrap type="none"/>
          </v:shape>
        </w:pict>
      </w:r>
      <w:r>
        <w:rPr/>
        <w:pict>
          <v:group style="position:absolute;margin-left:446.76001pt;margin-top:137.399979pt;width:27.85pt;height:167.8pt;mso-position-horizontal-relative:page;mso-position-vertical-relative:page;z-index:-1107328" coordorigin="8935,2748" coordsize="557,3356">
            <v:group style="position:absolute;left:8935;top:2748;width:557;height:3005" coordorigin="8935,2748" coordsize="557,3005">
              <v:shape style="position:absolute;left:8935;top:2748;width:557;height:3005" coordorigin="8935,2748" coordsize="557,3005" path="m8935,5753l9492,5753,9492,2748,8935,2748,8935,5753xe" filled="true" fillcolor="#ffffff" stroked="false">
                <v:path arrowok="t"/>
                <v:fill type="solid"/>
              </v:shape>
            </v:group>
            <v:group style="position:absolute;left:8959;top:5753;width:512;height:351" coordorigin="8959,5753" coordsize="512,351">
              <v:shape style="position:absolute;left:8959;top:5753;width:512;height:351" coordorigin="8959,5753" coordsize="512,351" path="m8959,6103l9470,6103,9470,5753,8959,5753,8959,610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2"/>
        <w:gridCol w:w="1416"/>
        <w:gridCol w:w="994"/>
        <w:gridCol w:w="4394"/>
        <w:gridCol w:w="566"/>
        <w:gridCol w:w="566"/>
        <w:gridCol w:w="636"/>
      </w:tblGrid>
      <w:tr>
        <w:trPr>
          <w:trHeight w:val="315" w:hRule="exact"/>
        </w:trPr>
        <w:tc>
          <w:tcPr>
            <w:tcW w:w="992" w:type="dxa"/>
            <w:vMerge w:val="restart"/>
            <w:tcBorders>
              <w:top w:val="single" w:sz="4" w:space="0" w:color="000000"/>
              <w:left w:val="single" w:sz="4" w:space="0" w:color="000000"/>
              <w:right w:val="single" w:sz="4" w:space="0" w:color="000000"/>
            </w:tcBorders>
            <w:shd w:val="clear" w:color="auto" w:fill="D4D4D4"/>
          </w:tcPr>
          <w:p>
            <w:pPr/>
          </w:p>
        </w:tc>
        <w:tc>
          <w:tcPr>
            <w:tcW w:w="1416"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43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违反上述承诺或法律强制性规定减持股份的，本单位承</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4D4D4"/>
          </w:tcPr>
          <w:p>
            <w:pPr/>
          </w:p>
        </w:tc>
        <w:tc>
          <w:tcPr>
            <w:tcW w:w="141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诺违规减持股票所得归朗新科技所有，同时本单位所持</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4D4D4"/>
          </w:tcPr>
          <w:p>
            <w:pPr/>
          </w:p>
        </w:tc>
        <w:tc>
          <w:tcPr>
            <w:tcW w:w="141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有的剩余股份的锁定期在原股份锁定期届满后自动延长</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60" w:hRule="exact"/>
        </w:trPr>
        <w:tc>
          <w:tcPr>
            <w:tcW w:w="992" w:type="dxa"/>
            <w:vMerge/>
            <w:tcBorders>
              <w:left w:val="single" w:sz="4" w:space="0" w:color="000000"/>
              <w:right w:val="single" w:sz="4" w:space="0" w:color="000000"/>
            </w:tcBorders>
            <w:shd w:val="clear" w:color="auto" w:fill="D4D4D4"/>
          </w:tcPr>
          <w:p>
            <w:pPr/>
          </w:p>
        </w:tc>
        <w:tc>
          <w:tcPr>
            <w:tcW w:w="141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3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360" w:hRule="exact"/>
        </w:trPr>
        <w:tc>
          <w:tcPr>
            <w:tcW w:w="992" w:type="dxa"/>
            <w:vMerge/>
            <w:tcBorders>
              <w:left w:val="single" w:sz="4" w:space="0" w:color="000000"/>
              <w:right w:val="single" w:sz="4" w:space="0" w:color="000000"/>
            </w:tcBorders>
            <w:shd w:val="clear" w:color="auto" w:fill="D4D4D4"/>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43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自朗新科技首次向社会公开发行的股票上市之日起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个月内，不转让或者委托他人管理本单位所持有的朗新</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科技股份，也不由朗新科技回购本单位所持有的股份。</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此外，申报前一年新增股东上海云鑫还承诺，自本公司</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取得朗新科技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股份的工商变更完成之日起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内，不转让或者委托他人管理本公司所持有的发行人股</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254"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份，也不由发行人回购本公司所持有的股份。</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1137"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4" w:right="0"/>
              <w:jc w:val="both"/>
              <w:rPr>
                <w:rFonts w:ascii="宋体" w:hAnsi="宋体" w:cs="宋体" w:eastAsia="宋体" w:hint="default"/>
                <w:sz w:val="18"/>
                <w:szCs w:val="18"/>
              </w:rPr>
            </w:pPr>
            <w:r>
              <w:rPr>
                <w:rFonts w:ascii="宋体" w:hAnsi="宋体" w:cs="宋体" w:eastAsia="宋体" w:hint="default"/>
                <w:sz w:val="18"/>
                <w:szCs w:val="18"/>
              </w:rPr>
              <w:t>国开博裕一</w:t>
            </w:r>
            <w:r>
              <w:rPr>
                <w:rFonts w:ascii="宋体" w:hAnsi="宋体" w:cs="宋体" w:eastAsia="宋体" w:hint="default"/>
                <w:spacing w:val="-80"/>
                <w:sz w:val="18"/>
                <w:szCs w:val="18"/>
              </w:rPr>
              <w:t>期</w:t>
            </w:r>
            <w:r>
              <w:rPr>
                <w:rFonts w:ascii="宋体" w:hAnsi="宋体" w:cs="宋体" w:eastAsia="宋体" w:hint="default"/>
                <w:sz w:val="18"/>
                <w:szCs w:val="18"/>
              </w:rPr>
              <w:t>（上</w:t>
            </w:r>
          </w:p>
          <w:p>
            <w:pPr>
              <w:pStyle w:val="TableParagraph"/>
              <w:spacing w:line="309" w:lineRule="auto" w:before="74"/>
              <w:ind w:left="24" w:right="19"/>
              <w:jc w:val="both"/>
              <w:rPr>
                <w:rFonts w:ascii="宋体" w:hAnsi="宋体" w:cs="宋体" w:eastAsia="宋体" w:hint="default"/>
                <w:sz w:val="18"/>
                <w:szCs w:val="18"/>
              </w:rPr>
            </w:pPr>
            <w:r>
              <w:rPr>
                <w:rFonts w:ascii="宋体" w:hAnsi="宋体" w:cs="宋体" w:eastAsia="宋体" w:hint="default"/>
                <w:spacing w:val="-10"/>
                <w:sz w:val="18"/>
                <w:szCs w:val="18"/>
              </w:rPr>
              <w:t>海）股权投资合伙</w:t>
            </w:r>
            <w:r>
              <w:rPr>
                <w:rFonts w:ascii="宋体" w:hAnsi="宋体" w:cs="宋体" w:eastAsia="宋体" w:hint="default"/>
                <w:sz w:val="18"/>
                <w:szCs w:val="18"/>
              </w:rPr>
              <w:t> </w:t>
            </w:r>
            <w:r>
              <w:rPr>
                <w:rFonts w:ascii="宋体" w:hAnsi="宋体" w:cs="宋体" w:eastAsia="宋体" w:hint="default"/>
                <w:spacing w:val="-15"/>
                <w:sz w:val="18"/>
                <w:szCs w:val="18"/>
              </w:rPr>
              <w:t>企业（有限合伙）</w:t>
            </w:r>
            <w:r>
              <w:rPr>
                <w:rFonts w:ascii="Times New Roman" w:hAnsi="Times New Roman" w:cs="Times New Roman" w:eastAsia="Times New Roman" w:hint="default"/>
                <w:spacing w:val="-1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海南华兴合创创</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股份流通限</w:t>
            </w:r>
          </w:p>
        </w:tc>
        <w:tc>
          <w:tcPr>
            <w:tcW w:w="4394" w:type="dxa"/>
            <w:tcBorders>
              <w:top w:val="nil" w:sz="6" w:space="0" w:color="auto"/>
              <w:left w:val="single" w:sz="4" w:space="0" w:color="000000"/>
              <w:bottom w:val="nil" w:sz="6" w:space="0" w:color="auto"/>
              <w:right w:val="single" w:sz="13" w:space="0" w:color="FFFFFF"/>
            </w:tcBorders>
          </w:tcPr>
          <w:p>
            <w:pPr>
              <w:pStyle w:val="TableParagraph"/>
              <w:spacing w:line="309" w:lineRule="auto" w:before="106"/>
              <w:ind w:left="23" w:right="26"/>
              <w:jc w:val="left"/>
              <w:rPr>
                <w:rFonts w:ascii="宋体" w:hAnsi="宋体" w:cs="宋体" w:eastAsia="宋体" w:hint="default"/>
                <w:sz w:val="18"/>
                <w:szCs w:val="18"/>
              </w:rPr>
            </w:pPr>
            <w:r>
              <w:rPr>
                <w:rFonts w:ascii="宋体" w:hAnsi="宋体" w:cs="宋体" w:eastAsia="宋体" w:hint="default"/>
                <w:sz w:val="18"/>
                <w:szCs w:val="18"/>
              </w:rPr>
              <w:t>上海云鑫、国开博裕、天津诚柏承诺：在锁定期（包括 </w:t>
            </w:r>
            <w:r>
              <w:rPr>
                <w:rFonts w:ascii="宋体" w:hAnsi="宋体" w:cs="宋体" w:eastAsia="宋体" w:hint="default"/>
                <w:spacing w:val="-4"/>
                <w:sz w:val="18"/>
                <w:szCs w:val="18"/>
              </w:rPr>
              <w:t>延长的锁定期）届满后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r>
              <w:rPr>
                <w:rFonts w:ascii="宋体" w:hAnsi="宋体" w:cs="宋体" w:eastAsia="宋体" w:hint="default"/>
                <w:spacing w:val="-87"/>
                <w:sz w:val="18"/>
                <w:szCs w:val="18"/>
              </w:rPr>
              <w:t> </w:t>
            </w:r>
            <w:r>
              <w:rPr>
                <w:rFonts w:ascii="宋体" w:hAnsi="宋体" w:cs="宋体" w:eastAsia="宋体" w:hint="default"/>
                <w:spacing w:val="-3"/>
                <w:sz w:val="18"/>
                <w:szCs w:val="18"/>
              </w:rPr>
              <w:t>资本市场、自身资金需求等情况综合分析决定减持数量</w:t>
            </w:r>
          </w:p>
        </w:tc>
        <w:tc>
          <w:tcPr>
            <w:tcW w:w="566"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18" w:lineRule="exact" w:before="109"/>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0" w:lineRule="exact"/>
              <w:ind w:left="11" w:right="0"/>
              <w:jc w:val="left"/>
              <w:rPr>
                <w:rFonts w:ascii="Times New Roman" w:hAnsi="Times New Roman" w:cs="Times New Roman" w:eastAsia="Times New Roman" w:hint="default"/>
                <w:sz w:val="18"/>
                <w:szCs w:val="18"/>
              </w:rPr>
            </w:pPr>
            <w:r>
              <w:rPr>
                <w:rFonts w:ascii="Times New Roman"/>
                <w:sz w:val="18"/>
              </w:rPr>
              <w:t>2017</w:t>
            </w: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业投资中</w:t>
            </w:r>
            <w:r>
              <w:rPr>
                <w:rFonts w:ascii="宋体" w:hAnsi="宋体" w:cs="宋体" w:eastAsia="宋体" w:hint="default"/>
                <w:spacing w:val="-80"/>
                <w:sz w:val="18"/>
                <w:szCs w:val="18"/>
              </w:rPr>
              <w:t>心</w:t>
            </w:r>
            <w:r>
              <w:rPr>
                <w:rFonts w:ascii="宋体" w:hAnsi="宋体" w:cs="宋体" w:eastAsia="宋体" w:hint="default"/>
                <w:sz w:val="18"/>
                <w:szCs w:val="18"/>
              </w:rPr>
              <w:t>（有限</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制和自愿锁</w:t>
            </w:r>
          </w:p>
        </w:tc>
        <w:tc>
          <w:tcPr>
            <w:tcW w:w="4394" w:type="dxa"/>
            <w:tcBorders>
              <w:top w:val="nil" w:sz="6" w:space="0" w:color="auto"/>
              <w:left w:val="single" w:sz="4" w:space="0" w:color="000000"/>
              <w:bottom w:val="nil" w:sz="6" w:space="0" w:color="auto"/>
              <w:right w:val="single" w:sz="13" w:space="0" w:color="FFFFFF"/>
            </w:tcBorders>
          </w:tcPr>
          <w:p>
            <w:pPr>
              <w:pStyle w:val="TableParagraph"/>
              <w:spacing w:line="182" w:lineRule="exact"/>
              <w:ind w:left="23" w:right="0"/>
              <w:jc w:val="left"/>
              <w:rPr>
                <w:rFonts w:ascii="宋体" w:hAnsi="宋体" w:cs="宋体" w:eastAsia="宋体" w:hint="default"/>
                <w:sz w:val="18"/>
                <w:szCs w:val="18"/>
              </w:rPr>
            </w:pPr>
            <w:r>
              <w:rPr>
                <w:rFonts w:ascii="宋体" w:hAnsi="宋体" w:cs="宋体" w:eastAsia="宋体" w:hint="default"/>
                <w:sz w:val="18"/>
                <w:szCs w:val="18"/>
              </w:rPr>
              <w:t>上海云鑫、天津诚柏、国开博裕还承诺：本单位的减持</w:t>
            </w:r>
          </w:p>
        </w:tc>
        <w:tc>
          <w:tcPr>
            <w:tcW w:w="566" w:type="dxa"/>
            <w:tcBorders>
              <w:top w:val="nil" w:sz="6" w:space="0" w:color="auto"/>
              <w:left w:val="single" w:sz="13" w:space="0" w:color="FFFFFF"/>
              <w:bottom w:val="nil" w:sz="6" w:space="0" w:color="auto"/>
              <w:right w:val="single" w:sz="4" w:space="0" w:color="000000"/>
            </w:tcBorders>
          </w:tcPr>
          <w:p>
            <w:pPr>
              <w:pStyle w:val="TableParagraph"/>
              <w:spacing w:line="240" w:lineRule="auto" w:before="62"/>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履行完</w:t>
            </w:r>
          </w:p>
        </w:tc>
      </w:tr>
      <w:tr>
        <w:trPr>
          <w:trHeight w:val="311"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上海云鑫</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定、减持的</w:t>
            </w:r>
          </w:p>
        </w:tc>
        <w:tc>
          <w:tcPr>
            <w:tcW w:w="4394" w:type="dxa"/>
            <w:tcBorders>
              <w:top w:val="nil" w:sz="6" w:space="0" w:color="auto"/>
              <w:left w:val="single" w:sz="4" w:space="0" w:color="000000"/>
              <w:bottom w:val="nil" w:sz="6" w:space="0" w:color="auto"/>
              <w:right w:val="single" w:sz="13" w:space="0" w:color="FFFFFF"/>
            </w:tcBorders>
          </w:tcPr>
          <w:p>
            <w:pPr>
              <w:pStyle w:val="TableParagraph"/>
              <w:spacing w:line="182" w:lineRule="exact"/>
              <w:ind w:left="23" w:right="0"/>
              <w:jc w:val="left"/>
              <w:rPr>
                <w:rFonts w:ascii="宋体" w:hAnsi="宋体" w:cs="宋体" w:eastAsia="宋体" w:hint="default"/>
                <w:sz w:val="18"/>
                <w:szCs w:val="18"/>
              </w:rPr>
            </w:pPr>
            <w:r>
              <w:rPr>
                <w:rFonts w:ascii="宋体" w:hAnsi="宋体" w:cs="宋体" w:eastAsia="宋体" w:hint="default"/>
                <w:sz w:val="18"/>
                <w:szCs w:val="18"/>
              </w:rPr>
              <w:t>价格将均不低于公司上一年度经审计的每股净资产值及</w:t>
            </w:r>
          </w:p>
        </w:tc>
        <w:tc>
          <w:tcPr>
            <w:tcW w:w="566" w:type="dxa"/>
            <w:tcBorders>
              <w:top w:val="nil" w:sz="6" w:space="0" w:color="auto"/>
              <w:left w:val="single" w:sz="13" w:space="0" w:color="FFFFFF"/>
              <w:bottom w:val="nil" w:sz="6" w:space="0" w:color="auto"/>
              <w:right w:val="single" w:sz="4" w:space="0" w:color="000000"/>
            </w:tcBorders>
          </w:tcPr>
          <w:p>
            <w:pPr>
              <w:pStyle w:val="TableParagraph"/>
              <w:spacing w:line="240" w:lineRule="auto" w:before="62"/>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毕</w:t>
            </w:r>
          </w:p>
        </w:tc>
      </w:tr>
      <w:tr>
        <w:trPr>
          <w:trHeight w:val="307"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创业投资有限公</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4394" w:type="dxa"/>
            <w:tcBorders>
              <w:top w:val="nil" w:sz="6" w:space="0" w:color="auto"/>
              <w:left w:val="single" w:sz="4" w:space="0" w:color="000000"/>
              <w:bottom w:val="nil" w:sz="6" w:space="0" w:color="auto"/>
              <w:right w:val="single" w:sz="13" w:space="0" w:color="FFFFFF"/>
            </w:tcBorders>
          </w:tcPr>
          <w:p>
            <w:pPr>
              <w:pStyle w:val="TableParagraph"/>
              <w:spacing w:line="183" w:lineRule="exact"/>
              <w:ind w:left="23" w:right="0"/>
              <w:jc w:val="left"/>
              <w:rPr>
                <w:rFonts w:ascii="宋体" w:hAnsi="宋体" w:cs="宋体" w:eastAsia="宋体" w:hint="default"/>
                <w:sz w:val="18"/>
                <w:szCs w:val="18"/>
              </w:rPr>
            </w:pPr>
            <w:r>
              <w:rPr>
                <w:rFonts w:ascii="宋体" w:hAnsi="宋体" w:cs="宋体" w:eastAsia="宋体" w:hint="default"/>
                <w:sz w:val="18"/>
                <w:szCs w:val="18"/>
              </w:rPr>
              <w:t>股票首次公开发行的价格。若公司已发生派息、送股、</w:t>
            </w:r>
          </w:p>
        </w:tc>
        <w:tc>
          <w:tcPr>
            <w:tcW w:w="566" w:type="dxa"/>
            <w:tcBorders>
              <w:top w:val="nil" w:sz="6" w:space="0" w:color="auto"/>
              <w:left w:val="single" w:sz="13" w:space="0" w:color="FFFFFF"/>
              <w:bottom w:val="nil" w:sz="6" w:space="0" w:color="auto"/>
              <w:right w:val="single" w:sz="4" w:space="0" w:color="000000"/>
            </w:tcBorders>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天津诚柏股权</w:t>
            </w: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13" w:space="0" w:color="FFFFFF"/>
            </w:tcBorders>
          </w:tcPr>
          <w:p>
            <w:pPr>
              <w:pStyle w:val="TableParagraph"/>
              <w:spacing w:line="188" w:lineRule="exact"/>
              <w:ind w:left="23" w:right="0"/>
              <w:jc w:val="left"/>
              <w:rPr>
                <w:rFonts w:ascii="宋体" w:hAnsi="宋体" w:cs="宋体" w:eastAsia="宋体" w:hint="default"/>
                <w:sz w:val="18"/>
                <w:szCs w:val="18"/>
              </w:rPr>
            </w:pPr>
            <w:r>
              <w:rPr>
                <w:rFonts w:ascii="宋体" w:hAnsi="宋体" w:cs="宋体" w:eastAsia="宋体" w:hint="default"/>
                <w:sz w:val="18"/>
                <w:szCs w:val="18"/>
              </w:rPr>
              <w:t>资本公积转增股本等除权除息事项，则上述减持价格指</w:t>
            </w:r>
          </w:p>
        </w:tc>
        <w:tc>
          <w:tcPr>
            <w:tcW w:w="566" w:type="dxa"/>
            <w:tcBorders>
              <w:top w:val="nil" w:sz="6" w:space="0" w:color="auto"/>
              <w:left w:val="single" w:sz="13" w:space="0" w:color="FFFFFF"/>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投资合伙企</w:t>
            </w:r>
            <w:r>
              <w:rPr>
                <w:rFonts w:ascii="宋体" w:hAnsi="宋体" w:cs="宋体" w:eastAsia="宋体" w:hint="default"/>
                <w:spacing w:val="-80"/>
                <w:sz w:val="18"/>
                <w:szCs w:val="18"/>
              </w:rPr>
              <w:t>业</w:t>
            </w:r>
            <w:r>
              <w:rPr>
                <w:rFonts w:ascii="宋体" w:hAnsi="宋体" w:cs="宋体" w:eastAsia="宋体" w:hint="default"/>
                <w:sz w:val="18"/>
                <w:szCs w:val="18"/>
              </w:rPr>
              <w:t>（有</w:t>
            </w: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公司股票复权后的价格；本单位持有的朗新科技股份的</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3" w:right="0"/>
              <w:jc w:val="left"/>
              <w:rPr>
                <w:rFonts w:ascii="宋体" w:hAnsi="宋体" w:cs="宋体" w:eastAsia="宋体" w:hint="default"/>
                <w:sz w:val="18"/>
                <w:szCs w:val="18"/>
              </w:rPr>
            </w:pPr>
            <w:r>
              <w:rPr>
                <w:rFonts w:ascii="宋体" w:hAnsi="宋体" w:cs="宋体" w:eastAsia="宋体" w:hint="default"/>
                <w:sz w:val="18"/>
                <w:szCs w:val="18"/>
              </w:rPr>
              <w:t>锁定期限（包括延长的锁定期）届满后，本单位减持持</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254"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3" w:right="0"/>
              <w:jc w:val="left"/>
              <w:rPr>
                <w:rFonts w:ascii="宋体" w:hAnsi="宋体" w:cs="宋体" w:eastAsia="宋体" w:hint="default"/>
                <w:sz w:val="18"/>
                <w:szCs w:val="18"/>
              </w:rPr>
            </w:pPr>
            <w:r>
              <w:rPr>
                <w:rFonts w:ascii="宋体" w:hAnsi="宋体" w:cs="宋体" w:eastAsia="宋体" w:hint="default"/>
                <w:sz w:val="18"/>
                <w:szCs w:val="18"/>
              </w:rPr>
              <w:t>有的朗新科技股份时，应提前将减持意向和拟减持数量</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等信息以书面方式通知朗新科技，并由朗新科技及时予</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以公告，自朗新科技公告之日起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个交易日后，本单位</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方可以减持股份；如本单位违反上述承诺或法律强制性</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规定减持股份的，本单位承诺违规减持股票所得归朗新</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科技所有，同时本单位所持有的剩余股份的锁定期在原</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43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股份锁定期届满后自动延长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992" w:type="dxa"/>
            <w:vMerge/>
            <w:tcBorders>
              <w:left w:val="single" w:sz="4" w:space="0" w:color="000000"/>
              <w:right w:val="single" w:sz="4" w:space="0" w:color="000000"/>
            </w:tcBorders>
            <w:shd w:val="clear" w:color="auto" w:fill="D4D4D4"/>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43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自公司股票上市之日起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个月内，本人不转让或者委托</w:t>
            </w: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他人管理本人持有的公司股份，也不由公司回购本人所</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持有的公司股份。在本人任职期间每年转让直接或间接</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持有的公司股份不超过本人所持有公司股份总数的</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；离职后半年内，不转让本人直接或间接持有的公</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司股份。如在公司股票上市交易之日起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个月内申报离</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股份流通限</w:t>
            </w: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4"/>
                <w:sz w:val="18"/>
                <w:szCs w:val="18"/>
              </w:rPr>
              <w:t>职，则自申报离职之日起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2"/>
                <w:sz w:val="18"/>
                <w:szCs w:val="18"/>
              </w:rPr>
              <w:t> </w:t>
            </w:r>
            <w:r>
              <w:rPr>
                <w:rFonts w:ascii="宋体" w:hAnsi="宋体" w:cs="宋体" w:eastAsia="宋体" w:hint="default"/>
                <w:spacing w:val="-4"/>
                <w:sz w:val="18"/>
                <w:szCs w:val="18"/>
              </w:rPr>
              <w:t>个月内，不转让其直接或间</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23" w:right="0"/>
              <w:jc w:val="left"/>
              <w:rPr>
                <w:rFonts w:ascii="Times New Roman" w:hAnsi="Times New Roman" w:cs="Times New Roman" w:eastAsia="Times New Roman" w:hint="default"/>
                <w:sz w:val="18"/>
                <w:szCs w:val="18"/>
              </w:rPr>
            </w:pPr>
            <w:r>
              <w:rPr>
                <w:rFonts w:ascii="Times New Roman"/>
                <w:sz w:val="18"/>
              </w:rPr>
              <w:t>2017</w:t>
            </w: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宋体" w:hAnsi="宋体" w:cs="宋体" w:eastAsia="宋体" w:hint="default"/>
                <w:sz w:val="18"/>
                <w:szCs w:val="18"/>
              </w:rPr>
            </w:pPr>
            <w:r>
              <w:rPr>
                <w:rFonts w:ascii="宋体" w:hAnsi="宋体" w:cs="宋体" w:eastAsia="宋体" w:hint="default"/>
                <w:sz w:val="18"/>
                <w:szCs w:val="18"/>
              </w:rPr>
              <w:t>焦国云</w:t>
            </w:r>
            <w:r>
              <w:rPr>
                <w:rFonts w:ascii="Times New Roman" w:hAnsi="Times New Roman" w:cs="Times New Roman" w:eastAsia="Times New Roman" w:hint="default"/>
                <w:sz w:val="18"/>
                <w:szCs w:val="18"/>
              </w:rPr>
              <w:t>;</w:t>
            </w:r>
            <w:r>
              <w:rPr>
                <w:rFonts w:ascii="宋体" w:hAnsi="宋体" w:cs="宋体" w:eastAsia="宋体" w:hint="default"/>
                <w:sz w:val="18"/>
                <w:szCs w:val="18"/>
              </w:rPr>
              <w:t>鲁清芳</w:t>
            </w:r>
            <w:r>
              <w:rPr>
                <w:rFonts w:ascii="Times New Roman" w:hAnsi="Times New Roman" w:cs="Times New Roman" w:eastAsia="Times New Roman" w:hint="default"/>
                <w:sz w:val="18"/>
                <w:szCs w:val="18"/>
              </w:rPr>
              <w:t>;</w:t>
            </w:r>
            <w:r>
              <w:rPr>
                <w:rFonts w:ascii="宋体" w:hAnsi="宋体" w:cs="宋体" w:eastAsia="宋体" w:hint="default"/>
                <w:sz w:val="18"/>
                <w:szCs w:val="18"/>
              </w:rPr>
              <w:t>彭</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制和自愿锁</w:t>
            </w: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接持有的公司股份；如在股票上市交易之日起第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正在履</w:t>
            </w:r>
          </w:p>
        </w:tc>
      </w:tr>
      <w:tr>
        <w:trPr>
          <w:trHeight w:val="312"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宋体" w:hAnsi="宋体" w:cs="宋体" w:eastAsia="宋体" w:hint="default"/>
                <w:sz w:val="18"/>
                <w:szCs w:val="18"/>
              </w:rPr>
            </w:pPr>
            <w:r>
              <w:rPr>
                <w:rFonts w:ascii="宋体" w:hAnsi="宋体" w:cs="宋体" w:eastAsia="宋体" w:hint="default"/>
                <w:sz w:val="18"/>
                <w:szCs w:val="18"/>
              </w:rPr>
              <w:t>知平</w:t>
            </w:r>
            <w:r>
              <w:rPr>
                <w:rFonts w:ascii="Times New Roman" w:hAnsi="Times New Roman" w:cs="Times New Roman" w:eastAsia="Times New Roman" w:hint="default"/>
                <w:sz w:val="18"/>
                <w:szCs w:val="18"/>
              </w:rPr>
              <w:t>;</w:t>
            </w:r>
            <w:r>
              <w:rPr>
                <w:rFonts w:ascii="宋体" w:hAnsi="宋体" w:cs="宋体" w:eastAsia="宋体" w:hint="default"/>
                <w:sz w:val="18"/>
                <w:szCs w:val="18"/>
              </w:rPr>
              <w:t>王慎勇</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定、减持的</w:t>
            </w: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至第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个月之间申报离职，则自申报离职之日起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行中</w:t>
            </w:r>
          </w:p>
        </w:tc>
      </w:tr>
      <w:tr>
        <w:trPr>
          <w:trHeight w:val="317"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月内不转让其直接或间接持有的公司股份。持有公司股</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份的其它董事、监事和高级管理人员彭知平、焦国云、</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王慎勇、鲁清芳承诺：锁定期届满后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年内，本企业</w:t>
            </w:r>
            <w:r>
              <w:rPr>
                <w:rFonts w:ascii="Times New Roman" w:hAnsi="Times New Roman" w:cs="Times New Roman" w:eastAsia="Times New Roman"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本人减持公司股票的，减持价格不低于本次发行并上市</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时公司股票的发行</w:t>
            </w:r>
            <w:r>
              <w:rPr>
                <w:rFonts w:ascii="宋体" w:hAnsi="宋体" w:cs="宋体" w:eastAsia="宋体" w:hint="default"/>
                <w:spacing w:val="-20"/>
                <w:sz w:val="18"/>
                <w:szCs w:val="18"/>
              </w:rPr>
              <w:t>价</w:t>
            </w:r>
            <w:r>
              <w:rPr>
                <w:rFonts w:ascii="宋体" w:hAnsi="宋体" w:cs="宋体" w:eastAsia="宋体" w:hint="default"/>
                <w:sz w:val="18"/>
                <w:szCs w:val="18"/>
              </w:rPr>
              <w:t>（以下简称</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发行价</w:t>
            </w:r>
            <w:r>
              <w:rPr>
                <w:rFonts w:ascii="Times New Roman" w:hAnsi="Times New Roman" w:cs="Times New Roman" w:eastAsia="Times New Roman" w:hint="default"/>
                <w:w w:val="99"/>
                <w:sz w:val="18"/>
                <w:szCs w:val="18"/>
              </w:rPr>
              <w:t>"</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公司上市后</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43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个交易日的收盘价均低于发</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2" w:type="dxa"/>
            <w:vMerge/>
            <w:tcBorders>
              <w:left w:val="single" w:sz="4" w:space="0" w:color="000000"/>
              <w:bottom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43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行价，或者上市后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个月期末（如该日不是交易日，则</w:t>
            </w: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209" w:type="dxa"/>
        <w:tblLayout w:type="fixed"/>
        <w:tblCellMar>
          <w:top w:w="0" w:type="dxa"/>
          <w:left w:w="0" w:type="dxa"/>
          <w:bottom w:w="0" w:type="dxa"/>
          <w:right w:w="0" w:type="dxa"/>
        </w:tblCellMar>
        <w:tblLook w:val="01E0"/>
      </w:tblPr>
      <w:tblGrid>
        <w:gridCol w:w="992"/>
        <w:gridCol w:w="1416"/>
        <w:gridCol w:w="994"/>
        <w:gridCol w:w="4394"/>
        <w:gridCol w:w="566"/>
        <w:gridCol w:w="566"/>
        <w:gridCol w:w="636"/>
      </w:tblGrid>
      <w:tr>
        <w:trPr>
          <w:trHeight w:val="2546" w:hRule="exact"/>
        </w:trPr>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23" w:right="17"/>
              <w:jc w:val="both"/>
              <w:rPr>
                <w:rFonts w:ascii="宋体" w:hAnsi="宋体" w:cs="宋体" w:eastAsia="宋体" w:hint="default"/>
                <w:sz w:val="18"/>
                <w:szCs w:val="18"/>
              </w:rPr>
            </w:pPr>
            <w:r>
              <w:rPr>
                <w:rFonts w:ascii="宋体" w:hAnsi="宋体" w:cs="宋体" w:eastAsia="宋体" w:hint="default"/>
                <w:spacing w:val="-2"/>
                <w:sz w:val="18"/>
                <w:szCs w:val="18"/>
              </w:rPr>
              <w:t>该日后第一个交易日）收盘价低于发行价，本企业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w:t>
            </w:r>
            <w:r>
              <w:rPr>
                <w:rFonts w:ascii="宋体" w:hAnsi="宋体" w:cs="宋体" w:eastAsia="宋体" w:hint="default"/>
                <w:spacing w:val="-70"/>
                <w:sz w:val="18"/>
                <w:szCs w:val="18"/>
              </w:rPr>
              <w:t> </w:t>
            </w:r>
            <w:r>
              <w:rPr>
                <w:rFonts w:ascii="宋体" w:hAnsi="宋体" w:cs="宋体" w:eastAsia="宋体" w:hint="default"/>
                <w:sz w:val="18"/>
                <w:szCs w:val="18"/>
              </w:rPr>
              <w:t>持有股票的锁定期限将自动延长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个月。若公司在本次 发行并上市后有派息、送股、资本公积转增股本等除权 </w:t>
            </w:r>
            <w:r>
              <w:rPr>
                <w:rFonts w:ascii="宋体" w:hAnsi="宋体" w:cs="宋体" w:eastAsia="宋体" w:hint="default"/>
                <w:spacing w:val="-2"/>
                <w:sz w:val="18"/>
                <w:szCs w:val="18"/>
              </w:rPr>
              <w:t>除息事项的，应对发行价进行除权除息处理；如本企业</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本人违反上述承诺或法律强制性规定减持股份的，本企 </w:t>
            </w:r>
            <w:r>
              <w:rPr>
                <w:rFonts w:ascii="宋体" w:hAnsi="宋体" w:cs="宋体" w:eastAsia="宋体" w:hint="default"/>
                <w:spacing w:val="-2"/>
                <w:sz w:val="18"/>
                <w:szCs w:val="18"/>
              </w:rPr>
              <w:t>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本人承诺违规减持股票所得归朗新科技所有，同时本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企业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本人持有剩余股份的锁定期在原股份锁定期（包括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延长后的锁定期）届满后自动延长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99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2" w:right="59"/>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1416" w:type="dxa"/>
            <w:vMerge w:val="restart"/>
            <w:tcBorders>
              <w:top w:val="single" w:sz="4" w:space="0" w:color="000000"/>
              <w:left w:val="single" w:sz="12" w:space="0" w:color="D4D4D4"/>
              <w:right w:val="single" w:sz="9" w:space="0" w:color="D4D4D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nil" w:sz="6" w:space="0" w:color="auto"/>
              <w:right w:val="single" w:sz="4" w:space="0" w:color="000000"/>
            </w:tcBorders>
            <w:shd w:val="clear" w:color="auto" w:fill="D4D4D4"/>
          </w:tcPr>
          <w:p>
            <w:pPr/>
          </w:p>
        </w:tc>
        <w:tc>
          <w:tcPr>
            <w:tcW w:w="4394" w:type="dxa"/>
            <w:tcBorders>
              <w:top w:val="single" w:sz="4" w:space="0" w:color="000000"/>
              <w:left w:val="single" w:sz="4" w:space="0" w:color="000000"/>
              <w:bottom w:val="nil" w:sz="6" w:space="0" w:color="auto"/>
              <w:right w:val="single" w:sz="4" w:space="0" w:color="000000"/>
            </w:tcBorders>
            <w:shd w:val="clear" w:color="auto" w:fill="D4D4D4"/>
          </w:tcPr>
          <w:p>
            <w:pPr/>
          </w:p>
        </w:tc>
        <w:tc>
          <w:tcPr>
            <w:tcW w:w="56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6" w:type="dxa"/>
            <w:tcBorders>
              <w:top w:val="single" w:sz="4" w:space="0" w:color="000000"/>
              <w:left w:val="single" w:sz="4" w:space="0" w:color="000000"/>
              <w:bottom w:val="nil" w:sz="6" w:space="0" w:color="auto"/>
              <w:right w:val="single" w:sz="4" w:space="0" w:color="000000"/>
            </w:tcBorders>
            <w:shd w:val="clear" w:color="auto" w:fill="D4D4D4"/>
          </w:tcPr>
          <w:p>
            <w:pPr/>
          </w:p>
        </w:tc>
        <w:tc>
          <w:tcPr>
            <w:tcW w:w="636"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992" w:type="dxa"/>
            <w:vMerge/>
            <w:tcBorders>
              <w:left w:val="single" w:sz="4" w:space="0" w:color="000000"/>
              <w:right w:val="single" w:sz="4" w:space="0" w:color="000000"/>
            </w:tcBorders>
            <w:shd w:val="clear" w:color="auto" w:fill="D4D4D4"/>
          </w:tcPr>
          <w:p>
            <w:pPr/>
          </w:p>
        </w:tc>
        <w:tc>
          <w:tcPr>
            <w:tcW w:w="1416" w:type="dxa"/>
            <w:vMerge/>
            <w:tcBorders>
              <w:left w:val="single" w:sz="12" w:space="0" w:color="D4D4D4"/>
              <w:right w:val="single" w:sz="9" w:space="0" w:color="D4D4D4"/>
            </w:tcBorders>
          </w:tcPr>
          <w:p>
            <w:pPr/>
          </w:p>
        </w:tc>
        <w:tc>
          <w:tcPr>
            <w:tcW w:w="994" w:type="dxa"/>
            <w:tcBorders>
              <w:top w:val="nil" w:sz="6" w:space="0" w:color="auto"/>
              <w:left w:val="single" w:sz="4" w:space="0" w:color="000000"/>
              <w:bottom w:val="nil" w:sz="6" w:space="0" w:color="auto"/>
              <w:right w:val="single" w:sz="4" w:space="0" w:color="000000"/>
            </w:tcBorders>
            <w:shd w:val="clear" w:color="auto" w:fill="D4D4D4"/>
          </w:tcPr>
          <w:p>
            <w:pPr/>
          </w:p>
        </w:tc>
        <w:tc>
          <w:tcPr>
            <w:tcW w:w="4394" w:type="dxa"/>
            <w:tcBorders>
              <w:top w:val="nil" w:sz="6" w:space="0" w:color="auto"/>
              <w:left w:val="single" w:sz="4" w:space="0" w:color="000000"/>
              <w:bottom w:val="nil" w:sz="6" w:space="0" w:color="auto"/>
              <w:right w:val="single" w:sz="4" w:space="0" w:color="000000"/>
            </w:tcBorders>
            <w:shd w:val="clear" w:color="auto" w:fill="D4D4D4"/>
          </w:tcPr>
          <w:p>
            <w:pPr/>
          </w:p>
        </w:tc>
        <w:tc>
          <w:tcPr>
            <w:tcW w:w="566" w:type="dxa"/>
            <w:tcBorders>
              <w:top w:val="nil" w:sz="6" w:space="0" w:color="auto"/>
              <w:left w:val="single" w:sz="4" w:space="0" w:color="000000"/>
              <w:bottom w:val="nil" w:sz="6" w:space="0" w:color="auto"/>
              <w:right w:val="single" w:sz="4" w:space="0" w:color="000000"/>
            </w:tcBorders>
            <w:shd w:val="clear" w:color="auto" w:fill="D4D4D4"/>
          </w:tcPr>
          <w:p>
            <w:pPr/>
          </w:p>
        </w:tc>
        <w:tc>
          <w:tcPr>
            <w:tcW w:w="566" w:type="dxa"/>
            <w:tcBorders>
              <w:top w:val="nil" w:sz="6" w:space="0" w:color="auto"/>
              <w:left w:val="single" w:sz="4" w:space="0" w:color="000000"/>
              <w:bottom w:val="nil" w:sz="6" w:space="0" w:color="auto"/>
              <w:right w:val="single" w:sz="4" w:space="0" w:color="000000"/>
            </w:tcBorders>
            <w:shd w:val="clear" w:color="auto" w:fill="D4D4D4"/>
          </w:tcPr>
          <w:p>
            <w:pPr/>
          </w:p>
        </w:tc>
        <w:tc>
          <w:tcPr>
            <w:tcW w:w="636" w:type="dxa"/>
            <w:tcBorders>
              <w:top w:val="nil" w:sz="6" w:space="0" w:color="auto"/>
              <w:left w:val="single" w:sz="4" w:space="0" w:color="000000"/>
              <w:bottom w:val="nil" w:sz="6" w:space="0" w:color="auto"/>
              <w:right w:val="single" w:sz="4" w:space="0" w:color="000000"/>
            </w:tcBorders>
            <w:shd w:val="clear" w:color="auto" w:fill="D4D4D4"/>
          </w:tcPr>
          <w:p>
            <w:pPr/>
          </w:p>
        </w:tc>
      </w:tr>
      <w:tr>
        <w:trPr>
          <w:trHeight w:val="161" w:hRule="exact"/>
        </w:trPr>
        <w:tc>
          <w:tcPr>
            <w:tcW w:w="992" w:type="dxa"/>
            <w:vMerge/>
            <w:tcBorders>
              <w:left w:val="single" w:sz="4" w:space="0" w:color="000000"/>
              <w:bottom w:val="single" w:sz="4" w:space="0" w:color="000000"/>
              <w:right w:val="single" w:sz="4" w:space="0" w:color="000000"/>
            </w:tcBorders>
            <w:shd w:val="clear" w:color="auto" w:fill="D4D4D4"/>
          </w:tcPr>
          <w:p>
            <w:pPr/>
          </w:p>
        </w:tc>
        <w:tc>
          <w:tcPr>
            <w:tcW w:w="1416" w:type="dxa"/>
            <w:vMerge/>
            <w:tcBorders>
              <w:left w:val="single" w:sz="12" w:space="0" w:color="D4D4D4"/>
              <w:bottom w:val="single" w:sz="4" w:space="0" w:color="000000"/>
              <w:right w:val="single" w:sz="9" w:space="0" w:color="D4D4D4"/>
            </w:tcBorders>
          </w:tcPr>
          <w:p>
            <w:pPr/>
          </w:p>
        </w:tc>
        <w:tc>
          <w:tcPr>
            <w:tcW w:w="994" w:type="dxa"/>
            <w:tcBorders>
              <w:top w:val="nil" w:sz="6" w:space="0" w:color="auto"/>
              <w:left w:val="single" w:sz="4" w:space="0" w:color="000000"/>
              <w:bottom w:val="single" w:sz="4" w:space="0" w:color="000000"/>
              <w:right w:val="single" w:sz="4" w:space="0" w:color="000000"/>
            </w:tcBorders>
            <w:shd w:val="clear" w:color="auto" w:fill="D4D4D4"/>
          </w:tcPr>
          <w:p>
            <w:pPr/>
          </w:p>
        </w:tc>
        <w:tc>
          <w:tcPr>
            <w:tcW w:w="4394" w:type="dxa"/>
            <w:tcBorders>
              <w:top w:val="nil" w:sz="6" w:space="0" w:color="auto"/>
              <w:left w:val="single" w:sz="4" w:space="0" w:color="000000"/>
              <w:bottom w:val="single" w:sz="4" w:space="0" w:color="000000"/>
              <w:right w:val="single" w:sz="4" w:space="0" w:color="000000"/>
            </w:tcBorders>
            <w:shd w:val="clear" w:color="auto" w:fill="D4D4D4"/>
          </w:tcPr>
          <w:p>
            <w:pPr/>
          </w:p>
        </w:tc>
        <w:tc>
          <w:tcPr>
            <w:tcW w:w="56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6" w:type="dxa"/>
            <w:tcBorders>
              <w:top w:val="nil" w:sz="6" w:space="0" w:color="auto"/>
              <w:left w:val="single" w:sz="4" w:space="0" w:color="000000"/>
              <w:bottom w:val="single" w:sz="4" w:space="0" w:color="000000"/>
              <w:right w:val="single" w:sz="4" w:space="0" w:color="000000"/>
            </w:tcBorders>
            <w:shd w:val="clear" w:color="auto" w:fill="D4D4D4"/>
          </w:tcPr>
          <w:p>
            <w:pPr/>
          </w:p>
        </w:tc>
        <w:tc>
          <w:tcPr>
            <w:tcW w:w="636"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573" w:type="dxa"/>
            <w:gridSpan w:val="6"/>
            <w:tcBorders>
              <w:top w:val="single" w:sz="4" w:space="0" w:color="000000"/>
              <w:left w:val="single" w:sz="4" w:space="0" w:color="000000"/>
              <w:bottom w:val="single" w:sz="4" w:space="0" w:color="000000"/>
              <w:right w:val="single" w:sz="4" w:space="0" w:color="000000"/>
            </w:tcBorders>
            <w:shd w:val="clear" w:color="auto" w:fill="D4D4D4"/>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left="212" w:right="745"/>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212" w:right="7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12" w:right="745"/>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212"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left="212" w:right="745"/>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212" w:right="7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212" w:right="745"/>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212" w:right="7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12" w:right="745"/>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212" w:right="745"/>
        <w:jc w:val="left"/>
        <w:rPr>
          <w:rFonts w:ascii="宋体" w:hAnsi="宋体" w:cs="宋体" w:eastAsia="宋体"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1"/>
        </w:rPr>
        <w:t>财政部于</w:t>
      </w:r>
      <w:r>
        <w:rPr>
          <w:rFonts w:ascii="Times New Roman" w:hAnsi="Times New Roman" w:cs="Times New Roman" w:eastAsia="Times New Roman" w:hint="default"/>
          <w:spacing w:val="-1"/>
        </w:rPr>
        <w:t>2018</w:t>
      </w:r>
      <w:r>
        <w:rPr>
          <w:spacing w:val="-1"/>
        </w:rPr>
        <w:t>年颁布了《财政部关于修订印发</w:t>
      </w:r>
      <w:r>
        <w:rPr>
          <w:rFonts w:ascii="Times New Roman" w:hAnsi="Times New Roman" w:cs="Times New Roman" w:eastAsia="Times New Roman" w:hint="default"/>
          <w:spacing w:val="-1"/>
        </w:rPr>
        <w:t>2018</w:t>
      </w:r>
      <w:r>
        <w:rPr>
          <w:spacing w:val="-1"/>
        </w:rPr>
        <w:t>年度一般企业财务报表格式的通知》（财会</w:t>
      </w:r>
      <w:r>
        <w:rPr>
          <w:rFonts w:ascii="Times New Roman" w:hAnsi="Times New Roman" w:cs="Times New Roman" w:eastAsia="Times New Roman" w:hint="default"/>
          <w:spacing w:val="-1"/>
        </w:rPr>
        <w:t>[2018]15</w:t>
      </w:r>
      <w:r>
        <w:rPr>
          <w:spacing w:val="-1"/>
        </w:rPr>
        <w:t>号）及其解读，本集</w:t>
      </w:r>
      <w:r>
        <w:rPr>
          <w:spacing w:val="-60"/>
        </w:rPr>
        <w:t> </w:t>
      </w:r>
      <w:r>
        <w:rPr>
          <w:spacing w:val="-60"/>
        </w:rPr>
      </w:r>
      <w:r>
        <w:rPr/>
        <w:t>团已按照上述通知编制</w:t>
      </w:r>
      <w:r>
        <w:rPr>
          <w:rFonts w:ascii="Times New Roman" w:hAnsi="Times New Roman" w:cs="Times New Roman" w:eastAsia="Times New Roman" w:hint="default"/>
        </w:rPr>
        <w:t>2018</w:t>
      </w:r>
      <w:r>
        <w:rPr/>
        <w:t>年度的财务报表，比较财务报表已相应调整，对财务报表的影响列示如下：</w:t>
      </w:r>
      <w:r>
        <w:rPr>
          <w:rFonts w:ascii="宋体" w:hAnsi="宋体" w:cs="宋体" w:eastAsia="宋体" w:hint="default"/>
        </w:rPr>
        <w:t> </w:t>
      </w:r>
    </w:p>
    <w:p>
      <w:pPr>
        <w:spacing w:line="240" w:lineRule="auto" w:before="8"/>
        <w:rPr>
          <w:rFonts w:ascii="宋体" w:hAnsi="宋体" w:cs="宋体" w:eastAsia="宋体" w:hint="default"/>
          <w:sz w:val="23"/>
          <w:szCs w:val="23"/>
        </w:rPr>
      </w:pPr>
    </w:p>
    <w:p>
      <w:pPr>
        <w:pStyle w:val="BodyText"/>
        <w:spacing w:line="240" w:lineRule="auto"/>
        <w:ind w:left="212" w:right="745"/>
        <w:jc w:val="left"/>
      </w:pPr>
      <w:r>
        <w:rPr>
          <w:rFonts w:ascii="Times New Roman" w:hAnsi="Times New Roman" w:cs="Times New Roman" w:eastAsia="Times New Roman" w:hint="default"/>
        </w:rPr>
        <w:t>(a)</w:t>
      </w:r>
      <w:r>
        <w:rPr/>
        <w:t>对合并资产负债表及利润表的影响列示如下：</w:t>
      </w:r>
    </w:p>
    <w:p>
      <w:pPr>
        <w:spacing w:line="240" w:lineRule="auto" w:before="3"/>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3756"/>
        <w:gridCol w:w="2952"/>
        <w:gridCol w:w="3146"/>
      </w:tblGrid>
      <w:tr>
        <w:trPr>
          <w:trHeight w:val="322" w:hRule="exact"/>
        </w:trPr>
        <w:tc>
          <w:tcPr>
            <w:tcW w:w="3756" w:type="dxa"/>
            <w:vMerge w:val="restart"/>
            <w:tcBorders>
              <w:top w:val="single" w:sz="4" w:space="0" w:color="000000"/>
              <w:left w:val="single" w:sz="4" w:space="0" w:color="000000"/>
              <w:right w:val="single" w:sz="4" w:space="0" w:color="000000"/>
            </w:tcBorders>
          </w:tcPr>
          <w:p>
            <w:pPr>
              <w:pStyle w:val="TableParagraph"/>
              <w:spacing w:line="240" w:lineRule="auto" w:before="8"/>
              <w:ind w:left="79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952" w:type="dxa"/>
            <w:vMerge w:val="restart"/>
            <w:tcBorders>
              <w:top w:val="single" w:sz="4" w:space="0" w:color="000000"/>
              <w:left w:val="single" w:sz="4" w:space="0" w:color="000000"/>
              <w:right w:val="single" w:sz="4" w:space="0" w:color="000000"/>
            </w:tcBorders>
          </w:tcPr>
          <w:p>
            <w:pPr>
              <w:pStyle w:val="TableParagraph"/>
              <w:spacing w:line="240" w:lineRule="auto" w:before="8"/>
              <w:ind w:left="571"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影响金额</w:t>
            </w:r>
          </w:p>
        </w:tc>
      </w:tr>
      <w:tr>
        <w:trPr>
          <w:trHeight w:val="322" w:hRule="exact"/>
        </w:trPr>
        <w:tc>
          <w:tcPr>
            <w:tcW w:w="3756" w:type="dxa"/>
            <w:vMerge/>
            <w:tcBorders>
              <w:left w:val="single" w:sz="4" w:space="0" w:color="000000"/>
              <w:bottom w:val="single" w:sz="4" w:space="0" w:color="000000"/>
              <w:right w:val="single" w:sz="4" w:space="0" w:color="000000"/>
            </w:tcBorders>
          </w:tcPr>
          <w:p>
            <w:pPr/>
          </w:p>
        </w:tc>
        <w:tc>
          <w:tcPr>
            <w:tcW w:w="2952" w:type="dxa"/>
            <w:vMerge/>
            <w:tcBorders>
              <w:left w:val="single" w:sz="4" w:space="0" w:color="000000"/>
              <w:bottom w:val="single" w:sz="4" w:space="0" w:color="000000"/>
              <w:right w:val="single" w:sz="4" w:space="0" w:color="000000"/>
            </w:tcBorders>
          </w:tcPr>
          <w:p>
            <w:pP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22" w:hRule="exact"/>
        </w:trPr>
        <w:tc>
          <w:tcPr>
            <w:tcW w:w="3756" w:type="dxa"/>
            <w:vMerge w:val="restart"/>
            <w:tcBorders>
              <w:top w:val="single" w:sz="4" w:space="0" w:color="000000"/>
              <w:left w:val="single" w:sz="4" w:space="0" w:color="000000"/>
              <w:right w:val="single" w:sz="4" w:space="0" w:color="000000"/>
            </w:tcBorders>
          </w:tcPr>
          <w:p>
            <w:pPr>
              <w:pStyle w:val="TableParagraph"/>
              <w:spacing w:line="316" w:lineRule="auto" w:before="8"/>
              <w:ind w:left="103" w:right="91"/>
              <w:jc w:val="left"/>
              <w:rPr>
                <w:rFonts w:ascii="宋体" w:hAnsi="宋体" w:cs="宋体" w:eastAsia="宋体" w:hint="default"/>
                <w:sz w:val="18"/>
                <w:szCs w:val="18"/>
              </w:rPr>
            </w:pPr>
            <w:r>
              <w:rPr>
                <w:rFonts w:ascii="宋体" w:hAnsi="宋体" w:cs="宋体" w:eastAsia="宋体" w:hint="default"/>
                <w:spacing w:val="6"/>
                <w:sz w:val="18"/>
                <w:szCs w:val="18"/>
              </w:rPr>
              <w:t>本集团将应收票据和应收账款合并计入应收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票据及应收账款项目。</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-646,980,421.72</w:t>
            </w:r>
            <w:r>
              <w:rPr>
                <w:rFonts w:ascii="Times New Roman"/>
                <w:sz w:val="18"/>
              </w:rPr>
            </w:r>
          </w:p>
        </w:tc>
      </w:tr>
      <w:tr>
        <w:trPr>
          <w:trHeight w:val="322" w:hRule="exact"/>
        </w:trPr>
        <w:tc>
          <w:tcPr>
            <w:tcW w:w="3756" w:type="dxa"/>
            <w:vMerge/>
            <w:tcBorders>
              <w:left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-24,632,467.47</w:t>
            </w:r>
          </w:p>
        </w:tc>
      </w:tr>
      <w:tr>
        <w:trPr>
          <w:trHeight w:val="324" w:hRule="exact"/>
        </w:trPr>
        <w:tc>
          <w:tcPr>
            <w:tcW w:w="3756" w:type="dxa"/>
            <w:vMerge/>
            <w:tcBorders>
              <w:left w:val="single" w:sz="4" w:space="0" w:color="000000"/>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671,612,889.19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3761"/>
        <w:gridCol w:w="2957"/>
        <w:gridCol w:w="3137"/>
      </w:tblGrid>
      <w:tr>
        <w:trPr>
          <w:trHeight w:val="322" w:hRule="exact"/>
        </w:trPr>
        <w:tc>
          <w:tcPr>
            <w:tcW w:w="3761" w:type="dxa"/>
            <w:vMerge w:val="restart"/>
            <w:tcBorders>
              <w:top w:val="single" w:sz="4" w:space="0" w:color="000000"/>
              <w:left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957" w:type="dxa"/>
            <w:vMerge w:val="restart"/>
            <w:tcBorders>
              <w:top w:val="single" w:sz="4" w:space="0" w:color="000000"/>
              <w:left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04" w:right="0"/>
              <w:jc w:val="left"/>
              <w:rPr>
                <w:rFonts w:ascii="宋体" w:hAnsi="宋体" w:cs="宋体" w:eastAsia="宋体" w:hint="default"/>
                <w:sz w:val="18"/>
                <w:szCs w:val="18"/>
              </w:rPr>
            </w:pPr>
            <w:r>
              <w:rPr>
                <w:rFonts w:ascii="宋体" w:hAnsi="宋体" w:cs="宋体" w:eastAsia="宋体" w:hint="default"/>
                <w:sz w:val="18"/>
                <w:szCs w:val="18"/>
              </w:rPr>
              <w:t>影响金额</w:t>
            </w:r>
          </w:p>
        </w:tc>
      </w:tr>
      <w:tr>
        <w:trPr>
          <w:trHeight w:val="322" w:hRule="exact"/>
        </w:trPr>
        <w:tc>
          <w:tcPr>
            <w:tcW w:w="3761" w:type="dxa"/>
            <w:vMerge/>
            <w:tcBorders>
              <w:left w:val="single" w:sz="4" w:space="0" w:color="000000"/>
              <w:bottom w:val="single" w:sz="4" w:space="0" w:color="000000"/>
              <w:right w:val="single" w:sz="4" w:space="0" w:color="000000"/>
            </w:tcBorders>
          </w:tcPr>
          <w:p>
            <w:pPr/>
          </w:p>
        </w:tc>
        <w:tc>
          <w:tcPr>
            <w:tcW w:w="2957" w:type="dxa"/>
            <w:vMerge/>
            <w:tcBorders>
              <w:left w:val="single" w:sz="4" w:space="0" w:color="000000"/>
              <w:bottom w:val="single" w:sz="4" w:space="0" w:color="000000"/>
              <w:right w:val="single" w:sz="4" w:space="0" w:color="000000"/>
            </w:tcBorders>
          </w:tcPr>
          <w:p>
            <w:pP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r>
      <w:tr>
        <w:trPr>
          <w:trHeight w:val="324" w:hRule="exact"/>
        </w:trPr>
        <w:tc>
          <w:tcPr>
            <w:tcW w:w="3761" w:type="dxa"/>
            <w:vMerge w:val="restart"/>
            <w:tcBorders>
              <w:top w:val="single" w:sz="4" w:space="0" w:color="000000"/>
              <w:left w:val="single" w:sz="4" w:space="0" w:color="000000"/>
              <w:right w:val="single" w:sz="4" w:space="0" w:color="000000"/>
            </w:tcBorders>
          </w:tcPr>
          <w:p>
            <w:pPr>
              <w:pStyle w:val="TableParagraph"/>
              <w:spacing w:line="316" w:lineRule="auto" w:before="10"/>
              <w:ind w:left="103" w:right="227"/>
              <w:jc w:val="left"/>
              <w:rPr>
                <w:rFonts w:ascii="宋体" w:hAnsi="宋体" w:cs="宋体" w:eastAsia="宋体" w:hint="default"/>
                <w:sz w:val="18"/>
                <w:szCs w:val="18"/>
              </w:rPr>
            </w:pPr>
            <w:r>
              <w:rPr>
                <w:rFonts w:ascii="宋体" w:hAnsi="宋体" w:cs="宋体" w:eastAsia="宋体" w:hint="default"/>
                <w:sz w:val="18"/>
                <w:szCs w:val="18"/>
              </w:rPr>
              <w:t>本集团将原计入管理费用项目的研发费用单 独列示为研发费用项目。</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96,167,843.83</w:t>
            </w:r>
          </w:p>
        </w:tc>
      </w:tr>
      <w:tr>
        <w:trPr>
          <w:trHeight w:val="322" w:hRule="exact"/>
        </w:trPr>
        <w:tc>
          <w:tcPr>
            <w:tcW w:w="3761" w:type="dxa"/>
            <w:vMerge/>
            <w:tcBorders>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-96,167,843.83</w:t>
            </w:r>
          </w:p>
        </w:tc>
      </w:tr>
    </w:tbl>
    <w:p>
      <w:pPr>
        <w:spacing w:line="240" w:lineRule="auto" w:before="1"/>
        <w:rPr>
          <w:rFonts w:ascii="宋体" w:hAnsi="宋体" w:cs="宋体" w:eastAsia="宋体" w:hint="default"/>
          <w:sz w:val="21"/>
          <w:szCs w:val="21"/>
        </w:rPr>
      </w:pPr>
    </w:p>
    <w:p>
      <w:pPr>
        <w:pStyle w:val="BodyText"/>
        <w:spacing w:line="240" w:lineRule="auto" w:before="44"/>
        <w:ind w:left="212" w:right="745"/>
        <w:jc w:val="left"/>
        <w:rPr>
          <w:rFonts w:ascii="宋体" w:hAnsi="宋体" w:cs="宋体" w:eastAsia="宋体" w:hint="default"/>
        </w:rPr>
      </w:pPr>
      <w:r>
        <w:rPr>
          <w:rFonts w:ascii="Times New Roman" w:hAnsi="Times New Roman" w:cs="Times New Roman" w:eastAsia="Times New Roman" w:hint="default"/>
        </w:rPr>
        <w:t>(b)</w:t>
      </w:r>
      <w:r>
        <w:rPr/>
        <w:t>对公司资产负债表及利润表的影响列示如下：</w:t>
      </w:r>
      <w:r>
        <w:rPr>
          <w:rFonts w:ascii="宋体" w:hAnsi="宋体" w:cs="宋体" w:eastAsia="宋体" w:hint="default"/>
        </w:rPr>
        <w:t> </w:t>
      </w:r>
    </w:p>
    <w:p>
      <w:pPr>
        <w:spacing w:line="240" w:lineRule="auto" w:before="2"/>
        <w:rPr>
          <w:rFonts w:ascii="宋体" w:hAnsi="宋体" w:cs="宋体" w:eastAsia="宋体" w:hint="default"/>
          <w:sz w:val="4"/>
          <w:szCs w:val="4"/>
        </w:rPr>
      </w:pPr>
    </w:p>
    <w:tbl>
      <w:tblPr>
        <w:tblW w:w="0" w:type="auto"/>
        <w:jc w:val="left"/>
        <w:tblInd w:w="198" w:type="dxa"/>
        <w:tblLayout w:type="fixed"/>
        <w:tblCellMar>
          <w:top w:w="0" w:type="dxa"/>
          <w:left w:w="0" w:type="dxa"/>
          <w:bottom w:w="0" w:type="dxa"/>
          <w:right w:w="0" w:type="dxa"/>
        </w:tblCellMar>
        <w:tblLook w:val="01E0"/>
      </w:tblPr>
      <w:tblGrid>
        <w:gridCol w:w="3684"/>
        <w:gridCol w:w="2902"/>
        <w:gridCol w:w="3072"/>
      </w:tblGrid>
      <w:tr>
        <w:trPr>
          <w:trHeight w:val="341" w:hRule="exact"/>
        </w:trPr>
        <w:tc>
          <w:tcPr>
            <w:tcW w:w="3684" w:type="dxa"/>
            <w:vMerge w:val="restart"/>
            <w:tcBorders>
              <w:top w:val="single" w:sz="4" w:space="0" w:color="000000"/>
              <w:left w:val="single" w:sz="4" w:space="0" w:color="000000"/>
              <w:right w:val="single" w:sz="4" w:space="0" w:color="000000"/>
            </w:tcBorders>
          </w:tcPr>
          <w:p>
            <w:pPr>
              <w:pStyle w:val="TableParagraph"/>
              <w:spacing w:line="240" w:lineRule="auto" w:before="17"/>
              <w:ind w:left="75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902" w:type="dxa"/>
            <w:vMerge w:val="restart"/>
            <w:tcBorders>
              <w:top w:val="single" w:sz="4" w:space="0" w:color="000000"/>
              <w:left w:val="single" w:sz="4" w:space="0" w:color="000000"/>
              <w:right w:val="single" w:sz="4" w:space="0" w:color="000000"/>
            </w:tcBorders>
          </w:tcPr>
          <w:p>
            <w:pPr>
              <w:pStyle w:val="TableParagraph"/>
              <w:spacing w:line="240" w:lineRule="auto" w:before="17"/>
              <w:ind w:left="544"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影响金额</w:t>
            </w:r>
          </w:p>
        </w:tc>
      </w:tr>
      <w:tr>
        <w:trPr>
          <w:trHeight w:val="343" w:hRule="exact"/>
        </w:trPr>
        <w:tc>
          <w:tcPr>
            <w:tcW w:w="3684" w:type="dxa"/>
            <w:vMerge/>
            <w:tcBorders>
              <w:left w:val="single" w:sz="4" w:space="0" w:color="000000"/>
              <w:bottom w:val="single" w:sz="4" w:space="0" w:color="000000"/>
              <w:right w:val="single" w:sz="4" w:space="0" w:color="000000"/>
            </w:tcBorders>
          </w:tcPr>
          <w:p>
            <w:pPr/>
          </w:p>
        </w:tc>
        <w:tc>
          <w:tcPr>
            <w:tcW w:w="2902" w:type="dxa"/>
            <w:vMerge/>
            <w:tcBorders>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r>
      <w:tr>
        <w:trPr>
          <w:trHeight w:val="341" w:hRule="exact"/>
        </w:trPr>
        <w:tc>
          <w:tcPr>
            <w:tcW w:w="3684" w:type="dxa"/>
            <w:vMerge w:val="restart"/>
            <w:tcBorders>
              <w:top w:val="single" w:sz="4" w:space="0" w:color="000000"/>
              <w:left w:val="single" w:sz="4" w:space="0" w:color="000000"/>
              <w:right w:val="single" w:sz="4" w:space="0" w:color="000000"/>
            </w:tcBorders>
          </w:tcPr>
          <w:p>
            <w:pPr>
              <w:pStyle w:val="TableParagraph"/>
              <w:spacing w:line="316" w:lineRule="auto" w:before="17"/>
              <w:ind w:left="4" w:right="67"/>
              <w:jc w:val="left"/>
              <w:rPr>
                <w:rFonts w:ascii="宋体" w:hAnsi="宋体" w:cs="宋体" w:eastAsia="宋体" w:hint="default"/>
                <w:sz w:val="18"/>
                <w:szCs w:val="18"/>
              </w:rPr>
            </w:pPr>
            <w:r>
              <w:rPr>
                <w:rFonts w:ascii="宋体" w:hAnsi="宋体" w:cs="宋体" w:eastAsia="宋体" w:hint="default"/>
                <w:sz w:val="18"/>
                <w:szCs w:val="18"/>
              </w:rPr>
              <w:t>本公司将应收票据和应收账款合并计入应收票 据及应收账款项目。</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-638,945,288.60</w:t>
            </w:r>
            <w:r>
              <w:rPr>
                <w:rFonts w:ascii="Times New Roman"/>
                <w:sz w:val="18"/>
              </w:rPr>
            </w:r>
          </w:p>
        </w:tc>
      </w:tr>
      <w:tr>
        <w:trPr>
          <w:trHeight w:val="343" w:hRule="exact"/>
        </w:trPr>
        <w:tc>
          <w:tcPr>
            <w:tcW w:w="3684" w:type="dxa"/>
            <w:vMerge/>
            <w:tcBorders>
              <w:left w:val="single" w:sz="4" w:space="0" w:color="000000"/>
              <w:right w:val="single" w:sz="4" w:space="0" w:color="000000"/>
            </w:tcBorders>
          </w:tcPr>
          <w:p>
            <w:pP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-24,280,467.47</w:t>
            </w:r>
          </w:p>
        </w:tc>
      </w:tr>
      <w:tr>
        <w:trPr>
          <w:trHeight w:val="343" w:hRule="exact"/>
        </w:trPr>
        <w:tc>
          <w:tcPr>
            <w:tcW w:w="3684" w:type="dxa"/>
            <w:vMerge/>
            <w:tcBorders>
              <w:left w:val="single" w:sz="4" w:space="0" w:color="000000"/>
              <w:bottom w:val="single" w:sz="4" w:space="0" w:color="000000"/>
              <w:right w:val="single" w:sz="4" w:space="0" w:color="000000"/>
            </w:tcBorders>
          </w:tcPr>
          <w:p>
            <w:pP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663,225,756.07</w:t>
            </w:r>
            <w:r>
              <w:rPr>
                <w:rFonts w:ascii="Times New Roman"/>
                <w:sz w:val="18"/>
              </w:rPr>
            </w:r>
          </w:p>
        </w:tc>
      </w:tr>
    </w:tbl>
    <w:p>
      <w:pPr>
        <w:spacing w:line="240" w:lineRule="auto" w:before="11"/>
        <w:rPr>
          <w:rFonts w:ascii="宋体" w:hAnsi="宋体" w:cs="宋体" w:eastAsia="宋体" w:hint="default"/>
          <w:sz w:val="23"/>
          <w:szCs w:val="23"/>
        </w:rPr>
      </w:pPr>
    </w:p>
    <w:tbl>
      <w:tblPr>
        <w:tblW w:w="0" w:type="auto"/>
        <w:jc w:val="left"/>
        <w:tblInd w:w="198" w:type="dxa"/>
        <w:tblLayout w:type="fixed"/>
        <w:tblCellMar>
          <w:top w:w="0" w:type="dxa"/>
          <w:left w:w="0" w:type="dxa"/>
          <w:bottom w:w="0" w:type="dxa"/>
          <w:right w:w="0" w:type="dxa"/>
        </w:tblCellMar>
        <w:tblLook w:val="01E0"/>
      </w:tblPr>
      <w:tblGrid>
        <w:gridCol w:w="3684"/>
        <w:gridCol w:w="2902"/>
        <w:gridCol w:w="3072"/>
      </w:tblGrid>
      <w:tr>
        <w:trPr>
          <w:trHeight w:val="341" w:hRule="exact"/>
        </w:trPr>
        <w:tc>
          <w:tcPr>
            <w:tcW w:w="3684" w:type="dxa"/>
            <w:vMerge w:val="restart"/>
            <w:tcBorders>
              <w:top w:val="single" w:sz="4" w:space="0" w:color="000000"/>
              <w:left w:val="single" w:sz="4" w:space="0" w:color="000000"/>
              <w:right w:val="single" w:sz="4" w:space="0" w:color="000000"/>
            </w:tcBorders>
          </w:tcPr>
          <w:p>
            <w:pPr>
              <w:pStyle w:val="TableParagraph"/>
              <w:spacing w:line="240" w:lineRule="auto" w:before="17"/>
              <w:ind w:left="75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902" w:type="dxa"/>
            <w:vMerge w:val="restart"/>
            <w:tcBorders>
              <w:top w:val="single" w:sz="4" w:space="0" w:color="000000"/>
              <w:left w:val="single" w:sz="4" w:space="0" w:color="000000"/>
              <w:right w:val="single" w:sz="4" w:space="0" w:color="000000"/>
            </w:tcBorders>
          </w:tcPr>
          <w:p>
            <w:pPr>
              <w:pStyle w:val="TableParagraph"/>
              <w:spacing w:line="240" w:lineRule="auto" w:before="17"/>
              <w:ind w:left="544"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71" w:right="0"/>
              <w:jc w:val="left"/>
              <w:rPr>
                <w:rFonts w:ascii="宋体" w:hAnsi="宋体" w:cs="宋体" w:eastAsia="宋体" w:hint="default"/>
                <w:sz w:val="18"/>
                <w:szCs w:val="18"/>
              </w:rPr>
            </w:pPr>
            <w:r>
              <w:rPr>
                <w:rFonts w:ascii="宋体" w:hAnsi="宋体" w:cs="宋体" w:eastAsia="宋体" w:hint="default"/>
                <w:sz w:val="18"/>
                <w:szCs w:val="18"/>
              </w:rPr>
              <w:t>影响金额</w:t>
            </w:r>
          </w:p>
        </w:tc>
      </w:tr>
      <w:tr>
        <w:trPr>
          <w:trHeight w:val="343" w:hRule="exact"/>
        </w:trPr>
        <w:tc>
          <w:tcPr>
            <w:tcW w:w="3684" w:type="dxa"/>
            <w:vMerge/>
            <w:tcBorders>
              <w:left w:val="single" w:sz="4" w:space="0" w:color="000000"/>
              <w:bottom w:val="single" w:sz="4" w:space="0" w:color="000000"/>
              <w:right w:val="single" w:sz="4" w:space="0" w:color="000000"/>
            </w:tcBorders>
          </w:tcPr>
          <w:p>
            <w:pPr/>
          </w:p>
        </w:tc>
        <w:tc>
          <w:tcPr>
            <w:tcW w:w="2902" w:type="dxa"/>
            <w:vMerge/>
            <w:tcBorders>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r>
      <w:tr>
        <w:trPr>
          <w:trHeight w:val="341" w:hRule="exact"/>
        </w:trPr>
        <w:tc>
          <w:tcPr>
            <w:tcW w:w="3684" w:type="dxa"/>
            <w:vMerge w:val="restart"/>
            <w:tcBorders>
              <w:top w:val="single" w:sz="4" w:space="0" w:color="000000"/>
              <w:left w:val="single" w:sz="4" w:space="0" w:color="000000"/>
              <w:right w:val="single" w:sz="4" w:space="0" w:color="000000"/>
            </w:tcBorders>
          </w:tcPr>
          <w:p>
            <w:pPr>
              <w:pStyle w:val="TableParagraph"/>
              <w:spacing w:line="316" w:lineRule="auto" w:before="17"/>
              <w:ind w:left="4" w:right="6"/>
              <w:jc w:val="left"/>
              <w:rPr>
                <w:rFonts w:ascii="宋体" w:hAnsi="宋体" w:cs="宋体" w:eastAsia="宋体" w:hint="default"/>
                <w:sz w:val="18"/>
                <w:szCs w:val="18"/>
              </w:rPr>
            </w:pPr>
            <w:r>
              <w:rPr>
                <w:rFonts w:ascii="宋体" w:hAnsi="宋体" w:cs="宋体" w:eastAsia="宋体" w:hint="default"/>
                <w:spacing w:val="2"/>
                <w:sz w:val="18"/>
                <w:szCs w:val="18"/>
              </w:rPr>
              <w:t>本公司将原计入管理费用项目的研发费用单独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列示为研发费用项目。</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85"/>
              <w:jc w:val="right"/>
              <w:rPr>
                <w:rFonts w:ascii="宋体" w:hAnsi="宋体" w:cs="宋体" w:eastAsia="宋体" w:hint="default"/>
                <w:sz w:val="18"/>
                <w:szCs w:val="18"/>
              </w:rPr>
            </w:pPr>
            <w:r>
              <w:rPr>
                <w:rFonts w:ascii="宋体" w:hAnsi="宋体" w:cs="宋体" w:eastAsia="宋体" w:hint="default"/>
                <w:sz w:val="18"/>
                <w:szCs w:val="18"/>
              </w:rPr>
              <w:t>研发费用</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92,850,278.36</w:t>
            </w:r>
          </w:p>
        </w:tc>
      </w:tr>
      <w:tr>
        <w:trPr>
          <w:trHeight w:val="343" w:hRule="exact"/>
        </w:trPr>
        <w:tc>
          <w:tcPr>
            <w:tcW w:w="3684" w:type="dxa"/>
            <w:vMerge/>
            <w:tcBorders>
              <w:left w:val="single" w:sz="4" w:space="0" w:color="000000"/>
              <w:bottom w:val="single" w:sz="4" w:space="0" w:color="000000"/>
              <w:right w:val="single" w:sz="4" w:space="0" w:color="000000"/>
            </w:tcBorders>
          </w:tcPr>
          <w:p>
            <w:pP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85"/>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-92,850,278.36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left="212" w:right="745"/>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212" w:right="89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见第十一节附注八</w:t>
      </w:r>
      <w:r>
        <w:rPr>
          <w:rFonts w:ascii="Times New Roman" w:hAnsi="Times New Roman" w:cs="Times New Roman" w:eastAsia="Times New Roman" w:hint="default"/>
        </w:rPr>
        <w:t>(5)</w:t>
      </w:r>
      <w:r>
        <w:rPr/>
        <w:t>。</w:t>
      </w:r>
    </w:p>
    <w:p>
      <w:pPr>
        <w:spacing w:line="240" w:lineRule="auto" w:before="11"/>
        <w:rPr>
          <w:rFonts w:ascii="宋体" w:hAnsi="宋体" w:cs="宋体" w:eastAsia="宋体" w:hint="default"/>
          <w:sz w:val="17"/>
          <w:szCs w:val="17"/>
        </w:rPr>
      </w:pPr>
    </w:p>
    <w:p>
      <w:pPr>
        <w:pStyle w:val="Heading2"/>
        <w:spacing w:line="240" w:lineRule="auto"/>
        <w:ind w:left="212" w:right="745"/>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2" w:right="745"/>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789"/>
        <w:gridCol w:w="4778"/>
      </w:tblGrid>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普华永道中天会计师事务所（特殊普通合伙）</w:t>
            </w:r>
          </w:p>
        </w:tc>
      </w:tr>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170</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李雪梅、李莎</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left="212" w:right="745"/>
        <w:jc w:val="left"/>
      </w:pPr>
      <w:r>
        <w:rPr/>
        <w:t>是否改聘会计师事务所</w:t>
      </w:r>
    </w:p>
    <w:p>
      <w:pPr>
        <w:pStyle w:val="BodyText"/>
        <w:spacing w:line="340" w:lineRule="auto" w:before="115"/>
        <w:ind w:left="212"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39"/>
        <w:ind w:left="212" w:right="7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12" w:right="745"/>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12" w:right="7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20" w:right="0"/>
        </w:sectPr>
      </w:pPr>
    </w:p>
    <w:p>
      <w:pPr>
        <w:spacing w:line="240" w:lineRule="auto" w:before="8"/>
        <w:rPr>
          <w:rFonts w:ascii="宋体" w:hAnsi="宋体" w:cs="宋体" w:eastAsia="宋体" w:hint="default"/>
          <w:sz w:val="23"/>
          <w:szCs w:val="23"/>
        </w:rPr>
      </w:pPr>
    </w:p>
    <w:p>
      <w:pPr>
        <w:pStyle w:val="Heading2"/>
        <w:spacing w:line="240" w:lineRule="auto" w:before="26"/>
        <w:ind w:right="1129"/>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129"/>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8"/>
        <w:rPr>
          <w:rFonts w:ascii="宋体" w:hAnsi="宋体" w:cs="宋体" w:eastAsia="宋体" w:hint="default"/>
          <w:sz w:val="19"/>
          <w:szCs w:val="19"/>
        </w:rPr>
      </w:pPr>
    </w:p>
    <w:p>
      <w:pPr>
        <w:pStyle w:val="Heading2"/>
        <w:spacing w:line="240" w:lineRule="auto"/>
        <w:ind w:right="1129"/>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129"/>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9"/>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一、</w:t>
      </w:r>
      <w:r>
        <w:rPr>
          <w:rFonts w:ascii="Times New Roman" w:hAnsi="Times New Roman" w:cs="Times New Roman" w:eastAsia="Times New Roman" w:hint="default"/>
        </w:rPr>
        <w:t>2017</w:t>
      </w:r>
      <w:r>
        <w:rPr/>
        <w:t>年度限制性股票激励计划</w:t>
      </w:r>
    </w:p>
    <w:p>
      <w:pPr>
        <w:pStyle w:val="BodyText"/>
        <w:spacing w:line="240" w:lineRule="auto" w:before="22"/>
        <w:ind w:right="1129"/>
        <w:jc w:val="left"/>
      </w:pPr>
      <w:r>
        <w:rPr/>
        <w:t>（一）限制性股票激励计划概述</w:t>
      </w:r>
    </w:p>
    <w:p>
      <w:pPr>
        <w:pStyle w:val="BodyText"/>
        <w:spacing w:line="300" w:lineRule="auto" w:before="117"/>
        <w:ind w:right="1202"/>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日，公司召开了</w:t>
      </w:r>
      <w:r>
        <w:rPr>
          <w:rFonts w:ascii="Times New Roman" w:hAnsi="Times New Roman" w:cs="Times New Roman" w:eastAsia="Times New Roman" w:hint="default"/>
        </w:rPr>
        <w:t>2017</w:t>
      </w:r>
      <w:r>
        <w:rPr/>
        <w:t>年第二次临时股东大会，审议通过了《关于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2017</w:t>
      </w:r>
      <w:r>
        <w:rPr/>
        <w:t>年度限制性股票 激励计划（草案）</w:t>
      </w:r>
      <w:r>
        <w:rPr>
          <w:rFonts w:ascii="Times New Roman" w:hAnsi="Times New Roman" w:cs="Times New Roman" w:eastAsia="Times New Roman" w:hint="default"/>
        </w:rPr>
        <w:t>&gt;</w:t>
      </w:r>
      <w:r>
        <w:rPr/>
        <w:t>及其摘要的议案》，其主要内容如下：</w:t>
      </w:r>
    </w:p>
    <w:p>
      <w:pPr>
        <w:pStyle w:val="BodyText"/>
        <w:spacing w:line="340" w:lineRule="auto" w:before="51"/>
        <w:ind w:right="6704"/>
        <w:jc w:val="left"/>
      </w:pPr>
      <w:r>
        <w:rPr/>
        <w:t>（</w:t>
      </w:r>
      <w:r>
        <w:rPr>
          <w:rFonts w:ascii="Times New Roman" w:hAnsi="Times New Roman" w:cs="Times New Roman" w:eastAsia="Times New Roman" w:hint="default"/>
        </w:rPr>
        <w:t>1</w:t>
      </w:r>
      <w:r>
        <w:rPr/>
        <w:t>）激励对象的范围 本激励计划首次授予的激励对象共计</w:t>
      </w:r>
      <w:r>
        <w:rPr>
          <w:rFonts w:ascii="Times New Roman" w:hAnsi="Times New Roman" w:cs="Times New Roman" w:eastAsia="Times New Roman" w:hint="default"/>
        </w:rPr>
        <w:t>334</w:t>
      </w:r>
      <w:r>
        <w:rPr/>
        <w:t>人，包括：</w:t>
      </w:r>
      <w:r>
        <w:rPr>
          <w:spacing w:val="-87"/>
        </w:rPr>
        <w:t> </w:t>
      </w:r>
      <w:r>
        <w:rPr>
          <w:rFonts w:ascii="Times New Roman" w:hAnsi="Times New Roman" w:cs="Times New Roman" w:eastAsia="Times New Roman" w:hint="default"/>
        </w:rPr>
        <w:t>1</w:t>
      </w:r>
      <w:r>
        <w:rPr/>
        <w:t>、公司董事、高级管理人员；</w:t>
      </w:r>
    </w:p>
    <w:p>
      <w:pPr>
        <w:pStyle w:val="BodyText"/>
        <w:spacing w:line="240" w:lineRule="auto" w:before="17"/>
        <w:ind w:right="1129"/>
        <w:jc w:val="left"/>
      </w:pPr>
      <w:r>
        <w:rPr>
          <w:rFonts w:ascii="Times New Roman" w:hAnsi="Times New Roman" w:cs="Times New Roman" w:eastAsia="Times New Roman" w:hint="default"/>
        </w:rPr>
        <w:t>2</w:t>
      </w:r>
      <w:r>
        <w:rPr/>
        <w:t>、公司中层管理人员；</w:t>
      </w:r>
    </w:p>
    <w:p>
      <w:pPr>
        <w:pStyle w:val="BodyText"/>
        <w:spacing w:line="240" w:lineRule="auto" w:before="103"/>
        <w:ind w:right="1129"/>
        <w:jc w:val="left"/>
      </w:pPr>
      <w:r>
        <w:rPr>
          <w:rFonts w:ascii="Times New Roman" w:hAnsi="Times New Roman" w:cs="Times New Roman" w:eastAsia="Times New Roman" w:hint="default"/>
        </w:rPr>
        <w:t>3</w:t>
      </w:r>
      <w:r>
        <w:rPr/>
        <w:t>、核心技术</w:t>
      </w:r>
      <w:r>
        <w:rPr>
          <w:rFonts w:ascii="Times New Roman" w:hAnsi="Times New Roman" w:cs="Times New Roman" w:eastAsia="Times New Roman" w:hint="default"/>
        </w:rPr>
        <w:t>/</w:t>
      </w:r>
      <w:r>
        <w:rPr/>
        <w:t>业务人员；</w:t>
      </w:r>
    </w:p>
    <w:p>
      <w:pPr>
        <w:pStyle w:val="BodyText"/>
        <w:spacing w:line="338" w:lineRule="auto" w:before="103"/>
        <w:ind w:right="7384"/>
        <w:jc w:val="left"/>
      </w:pPr>
      <w:r>
        <w:rPr/>
        <w:t>（</w:t>
      </w:r>
      <w:r>
        <w:rPr>
          <w:rFonts w:ascii="Times New Roman" w:hAnsi="Times New Roman" w:cs="Times New Roman" w:eastAsia="Times New Roman" w:hint="default"/>
        </w:rPr>
        <w:t>2</w:t>
      </w:r>
      <w:r>
        <w:rPr/>
        <w:t>）激励计划的股票来源 公司向激励对象定向发行公司</w:t>
      </w:r>
      <w:r>
        <w:rPr>
          <w:rFonts w:ascii="Times New Roman" w:hAnsi="Times New Roman" w:cs="Times New Roman" w:eastAsia="Times New Roman" w:hint="default"/>
        </w:rPr>
        <w:t>A</w:t>
      </w:r>
      <w:r>
        <w:rPr/>
        <w:t>股普通股。</w:t>
      </w:r>
    </w:p>
    <w:p>
      <w:pPr>
        <w:pStyle w:val="BodyText"/>
        <w:spacing w:line="319" w:lineRule="auto" w:before="22"/>
        <w:ind w:right="1129"/>
        <w:jc w:val="left"/>
      </w:pPr>
      <w:r>
        <w:rPr/>
        <w:t>（</w:t>
      </w:r>
      <w:r>
        <w:rPr>
          <w:rFonts w:ascii="Times New Roman" w:hAnsi="Times New Roman" w:cs="Times New Roman" w:eastAsia="Times New Roman" w:hint="default"/>
        </w:rPr>
        <w:t>3</w:t>
      </w:r>
      <w:r>
        <w:rPr/>
        <w:t>）激励计划标的股票的数量 </w:t>
      </w:r>
      <w:r>
        <w:rPr>
          <w:spacing w:val="-1"/>
        </w:rPr>
        <w:t>公司拟向激励对象授予</w:t>
      </w:r>
      <w:r>
        <w:rPr>
          <w:rFonts w:ascii="Times New Roman" w:hAnsi="Times New Roman" w:cs="Times New Roman" w:eastAsia="Times New Roman" w:hint="default"/>
          <w:spacing w:val="-1"/>
        </w:rPr>
        <w:t>1,215</w:t>
      </w:r>
      <w:r>
        <w:rPr>
          <w:spacing w:val="-1"/>
        </w:rPr>
        <w:t>万股公司限制性股票，约占草案公告时公司股份总额</w:t>
      </w:r>
      <w:r>
        <w:rPr>
          <w:rFonts w:ascii="Times New Roman" w:hAnsi="Times New Roman" w:cs="Times New Roman" w:eastAsia="Times New Roman" w:hint="default"/>
          <w:spacing w:val="-1"/>
        </w:rPr>
        <w:t>40,500</w:t>
      </w:r>
      <w:r>
        <w:rPr>
          <w:spacing w:val="-1"/>
        </w:rPr>
        <w:t>万股的</w:t>
      </w:r>
      <w:r>
        <w:rPr>
          <w:rFonts w:ascii="Times New Roman" w:hAnsi="Times New Roman" w:cs="Times New Roman" w:eastAsia="Times New Roman" w:hint="default"/>
          <w:spacing w:val="-1"/>
        </w:rPr>
        <w:t>3.0000%</w:t>
      </w:r>
      <w:r>
        <w:rPr>
          <w:spacing w:val="-1"/>
        </w:rPr>
        <w:t>。在确定授予日后的</w:t>
      </w:r>
      <w:r>
        <w:rPr>
          <w:spacing w:val="-45"/>
        </w:rPr>
        <w:t> </w:t>
      </w:r>
      <w:r>
        <w:rPr>
          <w:spacing w:val="-45"/>
        </w:rPr>
      </w:r>
      <w:r>
        <w:rPr/>
        <w:t>资金缴纳、股份登记过程中，有</w:t>
      </w:r>
      <w:r>
        <w:rPr>
          <w:rFonts w:ascii="Times New Roman" w:hAnsi="Times New Roman" w:cs="Times New Roman" w:eastAsia="Times New Roman" w:hint="default"/>
        </w:rPr>
        <w:t>66</w:t>
      </w:r>
      <w:r>
        <w:rPr/>
        <w:t>名激励对象因个人原因自动放弃认购其对应的限制性股票</w:t>
      </w:r>
      <w:r>
        <w:rPr>
          <w:rFonts w:ascii="Times New Roman" w:hAnsi="Times New Roman" w:cs="Times New Roman" w:eastAsia="Times New Roman" w:hint="default"/>
        </w:rPr>
        <w:t>37.97</w:t>
      </w:r>
      <w:r>
        <w:rPr/>
        <w:t>万股，因而公司本次限制</w:t>
      </w:r>
    </w:p>
    <w:p>
      <w:pPr>
        <w:pStyle w:val="BodyText"/>
        <w:spacing w:line="246" w:lineRule="exact"/>
        <w:ind w:left="153" w:right="1129"/>
        <w:jc w:val="left"/>
      </w:pPr>
      <w:r>
        <w:rPr/>
        <w:t>性股票实际授予对象为</w:t>
      </w:r>
      <w:r>
        <w:rPr>
          <w:rFonts w:ascii="Times New Roman" w:hAnsi="Times New Roman" w:cs="Times New Roman" w:eastAsia="Times New Roman" w:hint="default"/>
        </w:rPr>
        <w:t>334</w:t>
      </w:r>
      <w:r>
        <w:rPr/>
        <w:t>人，实际授予数量为</w:t>
      </w:r>
      <w:r>
        <w:rPr>
          <w:rFonts w:ascii="Times New Roman" w:hAnsi="Times New Roman" w:cs="Times New Roman" w:eastAsia="Times New Roman" w:hint="default"/>
        </w:rPr>
        <w:t>1176.03</w:t>
      </w:r>
      <w:r>
        <w:rPr/>
        <w:t>万股，占授予前公司总股本</w:t>
      </w:r>
      <w:r>
        <w:rPr>
          <w:rFonts w:ascii="Times New Roman" w:hAnsi="Times New Roman" w:cs="Times New Roman" w:eastAsia="Times New Roman" w:hint="default"/>
        </w:rPr>
        <w:t>40,500.00</w:t>
      </w:r>
      <w:r>
        <w:rPr/>
        <w:t>万股的</w:t>
      </w:r>
      <w:r>
        <w:rPr>
          <w:rFonts w:ascii="Times New Roman" w:hAnsi="Times New Roman" w:cs="Times New Roman" w:eastAsia="Times New Roman" w:hint="default"/>
        </w:rPr>
        <w:t>2.9038%</w:t>
      </w:r>
      <w:r>
        <w:rPr/>
        <w:t>。</w:t>
      </w:r>
    </w:p>
    <w:p>
      <w:pPr>
        <w:pStyle w:val="BodyText"/>
        <w:spacing w:line="340" w:lineRule="auto" w:before="101"/>
        <w:ind w:left="153" w:right="7778"/>
        <w:jc w:val="left"/>
      </w:pPr>
      <w:r>
        <w:rPr/>
        <w:t>（</w:t>
      </w:r>
      <w:r>
        <w:rPr>
          <w:rFonts w:ascii="Times New Roman" w:hAnsi="Times New Roman" w:cs="Times New Roman" w:eastAsia="Times New Roman" w:hint="default"/>
        </w:rPr>
        <w:t>4</w:t>
      </w:r>
      <w:r>
        <w:rPr/>
        <w:t>）限制性股票的授予价格 限制性股票的授予价格为</w:t>
      </w:r>
      <w:r>
        <w:rPr>
          <w:rFonts w:ascii="Times New Roman" w:hAnsi="Times New Roman" w:cs="Times New Roman" w:eastAsia="Times New Roman" w:hint="default"/>
        </w:rPr>
        <w:t>13.03</w:t>
      </w:r>
      <w:r>
        <w:rPr/>
        <w:t>元</w:t>
      </w:r>
      <w:r>
        <w:rPr>
          <w:rFonts w:ascii="Times New Roman" w:hAnsi="Times New Roman" w:cs="Times New Roman" w:eastAsia="Times New Roman" w:hint="default"/>
        </w:rPr>
        <w:t>/</w:t>
      </w:r>
      <w:r>
        <w:rPr/>
        <w:t>股。</w:t>
      </w:r>
    </w:p>
    <w:p>
      <w:pPr>
        <w:pStyle w:val="BodyText"/>
        <w:spacing w:line="240" w:lineRule="auto" w:before="20"/>
        <w:ind w:left="153" w:right="1129"/>
        <w:jc w:val="left"/>
      </w:pPr>
      <w:r>
        <w:rPr/>
        <w:t>（二）、已履行的相关审批程序</w:t>
      </w:r>
    </w:p>
    <w:p>
      <w:pPr>
        <w:pStyle w:val="BodyText"/>
        <w:spacing w:line="300" w:lineRule="auto" w:before="115"/>
        <w:ind w:left="153" w:right="1129"/>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日，公司第二届董事会第五次会议审议通过了《关于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2017</w:t>
      </w:r>
      <w:r>
        <w:rPr/>
        <w:t>年度限制性股票激励 </w:t>
      </w:r>
      <w:r>
        <w:rPr>
          <w:spacing w:val="-7"/>
        </w:rPr>
        <w:t>计划（草案）</w:t>
      </w:r>
      <w:r>
        <w:rPr>
          <w:rFonts w:ascii="Times New Roman" w:hAnsi="Times New Roman" w:cs="Times New Roman" w:eastAsia="Times New Roman" w:hint="default"/>
          <w:spacing w:val="-7"/>
        </w:rPr>
        <w:t>&gt;</w:t>
      </w:r>
      <w:r>
        <w:rPr>
          <w:spacing w:val="-7"/>
        </w:rPr>
        <w:t>及其摘要的议案》、《关于</w:t>
      </w:r>
      <w:r>
        <w:rPr>
          <w:rFonts w:ascii="Times New Roman" w:hAnsi="Times New Roman" w:cs="Times New Roman" w:eastAsia="Times New Roman" w:hint="default"/>
          <w:spacing w:val="-7"/>
        </w:rPr>
        <w:t>&lt;</w:t>
      </w:r>
      <w:r>
        <w:rPr>
          <w:spacing w:val="-7"/>
        </w:rPr>
        <w:t>朗新科技股份有限公司</w:t>
      </w:r>
      <w:r>
        <w:rPr>
          <w:rFonts w:ascii="Times New Roman" w:hAnsi="Times New Roman" w:cs="Times New Roman" w:eastAsia="Times New Roman" w:hint="default"/>
          <w:spacing w:val="-7"/>
        </w:rPr>
        <w:t>2017</w:t>
      </w:r>
      <w:r>
        <w:rPr>
          <w:spacing w:val="-7"/>
        </w:rPr>
        <w:t>年度限制性股票激励计划实施考核管理办法</w:t>
      </w:r>
      <w:r>
        <w:rPr>
          <w:rFonts w:ascii="Times New Roman" w:hAnsi="Times New Roman" w:cs="Times New Roman" w:eastAsia="Times New Roman" w:hint="default"/>
          <w:spacing w:val="-7"/>
        </w:rPr>
        <w:t>&gt;</w:t>
      </w:r>
      <w:r>
        <w:rPr>
          <w:spacing w:val="-7"/>
        </w:rPr>
        <w:t>的议案》、</w:t>
      </w:r>
    </w:p>
    <w:p>
      <w:pPr>
        <w:spacing w:after="0" w:line="30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034"/>
        <w:jc w:val="left"/>
      </w:pPr>
      <w:r>
        <w:rPr/>
        <w:t>《关于提请股东大会授权董事会办理限制性股票激励相关事宜的议案》，公司第二届监事会第四次会议审议通过上述议案。</w:t>
      </w:r>
      <w:r>
        <w:rPr>
          <w:spacing w:val="-86"/>
        </w:rPr>
        <w:t> </w:t>
      </w:r>
      <w:r>
        <w:rPr>
          <w:spacing w:val="-86"/>
        </w:rPr>
      </w:r>
      <w:r>
        <w:rPr>
          <w:spacing w:val="-2"/>
        </w:rPr>
        <w:t>公司已对激励对象名单在公司内部进行了公示，公示期满后，监事会对本次股权激励计划授予激励对象名单进行了核查并对</w:t>
      </w:r>
      <w:r>
        <w:rPr>
          <w:spacing w:val="-64"/>
        </w:rPr>
        <w:t> </w:t>
      </w:r>
      <w:r>
        <w:rPr>
          <w:spacing w:val="-64"/>
        </w:rPr>
      </w:r>
      <w:r>
        <w:rPr>
          <w:spacing w:val="-2"/>
        </w:rPr>
        <w:t>公示情况进行了说明，公司独立董事就本次股权激励计划是否有利于公司的持续发展及是否存在损害公司及全体股东利益的</w:t>
      </w:r>
      <w:r>
        <w:rPr>
          <w:spacing w:val="-64"/>
        </w:rPr>
        <w:t> </w:t>
      </w:r>
      <w:r>
        <w:rPr>
          <w:spacing w:val="-64"/>
        </w:rPr>
      </w:r>
      <w:r>
        <w:rPr/>
        <w:t>情形发表了独立意见。</w:t>
      </w:r>
    </w:p>
    <w:p>
      <w:pPr>
        <w:pStyle w:val="BodyText"/>
        <w:spacing w:line="240" w:lineRule="auto" w:before="59"/>
        <w:ind w:right="1129"/>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日，公司第二届董事会第五次会议审议通过了《关于召开</w:t>
      </w:r>
      <w:r>
        <w:rPr>
          <w:rFonts w:ascii="Times New Roman" w:hAnsi="Times New Roman" w:cs="Times New Roman" w:eastAsia="Times New Roman" w:hint="default"/>
        </w:rPr>
        <w:t>2017</w:t>
      </w:r>
      <w:r>
        <w:rPr/>
        <w:t>年第二次临时股东大会的议案》。</w:t>
      </w:r>
    </w:p>
    <w:p>
      <w:pPr>
        <w:pStyle w:val="BodyText"/>
        <w:spacing w:line="300" w:lineRule="auto" w:before="101"/>
        <w:ind w:right="1128" w:hanging="1"/>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日，公司</w:t>
      </w:r>
      <w:r>
        <w:rPr>
          <w:rFonts w:ascii="Times New Roman" w:hAnsi="Times New Roman" w:cs="Times New Roman" w:eastAsia="Times New Roman" w:hint="default"/>
        </w:rPr>
        <w:t>2017</w:t>
      </w:r>
      <w:r>
        <w:rPr/>
        <w:t>年第二次临时股东大会审议并通过了《关于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2017</w:t>
      </w:r>
      <w:r>
        <w:rPr/>
        <w:t>年度限制性股票激 </w:t>
      </w:r>
      <w:r>
        <w:rPr>
          <w:spacing w:val="-1"/>
        </w:rPr>
        <w:t>励计划（草案）</w:t>
      </w:r>
      <w:r>
        <w:rPr>
          <w:rFonts w:ascii="Times New Roman" w:hAnsi="Times New Roman" w:cs="Times New Roman" w:eastAsia="Times New Roman" w:hint="default"/>
          <w:spacing w:val="-1"/>
        </w:rPr>
        <w:t>&gt;</w:t>
      </w:r>
      <w:r>
        <w:rPr>
          <w:spacing w:val="-1"/>
        </w:rPr>
        <w:t>及其摘要的议案》、《关于</w:t>
      </w:r>
      <w:r>
        <w:rPr>
          <w:rFonts w:ascii="Times New Roman" w:hAnsi="Times New Roman" w:cs="Times New Roman" w:eastAsia="Times New Roman" w:hint="default"/>
          <w:spacing w:val="-1"/>
        </w:rPr>
        <w:t>&lt;</w:t>
      </w:r>
      <w:r>
        <w:rPr>
          <w:spacing w:val="-1"/>
        </w:rPr>
        <w:t>朗新科技股份有限公司</w:t>
      </w:r>
      <w:r>
        <w:rPr>
          <w:rFonts w:ascii="Times New Roman" w:hAnsi="Times New Roman" w:cs="Times New Roman" w:eastAsia="Times New Roman" w:hint="default"/>
          <w:spacing w:val="-1"/>
        </w:rPr>
        <w:t>2017</w:t>
      </w:r>
      <w:r>
        <w:rPr>
          <w:spacing w:val="-1"/>
        </w:rPr>
        <w:t>年度限制性股票激励计划实施考核管理办法</w:t>
      </w:r>
      <w:r>
        <w:rPr>
          <w:rFonts w:ascii="Times New Roman" w:hAnsi="Times New Roman" w:cs="Times New Roman" w:eastAsia="Times New Roman" w:hint="default"/>
          <w:spacing w:val="-1"/>
        </w:rPr>
        <w:t>&gt;</w:t>
      </w:r>
      <w:r>
        <w:rPr>
          <w:spacing w:val="-1"/>
        </w:rPr>
        <w:t>的议</w:t>
      </w:r>
      <w:r>
        <w:rPr>
          <w:spacing w:val="-64"/>
        </w:rPr>
        <w:t> </w:t>
      </w:r>
      <w:r>
        <w:rPr>
          <w:spacing w:val="-2"/>
        </w:rPr>
        <w:t>案》、《关于提请股东大会授权董事会办理限制性股票激励相关事宜的议案》。公司实施</w:t>
      </w:r>
      <w:r>
        <w:rPr>
          <w:rFonts w:ascii="Times New Roman" w:hAnsi="Times New Roman" w:cs="Times New Roman" w:eastAsia="Times New Roman" w:hint="default"/>
          <w:spacing w:val="-2"/>
        </w:rPr>
        <w:t>2017</w:t>
      </w:r>
      <w:r>
        <w:rPr>
          <w:spacing w:val="-2"/>
        </w:rPr>
        <w:t>年度限制性股票激励计划获得</w:t>
      </w:r>
      <w:r>
        <w:rPr>
          <w:spacing w:val="-61"/>
        </w:rPr>
        <w:t> </w:t>
      </w:r>
      <w:r>
        <w:rPr>
          <w:spacing w:val="-61"/>
        </w:rPr>
      </w:r>
      <w:r>
        <w:rPr/>
        <w:t>批准，董事会被授权确定授予日、在激励对象符合条件时向激励对象授予限制性股票，并办理授予所必需的全部事宜。</w:t>
      </w:r>
    </w:p>
    <w:p>
      <w:pPr>
        <w:pStyle w:val="BodyText"/>
        <w:spacing w:line="309" w:lineRule="auto" w:before="72"/>
        <w:ind w:right="986"/>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日，公司第二届董事会第七次会议和第二届监事会第六次会议审议通过了《关于调整 </w:t>
      </w:r>
      <w:r>
        <w:rPr>
          <w:rFonts w:ascii="Times New Roman" w:hAnsi="Times New Roman" w:cs="Times New Roman" w:eastAsia="Times New Roman" w:hint="default"/>
        </w:rPr>
        <w:t>2017</w:t>
      </w:r>
      <w:r>
        <w:rPr>
          <w:rFonts w:ascii="Times New Roman" w:hAnsi="Times New Roman" w:cs="Times New Roman" w:eastAsia="Times New Roman" w:hint="default"/>
          <w:spacing w:val="-24"/>
        </w:rPr>
        <w:t> </w:t>
      </w:r>
      <w:r>
        <w:rPr/>
        <w:t>年度限制性股 </w:t>
      </w:r>
      <w:r>
        <w:rPr>
          <w:spacing w:val="-2"/>
        </w:rPr>
        <w:t>票激励计划激励对象名单及授予权益数量的议案》、《关于向激励对象授予限制性股票的议案》。公司独立董事对此发表了</w:t>
      </w:r>
      <w:r>
        <w:rPr>
          <w:spacing w:val="-65"/>
        </w:rPr>
        <w:t> </w:t>
      </w:r>
      <w:r>
        <w:rPr>
          <w:spacing w:val="-65"/>
        </w:rPr>
      </w:r>
      <w:r>
        <w:rPr>
          <w:spacing w:val="-5"/>
        </w:rPr>
        <w:t>独立意见，认为激励对象主体资格合法、有效，确定的授予日符合相关规定。在确定授予日后的资金缴纳、股份登记过程中，</w:t>
      </w:r>
      <w:r>
        <w:rPr>
          <w:spacing w:val="-80"/>
        </w:rPr>
        <w:t> </w:t>
      </w:r>
      <w:r>
        <w:rPr>
          <w:spacing w:val="-80"/>
        </w:rPr>
      </w:r>
      <w:r>
        <w:rPr/>
        <w:t>有</w:t>
      </w:r>
      <w:r>
        <w:rPr>
          <w:rFonts w:ascii="Times New Roman" w:hAnsi="Times New Roman" w:cs="Times New Roman" w:eastAsia="Times New Roman" w:hint="default"/>
        </w:rPr>
        <w:t>66</w:t>
      </w:r>
      <w:r>
        <w:rPr/>
        <w:t>名激励对象因个人原因自动放弃认购其对应的限制性股票</w:t>
      </w:r>
      <w:r>
        <w:rPr>
          <w:rFonts w:ascii="Times New Roman" w:hAnsi="Times New Roman" w:cs="Times New Roman" w:eastAsia="Times New Roman" w:hint="default"/>
        </w:rPr>
        <w:t>37.97</w:t>
      </w:r>
      <w:r>
        <w:rPr/>
        <w:t>万股，因而公司本次限制性股票实际授予对象为</w:t>
      </w:r>
      <w:r>
        <w:rPr>
          <w:rFonts w:ascii="Times New Roman" w:hAnsi="Times New Roman" w:cs="Times New Roman" w:eastAsia="Times New Roman" w:hint="default"/>
        </w:rPr>
        <w:t>334</w:t>
      </w:r>
      <w:r>
        <w:rPr/>
        <w:t>人，</w:t>
      </w:r>
      <w:r>
        <w:rPr>
          <w:spacing w:val="-51"/>
        </w:rPr>
        <w:t> </w:t>
      </w:r>
      <w:r>
        <w:rPr/>
        <w:t>实际授予数量为</w:t>
      </w:r>
      <w:r>
        <w:rPr>
          <w:rFonts w:ascii="Times New Roman" w:hAnsi="Times New Roman" w:cs="Times New Roman" w:eastAsia="Times New Roman" w:hint="default"/>
        </w:rPr>
        <w:t>1176.03</w:t>
      </w:r>
      <w:r>
        <w:rPr/>
        <w:t>万股。</w:t>
      </w:r>
    </w:p>
    <w:p>
      <w:pPr>
        <w:pStyle w:val="BodyText"/>
        <w:spacing w:line="300" w:lineRule="auto" w:before="46"/>
        <w:ind w:right="1127"/>
        <w:jc w:val="left"/>
      </w:pPr>
      <w:r>
        <w:rPr>
          <w:spacing w:val="-3"/>
        </w:rPr>
        <w:t>（</w:t>
      </w: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19</w:t>
      </w:r>
      <w:r>
        <w:rPr>
          <w:spacing w:val="-3"/>
        </w:rPr>
        <w:t>日，公司</w:t>
      </w:r>
      <w:r>
        <w:rPr>
          <w:rFonts w:ascii="Times New Roman" w:hAnsi="Times New Roman" w:cs="Times New Roman" w:eastAsia="Times New Roman" w:hint="default"/>
          <w:spacing w:val="-3"/>
        </w:rPr>
        <w:t>2017</w:t>
      </w:r>
      <w:r>
        <w:rPr>
          <w:spacing w:val="-3"/>
        </w:rPr>
        <w:t>年限制性股票激励计划授予登记完成，并在中国证监会指定创业板信息披露网站公告了《关</w:t>
      </w:r>
      <w:r>
        <w:rPr>
          <w:spacing w:val="-88"/>
        </w:rPr>
        <w:t> </w:t>
      </w:r>
      <w:r>
        <w:rPr>
          <w:spacing w:val="-88"/>
        </w:rPr>
      </w:r>
      <w:r>
        <w:rPr/>
        <w:t>于</w:t>
      </w:r>
      <w:r>
        <w:rPr>
          <w:rFonts w:ascii="Times New Roman" w:hAnsi="Times New Roman" w:cs="Times New Roman" w:eastAsia="Times New Roman" w:hint="default"/>
        </w:rPr>
        <w:t>2017</w:t>
      </w:r>
      <w:r>
        <w:rPr/>
        <w:t>年度限制性股票授予登记完成公告》，并于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日上市。</w:t>
      </w:r>
    </w:p>
    <w:p>
      <w:pPr>
        <w:pStyle w:val="BodyText"/>
        <w:spacing w:line="240" w:lineRule="auto" w:before="51"/>
        <w:ind w:right="1129"/>
        <w:jc w:val="left"/>
      </w:pPr>
      <w:r>
        <w:rPr/>
        <w:t>（三）、后续实施进展</w:t>
      </w:r>
    </w:p>
    <w:p>
      <w:pPr>
        <w:pStyle w:val="BodyText"/>
        <w:spacing w:line="304" w:lineRule="auto" w:before="117"/>
        <w:ind w:left="153" w:right="1130" w:hanging="1"/>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日，公司第二届董事会第十四次会议，审议通过了《关于回购注销部分限制性股票的议案》，公司决定对 </w:t>
      </w:r>
      <w:r>
        <w:rPr>
          <w:spacing w:val="-1"/>
        </w:rPr>
        <w:t>其已获授但尚未解除限售的</w:t>
      </w:r>
      <w:r>
        <w:rPr>
          <w:rFonts w:ascii="Times New Roman" w:hAnsi="Times New Roman" w:cs="Times New Roman" w:eastAsia="Times New Roman" w:hint="default"/>
          <w:spacing w:val="-1"/>
        </w:rPr>
        <w:t>24,000</w:t>
      </w:r>
      <w:r>
        <w:rPr>
          <w:spacing w:val="-1"/>
        </w:rPr>
        <w:t>股限制性股票进行回购注销，回购价格为</w:t>
      </w:r>
      <w:r>
        <w:rPr>
          <w:rFonts w:ascii="Times New Roman" w:hAnsi="Times New Roman" w:cs="Times New Roman" w:eastAsia="Times New Roman" w:hint="default"/>
          <w:spacing w:val="-1"/>
        </w:rPr>
        <w:t>12.979</w:t>
      </w:r>
      <w:r>
        <w:rPr>
          <w:spacing w:val="-1"/>
        </w:rPr>
        <w:t>元</w:t>
      </w:r>
      <w:r>
        <w:rPr>
          <w:rFonts w:ascii="Times New Roman" w:hAnsi="Times New Roman" w:cs="Times New Roman" w:eastAsia="Times New Roman" w:hint="default"/>
          <w:spacing w:val="-1"/>
        </w:rPr>
        <w:t>/</w:t>
      </w:r>
      <w:r>
        <w:rPr>
          <w:spacing w:val="-1"/>
        </w:rPr>
        <w:t>股，本议案经公司</w:t>
      </w:r>
      <w:r>
        <w:rPr>
          <w:rFonts w:ascii="Times New Roman" w:hAnsi="Times New Roman" w:cs="Times New Roman" w:eastAsia="Times New Roman" w:hint="default"/>
          <w:spacing w:val="-1"/>
        </w:rPr>
        <w:t>2018</w:t>
      </w:r>
      <w:r>
        <w:rPr>
          <w:spacing w:val="-1"/>
        </w:rPr>
        <w:t>年第三次临时股</w:t>
      </w:r>
      <w:r>
        <w:rPr>
          <w:spacing w:val="-75"/>
        </w:rPr>
        <w:t> </w:t>
      </w:r>
      <w:r>
        <w:rPr>
          <w:spacing w:val="-75"/>
        </w:rPr>
      </w:r>
      <w:r>
        <w:rPr>
          <w:spacing w:val="-2"/>
        </w:rPr>
        <w:t>东大会审议批准。公司独立董事对此发表了独立意见，认为回购注销部分限制性股票的事项，符合相关规定，程序合法、合</w:t>
      </w:r>
      <w:r>
        <w:rPr>
          <w:spacing w:val="-68"/>
        </w:rPr>
        <w:t> </w:t>
      </w:r>
      <w:r>
        <w:rPr>
          <w:spacing w:val="-68"/>
        </w:rPr>
      </w:r>
      <w:r>
        <w:rPr/>
        <w:t>规。本次部分限制性股票回购注销后，公司限制性股票激励计划授予的限制性股票数量减少至</w:t>
      </w:r>
      <w:r>
        <w:rPr>
          <w:rFonts w:ascii="Times New Roman" w:hAnsi="Times New Roman" w:cs="Times New Roman" w:eastAsia="Times New Roman" w:hint="default"/>
        </w:rPr>
        <w:t>11,736,300</w:t>
      </w:r>
      <w:r>
        <w:rPr/>
        <w:t>股，授予的激励对 象总人数减少至</w:t>
      </w:r>
      <w:r>
        <w:rPr>
          <w:rFonts w:ascii="Times New Roman" w:hAnsi="Times New Roman" w:cs="Times New Roman" w:eastAsia="Times New Roman" w:hint="default"/>
        </w:rPr>
        <w:t>332</w:t>
      </w:r>
      <w:r>
        <w:rPr/>
        <w:t>人，公司总股本变更为</w:t>
      </w:r>
      <w:r>
        <w:rPr>
          <w:rFonts w:ascii="Times New Roman" w:hAnsi="Times New Roman" w:cs="Times New Roman" w:eastAsia="Times New Roman" w:hint="default"/>
        </w:rPr>
        <w:t>416,736,300</w:t>
      </w:r>
      <w:r>
        <w:rPr/>
        <w:t>股。</w:t>
      </w:r>
    </w:p>
    <w:p>
      <w:pPr>
        <w:pStyle w:val="BodyText"/>
        <w:spacing w:line="307" w:lineRule="auto" w:before="50"/>
        <w:ind w:left="153" w:right="1123"/>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日，公司第二届董事会第二十二次会议和第二届监事会第十七次会议审议通过了《关于</w:t>
      </w:r>
      <w:r>
        <w:rPr>
          <w:rFonts w:ascii="Times New Roman" w:hAnsi="Times New Roman" w:cs="Times New Roman" w:eastAsia="Times New Roman" w:hint="default"/>
        </w:rPr>
        <w:t>2017</w:t>
      </w:r>
      <w:r>
        <w:rPr/>
        <w:t>年度限制性 </w:t>
      </w:r>
      <w:r>
        <w:rPr>
          <w:spacing w:val="-2"/>
        </w:rPr>
        <w:t>股票激励计划第一个解除限售期解除限售条件成就的议案》。公司独立董事对此发表了独立意见。本次符合解除限售条件的</w:t>
      </w:r>
      <w:r>
        <w:rPr>
          <w:spacing w:val="-63"/>
        </w:rPr>
        <w:t> </w:t>
      </w:r>
      <w:r>
        <w:rPr>
          <w:spacing w:val="-63"/>
        </w:rPr>
      </w:r>
      <w:r>
        <w:rPr/>
        <w:t>激励对象共计</w:t>
      </w:r>
      <w:r>
        <w:rPr>
          <w:rFonts w:ascii="Times New Roman" w:hAnsi="Times New Roman" w:cs="Times New Roman" w:eastAsia="Times New Roman" w:hint="default"/>
        </w:rPr>
        <w:t>332</w:t>
      </w:r>
      <w:r>
        <w:rPr/>
        <w:t>人，可解除限售的限制性股票数量</w:t>
      </w:r>
      <w:r>
        <w:rPr>
          <w:rFonts w:ascii="Times New Roman" w:hAnsi="Times New Roman" w:cs="Times New Roman" w:eastAsia="Times New Roman" w:hint="default"/>
        </w:rPr>
        <w:t>2,347,260</w:t>
      </w:r>
      <w:r>
        <w:rPr/>
        <w:t>股，占公司目前总股本</w:t>
      </w:r>
      <w:r>
        <w:rPr>
          <w:rFonts w:ascii="Times New Roman" w:hAnsi="Times New Roman" w:cs="Times New Roman" w:eastAsia="Times New Roman" w:hint="default"/>
        </w:rPr>
        <w:t>429,220,300</w:t>
      </w:r>
      <w:r>
        <w:rPr/>
        <w:t>股的</w:t>
      </w:r>
      <w:r>
        <w:rPr>
          <w:rFonts w:ascii="Times New Roman" w:hAnsi="Times New Roman" w:cs="Times New Roman" w:eastAsia="Times New Roman" w:hint="default"/>
        </w:rPr>
        <w:t>0.55%</w:t>
      </w:r>
      <w:r>
        <w:rPr/>
        <w:t>。本次解除限售 股份上市流通日为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153" w:right="1129"/>
        <w:jc w:val="left"/>
      </w:pPr>
      <w:r>
        <w:rPr/>
        <w:t>二、</w:t>
      </w:r>
      <w:r>
        <w:rPr>
          <w:rFonts w:ascii="Times New Roman" w:hAnsi="Times New Roman" w:cs="Times New Roman" w:eastAsia="Times New Roman" w:hint="default"/>
        </w:rPr>
        <w:t>2018</w:t>
      </w:r>
      <w:r>
        <w:rPr/>
        <w:t>年度限制性股票与股票期权激励计划</w:t>
      </w:r>
    </w:p>
    <w:p>
      <w:pPr>
        <w:pStyle w:val="BodyText"/>
        <w:spacing w:line="240" w:lineRule="auto" w:before="103"/>
        <w:ind w:left="153" w:right="1129"/>
        <w:jc w:val="left"/>
      </w:pPr>
      <w:r>
        <w:rPr/>
        <w:t>（一）限制性股票与股票期权激励计划概述</w:t>
      </w:r>
    </w:p>
    <w:p>
      <w:pPr>
        <w:pStyle w:val="BodyText"/>
        <w:spacing w:line="300" w:lineRule="auto" w:before="115"/>
        <w:ind w:left="153" w:right="1112" w:hanging="1"/>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日，公司召开了</w:t>
      </w:r>
      <w:r>
        <w:rPr>
          <w:rFonts w:ascii="Times New Roman" w:hAnsi="Times New Roman" w:cs="Times New Roman" w:eastAsia="Times New Roman" w:hint="default"/>
        </w:rPr>
        <w:t>2018</w:t>
      </w:r>
      <w:r>
        <w:rPr/>
        <w:t>年第四次临时股东大会，审议通过了《关于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2018</w:t>
      </w:r>
      <w:r>
        <w:rPr/>
        <w:t>年度限制性股票与 股票期权激励计划（草案）</w:t>
      </w:r>
      <w:r>
        <w:rPr>
          <w:rFonts w:ascii="Times New Roman" w:hAnsi="Times New Roman" w:cs="Times New Roman" w:eastAsia="Times New Roman" w:hint="default"/>
        </w:rPr>
        <w:t>&gt;</w:t>
      </w:r>
      <w:r>
        <w:rPr/>
        <w:t>及其摘要的议案》，其主要内容如下：</w:t>
      </w:r>
    </w:p>
    <w:p>
      <w:pPr>
        <w:pStyle w:val="BodyText"/>
        <w:spacing w:line="338" w:lineRule="auto" w:before="53"/>
        <w:ind w:left="153" w:right="6703"/>
        <w:jc w:val="left"/>
      </w:pPr>
      <w:r>
        <w:rPr/>
        <w:t>（</w:t>
      </w:r>
      <w:r>
        <w:rPr>
          <w:rFonts w:ascii="Times New Roman" w:hAnsi="Times New Roman" w:cs="Times New Roman" w:eastAsia="Times New Roman" w:hint="default"/>
        </w:rPr>
        <w:t>1</w:t>
      </w:r>
      <w:r>
        <w:rPr/>
        <w:t>）激励对象的范围 本激励计划首次授予的激励对象共计</w:t>
      </w:r>
      <w:r>
        <w:rPr>
          <w:rFonts w:ascii="Times New Roman" w:hAnsi="Times New Roman" w:cs="Times New Roman" w:eastAsia="Times New Roman" w:hint="default"/>
        </w:rPr>
        <w:t>489</w:t>
      </w:r>
      <w:r>
        <w:rPr/>
        <w:t>人，包括：</w:t>
      </w:r>
      <w:r>
        <w:rPr>
          <w:spacing w:val="-87"/>
        </w:rPr>
        <w:t> </w:t>
      </w:r>
      <w:r>
        <w:rPr>
          <w:rFonts w:ascii="Times New Roman" w:hAnsi="Times New Roman" w:cs="Times New Roman" w:eastAsia="Times New Roman" w:hint="default"/>
        </w:rPr>
        <w:t>1</w:t>
      </w:r>
      <w:r>
        <w:rPr/>
        <w:t>、公司董事、高级管理人员；</w:t>
      </w:r>
    </w:p>
    <w:p>
      <w:pPr>
        <w:pStyle w:val="BodyText"/>
        <w:spacing w:line="240" w:lineRule="auto" w:before="22"/>
        <w:ind w:left="153" w:right="1129"/>
        <w:jc w:val="left"/>
      </w:pPr>
      <w:r>
        <w:rPr>
          <w:rFonts w:ascii="Times New Roman" w:hAnsi="Times New Roman" w:cs="Times New Roman" w:eastAsia="Times New Roman" w:hint="default"/>
        </w:rPr>
        <w:t>2</w:t>
      </w:r>
      <w:r>
        <w:rPr/>
        <w:t>、公司中层管理人员；</w:t>
      </w:r>
    </w:p>
    <w:p>
      <w:pPr>
        <w:pStyle w:val="BodyText"/>
        <w:spacing w:line="240" w:lineRule="auto" w:before="103"/>
        <w:ind w:left="153" w:right="1129"/>
        <w:jc w:val="left"/>
      </w:pPr>
      <w:r>
        <w:rPr>
          <w:rFonts w:ascii="Times New Roman" w:hAnsi="Times New Roman" w:cs="Times New Roman" w:eastAsia="Times New Roman" w:hint="default"/>
        </w:rPr>
        <w:t>3</w:t>
      </w:r>
      <w:r>
        <w:rPr/>
        <w:t>、核心技术</w:t>
      </w:r>
      <w:r>
        <w:rPr>
          <w:rFonts w:ascii="Times New Roman" w:hAnsi="Times New Roman" w:cs="Times New Roman" w:eastAsia="Times New Roman" w:hint="default"/>
        </w:rPr>
        <w:t>/</w:t>
      </w:r>
      <w:r>
        <w:rPr/>
        <w:t>业务人员；</w:t>
      </w:r>
    </w:p>
    <w:p>
      <w:pPr>
        <w:pStyle w:val="BodyText"/>
        <w:spacing w:line="340" w:lineRule="auto" w:before="101"/>
        <w:ind w:left="153" w:right="7383"/>
        <w:jc w:val="left"/>
      </w:pPr>
      <w:r>
        <w:rPr/>
        <w:t>（</w:t>
      </w:r>
      <w:r>
        <w:rPr>
          <w:rFonts w:ascii="Times New Roman" w:hAnsi="Times New Roman" w:cs="Times New Roman" w:eastAsia="Times New Roman" w:hint="default"/>
        </w:rPr>
        <w:t>2</w:t>
      </w:r>
      <w:r>
        <w:rPr/>
        <w:t>）激励计划的股票来源 公司向激励对象定向发行公司</w:t>
      </w:r>
      <w:r>
        <w:rPr>
          <w:rFonts w:ascii="Times New Roman" w:hAnsi="Times New Roman" w:cs="Times New Roman" w:eastAsia="Times New Roman" w:hint="default"/>
        </w:rPr>
        <w:t>A</w:t>
      </w:r>
      <w:r>
        <w:rPr/>
        <w:t>股普通股。</w:t>
      </w:r>
    </w:p>
    <w:p>
      <w:pPr>
        <w:pStyle w:val="BodyText"/>
        <w:spacing w:line="319" w:lineRule="auto" w:before="20"/>
        <w:ind w:left="153" w:right="1129"/>
        <w:jc w:val="left"/>
      </w:pPr>
      <w:r>
        <w:rPr/>
        <w:t>（</w:t>
      </w:r>
      <w:r>
        <w:rPr>
          <w:rFonts w:ascii="Times New Roman" w:hAnsi="Times New Roman" w:cs="Times New Roman" w:eastAsia="Times New Roman" w:hint="default"/>
        </w:rPr>
        <w:t>3</w:t>
      </w:r>
      <w:r>
        <w:rPr/>
        <w:t>）激励计划标的股票的数量 </w:t>
      </w:r>
      <w:r>
        <w:rPr>
          <w:spacing w:val="-1"/>
        </w:rPr>
        <w:t>公司拟向激励对象授予</w:t>
      </w:r>
      <w:r>
        <w:rPr>
          <w:rFonts w:ascii="Times New Roman" w:hAnsi="Times New Roman" w:cs="Times New Roman" w:eastAsia="Times New Roman" w:hint="default"/>
          <w:spacing w:val="-1"/>
        </w:rPr>
        <w:t>15,003,371</w:t>
      </w:r>
      <w:r>
        <w:rPr>
          <w:spacing w:val="-1"/>
        </w:rPr>
        <w:t>股限制性股票，约占本计划草案公告时公司股份总额</w:t>
      </w:r>
      <w:r>
        <w:rPr>
          <w:rFonts w:ascii="Times New Roman" w:hAnsi="Times New Roman" w:cs="Times New Roman" w:eastAsia="Times New Roman" w:hint="default"/>
          <w:spacing w:val="-1"/>
        </w:rPr>
        <w:t>416,760,300</w:t>
      </w:r>
      <w:r>
        <w:rPr>
          <w:spacing w:val="-1"/>
        </w:rPr>
        <w:t>股的</w:t>
      </w:r>
      <w:r>
        <w:rPr>
          <w:rFonts w:ascii="Times New Roman" w:hAnsi="Times New Roman" w:cs="Times New Roman" w:eastAsia="Times New Roman" w:hint="default"/>
          <w:spacing w:val="-1"/>
        </w:rPr>
        <w:t>3.6%</w:t>
      </w:r>
      <w:r>
        <w:rPr>
          <w:spacing w:val="-1"/>
        </w:rPr>
        <w:t>，其中首次授予</w:t>
      </w:r>
      <w:r>
        <w:rPr>
          <w:spacing w:val="-39"/>
        </w:rPr>
        <w:t> </w:t>
      </w:r>
      <w:r>
        <w:rPr>
          <w:spacing w:val="-39"/>
        </w:rPr>
      </w:r>
      <w:r>
        <w:rPr>
          <w:rFonts w:ascii="Times New Roman" w:hAnsi="Times New Roman" w:cs="Times New Roman" w:eastAsia="Times New Roman" w:hint="default"/>
          <w:spacing w:val="-1"/>
        </w:rPr>
        <w:t>12,502,809</w:t>
      </w:r>
      <w:r>
        <w:rPr>
          <w:spacing w:val="-1"/>
        </w:rPr>
        <w:t>股，约占本计划草案公告时公司股份总额</w:t>
      </w:r>
      <w:r>
        <w:rPr>
          <w:rFonts w:ascii="Times New Roman" w:hAnsi="Times New Roman" w:cs="Times New Roman" w:eastAsia="Times New Roman" w:hint="default"/>
          <w:spacing w:val="-1"/>
        </w:rPr>
        <w:t>416,760,300</w:t>
      </w:r>
      <w:r>
        <w:rPr>
          <w:spacing w:val="-1"/>
        </w:rPr>
        <w:t>股的</w:t>
      </w:r>
      <w:r>
        <w:rPr>
          <w:rFonts w:ascii="Times New Roman" w:hAnsi="Times New Roman" w:cs="Times New Roman" w:eastAsia="Times New Roman" w:hint="default"/>
          <w:spacing w:val="-1"/>
        </w:rPr>
        <w:t>3%</w:t>
      </w:r>
      <w:r>
        <w:rPr>
          <w:spacing w:val="-1"/>
        </w:rPr>
        <w:t>；预留</w:t>
      </w:r>
      <w:r>
        <w:rPr>
          <w:rFonts w:ascii="Times New Roman" w:hAnsi="Times New Roman" w:cs="Times New Roman" w:eastAsia="Times New Roman" w:hint="default"/>
          <w:spacing w:val="-1"/>
        </w:rPr>
        <w:t>2,500,562</w:t>
      </w:r>
      <w:r>
        <w:rPr>
          <w:spacing w:val="-1"/>
        </w:rPr>
        <w:t>股，约占本计划草案公告时公司股份</w:t>
      </w:r>
    </w:p>
    <w:p>
      <w:pPr>
        <w:pStyle w:val="BodyText"/>
        <w:spacing w:line="246" w:lineRule="exact"/>
        <w:ind w:left="153" w:right="1129"/>
        <w:jc w:val="left"/>
      </w:pPr>
      <w:r>
        <w:rPr/>
        <w:t>总额</w:t>
      </w:r>
      <w:r>
        <w:rPr>
          <w:rFonts w:ascii="Times New Roman" w:hAnsi="Times New Roman" w:cs="Times New Roman" w:eastAsia="Times New Roman" w:hint="default"/>
        </w:rPr>
        <w:t>416,760,300</w:t>
      </w:r>
      <w:r>
        <w:rPr/>
        <w:t>股的</w:t>
      </w:r>
      <w:r>
        <w:rPr>
          <w:rFonts w:ascii="Times New Roman" w:hAnsi="Times New Roman" w:cs="Times New Roman" w:eastAsia="Times New Roman" w:hint="default"/>
        </w:rPr>
        <w:t>0.6%</w:t>
      </w:r>
      <w:r>
        <w:rPr/>
        <w:t>，预留部分占本次授予权益总额的</w:t>
      </w:r>
      <w:r>
        <w:rPr>
          <w:rFonts w:ascii="Times New Roman" w:hAnsi="Times New Roman" w:cs="Times New Roman" w:eastAsia="Times New Roman" w:hint="default"/>
        </w:rPr>
        <w:t>13.04%</w:t>
      </w:r>
      <w:r>
        <w:rPr/>
        <w:t>。公司拟向激励对象授予</w:t>
      </w:r>
      <w:r>
        <w:rPr>
          <w:rFonts w:ascii="Times New Roman" w:hAnsi="Times New Roman" w:cs="Times New Roman" w:eastAsia="Times New Roman" w:hint="default"/>
        </w:rPr>
        <w:t>4,167,603</w:t>
      </w:r>
      <w:r>
        <w:rPr/>
        <w:t>份股票期权，约占本</w:t>
      </w:r>
    </w:p>
    <w:p>
      <w:pPr>
        <w:spacing w:after="0" w:line="246" w:lineRule="exact"/>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left"/>
      </w:pPr>
      <w:r>
        <w:rPr/>
        <w:t>计划草案公告时公司股本总额</w:t>
      </w:r>
      <w:r>
        <w:rPr>
          <w:rFonts w:ascii="Times New Roman" w:hAnsi="Times New Roman" w:cs="Times New Roman" w:eastAsia="Times New Roman" w:hint="default"/>
        </w:rPr>
        <w:t>416,760,300</w:t>
      </w:r>
      <w:r>
        <w:rPr/>
        <w:t>股的</w:t>
      </w:r>
      <w:r>
        <w:rPr>
          <w:rFonts w:ascii="Times New Roman" w:hAnsi="Times New Roman" w:cs="Times New Roman" w:eastAsia="Times New Roman" w:hint="default"/>
        </w:rPr>
        <w:t>1%</w:t>
      </w:r>
      <w:r>
        <w:rPr/>
        <w:t>。 限制性股票授予激励对象中</w:t>
      </w:r>
      <w:r>
        <w:rPr>
          <w:rFonts w:ascii="Times New Roman" w:hAnsi="Times New Roman" w:cs="Times New Roman" w:eastAsia="Times New Roman" w:hint="default"/>
        </w:rPr>
        <w:t>162</w:t>
      </w:r>
      <w:r>
        <w:rPr/>
        <w:t>名激励对象由于个人原因自愿放弃公司拟授予的限制性股票，股票期权授予激励对象中</w:t>
      </w:r>
      <w:r>
        <w:rPr>
          <w:rFonts w:ascii="Times New Roman" w:hAnsi="Times New Roman" w:cs="Times New Roman" w:eastAsia="Times New Roman" w:hint="default"/>
        </w:rPr>
        <w:t>276</w:t>
      </w:r>
      <w:r>
        <w:rPr>
          <w:rFonts w:ascii="Times New Roman" w:hAnsi="Times New Roman" w:cs="Times New Roman" w:eastAsia="Times New Roman" w:hint="default"/>
          <w:spacing w:val="-42"/>
        </w:rPr>
        <w:t> </w:t>
      </w:r>
      <w:r>
        <w:rPr/>
        <w:t>名激励对象由于个人原因自愿放弃公司拟授予的股票期权。</w:t>
      </w:r>
    </w:p>
    <w:p>
      <w:pPr>
        <w:pStyle w:val="BodyText"/>
        <w:spacing w:line="300" w:lineRule="auto" w:before="55"/>
        <w:ind w:right="1127"/>
        <w:jc w:val="both"/>
      </w:pPr>
      <w:r>
        <w:rPr>
          <w:spacing w:val="-1"/>
        </w:rPr>
        <w:t>在期权登记过程中，有</w:t>
      </w:r>
      <w:r>
        <w:rPr>
          <w:rFonts w:ascii="Times New Roman" w:hAnsi="Times New Roman" w:cs="Times New Roman" w:eastAsia="Times New Roman" w:hint="default"/>
          <w:spacing w:val="-1"/>
        </w:rPr>
        <w:t>4</w:t>
      </w:r>
      <w:r>
        <w:rPr>
          <w:spacing w:val="-1"/>
        </w:rPr>
        <w:t>名激励对象因个人原因自动放弃授予的股票期权</w:t>
      </w:r>
      <w:r>
        <w:rPr>
          <w:rFonts w:ascii="Times New Roman" w:hAnsi="Times New Roman" w:cs="Times New Roman" w:eastAsia="Times New Roman" w:hint="default"/>
          <w:spacing w:val="-1"/>
        </w:rPr>
        <w:t>30.9603</w:t>
      </w:r>
      <w:r>
        <w:rPr>
          <w:spacing w:val="-1"/>
        </w:rPr>
        <w:t>万份，因而公司本次股票期权实际授予对象</w:t>
      </w:r>
      <w:r>
        <w:rPr>
          <w:spacing w:val="-73"/>
        </w:rPr>
        <w:t> </w:t>
      </w:r>
      <w:r>
        <w:rPr>
          <w:spacing w:val="-73"/>
        </w:rPr>
      </w:r>
      <w:r>
        <w:rPr>
          <w:spacing w:val="-1"/>
        </w:rPr>
        <w:t>为</w:t>
      </w:r>
      <w:r>
        <w:rPr>
          <w:rFonts w:ascii="Times New Roman" w:hAnsi="Times New Roman" w:cs="Times New Roman" w:eastAsia="Times New Roman" w:hint="default"/>
          <w:spacing w:val="-1"/>
        </w:rPr>
        <w:t>160</w:t>
      </w:r>
      <w:r>
        <w:rPr>
          <w:spacing w:val="-1"/>
        </w:rPr>
        <w:t>人，实际授予数量为</w:t>
      </w:r>
      <w:r>
        <w:rPr>
          <w:rFonts w:ascii="Times New Roman" w:hAnsi="Times New Roman" w:cs="Times New Roman" w:eastAsia="Times New Roman" w:hint="default"/>
          <w:spacing w:val="-1"/>
        </w:rPr>
        <w:t>385.80</w:t>
      </w:r>
      <w:r>
        <w:rPr>
          <w:spacing w:val="-1"/>
        </w:rPr>
        <w:t>万份，占授予前公司总股本</w:t>
      </w:r>
      <w:r>
        <w:rPr>
          <w:rFonts w:ascii="Times New Roman" w:hAnsi="Times New Roman" w:cs="Times New Roman" w:eastAsia="Times New Roman" w:hint="default"/>
          <w:spacing w:val="-1"/>
        </w:rPr>
        <w:t>41,673.6300</w:t>
      </w:r>
      <w:r>
        <w:rPr>
          <w:spacing w:val="-1"/>
        </w:rPr>
        <w:t>万股的</w:t>
      </w:r>
      <w:r>
        <w:rPr>
          <w:rFonts w:ascii="Times New Roman" w:hAnsi="Times New Roman" w:cs="Times New Roman" w:eastAsia="Times New Roman" w:hint="default"/>
          <w:spacing w:val="-1"/>
        </w:rPr>
        <w:t>0.93%</w:t>
      </w:r>
      <w:r>
        <w:rPr>
          <w:spacing w:val="-1"/>
        </w:rPr>
        <w:t>。在限制性股票资金缴纳、股份登记过</w:t>
      </w:r>
      <w:r>
        <w:rPr>
          <w:spacing w:val="-86"/>
        </w:rPr>
        <w:t> </w:t>
      </w:r>
      <w:r>
        <w:rPr>
          <w:spacing w:val="-86"/>
        </w:rPr>
      </w:r>
      <w:r>
        <w:rPr>
          <w:spacing w:val="-3"/>
        </w:rPr>
        <w:t>程中，有</w:t>
      </w:r>
      <w:r>
        <w:rPr>
          <w:rFonts w:ascii="Times New Roman" w:hAnsi="Times New Roman" w:cs="Times New Roman" w:eastAsia="Times New Roman" w:hint="default"/>
          <w:spacing w:val="-3"/>
        </w:rPr>
        <w:t>19</w:t>
      </w:r>
      <w:r>
        <w:rPr>
          <w:spacing w:val="-3"/>
        </w:rPr>
        <w:t>名激励对象因个人原因自动放弃认购其对应的限制性股票</w:t>
      </w:r>
      <w:r>
        <w:rPr>
          <w:rFonts w:ascii="Times New Roman" w:hAnsi="Times New Roman" w:cs="Times New Roman" w:eastAsia="Times New Roman" w:hint="default"/>
          <w:spacing w:val="-3"/>
        </w:rPr>
        <w:t>18,809</w:t>
      </w:r>
      <w:r>
        <w:rPr>
          <w:spacing w:val="-3"/>
        </w:rPr>
        <w:t>股，因而公司本次限制性股票实际授予对象为</w:t>
      </w:r>
      <w:r>
        <w:rPr>
          <w:rFonts w:ascii="Times New Roman" w:hAnsi="Times New Roman" w:cs="Times New Roman" w:eastAsia="Times New Roman" w:hint="default"/>
          <w:spacing w:val="-3"/>
        </w:rPr>
        <w:t>308</w:t>
      </w:r>
      <w:r>
        <w:rPr>
          <w:rFonts w:ascii="Times New Roman" w:hAnsi="Times New Roman" w:cs="Times New Roman" w:eastAsia="Times New Roman" w:hint="default"/>
          <w:spacing w:val="8"/>
        </w:rPr>
        <w:t> </w:t>
      </w:r>
      <w:r>
        <w:rPr/>
        <w:t>人，实际授予数量为</w:t>
      </w:r>
      <w:r>
        <w:rPr>
          <w:rFonts w:ascii="Times New Roman" w:hAnsi="Times New Roman" w:cs="Times New Roman" w:eastAsia="Times New Roman" w:hint="default"/>
        </w:rPr>
        <w:t>12,484,000</w:t>
      </w:r>
      <w:r>
        <w:rPr/>
        <w:t>股，占授予前公司总股本</w:t>
      </w:r>
      <w:r>
        <w:rPr>
          <w:rFonts w:ascii="Times New Roman" w:hAnsi="Times New Roman" w:cs="Times New Roman" w:eastAsia="Times New Roman" w:hint="default"/>
        </w:rPr>
        <w:t>416,736,300</w:t>
      </w:r>
      <w:r>
        <w:rPr/>
        <w:t>股的</w:t>
      </w:r>
      <w:r>
        <w:rPr>
          <w:rFonts w:ascii="Times New Roman" w:hAnsi="Times New Roman" w:cs="Times New Roman" w:eastAsia="Times New Roman" w:hint="default"/>
        </w:rPr>
        <w:t>2.996%</w:t>
      </w:r>
      <w:r>
        <w:rPr/>
        <w:t>。</w:t>
      </w:r>
    </w:p>
    <w:p>
      <w:pPr>
        <w:pStyle w:val="BodyText"/>
        <w:spacing w:line="340" w:lineRule="auto" w:before="53"/>
        <w:ind w:right="5074"/>
        <w:jc w:val="left"/>
      </w:pPr>
      <w:r>
        <w:rPr/>
        <w:t>（</w:t>
      </w:r>
      <w:r>
        <w:rPr>
          <w:rFonts w:ascii="Times New Roman" w:hAnsi="Times New Roman" w:cs="Times New Roman" w:eastAsia="Times New Roman" w:hint="default"/>
        </w:rPr>
        <w:t>4</w:t>
      </w:r>
      <w:r>
        <w:rPr/>
        <w:t>）限制性股票与股票期权的授予价格 限制性股票的授予价格为</w:t>
      </w:r>
      <w:r>
        <w:rPr>
          <w:rFonts w:ascii="Times New Roman" w:hAnsi="Times New Roman" w:cs="Times New Roman" w:eastAsia="Times New Roman" w:hint="default"/>
        </w:rPr>
        <w:t>8.23</w:t>
      </w:r>
      <w:r>
        <w:rPr/>
        <w:t>元</w:t>
      </w:r>
      <w:r>
        <w:rPr>
          <w:rFonts w:ascii="Times New Roman" w:hAnsi="Times New Roman" w:cs="Times New Roman" w:eastAsia="Times New Roman" w:hint="default"/>
        </w:rPr>
        <w:t>/</w:t>
      </w:r>
      <w:r>
        <w:rPr/>
        <w:t>股，股票期权的授予价格为</w:t>
      </w:r>
      <w:r>
        <w:rPr>
          <w:rFonts w:ascii="Times New Roman" w:hAnsi="Times New Roman" w:cs="Times New Roman" w:eastAsia="Times New Roman" w:hint="default"/>
        </w:rPr>
        <w:t>16.45</w:t>
      </w:r>
      <w:r>
        <w:rPr/>
        <w:t>元</w:t>
      </w:r>
      <w:r>
        <w:rPr>
          <w:rFonts w:ascii="Times New Roman" w:hAnsi="Times New Roman" w:cs="Times New Roman" w:eastAsia="Times New Roman" w:hint="default"/>
        </w:rPr>
        <w:t>/</w:t>
      </w:r>
      <w:r>
        <w:rPr/>
        <w:t>股。</w:t>
      </w:r>
    </w:p>
    <w:p>
      <w:pPr>
        <w:pStyle w:val="BodyText"/>
        <w:spacing w:line="240" w:lineRule="auto" w:before="17"/>
        <w:ind w:right="1129"/>
        <w:jc w:val="left"/>
      </w:pPr>
      <w:r>
        <w:rPr/>
        <w:t>（二）、已履行的相关审批程序</w:t>
      </w:r>
    </w:p>
    <w:p>
      <w:pPr>
        <w:pStyle w:val="BodyText"/>
        <w:spacing w:line="307" w:lineRule="auto" w:before="117"/>
        <w:ind w:left="153" w:right="1129" w:hanging="1"/>
        <w:jc w:val="left"/>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17</w:t>
      </w:r>
      <w:r>
        <w:rPr>
          <w:spacing w:val="-1"/>
        </w:rPr>
        <w:t>日，公司第二届董事会第十五次会议审议通过了《关于</w:t>
      </w:r>
      <w:r>
        <w:rPr>
          <w:rFonts w:ascii="Times New Roman" w:hAnsi="Times New Roman" w:cs="Times New Roman" w:eastAsia="Times New Roman" w:hint="default"/>
          <w:spacing w:val="-1"/>
        </w:rPr>
        <w:t>&lt;</w:t>
      </w:r>
      <w:r>
        <w:rPr>
          <w:spacing w:val="-1"/>
        </w:rPr>
        <w:t>朗新科技股份有限公司</w:t>
      </w:r>
      <w:r>
        <w:rPr>
          <w:rFonts w:ascii="Times New Roman" w:hAnsi="Times New Roman" w:cs="Times New Roman" w:eastAsia="Times New Roman" w:hint="default"/>
          <w:spacing w:val="-1"/>
        </w:rPr>
        <w:t>2018</w:t>
      </w:r>
      <w:r>
        <w:rPr>
          <w:spacing w:val="-1"/>
        </w:rPr>
        <w:t>年度限制性股票与股</w:t>
      </w:r>
      <w:r>
        <w:rPr>
          <w:spacing w:val="-40"/>
        </w:rPr>
        <w:t> </w:t>
      </w:r>
      <w:r>
        <w:rPr>
          <w:spacing w:val="-40"/>
        </w:rPr>
      </w:r>
      <w:r>
        <w:rPr/>
        <w:t>票期权激励计划（草案）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2018</w:t>
      </w:r>
      <w:r>
        <w:rPr/>
        <w:t>年度限制性股票与股票期权激励计划实 </w:t>
      </w:r>
      <w:r>
        <w:rPr>
          <w:spacing w:val="-1"/>
        </w:rPr>
        <w:t>施考核管理办法</w:t>
      </w:r>
      <w:r>
        <w:rPr>
          <w:rFonts w:ascii="Times New Roman" w:hAnsi="Times New Roman" w:cs="Times New Roman" w:eastAsia="Times New Roman" w:hint="default"/>
          <w:spacing w:val="-1"/>
        </w:rPr>
        <w:t>&gt;</w:t>
      </w:r>
      <w:r>
        <w:rPr>
          <w:spacing w:val="-1"/>
        </w:rPr>
        <w:t>的议案》、《关于提请股东大会授权董事会办理股权激励相关事宜的议案》，公司第二届监事会第十二次</w:t>
      </w:r>
      <w:r>
        <w:rPr>
          <w:spacing w:val="-44"/>
        </w:rPr>
        <w:t> </w:t>
      </w:r>
      <w:r>
        <w:rPr>
          <w:spacing w:val="-44"/>
        </w:rPr>
      </w:r>
      <w:r>
        <w:rPr>
          <w:spacing w:val="-2"/>
        </w:rPr>
        <w:t>会议审议通过了相关议案。公司已对激励对象名单在公司内部进行了公示，公示期满后，监事会对本次股权激励计划授予激</w:t>
      </w:r>
      <w:r>
        <w:rPr>
          <w:spacing w:val="-66"/>
        </w:rPr>
        <w:t> </w:t>
      </w:r>
      <w:r>
        <w:rPr>
          <w:spacing w:val="-66"/>
        </w:rPr>
      </w:r>
      <w:r>
        <w:rPr>
          <w:spacing w:val="-2"/>
        </w:rPr>
        <w:t>励对象名单进行了核查并对公示情况进行了说明，公司独立董事就本次股权激励计划是否有利于公司的持续发展及是否存在</w:t>
      </w:r>
      <w:r>
        <w:rPr>
          <w:spacing w:val="-65"/>
        </w:rPr>
        <w:t> </w:t>
      </w:r>
      <w:r>
        <w:rPr>
          <w:spacing w:val="-65"/>
        </w:rPr>
      </w:r>
      <w:r>
        <w:rPr/>
        <w:t>损害公司及全体股东利益的情形发表了独立意见。</w:t>
      </w:r>
    </w:p>
    <w:p>
      <w:pPr>
        <w:pStyle w:val="BodyText"/>
        <w:spacing w:line="240" w:lineRule="auto" w:before="67"/>
        <w:ind w:left="153" w:right="1129"/>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日，公司第二届董事会第十五次会议审议通过了《关于召开</w:t>
      </w:r>
      <w:r>
        <w:rPr>
          <w:rFonts w:ascii="Times New Roman" w:hAnsi="Times New Roman" w:cs="Times New Roman" w:eastAsia="Times New Roman" w:hint="default"/>
        </w:rPr>
        <w:t>2018</w:t>
      </w:r>
      <w:r>
        <w:rPr/>
        <w:t>年第四次临时股东大会的议案》。</w:t>
      </w:r>
    </w:p>
    <w:p>
      <w:pPr>
        <w:pStyle w:val="BodyText"/>
        <w:spacing w:line="304" w:lineRule="auto" w:before="101"/>
        <w:ind w:left="153" w:right="1111" w:hanging="1"/>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日，公司</w:t>
      </w:r>
      <w:r>
        <w:rPr>
          <w:rFonts w:ascii="Times New Roman" w:hAnsi="Times New Roman" w:cs="Times New Roman" w:eastAsia="Times New Roman" w:hint="default"/>
        </w:rPr>
        <w:t>2018</w:t>
      </w:r>
      <w:r>
        <w:rPr/>
        <w:t>年第四次临时股东大会审议并通过了《关于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2018</w:t>
      </w:r>
      <w:r>
        <w:rPr/>
        <w:t>年度限制性股票与 股票期权激励计划（草案）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2018</w:t>
      </w:r>
      <w:r>
        <w:rPr/>
        <w:t>年度限制性股票与股票期权激励计划 实施考核管理办法</w:t>
      </w:r>
      <w:r>
        <w:rPr>
          <w:rFonts w:ascii="Times New Roman" w:hAnsi="Times New Roman" w:cs="Times New Roman" w:eastAsia="Times New Roman" w:hint="default"/>
        </w:rPr>
        <w:t>&gt;</w:t>
      </w:r>
      <w:r>
        <w:rPr/>
        <w:t>的议案》、《关于提请股东大会授权董事会办理股权激励相关事宜的议案》。公司实施</w:t>
      </w:r>
      <w:r>
        <w:rPr>
          <w:rFonts w:ascii="Times New Roman" w:hAnsi="Times New Roman" w:cs="Times New Roman" w:eastAsia="Times New Roman" w:hint="default"/>
        </w:rPr>
        <w:t>2018</w:t>
      </w:r>
      <w:r>
        <w:rPr/>
        <w:t>年度限制性 </w:t>
      </w:r>
      <w:r>
        <w:rPr>
          <w:spacing w:val="-2"/>
        </w:rPr>
        <w:t>股票与股票期权激励计划获得批准，董事会被授权确定授予日、在激励对象符合条件时向激励对象授予限制性股票与股票期</w:t>
      </w:r>
      <w:r>
        <w:rPr>
          <w:spacing w:val="-65"/>
        </w:rPr>
        <w:t> </w:t>
      </w:r>
      <w:r>
        <w:rPr>
          <w:spacing w:val="-65"/>
        </w:rPr>
      </w:r>
      <w:r>
        <w:rPr/>
        <w:t>权，并办理授予所必需的全部事宜。</w:t>
      </w:r>
    </w:p>
    <w:p>
      <w:pPr>
        <w:pStyle w:val="BodyText"/>
        <w:spacing w:line="309" w:lineRule="auto" w:before="68"/>
        <w:ind w:left="153" w:right="1134" w:hanging="1"/>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日，公司第二届董事会第十七次会议和第二届监事会第十四次会议审议通过了《关于向激励对象授予限制 </w:t>
      </w:r>
      <w:r>
        <w:rPr>
          <w:spacing w:val="-2"/>
        </w:rPr>
        <w:t>性股票与股票期权的议案》。公司独立董事对此发表了独立意见，认为激励对象主体资格合法、有效，确定的授予日符合相</w:t>
      </w:r>
      <w:r>
        <w:rPr>
          <w:spacing w:val="-68"/>
        </w:rPr>
        <w:t> </w:t>
      </w:r>
      <w:r>
        <w:rPr>
          <w:spacing w:val="-68"/>
        </w:rPr>
      </w:r>
      <w:r>
        <w:rPr/>
        <w:t>关规定。</w:t>
      </w:r>
    </w:p>
    <w:p>
      <w:pPr>
        <w:pStyle w:val="BodyText"/>
        <w:spacing w:line="300" w:lineRule="auto" w:before="65"/>
        <w:ind w:left="153" w:right="1120" w:hanging="1"/>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日，公司第二届董事会第十八次会议和第二届监事会第十五次会议审议通过了《关于调整</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年度限制 性股票与股票期权激励计划激励对象名单的议案》。</w:t>
      </w:r>
    </w:p>
    <w:p>
      <w:pPr>
        <w:pStyle w:val="BodyText"/>
        <w:spacing w:line="300" w:lineRule="auto" w:before="70"/>
        <w:ind w:left="153" w:right="1123"/>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日，公司</w:t>
      </w:r>
      <w:r>
        <w:rPr>
          <w:rFonts w:ascii="Times New Roman" w:hAnsi="Times New Roman" w:cs="Times New Roman" w:eastAsia="Times New Roman" w:hint="default"/>
        </w:rPr>
        <w:t>2018</w:t>
      </w:r>
      <w:r>
        <w:rPr/>
        <w:t>年第五次临时股东大会审议通过了《关于调整</w:t>
      </w:r>
      <w:r>
        <w:rPr>
          <w:rFonts w:ascii="Times New Roman" w:hAnsi="Times New Roman" w:cs="Times New Roman" w:eastAsia="Times New Roman" w:hint="default"/>
        </w:rPr>
        <w:t>2018</w:t>
      </w:r>
      <w:r>
        <w:rPr/>
        <w:t>年度限制性股票与股票期权激励计划激 励对象名单的议案》。</w:t>
      </w:r>
    </w:p>
    <w:p>
      <w:pPr>
        <w:pStyle w:val="BodyText"/>
        <w:spacing w:line="300" w:lineRule="auto" w:before="72"/>
        <w:ind w:left="153" w:right="1123"/>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日，公司</w:t>
      </w:r>
      <w:r>
        <w:rPr>
          <w:rFonts w:ascii="Times New Roman" w:hAnsi="Times New Roman" w:cs="Times New Roman" w:eastAsia="Times New Roman" w:hint="default"/>
        </w:rPr>
        <w:t>2018</w:t>
      </w:r>
      <w:r>
        <w:rPr/>
        <w:t>年股票期权授予登记完成，并在中国证监会指定创业板信息披露网站公告了《关于</w:t>
      </w:r>
      <w:r>
        <w:rPr>
          <w:rFonts w:ascii="Times New Roman" w:hAnsi="Times New Roman" w:cs="Times New Roman" w:eastAsia="Times New Roman" w:hint="default"/>
        </w:rPr>
        <w:t>2018</w:t>
      </w:r>
      <w:r>
        <w:rPr/>
        <w:t>年 股权激励计划股票期权授予登记完成的公告》。</w:t>
      </w:r>
    </w:p>
    <w:p>
      <w:pPr>
        <w:pStyle w:val="BodyText"/>
        <w:spacing w:line="300" w:lineRule="auto" w:before="72"/>
        <w:ind w:left="153" w:right="1126"/>
        <w:jc w:val="left"/>
      </w:pPr>
      <w:r>
        <w:rPr>
          <w:spacing w:val="-3"/>
        </w:rPr>
        <w:t>（</w:t>
      </w:r>
      <w:r>
        <w:rPr>
          <w:rFonts w:ascii="Times New Roman" w:hAnsi="Times New Roman" w:cs="Times New Roman" w:eastAsia="Times New Roman" w:hint="default"/>
          <w:spacing w:val="-3"/>
        </w:rPr>
        <w:t>8</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23</w:t>
      </w:r>
      <w:r>
        <w:rPr>
          <w:spacing w:val="-3"/>
        </w:rPr>
        <w:t>日，公司</w:t>
      </w:r>
      <w:r>
        <w:rPr>
          <w:rFonts w:ascii="Times New Roman" w:hAnsi="Times New Roman" w:cs="Times New Roman" w:eastAsia="Times New Roman" w:hint="default"/>
          <w:spacing w:val="-3"/>
        </w:rPr>
        <w:t>2018</w:t>
      </w:r>
      <w:r>
        <w:rPr>
          <w:spacing w:val="-3"/>
        </w:rPr>
        <w:t>年限制性股票首次授予登记完成并上市，在中国证监会指定创业板信息披露网站公告了《关</w:t>
      </w:r>
      <w:r>
        <w:rPr>
          <w:spacing w:val="-88"/>
        </w:rPr>
        <w:t> </w:t>
      </w:r>
      <w:r>
        <w:rPr>
          <w:spacing w:val="-88"/>
        </w:rPr>
      </w:r>
      <w:r>
        <w:rPr/>
        <w:t>于</w:t>
      </w:r>
      <w:r>
        <w:rPr>
          <w:rFonts w:ascii="Times New Roman" w:hAnsi="Times New Roman" w:cs="Times New Roman" w:eastAsia="Times New Roman" w:hint="default"/>
        </w:rPr>
        <w:t>2018</w:t>
      </w:r>
      <w:r>
        <w:rPr/>
        <w:t>年度股权激励计划限制性股票首次授予登记完成的公告》。</w:t>
      </w:r>
    </w:p>
    <w:p>
      <w:pPr>
        <w:pStyle w:val="BodyText"/>
        <w:spacing w:line="300" w:lineRule="auto" w:before="51"/>
        <w:ind w:left="153" w:right="1123"/>
        <w:jc w:val="left"/>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日，公司第二届董事会第二十二次会议和第二届监事会第十七次会议审议通过了《关于向激励对象授予 预留限制性股票的议案》。</w:t>
      </w:r>
    </w:p>
    <w:p>
      <w:pPr>
        <w:pStyle w:val="BodyText"/>
        <w:spacing w:line="300" w:lineRule="auto" w:before="72"/>
        <w:ind w:left="153" w:right="1126"/>
        <w:jc w:val="left"/>
      </w:pPr>
      <w:r>
        <w:rPr>
          <w:spacing w:val="-3"/>
        </w:rPr>
        <w:t>（</w:t>
      </w:r>
      <w:r>
        <w:rPr>
          <w:rFonts w:ascii="Times New Roman" w:hAnsi="Times New Roman" w:cs="Times New Roman" w:eastAsia="Times New Roman" w:hint="default"/>
          <w:spacing w:val="-3"/>
        </w:rPr>
        <w:t>10</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30</w:t>
      </w:r>
      <w:r>
        <w:rPr>
          <w:spacing w:val="-3"/>
        </w:rPr>
        <w:t>日，公司</w:t>
      </w:r>
      <w:r>
        <w:rPr>
          <w:rFonts w:ascii="Times New Roman" w:hAnsi="Times New Roman" w:cs="Times New Roman" w:eastAsia="Times New Roman" w:hint="default"/>
          <w:spacing w:val="-3"/>
        </w:rPr>
        <w:t>2018</w:t>
      </w:r>
      <w:r>
        <w:rPr>
          <w:spacing w:val="-3"/>
        </w:rPr>
        <w:t>年限制性股票首次授予登记完成并上市，在中国证监会指定创业板信息披露网站公告了《关</w:t>
      </w:r>
      <w:r>
        <w:rPr>
          <w:spacing w:val="-88"/>
        </w:rPr>
        <w:t> </w:t>
      </w:r>
      <w:r>
        <w:rPr>
          <w:spacing w:val="-88"/>
        </w:rPr>
      </w:r>
      <w:r>
        <w:rPr/>
        <w:t>于</w:t>
      </w:r>
      <w:r>
        <w:rPr>
          <w:rFonts w:ascii="Times New Roman" w:hAnsi="Times New Roman" w:cs="Times New Roman" w:eastAsia="Times New Roman" w:hint="default"/>
        </w:rPr>
        <w:t>2018</w:t>
      </w:r>
      <w:r>
        <w:rPr/>
        <w:t>年度股权激励计划限制性股票预留授予登记完成的公告》。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240" w:lineRule="auto"/>
        <w:ind w:left="153" w:right="1129"/>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left="153" w:right="98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年度公司因取得的相关激励对象的服务而计入相关费用</w:t>
      </w:r>
      <w:r>
        <w:rPr>
          <w:spacing w:val="-50"/>
        </w:rPr>
        <w:t> </w:t>
      </w:r>
      <w:r>
        <w:rPr>
          <w:rFonts w:ascii="Times New Roman" w:hAnsi="Times New Roman" w:cs="Times New Roman" w:eastAsia="Times New Roman" w:hint="default"/>
        </w:rPr>
        <w:t>59,427,641.23</w:t>
      </w:r>
      <w:r>
        <w:rPr>
          <w:rFonts w:ascii="Times New Roman" w:hAnsi="Times New Roman" w:cs="Times New Roman" w:eastAsia="Times New Roman" w:hint="default"/>
          <w:spacing w:val="-4"/>
        </w:rPr>
        <w:t> </w:t>
      </w:r>
      <w:r>
        <w:rPr/>
        <w:t>元，其中增加资本公积</w:t>
      </w:r>
      <w:r>
        <w:rPr>
          <w:spacing w:val="-50"/>
        </w:rPr>
        <w:t> </w:t>
      </w:r>
      <w:r>
        <w:rPr>
          <w:rFonts w:ascii="Times New Roman" w:hAnsi="Times New Roman" w:cs="Times New Roman" w:eastAsia="Times New Roman" w:hint="default"/>
        </w:rPr>
        <w:t>56,910,295.09</w:t>
      </w:r>
      <w:r>
        <w:rPr/>
        <w:t>，增加少数</w:t>
      </w:r>
    </w:p>
    <w:p>
      <w:pPr>
        <w:pStyle w:val="BodyText"/>
        <w:spacing w:line="240" w:lineRule="auto" w:before="62"/>
        <w:ind w:left="153" w:right="1129"/>
        <w:jc w:val="left"/>
      </w:pPr>
      <w:r>
        <w:rPr/>
        <w:t>股东权益</w:t>
      </w:r>
      <w:r>
        <w:rPr>
          <w:spacing w:val="-49"/>
        </w:rPr>
        <w:t> </w:t>
      </w:r>
      <w:r>
        <w:rPr>
          <w:rFonts w:ascii="Times New Roman" w:hAnsi="Times New Roman" w:cs="Times New Roman" w:eastAsia="Times New Roman" w:hint="default"/>
        </w:rPr>
        <w:t>2,517,346.14</w:t>
      </w:r>
      <w:r>
        <w:rPr>
          <w:rFonts w:ascii="Times New Roman" w:hAnsi="Times New Roman" w:cs="Times New Roman" w:eastAsia="Times New Roman" w:hint="default"/>
          <w:spacing w:val="-2"/>
        </w:rPr>
        <w:t> </w:t>
      </w:r>
      <w:r>
        <w:rPr/>
        <w:t>元。核心技术人员的股权激励费用</w:t>
      </w:r>
      <w:r>
        <w:rPr>
          <w:spacing w:val="-49"/>
        </w:rPr>
        <w:t> </w:t>
      </w:r>
      <w:r>
        <w:rPr>
          <w:rFonts w:ascii="Times New Roman" w:hAnsi="Times New Roman" w:cs="Times New Roman" w:eastAsia="Times New Roman" w:hint="default"/>
        </w:rPr>
        <w:t>10,345,529.27</w:t>
      </w:r>
      <w:r>
        <w:rPr>
          <w:rFonts w:ascii="Times New Roman" w:hAnsi="Times New Roman" w:cs="Times New Roman" w:eastAsia="Times New Roman" w:hint="default"/>
          <w:spacing w:val="-3"/>
        </w:rPr>
        <w:t> </w:t>
      </w:r>
      <w:r>
        <w:rPr/>
        <w:t>元，占公司当期股权激励费用的</w:t>
      </w:r>
      <w:r>
        <w:rPr>
          <w:spacing w:val="-49"/>
        </w:rPr>
        <w:t> </w:t>
      </w:r>
      <w:r>
        <w:rPr>
          <w:rFonts w:ascii="Times New Roman" w:hAnsi="Times New Roman" w:cs="Times New Roman" w:eastAsia="Times New Roman" w:hint="default"/>
        </w:rPr>
        <w:t>17.41%</w:t>
      </w:r>
      <w:r>
        <w:rPr/>
        <w:t>。</w:t>
      </w:r>
    </w:p>
    <w:p>
      <w:pPr>
        <w:spacing w:after="0" w:line="240" w:lineRule="auto"/>
        <w:jc w:val="left"/>
        <w:sectPr>
          <w:pgSz w:w="11910" w:h="16840"/>
          <w:pgMar w:header="745"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9"/>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9"/>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9"/>
        <w:gridCol w:w="677"/>
        <w:gridCol w:w="677"/>
        <w:gridCol w:w="703"/>
        <w:gridCol w:w="679"/>
        <w:gridCol w:w="674"/>
        <w:gridCol w:w="674"/>
        <w:gridCol w:w="674"/>
        <w:gridCol w:w="674"/>
        <w:gridCol w:w="674"/>
        <w:gridCol w:w="672"/>
        <w:gridCol w:w="674"/>
        <w:gridCol w:w="670"/>
        <w:gridCol w:w="646"/>
      </w:tblGrid>
      <w:tr>
        <w:trPr>
          <w:trHeight w:val="1337"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4" w:right="31" w:hanging="269"/>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4"/>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8"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北京朗新 天霁软件 技术有限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1"/>
              <w:jc w:val="both"/>
              <w:rPr>
                <w:rFonts w:ascii="宋体" w:hAnsi="宋体" w:cs="宋体" w:eastAsia="宋体" w:hint="default"/>
                <w:sz w:val="18"/>
                <w:szCs w:val="18"/>
              </w:rPr>
            </w:pPr>
            <w:r>
              <w:rPr>
                <w:rFonts w:ascii="宋体" w:hAnsi="宋体" w:cs="宋体" w:eastAsia="宋体" w:hint="default"/>
                <w:sz w:val="18"/>
                <w:szCs w:val="18"/>
              </w:rPr>
              <w:t>受本公 司股东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采购商 品、接 受劳务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27"/>
              <w:jc w:val="left"/>
              <w:rPr>
                <w:rFonts w:ascii="宋体" w:hAnsi="宋体" w:cs="宋体" w:eastAsia="宋体" w:hint="default"/>
                <w:sz w:val="18"/>
                <w:szCs w:val="18"/>
              </w:rPr>
            </w:pPr>
            <w:r>
              <w:rPr>
                <w:rFonts w:ascii="宋体" w:hAnsi="宋体" w:cs="宋体" w:eastAsia="宋体" w:hint="default"/>
                <w:sz w:val="18"/>
                <w:szCs w:val="18"/>
              </w:rPr>
              <w:t>接受系 统服务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31.13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6"/>
              <w:jc w:val="left"/>
              <w:rPr>
                <w:rFonts w:ascii="宋体" w:hAnsi="宋体" w:cs="宋体" w:eastAsia="宋体" w:hint="default"/>
                <w:sz w:val="18"/>
                <w:szCs w:val="18"/>
              </w:rPr>
            </w:pPr>
            <w:r>
              <w:rPr>
                <w:rFonts w:ascii="宋体" w:hAnsi="宋体" w:cs="宋体" w:eastAsia="宋体" w:hint="default"/>
                <w:sz w:val="18"/>
                <w:szCs w:val="18"/>
              </w:rPr>
              <w:t>银行结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传神语联 网网络科 技股份有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1"/>
              <w:jc w:val="both"/>
              <w:rPr>
                <w:rFonts w:ascii="宋体" w:hAnsi="宋体" w:cs="宋体" w:eastAsia="宋体" w:hint="default"/>
                <w:sz w:val="18"/>
                <w:szCs w:val="18"/>
              </w:rPr>
            </w:pPr>
            <w:r>
              <w:rPr>
                <w:rFonts w:ascii="宋体" w:hAnsi="宋体" w:cs="宋体" w:eastAsia="宋体" w:hint="default"/>
                <w:sz w:val="18"/>
                <w:szCs w:val="18"/>
              </w:rPr>
              <w:t>本公司 股东任 董事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采购商 品、接 受劳务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27"/>
              <w:jc w:val="left"/>
              <w:rPr>
                <w:rFonts w:ascii="宋体" w:hAnsi="宋体" w:cs="宋体" w:eastAsia="宋体" w:hint="default"/>
                <w:sz w:val="18"/>
                <w:szCs w:val="18"/>
              </w:rPr>
            </w:pPr>
            <w:r>
              <w:rPr>
                <w:rFonts w:ascii="宋体" w:hAnsi="宋体" w:cs="宋体" w:eastAsia="宋体" w:hint="default"/>
                <w:sz w:val="18"/>
                <w:szCs w:val="18"/>
              </w:rPr>
              <w:t>翻译服 务费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6"/>
              <w:jc w:val="left"/>
              <w:rPr>
                <w:rFonts w:ascii="宋体" w:hAnsi="宋体" w:cs="宋体" w:eastAsia="宋体" w:hint="default"/>
                <w:sz w:val="18"/>
                <w:szCs w:val="18"/>
              </w:rPr>
            </w:pPr>
            <w:r>
              <w:rPr>
                <w:rFonts w:ascii="宋体" w:hAnsi="宋体" w:cs="宋体" w:eastAsia="宋体" w:hint="default"/>
                <w:sz w:val="18"/>
                <w:szCs w:val="18"/>
              </w:rPr>
              <w:t>银行结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邦道科技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both"/>
              <w:rPr>
                <w:rFonts w:ascii="宋体" w:hAnsi="宋体" w:cs="宋体" w:eastAsia="宋体" w:hint="default"/>
                <w:sz w:val="18"/>
                <w:szCs w:val="18"/>
              </w:rPr>
            </w:pPr>
            <w:r>
              <w:rPr>
                <w:rFonts w:ascii="宋体" w:hAnsi="宋体" w:cs="宋体" w:eastAsia="宋体" w:hint="default"/>
                <w:sz w:val="18"/>
                <w:szCs w:val="18"/>
              </w:rPr>
              <w:t>本公司 之合营 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平台服 务费收 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成本定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4"/>
              <w:jc w:val="center"/>
              <w:rPr>
                <w:rFonts w:ascii="宋体" w:hAnsi="宋体" w:cs="宋体" w:eastAsia="宋体" w:hint="default"/>
                <w:sz w:val="18"/>
                <w:szCs w:val="18"/>
              </w:rPr>
            </w:pPr>
            <w:r>
              <w:rPr>
                <w:rFonts w:ascii="宋体" w:hAnsi="宋体" w:cs="宋体" w:eastAsia="宋体" w:hint="default"/>
                <w:sz w:val="18"/>
                <w:szCs w:val="18"/>
              </w:rPr>
              <w:t>成本价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229.79</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银行结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4"/>
              <w:jc w:val="center"/>
              <w:rPr>
                <w:rFonts w:ascii="宋体" w:hAnsi="宋体" w:cs="宋体" w:eastAsia="宋体" w:hint="default"/>
                <w:sz w:val="18"/>
                <w:szCs w:val="18"/>
              </w:rPr>
            </w:pPr>
            <w:r>
              <w:rPr>
                <w:rFonts w:ascii="宋体" w:hAnsi="宋体" w:cs="宋体" w:eastAsia="宋体" w:hint="default"/>
                <w:sz w:val="18"/>
                <w:szCs w:val="18"/>
              </w:rPr>
              <w:t>成本价</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邦道科技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both"/>
              <w:rPr>
                <w:rFonts w:ascii="宋体" w:hAnsi="宋体" w:cs="宋体" w:eastAsia="宋体" w:hint="default"/>
                <w:sz w:val="18"/>
                <w:szCs w:val="18"/>
              </w:rPr>
            </w:pPr>
            <w:r>
              <w:rPr>
                <w:rFonts w:ascii="宋体" w:hAnsi="宋体" w:cs="宋体" w:eastAsia="宋体" w:hint="default"/>
                <w:sz w:val="18"/>
                <w:szCs w:val="18"/>
              </w:rPr>
              <w:t>本公司 之合营 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定制软 件开发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4"/>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381.46</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0.45%</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银行结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4"/>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227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2" w:lineRule="auto"/>
              <w:ind w:left="24" w:right="43"/>
              <w:jc w:val="left"/>
              <w:rPr>
                <w:rFonts w:ascii="宋体" w:hAnsi="宋体" w:cs="宋体" w:eastAsia="宋体" w:hint="default"/>
                <w:sz w:val="18"/>
                <w:szCs w:val="18"/>
              </w:rPr>
            </w:pPr>
            <w:r>
              <w:rPr>
                <w:rFonts w:ascii="宋体" w:hAnsi="宋体" w:cs="宋体" w:eastAsia="宋体" w:hint="default"/>
                <w:sz w:val="18"/>
                <w:szCs w:val="18"/>
              </w:rPr>
              <w:t>支付宝 </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网 络技术有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both"/>
              <w:rPr>
                <w:rFonts w:ascii="宋体" w:hAnsi="宋体" w:cs="宋体" w:eastAsia="宋体" w:hint="default"/>
                <w:sz w:val="18"/>
                <w:szCs w:val="18"/>
              </w:rPr>
            </w:pPr>
            <w:r>
              <w:rPr>
                <w:rFonts w:ascii="宋体" w:hAnsi="宋体" w:cs="宋体" w:eastAsia="宋体" w:hint="default"/>
                <w:sz w:val="18"/>
                <w:szCs w:val="18"/>
              </w:rPr>
              <w:t>与本公 司股东 上海云 鑫受同 一最终 控制人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27"/>
              <w:jc w:val="left"/>
              <w:rPr>
                <w:rFonts w:ascii="宋体" w:hAnsi="宋体" w:cs="宋体" w:eastAsia="宋体" w:hint="default"/>
                <w:sz w:val="18"/>
                <w:szCs w:val="18"/>
              </w:rPr>
            </w:pPr>
            <w:r>
              <w:rPr>
                <w:rFonts w:ascii="宋体" w:hAnsi="宋体" w:cs="宋体" w:eastAsia="宋体" w:hint="default"/>
                <w:sz w:val="18"/>
                <w:szCs w:val="18"/>
              </w:rPr>
              <w:t>维护服 务收入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487.09</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96"/>
              <w:jc w:val="left"/>
              <w:rPr>
                <w:rFonts w:ascii="宋体" w:hAnsi="宋体" w:cs="宋体" w:eastAsia="宋体" w:hint="default"/>
                <w:sz w:val="18"/>
                <w:szCs w:val="18"/>
              </w:rPr>
            </w:pPr>
            <w:r>
              <w:rPr>
                <w:rFonts w:ascii="宋体" w:hAnsi="宋体" w:cs="宋体" w:eastAsia="宋体" w:hint="default"/>
                <w:sz w:val="18"/>
                <w:szCs w:val="18"/>
              </w:rPr>
              <w:t>银行结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1140.04</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2,850</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3" w:type="dxa"/>
            <w:gridSpan w:val="10"/>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3" w:type="dxa"/>
            <w:gridSpan w:val="10"/>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3" w:type="dxa"/>
            <w:gridSpan w:val="10"/>
            <w:tcBorders>
              <w:top w:val="single" w:sz="4" w:space="0" w:color="000000"/>
              <w:left w:val="single" w:sz="9"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9"/>
        <w:jc w:val="left"/>
      </w:pPr>
      <w:r>
        <w:rPr/>
        <w:t>公司报告期未发生资产或股权收购、出售的关联交易。</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75"/>
        <w:gridCol w:w="1073"/>
        <w:gridCol w:w="1078"/>
        <w:gridCol w:w="1224"/>
        <w:gridCol w:w="1080"/>
        <w:gridCol w:w="1349"/>
        <w:gridCol w:w="1349"/>
        <w:gridCol w:w="1342"/>
      </w:tblGrid>
      <w:tr>
        <w:trPr>
          <w:trHeight w:val="715" w:hRule="exact"/>
        </w:trPr>
        <w:tc>
          <w:tcPr>
            <w:tcW w:w="10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66" w:right="79"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6"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9" w:right="38" w:hanging="92"/>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7" w:right="35" w:hanging="92"/>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2585"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易视腾科技 </w:t>
            </w:r>
            <w:r>
              <w:rPr>
                <w:rFonts w:ascii="宋体" w:hAnsi="宋体" w:cs="宋体" w:eastAsia="宋体" w:hint="default"/>
                <w:spacing w:val="-10"/>
                <w:sz w:val="18"/>
                <w:szCs w:val="18"/>
              </w:rPr>
              <w:t>有限公司、无</w:t>
            </w:r>
            <w:r>
              <w:rPr>
                <w:rFonts w:ascii="宋体" w:hAnsi="宋体" w:cs="宋体" w:eastAsia="宋体" w:hint="default"/>
                <w:sz w:val="18"/>
                <w:szCs w:val="18"/>
              </w:rPr>
              <w:t> 锡智睿投资 </w:t>
            </w:r>
            <w:r>
              <w:rPr>
                <w:rFonts w:ascii="宋体" w:hAnsi="宋体" w:cs="宋体" w:eastAsia="宋体" w:hint="default"/>
                <w:spacing w:val="-10"/>
                <w:sz w:val="18"/>
                <w:szCs w:val="18"/>
              </w:rPr>
              <w:t>合伙企业（有</w:t>
            </w:r>
            <w:r>
              <w:rPr>
                <w:rFonts w:ascii="宋体" w:hAnsi="宋体" w:cs="宋体" w:eastAsia="宋体" w:hint="default"/>
                <w:sz w:val="18"/>
                <w:szCs w:val="18"/>
              </w:rPr>
              <w:t> </w:t>
            </w:r>
            <w:r>
              <w:rPr>
                <w:rFonts w:ascii="宋体" w:hAnsi="宋体" w:cs="宋体" w:eastAsia="宋体" w:hint="default"/>
                <w:spacing w:val="-10"/>
                <w:sz w:val="18"/>
                <w:szCs w:val="18"/>
              </w:rPr>
              <w:t>限合伙）及无</w:t>
            </w:r>
            <w:r>
              <w:rPr>
                <w:rFonts w:ascii="宋体" w:hAnsi="宋体" w:cs="宋体" w:eastAsia="宋体" w:hint="default"/>
                <w:sz w:val="18"/>
                <w:szCs w:val="18"/>
              </w:rPr>
              <w:t> 锡易云投资 </w:t>
            </w:r>
            <w:r>
              <w:rPr>
                <w:rFonts w:ascii="宋体" w:hAnsi="宋体" w:cs="宋体" w:eastAsia="宋体" w:hint="default"/>
                <w:spacing w:val="-10"/>
                <w:sz w:val="18"/>
                <w:szCs w:val="18"/>
              </w:rPr>
              <w:t>合伙企业（有</w:t>
            </w:r>
            <w:r>
              <w:rPr>
                <w:rFonts w:ascii="宋体" w:hAnsi="宋体" w:cs="宋体" w:eastAsia="宋体" w:hint="default"/>
                <w:sz w:val="18"/>
                <w:szCs w:val="18"/>
              </w:rPr>
              <w:t> 限合伙）</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37"/>
              <w:jc w:val="left"/>
              <w:rPr>
                <w:rFonts w:ascii="宋体" w:hAnsi="宋体" w:cs="宋体" w:eastAsia="宋体" w:hint="default"/>
                <w:sz w:val="18"/>
                <w:szCs w:val="18"/>
              </w:rPr>
            </w:pPr>
            <w:r>
              <w:rPr>
                <w:rFonts w:ascii="宋体" w:hAnsi="宋体" w:cs="宋体" w:eastAsia="宋体" w:hint="default"/>
                <w:sz w:val="18"/>
                <w:szCs w:val="18"/>
              </w:rPr>
              <w:t>受本公司股 东控制</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6" w:right="139"/>
              <w:jc w:val="left"/>
              <w:rPr>
                <w:rFonts w:ascii="宋体" w:hAnsi="宋体" w:cs="宋体" w:eastAsia="宋体" w:hint="default"/>
                <w:sz w:val="18"/>
                <w:szCs w:val="18"/>
              </w:rPr>
            </w:pPr>
            <w:r>
              <w:rPr>
                <w:rFonts w:ascii="宋体" w:hAnsi="宋体" w:cs="宋体" w:eastAsia="宋体" w:hint="default"/>
                <w:sz w:val="18"/>
                <w:szCs w:val="18"/>
              </w:rPr>
              <w:t>视加慧联科 技有限公司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电视及视频、 信息通讯、网 络技术相关的 产品服务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23" w:right="0"/>
              <w:jc w:val="left"/>
              <w:rPr>
                <w:rFonts w:ascii="Times New Roman" w:hAnsi="Times New Roman" w:cs="Times New Roman" w:eastAsia="Times New Roman" w:hint="default"/>
                <w:sz w:val="18"/>
                <w:szCs w:val="18"/>
              </w:rPr>
            </w:pPr>
            <w:r>
              <w:rPr>
                <w:rFonts w:ascii="Times New Roman"/>
                <w:sz w:val="18"/>
              </w:rPr>
              <w:t>285.48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20" w:right="0"/>
              <w:jc w:val="left"/>
              <w:rPr>
                <w:rFonts w:ascii="Times New Roman" w:hAnsi="Times New Roman" w:cs="Times New Roman" w:eastAsia="Times New Roman" w:hint="default"/>
                <w:sz w:val="18"/>
                <w:szCs w:val="18"/>
              </w:rPr>
            </w:pPr>
            <w:r>
              <w:rPr>
                <w:rFonts w:ascii="Times New Roman"/>
                <w:sz w:val="18"/>
              </w:rPr>
              <w:t>233.89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63" w:right="0"/>
              <w:jc w:val="left"/>
              <w:rPr>
                <w:rFonts w:ascii="Times New Roman" w:hAnsi="Times New Roman" w:cs="Times New Roman" w:eastAsia="Times New Roman" w:hint="default"/>
                <w:sz w:val="18"/>
                <w:szCs w:val="18"/>
              </w:rPr>
            </w:pPr>
            <w:r>
              <w:rPr>
                <w:rFonts w:ascii="Times New Roman"/>
                <w:sz w:val="18"/>
              </w:rPr>
              <w:t>-216.11</w:t>
            </w:r>
          </w:p>
        </w:tc>
      </w:tr>
      <w:tr>
        <w:trPr>
          <w:trHeight w:val="715" w:hRule="exact"/>
        </w:trPr>
        <w:tc>
          <w:tcPr>
            <w:tcW w:w="214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5"/>
        <w:rPr>
          <w:rFonts w:ascii="宋体" w:hAnsi="宋体" w:cs="宋体" w:eastAsia="宋体" w:hint="default"/>
          <w:sz w:val="21"/>
          <w:szCs w:val="21"/>
        </w:rPr>
      </w:pPr>
    </w:p>
    <w:p>
      <w:pPr>
        <w:pStyle w:val="Heading3"/>
        <w:spacing w:line="240" w:lineRule="auto"/>
        <w:ind w:right="1129"/>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1129"/>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9"/>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9"/>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3"/>
        <w:rPr>
          <w:rFonts w:ascii="宋体" w:hAnsi="宋体" w:cs="宋体" w:eastAsia="宋体" w:hint="default"/>
          <w:sz w:val="21"/>
          <w:szCs w:val="21"/>
        </w:rPr>
      </w:pPr>
    </w:p>
    <w:p>
      <w:pPr>
        <w:pStyle w:val="Heading3"/>
        <w:spacing w:line="240" w:lineRule="auto"/>
        <w:ind w:right="1129"/>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after="0" w:line="340"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租赁情况说明</w:t>
      </w:r>
    </w:p>
    <w:p>
      <w:pPr>
        <w:spacing w:line="240" w:lineRule="auto" w:before="1"/>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293"/>
        <w:gridCol w:w="991"/>
        <w:gridCol w:w="2129"/>
        <w:gridCol w:w="2976"/>
        <w:gridCol w:w="2004"/>
        <w:gridCol w:w="691"/>
        <w:gridCol w:w="574"/>
      </w:tblGrid>
      <w:tr>
        <w:trPr>
          <w:trHeight w:val="653" w:hRule="exact"/>
        </w:trPr>
        <w:tc>
          <w:tcPr>
            <w:tcW w:w="293"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316" w:lineRule="auto" w:before="13"/>
              <w:ind w:left="48" w:right="48"/>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b/>
                <w:bCs/>
                <w:sz w:val="18"/>
                <w:szCs w:val="18"/>
              </w:rPr>
              <w:t>承租方</w:t>
            </w:r>
            <w:r>
              <w:rPr>
                <w:rFonts w:ascii="宋体" w:hAnsi="宋体" w:cs="宋体" w:eastAsia="宋体" w:hint="default"/>
                <w:sz w:val="18"/>
                <w:szCs w:val="18"/>
              </w:rPr>
            </w:r>
          </w:p>
        </w:tc>
        <w:tc>
          <w:tcPr>
            <w:tcW w:w="2129"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b/>
                <w:bCs/>
                <w:sz w:val="18"/>
                <w:szCs w:val="18"/>
              </w:rPr>
              <w:t>出租方</w:t>
            </w:r>
            <w:r>
              <w:rPr>
                <w:rFonts w:ascii="宋体" w:hAnsi="宋体" w:cs="宋体" w:eastAsia="宋体" w:hint="default"/>
                <w:sz w:val="18"/>
                <w:szCs w:val="18"/>
              </w:rPr>
            </w:r>
          </w:p>
        </w:tc>
        <w:tc>
          <w:tcPr>
            <w:tcW w:w="2976"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租赁房屋地址</w:t>
            </w:r>
            <w:r>
              <w:rPr>
                <w:rFonts w:ascii="宋体" w:hAnsi="宋体" w:cs="宋体" w:eastAsia="宋体" w:hint="default"/>
                <w:sz w:val="18"/>
                <w:szCs w:val="18"/>
              </w:rPr>
            </w:r>
          </w:p>
        </w:tc>
        <w:tc>
          <w:tcPr>
            <w:tcW w:w="2004"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租赁期间</w:t>
            </w:r>
            <w:r>
              <w:rPr>
                <w:rFonts w:ascii="宋体" w:hAnsi="宋体" w:cs="宋体" w:eastAsia="宋体" w:hint="default"/>
                <w:sz w:val="18"/>
                <w:szCs w:val="18"/>
              </w:rPr>
            </w:r>
          </w:p>
        </w:tc>
        <w:tc>
          <w:tcPr>
            <w:tcW w:w="691"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3"/>
              <w:ind w:left="155" w:right="0"/>
              <w:jc w:val="left"/>
              <w:rPr>
                <w:rFonts w:ascii="宋体" w:hAnsi="宋体" w:cs="宋体" w:eastAsia="宋体" w:hint="default"/>
                <w:sz w:val="18"/>
                <w:szCs w:val="18"/>
              </w:rPr>
            </w:pPr>
            <w:r>
              <w:rPr>
                <w:rFonts w:ascii="宋体" w:hAnsi="宋体" w:cs="宋体" w:eastAsia="宋体" w:hint="default"/>
                <w:b/>
                <w:bCs/>
                <w:sz w:val="18"/>
                <w:szCs w:val="18"/>
              </w:rPr>
              <w:t>面积</w:t>
            </w:r>
            <w:r>
              <w:rPr>
                <w:rFonts w:ascii="宋体" w:hAnsi="宋体" w:cs="宋体" w:eastAsia="宋体" w:hint="default"/>
                <w:sz w:val="18"/>
                <w:szCs w:val="18"/>
              </w:rPr>
            </w:r>
          </w:p>
        </w:tc>
        <w:tc>
          <w:tcPr>
            <w:tcW w:w="574"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b/>
                <w:bCs/>
                <w:sz w:val="18"/>
                <w:szCs w:val="18"/>
              </w:rPr>
              <w:t>用途</w:t>
            </w:r>
            <w:r>
              <w:rPr>
                <w:rFonts w:ascii="宋体" w:hAnsi="宋体" w:cs="宋体" w:eastAsia="宋体" w:hint="default"/>
                <w:sz w:val="18"/>
                <w:szCs w:val="18"/>
              </w:rPr>
            </w:r>
          </w:p>
        </w:tc>
      </w:tr>
      <w:tr>
        <w:trPr>
          <w:trHeight w:val="780"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北京朗新</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0"/>
              <w:ind w:left="67" w:right="65"/>
              <w:jc w:val="left"/>
              <w:rPr>
                <w:rFonts w:ascii="宋体" w:hAnsi="宋体" w:cs="宋体" w:eastAsia="宋体" w:hint="default"/>
                <w:sz w:val="18"/>
                <w:szCs w:val="18"/>
              </w:rPr>
            </w:pPr>
            <w:r>
              <w:rPr>
                <w:rFonts w:ascii="宋体" w:hAnsi="宋体" w:cs="宋体" w:eastAsia="宋体" w:hint="default"/>
                <w:sz w:val="18"/>
                <w:szCs w:val="18"/>
              </w:rPr>
              <w:t>北京北辰实业股份有限公 司写字楼经营管理分公司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80"/>
              <w:ind w:left="849" w:right="84" w:hanging="766"/>
              <w:jc w:val="left"/>
              <w:rPr>
                <w:rFonts w:ascii="宋体" w:hAnsi="宋体" w:cs="宋体" w:eastAsia="宋体" w:hint="default"/>
                <w:sz w:val="18"/>
                <w:szCs w:val="18"/>
              </w:rPr>
            </w:pPr>
            <w:r>
              <w:rPr>
                <w:rFonts w:ascii="宋体" w:hAnsi="宋体" w:cs="宋体" w:eastAsia="宋体" w:hint="default"/>
                <w:sz w:val="18"/>
                <w:szCs w:val="18"/>
              </w:rPr>
              <w:t>北京市朝阳区北辰东路</w:t>
            </w:r>
            <w:r>
              <w:rPr>
                <w:rFonts w:ascii="Times New Roman" w:hAnsi="Times New Roman" w:cs="Times New Roman" w:eastAsia="Times New Roman" w:hint="default"/>
                <w:sz w:val="18"/>
                <w:szCs w:val="18"/>
              </w:rPr>
              <w:t>8</w:t>
            </w:r>
            <w:r>
              <w:rPr>
                <w:rFonts w:ascii="宋体" w:hAnsi="宋体" w:cs="宋体" w:eastAsia="宋体" w:hint="default"/>
                <w:sz w:val="18"/>
                <w:szCs w:val="18"/>
              </w:rPr>
              <w:t>号北辰时代 大厦</w:t>
            </w:r>
            <w:r>
              <w:rPr>
                <w:rFonts w:ascii="Times New Roman" w:hAnsi="Times New Roman" w:cs="Times New Roman" w:eastAsia="Times New Roman" w:hint="default"/>
                <w:sz w:val="18"/>
                <w:szCs w:val="18"/>
              </w:rPr>
              <w:t>18</w:t>
            </w:r>
            <w:r>
              <w:rPr>
                <w:rFonts w:ascii="宋体" w:hAnsi="宋体" w:cs="宋体" w:eastAsia="宋体" w:hint="default"/>
                <w:sz w:val="18"/>
                <w:szCs w:val="18"/>
              </w:rPr>
              <w:t>层</w:t>
            </w:r>
            <w:r>
              <w:rPr>
                <w:rFonts w:ascii="Times New Roman" w:hAnsi="Times New Roman" w:cs="Times New Roman" w:eastAsia="Times New Roman" w:hint="default"/>
                <w:sz w:val="18"/>
                <w:szCs w:val="18"/>
              </w:rPr>
              <w:t>1801</w:t>
            </w:r>
            <w:r>
              <w:rPr>
                <w:rFonts w:ascii="宋体" w:hAnsi="宋体" w:cs="宋体" w:eastAsia="宋体" w:hint="default"/>
                <w:sz w:val="18"/>
                <w:szCs w:val="18"/>
              </w:rPr>
              <w:t>号</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2017.03.15-2020.03.14</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163.57</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80"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朗新科技</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7"/>
              <w:ind w:left="67" w:right="65"/>
              <w:jc w:val="left"/>
              <w:rPr>
                <w:rFonts w:ascii="宋体" w:hAnsi="宋体" w:cs="宋体" w:eastAsia="宋体" w:hint="default"/>
                <w:sz w:val="18"/>
                <w:szCs w:val="18"/>
              </w:rPr>
            </w:pPr>
            <w:r>
              <w:rPr>
                <w:rFonts w:ascii="宋体" w:hAnsi="宋体" w:cs="宋体" w:eastAsia="宋体" w:hint="default"/>
                <w:sz w:val="18"/>
                <w:szCs w:val="18"/>
              </w:rPr>
              <w:t>北京北辰实业股份有限公 司写字楼经营管理分公司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77"/>
              <w:ind w:left="525" w:right="84" w:hanging="442"/>
              <w:jc w:val="left"/>
              <w:rPr>
                <w:rFonts w:ascii="宋体" w:hAnsi="宋体" w:cs="宋体" w:eastAsia="宋体" w:hint="default"/>
                <w:sz w:val="18"/>
                <w:szCs w:val="18"/>
              </w:rPr>
            </w:pPr>
            <w:r>
              <w:rPr>
                <w:rFonts w:ascii="宋体" w:hAnsi="宋体" w:cs="宋体" w:eastAsia="宋体" w:hint="default"/>
                <w:sz w:val="18"/>
                <w:szCs w:val="18"/>
              </w:rPr>
              <w:t>北京市朝阳区北辰东路</w:t>
            </w:r>
            <w:r>
              <w:rPr>
                <w:rFonts w:ascii="Times New Roman" w:hAnsi="Times New Roman" w:cs="Times New Roman" w:eastAsia="Times New Roman" w:hint="default"/>
                <w:sz w:val="18"/>
                <w:szCs w:val="18"/>
              </w:rPr>
              <w:t>8</w:t>
            </w:r>
            <w:r>
              <w:rPr>
                <w:rFonts w:ascii="宋体" w:hAnsi="宋体" w:cs="宋体" w:eastAsia="宋体" w:hint="default"/>
                <w:sz w:val="18"/>
                <w:szCs w:val="18"/>
              </w:rPr>
              <w:t>号北辰时代 大厦</w:t>
            </w:r>
            <w:r>
              <w:rPr>
                <w:rFonts w:ascii="Times New Roman" w:hAnsi="Times New Roman" w:cs="Times New Roman" w:eastAsia="Times New Roman" w:hint="default"/>
                <w:sz w:val="18"/>
                <w:szCs w:val="18"/>
              </w:rPr>
              <w:t>18</w:t>
            </w:r>
            <w:r>
              <w:rPr>
                <w:rFonts w:ascii="宋体" w:hAnsi="宋体" w:cs="宋体" w:eastAsia="宋体" w:hint="default"/>
                <w:sz w:val="18"/>
                <w:szCs w:val="18"/>
              </w:rPr>
              <w:t>层</w:t>
            </w:r>
            <w:r>
              <w:rPr>
                <w:rFonts w:ascii="Times New Roman" w:hAnsi="Times New Roman" w:cs="Times New Roman" w:eastAsia="Times New Roman" w:hint="default"/>
                <w:sz w:val="18"/>
                <w:szCs w:val="18"/>
              </w:rPr>
              <w:t>1802-05/1807</w:t>
            </w:r>
            <w:r>
              <w:rPr>
                <w:rFonts w:ascii="宋体" w:hAnsi="宋体" w:cs="宋体" w:eastAsia="宋体" w:hint="default"/>
                <w:sz w:val="18"/>
                <w:szCs w:val="18"/>
              </w:rPr>
              <w:t>号</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2017.03.15-2020.03.14</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725.68</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78"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朗新科技</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7"/>
              <w:ind w:left="67" w:right="65"/>
              <w:jc w:val="left"/>
              <w:rPr>
                <w:rFonts w:ascii="宋体" w:hAnsi="宋体" w:cs="宋体" w:eastAsia="宋体" w:hint="default"/>
                <w:sz w:val="18"/>
                <w:szCs w:val="18"/>
              </w:rPr>
            </w:pPr>
            <w:r>
              <w:rPr>
                <w:rFonts w:ascii="宋体" w:hAnsi="宋体" w:cs="宋体" w:eastAsia="宋体" w:hint="default"/>
                <w:sz w:val="18"/>
                <w:szCs w:val="18"/>
              </w:rPr>
              <w:t>北京北辰实业股份有限公 司写字楼经营管理分公司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77"/>
              <w:ind w:left="729" w:right="84" w:hanging="646"/>
              <w:jc w:val="left"/>
              <w:rPr>
                <w:rFonts w:ascii="宋体" w:hAnsi="宋体" w:cs="宋体" w:eastAsia="宋体" w:hint="default"/>
                <w:sz w:val="18"/>
                <w:szCs w:val="18"/>
              </w:rPr>
            </w:pPr>
            <w:r>
              <w:rPr>
                <w:rFonts w:ascii="宋体" w:hAnsi="宋体" w:cs="宋体" w:eastAsia="宋体" w:hint="default"/>
                <w:sz w:val="18"/>
                <w:szCs w:val="18"/>
              </w:rPr>
              <w:t>北京市朝阳区北辰东路</w:t>
            </w:r>
            <w:r>
              <w:rPr>
                <w:rFonts w:ascii="Times New Roman" w:hAnsi="Times New Roman" w:cs="Times New Roman" w:eastAsia="Times New Roman" w:hint="default"/>
                <w:sz w:val="18"/>
                <w:szCs w:val="18"/>
              </w:rPr>
              <w:t>8</w:t>
            </w:r>
            <w:r>
              <w:rPr>
                <w:rFonts w:ascii="宋体" w:hAnsi="宋体" w:cs="宋体" w:eastAsia="宋体" w:hint="default"/>
                <w:sz w:val="18"/>
                <w:szCs w:val="18"/>
              </w:rPr>
              <w:t>号北辰时代 大厦</w:t>
            </w:r>
            <w:r>
              <w:rPr>
                <w:rFonts w:ascii="Times New Roman" w:hAnsi="Times New Roman" w:cs="Times New Roman" w:eastAsia="Times New Roman" w:hint="default"/>
                <w:sz w:val="18"/>
                <w:szCs w:val="18"/>
              </w:rPr>
              <w:t>18</w:t>
            </w:r>
            <w:r>
              <w:rPr>
                <w:rFonts w:ascii="宋体" w:hAnsi="宋体" w:cs="宋体" w:eastAsia="宋体" w:hint="default"/>
                <w:sz w:val="18"/>
                <w:szCs w:val="18"/>
              </w:rPr>
              <w:t>层</w:t>
            </w:r>
            <w:r>
              <w:rPr>
                <w:rFonts w:ascii="Times New Roman" w:hAnsi="Times New Roman" w:cs="Times New Roman" w:eastAsia="Times New Roman" w:hint="default"/>
                <w:sz w:val="18"/>
                <w:szCs w:val="18"/>
              </w:rPr>
              <w:t>1802-05</w:t>
            </w:r>
            <w:r>
              <w:rPr>
                <w:rFonts w:ascii="宋体" w:hAnsi="宋体" w:cs="宋体" w:eastAsia="宋体" w:hint="default"/>
                <w:sz w:val="18"/>
                <w:szCs w:val="18"/>
              </w:rPr>
              <w:t>号</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2018.10.15-2020.03.14</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484.47</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80"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朗新科技</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0"/>
              <w:ind w:left="67" w:right="65"/>
              <w:jc w:val="left"/>
              <w:rPr>
                <w:rFonts w:ascii="宋体" w:hAnsi="宋体" w:cs="宋体" w:eastAsia="宋体" w:hint="default"/>
                <w:sz w:val="18"/>
                <w:szCs w:val="18"/>
              </w:rPr>
            </w:pPr>
            <w:r>
              <w:rPr>
                <w:rFonts w:ascii="宋体" w:hAnsi="宋体" w:cs="宋体" w:eastAsia="宋体" w:hint="default"/>
                <w:sz w:val="18"/>
                <w:szCs w:val="18"/>
              </w:rPr>
              <w:t>北京北辰实业股份有限公 司写字楼经营管理分公司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80"/>
              <w:ind w:left="729" w:right="84" w:hanging="646"/>
              <w:jc w:val="left"/>
              <w:rPr>
                <w:rFonts w:ascii="宋体" w:hAnsi="宋体" w:cs="宋体" w:eastAsia="宋体" w:hint="default"/>
                <w:sz w:val="18"/>
                <w:szCs w:val="18"/>
              </w:rPr>
            </w:pPr>
            <w:r>
              <w:rPr>
                <w:rFonts w:ascii="宋体" w:hAnsi="宋体" w:cs="宋体" w:eastAsia="宋体" w:hint="default"/>
                <w:sz w:val="18"/>
                <w:szCs w:val="18"/>
              </w:rPr>
              <w:t>北京市朝阳区北辰东路</w:t>
            </w:r>
            <w:r>
              <w:rPr>
                <w:rFonts w:ascii="Times New Roman" w:hAnsi="Times New Roman" w:cs="Times New Roman" w:eastAsia="Times New Roman" w:hint="default"/>
                <w:sz w:val="18"/>
                <w:szCs w:val="18"/>
              </w:rPr>
              <w:t>8</w:t>
            </w:r>
            <w:r>
              <w:rPr>
                <w:rFonts w:ascii="宋体" w:hAnsi="宋体" w:cs="宋体" w:eastAsia="宋体" w:hint="default"/>
                <w:sz w:val="18"/>
                <w:szCs w:val="18"/>
              </w:rPr>
              <w:t>号北辰时代 大厦</w:t>
            </w:r>
            <w:r>
              <w:rPr>
                <w:rFonts w:ascii="Times New Roman" w:hAnsi="Times New Roman" w:cs="Times New Roman" w:eastAsia="Times New Roman" w:hint="default"/>
                <w:sz w:val="18"/>
                <w:szCs w:val="18"/>
              </w:rPr>
              <w:t>18</w:t>
            </w:r>
            <w:r>
              <w:rPr>
                <w:rFonts w:ascii="宋体" w:hAnsi="宋体" w:cs="宋体" w:eastAsia="宋体" w:hint="default"/>
                <w:sz w:val="18"/>
                <w:szCs w:val="18"/>
              </w:rPr>
              <w:t>层</w:t>
            </w:r>
            <w:r>
              <w:rPr>
                <w:rFonts w:ascii="Times New Roman" w:hAnsi="Times New Roman" w:cs="Times New Roman" w:eastAsia="Times New Roman" w:hint="default"/>
                <w:sz w:val="18"/>
                <w:szCs w:val="18"/>
              </w:rPr>
              <w:t>1808-15</w:t>
            </w:r>
            <w:r>
              <w:rPr>
                <w:rFonts w:ascii="宋体" w:hAnsi="宋体" w:cs="宋体" w:eastAsia="宋体" w:hint="default"/>
                <w:sz w:val="18"/>
                <w:szCs w:val="18"/>
              </w:rPr>
              <w:t>号</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2018.07.15-2021.07.14</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1148.22</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78"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北京分公司</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7"/>
              <w:ind w:left="67" w:right="65"/>
              <w:jc w:val="left"/>
              <w:rPr>
                <w:rFonts w:ascii="宋体" w:hAnsi="宋体" w:cs="宋体" w:eastAsia="宋体" w:hint="default"/>
                <w:sz w:val="18"/>
                <w:szCs w:val="18"/>
              </w:rPr>
            </w:pPr>
            <w:r>
              <w:rPr>
                <w:rFonts w:ascii="宋体" w:hAnsi="宋体" w:cs="宋体" w:eastAsia="宋体" w:hint="default"/>
                <w:sz w:val="18"/>
                <w:szCs w:val="18"/>
              </w:rPr>
              <w:t>北京北辰实业股份有限公 司写字楼经营管理分公司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77"/>
              <w:ind w:left="849" w:right="84" w:hanging="766"/>
              <w:jc w:val="left"/>
              <w:rPr>
                <w:rFonts w:ascii="宋体" w:hAnsi="宋体" w:cs="宋体" w:eastAsia="宋体" w:hint="default"/>
                <w:sz w:val="18"/>
                <w:szCs w:val="18"/>
              </w:rPr>
            </w:pPr>
            <w:r>
              <w:rPr>
                <w:rFonts w:ascii="宋体" w:hAnsi="宋体" w:cs="宋体" w:eastAsia="宋体" w:hint="default"/>
                <w:sz w:val="18"/>
                <w:szCs w:val="18"/>
              </w:rPr>
              <w:t>北京市朝阳区北辰东路</w:t>
            </w:r>
            <w:r>
              <w:rPr>
                <w:rFonts w:ascii="Times New Roman" w:hAnsi="Times New Roman" w:cs="Times New Roman" w:eastAsia="Times New Roman" w:hint="default"/>
                <w:sz w:val="18"/>
                <w:szCs w:val="18"/>
              </w:rPr>
              <w:t>8</w:t>
            </w:r>
            <w:r>
              <w:rPr>
                <w:rFonts w:ascii="宋体" w:hAnsi="宋体" w:cs="宋体" w:eastAsia="宋体" w:hint="default"/>
                <w:sz w:val="18"/>
                <w:szCs w:val="18"/>
              </w:rPr>
              <w:t>号北辰时代 大厦</w:t>
            </w:r>
            <w:r>
              <w:rPr>
                <w:rFonts w:ascii="Times New Roman" w:hAnsi="Times New Roman" w:cs="Times New Roman" w:eastAsia="Times New Roman" w:hint="default"/>
                <w:sz w:val="18"/>
                <w:szCs w:val="18"/>
              </w:rPr>
              <w:t>18</w:t>
            </w:r>
            <w:r>
              <w:rPr>
                <w:rFonts w:ascii="宋体" w:hAnsi="宋体" w:cs="宋体" w:eastAsia="宋体" w:hint="default"/>
                <w:sz w:val="18"/>
                <w:szCs w:val="18"/>
              </w:rPr>
              <w:t>层</w:t>
            </w:r>
            <w:r>
              <w:rPr>
                <w:rFonts w:ascii="Times New Roman" w:hAnsi="Times New Roman" w:cs="Times New Roman" w:eastAsia="Times New Roman" w:hint="default"/>
                <w:sz w:val="18"/>
                <w:szCs w:val="18"/>
              </w:rPr>
              <w:t>1806</w:t>
            </w:r>
            <w:r>
              <w:rPr>
                <w:rFonts w:ascii="宋体" w:hAnsi="宋体" w:cs="宋体" w:eastAsia="宋体" w:hint="default"/>
                <w:sz w:val="18"/>
                <w:szCs w:val="18"/>
              </w:rPr>
              <w:t>号</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2017.03.15-2020.03.14</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161.49</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468"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 w:right="0"/>
              <w:jc w:val="left"/>
              <w:rPr>
                <w:rFonts w:ascii="Times New Roman" w:hAnsi="Times New Roman" w:cs="Times New Roman" w:eastAsia="Times New Roman" w:hint="default"/>
                <w:sz w:val="18"/>
                <w:szCs w:val="18"/>
              </w:rPr>
            </w:pPr>
            <w:r>
              <w:rPr>
                <w:rFonts w:ascii="Times New Roman"/>
                <w:sz w:val="18"/>
              </w:rPr>
              <w:t>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朗新科技</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杭州东部软件园有限公司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杭州市文三路</w:t>
            </w:r>
            <w:r>
              <w:rPr>
                <w:rFonts w:ascii="Times New Roman" w:hAnsi="Times New Roman" w:cs="Times New Roman" w:eastAsia="Times New Roman" w:hint="default"/>
                <w:sz w:val="18"/>
                <w:szCs w:val="18"/>
              </w:rPr>
              <w:t>90</w:t>
            </w:r>
            <w:r>
              <w:rPr>
                <w:rFonts w:ascii="宋体" w:hAnsi="宋体" w:cs="宋体" w:eastAsia="宋体" w:hint="default"/>
                <w:sz w:val="18"/>
                <w:szCs w:val="18"/>
              </w:rPr>
              <w:t>号</w:t>
            </w:r>
            <w:r>
              <w:rPr>
                <w:rFonts w:ascii="Times New Roman" w:hAnsi="Times New Roman" w:cs="Times New Roman" w:eastAsia="Times New Roman" w:hint="default"/>
                <w:sz w:val="18"/>
                <w:szCs w:val="18"/>
              </w:rPr>
              <w:t>71</w:t>
            </w:r>
            <w:r>
              <w:rPr>
                <w:rFonts w:ascii="宋体" w:hAnsi="宋体" w:cs="宋体" w:eastAsia="宋体" w:hint="default"/>
                <w:sz w:val="18"/>
                <w:szCs w:val="18"/>
              </w:rPr>
              <w:t>幢</w:t>
            </w:r>
            <w:r>
              <w:rPr>
                <w:rFonts w:ascii="Times New Roman" w:hAnsi="Times New Roman" w:cs="Times New Roman" w:eastAsia="Times New Roman" w:hint="default"/>
                <w:sz w:val="18"/>
                <w:szCs w:val="18"/>
              </w:rPr>
              <w:t>16</w:t>
            </w:r>
            <w:r>
              <w:rPr>
                <w:rFonts w:ascii="宋体" w:hAnsi="宋体" w:cs="宋体" w:eastAsia="宋体" w:hint="default"/>
                <w:sz w:val="18"/>
                <w:szCs w:val="18"/>
              </w:rPr>
              <w:t>层</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2018.07.30-2021.07.29</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45" w:right="0"/>
              <w:jc w:val="left"/>
              <w:rPr>
                <w:rFonts w:ascii="Times New Roman" w:hAnsi="Times New Roman" w:cs="Times New Roman" w:eastAsia="Times New Roman" w:hint="default"/>
                <w:sz w:val="18"/>
                <w:szCs w:val="18"/>
              </w:rPr>
            </w:pPr>
            <w:r>
              <w:rPr>
                <w:rFonts w:ascii="Times New Roman"/>
                <w:sz w:val="18"/>
              </w:rPr>
              <w:t>1892.08</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468"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18"/>
                <w:szCs w:val="18"/>
              </w:rPr>
            </w:pPr>
            <w:r>
              <w:rPr>
                <w:rFonts w:ascii="Times New Roman"/>
                <w:sz w:val="18"/>
              </w:rPr>
              <w:t>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朗新科技</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杭州东部软件园有限公司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杭州市文三路</w:t>
            </w:r>
            <w:r>
              <w:rPr>
                <w:rFonts w:ascii="Times New Roman" w:hAnsi="Times New Roman" w:cs="Times New Roman" w:eastAsia="Times New Roman" w:hint="default"/>
                <w:sz w:val="18"/>
                <w:szCs w:val="18"/>
              </w:rPr>
              <w:t>90</w:t>
            </w:r>
            <w:r>
              <w:rPr>
                <w:rFonts w:ascii="宋体" w:hAnsi="宋体" w:cs="宋体" w:eastAsia="宋体" w:hint="default"/>
                <w:sz w:val="18"/>
                <w:szCs w:val="18"/>
              </w:rPr>
              <w:t>号</w:t>
            </w:r>
            <w:r>
              <w:rPr>
                <w:rFonts w:ascii="Times New Roman" w:hAnsi="Times New Roman" w:cs="Times New Roman" w:eastAsia="Times New Roman" w:hint="default"/>
                <w:sz w:val="18"/>
                <w:szCs w:val="18"/>
              </w:rPr>
              <w:t>71</w:t>
            </w:r>
            <w:r>
              <w:rPr>
                <w:rFonts w:ascii="宋体" w:hAnsi="宋体" w:cs="宋体" w:eastAsia="宋体" w:hint="default"/>
                <w:sz w:val="18"/>
                <w:szCs w:val="18"/>
              </w:rPr>
              <w:t>幢</w:t>
            </w:r>
            <w:r>
              <w:rPr>
                <w:rFonts w:ascii="Times New Roman" w:hAnsi="Times New Roman" w:cs="Times New Roman" w:eastAsia="Times New Roman" w:hint="default"/>
                <w:sz w:val="18"/>
                <w:szCs w:val="18"/>
              </w:rPr>
              <w:t>1</w:t>
            </w:r>
            <w:r>
              <w:rPr>
                <w:rFonts w:ascii="宋体" w:hAnsi="宋体" w:cs="宋体" w:eastAsia="宋体" w:hint="default"/>
                <w:sz w:val="18"/>
                <w:szCs w:val="18"/>
              </w:rPr>
              <w:t>层</w:t>
            </w:r>
            <w:r>
              <w:rPr>
                <w:rFonts w:ascii="Times New Roman" w:hAnsi="Times New Roman" w:cs="Times New Roman" w:eastAsia="Times New Roman" w:hint="default"/>
                <w:sz w:val="18"/>
                <w:szCs w:val="18"/>
              </w:rPr>
              <w:t>B</w:t>
            </w:r>
            <w:r>
              <w:rPr>
                <w:rFonts w:ascii="宋体" w:hAnsi="宋体" w:cs="宋体" w:eastAsia="宋体" w:hint="default"/>
                <w:sz w:val="18"/>
                <w:szCs w:val="18"/>
              </w:rPr>
              <w:t>座</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2018.07.30-2021.07.29</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45" w:right="0"/>
              <w:jc w:val="left"/>
              <w:rPr>
                <w:rFonts w:ascii="Times New Roman" w:hAnsi="Times New Roman" w:cs="Times New Roman" w:eastAsia="Times New Roman" w:hint="default"/>
                <w:sz w:val="18"/>
                <w:szCs w:val="18"/>
              </w:rPr>
            </w:pPr>
            <w:r>
              <w:rPr>
                <w:rFonts w:ascii="Times New Roman"/>
                <w:sz w:val="18"/>
              </w:rPr>
              <w:t>1374.23</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466"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18"/>
                <w:szCs w:val="18"/>
              </w:rPr>
            </w:pPr>
            <w:r>
              <w:rPr>
                <w:rFonts w:ascii="Times New Roman"/>
                <w:sz w:val="18"/>
              </w:rPr>
              <w:t>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朗新科技</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杭州东部软件园有限公司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杭州市文三路</w:t>
            </w:r>
            <w:r>
              <w:rPr>
                <w:rFonts w:ascii="Times New Roman" w:hAnsi="Times New Roman" w:cs="Times New Roman" w:eastAsia="Times New Roman" w:hint="default"/>
                <w:sz w:val="18"/>
                <w:szCs w:val="18"/>
              </w:rPr>
              <w:t>90</w:t>
            </w:r>
            <w:r>
              <w:rPr>
                <w:rFonts w:ascii="宋体" w:hAnsi="宋体" w:cs="宋体" w:eastAsia="宋体" w:hint="default"/>
                <w:sz w:val="18"/>
                <w:szCs w:val="18"/>
              </w:rPr>
              <w:t>号</w:t>
            </w:r>
            <w:r>
              <w:rPr>
                <w:rFonts w:ascii="Times New Roman" w:hAnsi="Times New Roman" w:cs="Times New Roman" w:eastAsia="Times New Roman" w:hint="default"/>
                <w:sz w:val="18"/>
                <w:szCs w:val="18"/>
              </w:rPr>
              <w:t>71</w:t>
            </w:r>
            <w:r>
              <w:rPr>
                <w:rFonts w:ascii="宋体" w:hAnsi="宋体" w:cs="宋体" w:eastAsia="宋体" w:hint="default"/>
                <w:sz w:val="18"/>
                <w:szCs w:val="18"/>
              </w:rPr>
              <w:t>幢</w:t>
            </w:r>
            <w:r>
              <w:rPr>
                <w:rFonts w:ascii="Times New Roman" w:hAnsi="Times New Roman" w:cs="Times New Roman" w:eastAsia="Times New Roman" w:hint="default"/>
                <w:sz w:val="18"/>
                <w:szCs w:val="18"/>
              </w:rPr>
              <w:t>1</w:t>
            </w:r>
            <w:r>
              <w:rPr>
                <w:rFonts w:ascii="宋体" w:hAnsi="宋体" w:cs="宋体" w:eastAsia="宋体" w:hint="default"/>
                <w:sz w:val="18"/>
                <w:szCs w:val="18"/>
              </w:rPr>
              <w:t>层东</w:t>
            </w:r>
            <w:r>
              <w:rPr>
                <w:rFonts w:ascii="Times New Roman" w:hAnsi="Times New Roman" w:cs="Times New Roman" w:eastAsia="Times New Roman" w:hint="default"/>
                <w:sz w:val="18"/>
                <w:szCs w:val="18"/>
              </w:rPr>
              <w:t>101</w:t>
            </w:r>
            <w:r>
              <w:rPr>
                <w:rFonts w:ascii="宋体" w:hAnsi="宋体" w:cs="宋体" w:eastAsia="宋体" w:hint="default"/>
                <w:sz w:val="18"/>
                <w:szCs w:val="18"/>
              </w:rPr>
              <w:t>房间</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2018.07.30-2021.07.29</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91" w:right="0"/>
              <w:jc w:val="left"/>
              <w:rPr>
                <w:rFonts w:ascii="Times New Roman" w:hAnsi="Times New Roman" w:cs="Times New Roman" w:eastAsia="Times New Roman" w:hint="default"/>
                <w:sz w:val="18"/>
                <w:szCs w:val="18"/>
              </w:rPr>
            </w:pPr>
            <w:r>
              <w:rPr>
                <w:rFonts w:ascii="Times New Roman"/>
                <w:sz w:val="18"/>
              </w:rPr>
              <w:t>337.00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80"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朗新智能</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0"/>
              <w:ind w:left="518" w:right="65" w:hanging="452"/>
              <w:jc w:val="left"/>
              <w:rPr>
                <w:rFonts w:ascii="宋体" w:hAnsi="宋体" w:cs="宋体" w:eastAsia="宋体" w:hint="default"/>
                <w:sz w:val="18"/>
                <w:szCs w:val="18"/>
              </w:rPr>
            </w:pPr>
            <w:r>
              <w:rPr>
                <w:rFonts w:ascii="宋体" w:hAnsi="宋体" w:cs="宋体" w:eastAsia="宋体" w:hint="default"/>
                <w:sz w:val="18"/>
                <w:szCs w:val="18"/>
              </w:rPr>
              <w:t>杭州市下城区人民政府长 庆街道办事处</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杭州市下城区水星阁</w:t>
            </w:r>
            <w:r>
              <w:rPr>
                <w:rFonts w:ascii="Times New Roman" w:hAnsi="Times New Roman" w:cs="Times New Roman" w:eastAsia="Times New Roman" w:hint="default"/>
                <w:sz w:val="18"/>
                <w:szCs w:val="18"/>
              </w:rPr>
              <w:t>27</w:t>
            </w:r>
            <w:r>
              <w:rPr>
                <w:rFonts w:ascii="宋体" w:hAnsi="宋体" w:cs="宋体" w:eastAsia="宋体" w:hint="default"/>
                <w:sz w:val="18"/>
                <w:szCs w:val="18"/>
              </w:rPr>
              <w:t>幢</w:t>
            </w:r>
            <w:r>
              <w:rPr>
                <w:rFonts w:ascii="Times New Roman" w:hAnsi="Times New Roman" w:cs="Times New Roman" w:eastAsia="Times New Roman" w:hint="default"/>
                <w:sz w:val="18"/>
                <w:szCs w:val="18"/>
              </w:rPr>
              <w:t>207</w:t>
            </w:r>
            <w:r>
              <w:rPr>
                <w:rFonts w:ascii="宋体" w:hAnsi="宋体" w:cs="宋体" w:eastAsia="宋体" w:hint="default"/>
                <w:sz w:val="18"/>
                <w:szCs w:val="18"/>
              </w:rPr>
              <w:t>室</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2018.03.14-2019.03.13</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25.00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78"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杭州分公司</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7"/>
              <w:ind w:left="518" w:right="65" w:hanging="452"/>
              <w:jc w:val="left"/>
              <w:rPr>
                <w:rFonts w:ascii="宋体" w:hAnsi="宋体" w:cs="宋体" w:eastAsia="宋体" w:hint="default"/>
                <w:sz w:val="18"/>
                <w:szCs w:val="18"/>
              </w:rPr>
            </w:pPr>
            <w:r>
              <w:rPr>
                <w:rFonts w:ascii="宋体" w:hAnsi="宋体" w:cs="宋体" w:eastAsia="宋体" w:hint="default"/>
                <w:sz w:val="18"/>
                <w:szCs w:val="18"/>
              </w:rPr>
              <w:t>杭州市下城区人民政府长 庆街道办事处</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杭州市下城区新坝</w:t>
            </w:r>
            <w:r>
              <w:rPr>
                <w:rFonts w:ascii="Times New Roman" w:hAnsi="Times New Roman" w:cs="Times New Roman" w:eastAsia="Times New Roman" w:hint="default"/>
                <w:sz w:val="18"/>
                <w:szCs w:val="18"/>
              </w:rPr>
              <w:t>1</w:t>
            </w:r>
            <w:r>
              <w:rPr>
                <w:rFonts w:ascii="宋体" w:hAnsi="宋体" w:cs="宋体" w:eastAsia="宋体" w:hint="default"/>
                <w:sz w:val="18"/>
                <w:szCs w:val="18"/>
              </w:rPr>
              <w:t>号</w:t>
            </w:r>
            <w:r>
              <w:rPr>
                <w:rFonts w:ascii="Times New Roman" w:hAnsi="Times New Roman" w:cs="Times New Roman" w:eastAsia="Times New Roman" w:hint="default"/>
                <w:sz w:val="18"/>
                <w:szCs w:val="18"/>
              </w:rPr>
              <w:t>606</w:t>
            </w:r>
            <w:r>
              <w:rPr>
                <w:rFonts w:ascii="宋体" w:hAnsi="宋体" w:cs="宋体" w:eastAsia="宋体" w:hint="default"/>
                <w:sz w:val="18"/>
                <w:szCs w:val="18"/>
              </w:rPr>
              <w:t>室</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2018.08.15-2019.08.14</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25.00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80"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朗新科技</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0"/>
              <w:ind w:left="607" w:right="-1" w:hanging="603"/>
              <w:jc w:val="left"/>
              <w:rPr>
                <w:rFonts w:ascii="宋体" w:hAnsi="宋体" w:cs="宋体" w:eastAsia="宋体" w:hint="default"/>
                <w:sz w:val="18"/>
                <w:szCs w:val="18"/>
              </w:rPr>
            </w:pPr>
            <w:r>
              <w:rPr>
                <w:rFonts w:ascii="宋体" w:hAnsi="宋体" w:cs="宋体" w:eastAsia="宋体" w:hint="default"/>
                <w:spacing w:val="-5"/>
                <w:sz w:val="18"/>
                <w:szCs w:val="18"/>
              </w:rPr>
              <w:t>张伟、刘中愉、刘任强、陈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建设、刘虹</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0"/>
              <w:ind w:left="415" w:right="38" w:hanging="375"/>
              <w:jc w:val="left"/>
              <w:rPr>
                <w:rFonts w:ascii="宋体" w:hAnsi="宋体" w:cs="宋体" w:eastAsia="宋体" w:hint="default"/>
                <w:sz w:val="18"/>
                <w:szCs w:val="18"/>
              </w:rPr>
            </w:pPr>
            <w:r>
              <w:rPr>
                <w:rFonts w:ascii="宋体" w:hAnsi="宋体" w:cs="宋体" w:eastAsia="宋体" w:hint="default"/>
                <w:sz w:val="18"/>
                <w:szCs w:val="18"/>
              </w:rPr>
              <w:t>武汉市东湖开发区光谷软件园中路以 西光谷软件园六期</w:t>
            </w:r>
            <w:r>
              <w:rPr>
                <w:rFonts w:ascii="Times New Roman" w:hAnsi="Times New Roman" w:cs="Times New Roman" w:eastAsia="Times New Roman" w:hint="default"/>
                <w:sz w:val="18"/>
                <w:szCs w:val="18"/>
              </w:rPr>
              <w:t>2</w:t>
            </w:r>
            <w:r>
              <w:rPr>
                <w:rFonts w:ascii="宋体" w:hAnsi="宋体" w:cs="宋体" w:eastAsia="宋体" w:hint="default"/>
                <w:sz w:val="18"/>
                <w:szCs w:val="18"/>
              </w:rPr>
              <w:t>栋</w:t>
            </w:r>
            <w:r>
              <w:rPr>
                <w:rFonts w:ascii="Times New Roman" w:hAnsi="Times New Roman" w:cs="Times New Roman" w:eastAsia="Times New Roman" w:hint="default"/>
                <w:sz w:val="18"/>
                <w:szCs w:val="18"/>
              </w:rPr>
              <w:t>2-3</w:t>
            </w:r>
            <w:r>
              <w:rPr>
                <w:rFonts w:ascii="宋体" w:hAnsi="宋体" w:cs="宋体" w:eastAsia="宋体" w:hint="default"/>
                <w:sz w:val="18"/>
                <w:szCs w:val="18"/>
              </w:rPr>
              <w:t>层</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2018.03.15-2021.03.14</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3272.95</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78"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厦门分公司</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7"/>
              <w:ind w:left="607" w:right="65" w:hanging="540"/>
              <w:jc w:val="left"/>
              <w:rPr>
                <w:rFonts w:ascii="宋体" w:hAnsi="宋体" w:cs="宋体" w:eastAsia="宋体" w:hint="default"/>
                <w:sz w:val="18"/>
                <w:szCs w:val="18"/>
              </w:rPr>
            </w:pPr>
            <w:r>
              <w:rPr>
                <w:rFonts w:ascii="宋体" w:hAnsi="宋体" w:cs="宋体" w:eastAsia="宋体" w:hint="default"/>
                <w:sz w:val="18"/>
                <w:szCs w:val="18"/>
              </w:rPr>
              <w:t>厦门市湖里区国有资产投 资有限公司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厦门市软件园望海路</w:t>
            </w:r>
            <w:r>
              <w:rPr>
                <w:rFonts w:ascii="Times New Roman" w:hAnsi="Times New Roman" w:cs="Times New Roman" w:eastAsia="Times New Roman" w:hint="default"/>
                <w:sz w:val="18"/>
                <w:szCs w:val="18"/>
              </w:rPr>
              <w:t>65</w:t>
            </w:r>
            <w:r>
              <w:rPr>
                <w:rFonts w:ascii="宋体" w:hAnsi="宋体" w:cs="宋体" w:eastAsia="宋体" w:hint="default"/>
                <w:sz w:val="18"/>
                <w:szCs w:val="18"/>
              </w:rPr>
              <w:t>号北楼</w:t>
            </w:r>
            <w:r>
              <w:rPr>
                <w:rFonts w:ascii="Times New Roman" w:hAnsi="Times New Roman" w:cs="Times New Roman" w:eastAsia="Times New Roman" w:hint="default"/>
                <w:sz w:val="18"/>
                <w:szCs w:val="18"/>
              </w:rPr>
              <w:t>9</w:t>
            </w:r>
            <w:r>
              <w:rPr>
                <w:rFonts w:ascii="宋体" w:hAnsi="宋体" w:cs="宋体" w:eastAsia="宋体" w:hint="default"/>
                <w:sz w:val="18"/>
                <w:szCs w:val="18"/>
              </w:rPr>
              <w:t>层</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2016.10.16-2021.10.30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1665.14</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80"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朗新科技</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0"/>
              <w:ind w:left="967" w:right="65" w:hanging="900"/>
              <w:jc w:val="left"/>
              <w:rPr>
                <w:rFonts w:ascii="宋体" w:hAnsi="宋体" w:cs="宋体" w:eastAsia="宋体" w:hint="default"/>
                <w:sz w:val="18"/>
                <w:szCs w:val="18"/>
              </w:rPr>
            </w:pPr>
            <w:r>
              <w:rPr>
                <w:rFonts w:ascii="宋体" w:hAnsi="宋体" w:cs="宋体" w:eastAsia="宋体" w:hint="default"/>
                <w:sz w:val="18"/>
                <w:szCs w:val="18"/>
              </w:rPr>
              <w:t>国网湖北电力实业有限公 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80"/>
              <w:ind w:left="940" w:right="84" w:hanging="857"/>
              <w:jc w:val="left"/>
              <w:rPr>
                <w:rFonts w:ascii="宋体" w:hAnsi="宋体" w:cs="宋体" w:eastAsia="宋体" w:hint="default"/>
                <w:sz w:val="18"/>
                <w:szCs w:val="18"/>
              </w:rPr>
            </w:pPr>
            <w:r>
              <w:rPr>
                <w:rFonts w:ascii="宋体" w:hAnsi="宋体" w:cs="宋体" w:eastAsia="宋体" w:hint="default"/>
                <w:sz w:val="18"/>
                <w:szCs w:val="18"/>
              </w:rPr>
              <w:t>湖北省武汉市武昌中北路</w:t>
            </w:r>
            <w:r>
              <w:rPr>
                <w:rFonts w:ascii="Times New Roman" w:hAnsi="Times New Roman" w:cs="Times New Roman" w:eastAsia="Times New Roman" w:hint="default"/>
                <w:sz w:val="18"/>
                <w:szCs w:val="18"/>
              </w:rPr>
              <w:t>156</w:t>
            </w:r>
            <w:r>
              <w:rPr>
                <w:rFonts w:ascii="宋体" w:hAnsi="宋体" w:cs="宋体" w:eastAsia="宋体" w:hint="default"/>
                <w:sz w:val="18"/>
                <w:szCs w:val="18"/>
              </w:rPr>
              <w:t>号长源 大厦</w:t>
            </w:r>
            <w:r>
              <w:rPr>
                <w:rFonts w:ascii="Times New Roman" w:hAnsi="Times New Roman" w:cs="Times New Roman" w:eastAsia="Times New Roman" w:hint="default"/>
                <w:sz w:val="18"/>
                <w:szCs w:val="18"/>
              </w:rPr>
              <w:t>18</w:t>
            </w:r>
            <w:r>
              <w:rPr>
                <w:rFonts w:ascii="宋体" w:hAnsi="宋体" w:cs="宋体" w:eastAsia="宋体" w:hint="default"/>
                <w:sz w:val="18"/>
                <w:szCs w:val="18"/>
              </w:rPr>
              <w:t>层整层</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2018.04.25-2019.04.24</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486.00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80"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北京朗新</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7"/>
              <w:ind w:left="967" w:right="65" w:hanging="900"/>
              <w:jc w:val="left"/>
              <w:rPr>
                <w:rFonts w:ascii="宋体" w:hAnsi="宋体" w:cs="宋体" w:eastAsia="宋体" w:hint="default"/>
                <w:sz w:val="18"/>
                <w:szCs w:val="18"/>
              </w:rPr>
            </w:pPr>
            <w:r>
              <w:rPr>
                <w:rFonts w:ascii="宋体" w:hAnsi="宋体" w:cs="宋体" w:eastAsia="宋体" w:hint="default"/>
                <w:sz w:val="18"/>
                <w:szCs w:val="18"/>
              </w:rPr>
              <w:t>北京瑞企创业科技有限公 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77"/>
              <w:ind w:left="849" w:right="85" w:hanging="766"/>
              <w:jc w:val="left"/>
              <w:rPr>
                <w:rFonts w:ascii="宋体" w:hAnsi="宋体" w:cs="宋体" w:eastAsia="宋体" w:hint="default"/>
                <w:sz w:val="18"/>
                <w:szCs w:val="18"/>
              </w:rPr>
            </w:pPr>
            <w:r>
              <w:rPr>
                <w:rFonts w:ascii="宋体" w:hAnsi="宋体" w:cs="宋体" w:eastAsia="宋体" w:hint="default"/>
                <w:sz w:val="18"/>
                <w:szCs w:val="18"/>
              </w:rPr>
              <w:t>北京市海淀区知春路</w:t>
            </w:r>
            <w:r>
              <w:rPr>
                <w:rFonts w:ascii="Times New Roman" w:hAnsi="Times New Roman" w:cs="Times New Roman" w:eastAsia="Times New Roman" w:hint="default"/>
                <w:sz w:val="18"/>
                <w:szCs w:val="18"/>
              </w:rPr>
              <w:t>51</w:t>
            </w:r>
            <w:r>
              <w:rPr>
                <w:rFonts w:ascii="宋体" w:hAnsi="宋体" w:cs="宋体" w:eastAsia="宋体" w:hint="default"/>
                <w:sz w:val="18"/>
                <w:szCs w:val="18"/>
              </w:rPr>
              <w:t>号慎昌大厦</w:t>
            </w:r>
            <w:r>
              <w:rPr>
                <w:rFonts w:ascii="Times New Roman" w:hAnsi="Times New Roman" w:cs="Times New Roman" w:eastAsia="Times New Roman" w:hint="default"/>
                <w:sz w:val="18"/>
                <w:szCs w:val="18"/>
              </w:rPr>
              <w:t>5 </w:t>
            </w:r>
            <w:r>
              <w:rPr>
                <w:rFonts w:ascii="宋体" w:hAnsi="宋体" w:cs="宋体" w:eastAsia="宋体" w:hint="default"/>
                <w:sz w:val="18"/>
                <w:szCs w:val="18"/>
              </w:rPr>
              <w:t>层第</w:t>
            </w:r>
            <w:r>
              <w:rPr>
                <w:rFonts w:ascii="Times New Roman" w:hAnsi="Times New Roman" w:cs="Times New Roman" w:eastAsia="Times New Roman" w:hint="default"/>
                <w:sz w:val="18"/>
                <w:szCs w:val="18"/>
              </w:rPr>
              <w:t>4568</w:t>
            </w:r>
            <w:r>
              <w:rPr>
                <w:rFonts w:ascii="宋体" w:hAnsi="宋体" w:cs="宋体" w:eastAsia="宋体" w:hint="default"/>
                <w:sz w:val="18"/>
                <w:szCs w:val="18"/>
              </w:rPr>
              <w:t>号房屋</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2019.01.01-2019.12.31</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20.00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78"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广州分公司</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广州市南辉贸易有限公司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广州市海珠区金菊路</w:t>
            </w:r>
            <w:r>
              <w:rPr>
                <w:rFonts w:ascii="Times New Roman" w:hAnsi="Times New Roman" w:cs="Times New Roman" w:eastAsia="Times New Roman" w:hint="default"/>
                <w:sz w:val="18"/>
                <w:szCs w:val="18"/>
              </w:rPr>
              <w:t>10</w:t>
            </w:r>
            <w:r>
              <w:rPr>
                <w:rFonts w:ascii="宋体" w:hAnsi="宋体" w:cs="宋体" w:eastAsia="宋体" w:hint="default"/>
                <w:sz w:val="18"/>
                <w:szCs w:val="18"/>
              </w:rPr>
              <w:t>号</w:t>
            </w:r>
            <w:r>
              <w:rPr>
                <w:rFonts w:ascii="Times New Roman" w:hAnsi="Times New Roman" w:cs="Times New Roman" w:eastAsia="Times New Roman" w:hint="default"/>
                <w:sz w:val="18"/>
                <w:szCs w:val="18"/>
              </w:rPr>
              <w:t>401</w:t>
            </w:r>
            <w:r>
              <w:rPr>
                <w:rFonts w:ascii="宋体" w:hAnsi="宋体" w:cs="宋体" w:eastAsia="宋体" w:hint="default"/>
                <w:sz w:val="18"/>
                <w:szCs w:val="18"/>
              </w:rPr>
              <w:t>房自编</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4A</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2017.04.01-2019.03.31</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1570.00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80"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广州分公司</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0"/>
              <w:ind w:left="427" w:right="65" w:hanging="360"/>
              <w:jc w:val="left"/>
              <w:rPr>
                <w:rFonts w:ascii="宋体" w:hAnsi="宋体" w:cs="宋体" w:eastAsia="宋体" w:hint="default"/>
                <w:sz w:val="18"/>
                <w:szCs w:val="18"/>
              </w:rPr>
            </w:pPr>
            <w:r>
              <w:rPr>
                <w:rFonts w:ascii="宋体" w:hAnsi="宋体" w:cs="宋体" w:eastAsia="宋体" w:hint="default"/>
                <w:sz w:val="18"/>
                <w:szCs w:val="18"/>
              </w:rPr>
              <w:t>广州怡顺房地产开发有限 公司琶洲分公司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80"/>
              <w:ind w:left="623" w:right="38" w:hanging="584"/>
              <w:jc w:val="left"/>
              <w:rPr>
                <w:rFonts w:ascii="宋体" w:hAnsi="宋体" w:cs="宋体" w:eastAsia="宋体" w:hint="default"/>
                <w:sz w:val="18"/>
                <w:szCs w:val="18"/>
              </w:rPr>
            </w:pPr>
            <w:r>
              <w:rPr>
                <w:rFonts w:ascii="宋体" w:hAnsi="宋体" w:cs="宋体" w:eastAsia="宋体" w:hint="default"/>
                <w:sz w:val="18"/>
                <w:szCs w:val="18"/>
              </w:rPr>
              <w:t>广州市海珠区暄悦东街</w:t>
            </w:r>
            <w:r>
              <w:rPr>
                <w:rFonts w:ascii="Times New Roman" w:hAnsi="Times New Roman" w:cs="Times New Roman" w:eastAsia="Times New Roman" w:hint="default"/>
                <w:sz w:val="18"/>
                <w:szCs w:val="18"/>
              </w:rPr>
              <w:t>23</w:t>
            </w:r>
            <w:r>
              <w:rPr>
                <w:rFonts w:ascii="宋体" w:hAnsi="宋体" w:cs="宋体" w:eastAsia="宋体" w:hint="default"/>
                <w:sz w:val="18"/>
                <w:szCs w:val="18"/>
              </w:rPr>
              <w:t>号保利中悦 广场第</w:t>
            </w:r>
            <w:r>
              <w:rPr>
                <w:rFonts w:ascii="Times New Roman" w:hAnsi="Times New Roman" w:cs="Times New Roman" w:eastAsia="Times New Roman" w:hint="default"/>
                <w:sz w:val="18"/>
                <w:szCs w:val="18"/>
              </w:rPr>
              <w:t>22</w:t>
            </w:r>
            <w:r>
              <w:rPr>
                <w:rFonts w:ascii="宋体" w:hAnsi="宋体" w:cs="宋体" w:eastAsia="宋体" w:hint="default"/>
                <w:sz w:val="18"/>
                <w:szCs w:val="18"/>
              </w:rPr>
              <w:t>层自编</w:t>
            </w:r>
            <w:r>
              <w:rPr>
                <w:rFonts w:ascii="Times New Roman" w:hAnsi="Times New Roman" w:cs="Times New Roman" w:eastAsia="Times New Roman" w:hint="default"/>
                <w:sz w:val="18"/>
                <w:szCs w:val="18"/>
              </w:rPr>
              <w:t>3</w:t>
            </w:r>
            <w:r>
              <w:rPr>
                <w:rFonts w:ascii="宋体" w:hAnsi="宋体" w:cs="宋体" w:eastAsia="宋体" w:hint="default"/>
                <w:sz w:val="18"/>
                <w:szCs w:val="18"/>
              </w:rPr>
              <w:t>单元</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2018.10.01-2023.09.30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690.00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93"/>
        <w:gridCol w:w="991"/>
        <w:gridCol w:w="2129"/>
        <w:gridCol w:w="2976"/>
        <w:gridCol w:w="2004"/>
        <w:gridCol w:w="691"/>
        <w:gridCol w:w="574"/>
      </w:tblGrid>
      <w:tr>
        <w:trPr>
          <w:trHeight w:val="780"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朗新科技</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7"/>
              <w:ind w:left="967" w:right="65" w:hanging="900"/>
              <w:jc w:val="left"/>
              <w:rPr>
                <w:rFonts w:ascii="宋体" w:hAnsi="宋体" w:cs="宋体" w:eastAsia="宋体" w:hint="default"/>
                <w:sz w:val="18"/>
                <w:szCs w:val="18"/>
              </w:rPr>
            </w:pPr>
            <w:r>
              <w:rPr>
                <w:rFonts w:ascii="宋体" w:hAnsi="宋体" w:cs="宋体" w:eastAsia="宋体" w:hint="default"/>
                <w:sz w:val="18"/>
                <w:szCs w:val="18"/>
              </w:rPr>
              <w:t>无锡软件产业发展有限公 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77"/>
              <w:ind w:left="520" w:right="38" w:hanging="481"/>
              <w:jc w:val="left"/>
              <w:rPr>
                <w:rFonts w:ascii="宋体" w:hAnsi="宋体" w:cs="宋体" w:eastAsia="宋体" w:hint="default"/>
                <w:sz w:val="18"/>
                <w:szCs w:val="18"/>
              </w:rPr>
            </w:pPr>
            <w:r>
              <w:rPr>
                <w:rFonts w:ascii="宋体" w:hAnsi="宋体" w:cs="宋体" w:eastAsia="宋体" w:hint="default"/>
                <w:sz w:val="18"/>
                <w:szCs w:val="18"/>
              </w:rPr>
              <w:t>江苏省无锡市新区净慧东道</w:t>
            </w:r>
            <w:r>
              <w:rPr>
                <w:rFonts w:ascii="Times New Roman" w:hAnsi="Times New Roman" w:cs="Times New Roman" w:eastAsia="Times New Roman" w:hint="default"/>
                <w:sz w:val="18"/>
                <w:szCs w:val="18"/>
              </w:rPr>
              <w:t>90</w:t>
            </w:r>
            <w:r>
              <w:rPr>
                <w:rFonts w:ascii="宋体" w:hAnsi="宋体" w:cs="宋体" w:eastAsia="宋体" w:hint="default"/>
                <w:sz w:val="18"/>
                <w:szCs w:val="18"/>
              </w:rPr>
              <w:t>号无锡 软件园天鹅座</w:t>
            </w:r>
            <w:r>
              <w:rPr>
                <w:rFonts w:ascii="Times New Roman" w:hAnsi="Times New Roman" w:cs="Times New Roman" w:eastAsia="Times New Roman" w:hint="default"/>
                <w:sz w:val="18"/>
                <w:szCs w:val="18"/>
              </w:rPr>
              <w:t>B</w:t>
            </w:r>
            <w:r>
              <w:rPr>
                <w:rFonts w:ascii="宋体" w:hAnsi="宋体" w:cs="宋体" w:eastAsia="宋体" w:hint="default"/>
                <w:sz w:val="18"/>
                <w:szCs w:val="18"/>
              </w:rPr>
              <w:t>栋</w:t>
            </w:r>
            <w:r>
              <w:rPr>
                <w:rFonts w:ascii="Times New Roman" w:hAnsi="Times New Roman" w:cs="Times New Roman" w:eastAsia="Times New Roman" w:hint="default"/>
                <w:sz w:val="18"/>
                <w:szCs w:val="18"/>
              </w:rPr>
              <w:t>1101</w:t>
            </w:r>
            <w:r>
              <w:rPr>
                <w:rFonts w:ascii="宋体" w:hAnsi="宋体" w:cs="宋体" w:eastAsia="宋体" w:hint="default"/>
                <w:sz w:val="18"/>
                <w:szCs w:val="18"/>
              </w:rPr>
              <w:t>室</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2019.01.01-2020.12.31</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970.00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78"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嘉兴新耀</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7"/>
              <w:ind w:left="787" w:right="65" w:hanging="720"/>
              <w:jc w:val="left"/>
              <w:rPr>
                <w:rFonts w:ascii="宋体" w:hAnsi="宋体" w:cs="宋体" w:eastAsia="宋体" w:hint="default"/>
                <w:sz w:val="18"/>
                <w:szCs w:val="18"/>
              </w:rPr>
            </w:pPr>
            <w:r>
              <w:rPr>
                <w:rFonts w:ascii="宋体" w:hAnsi="宋体" w:cs="宋体" w:eastAsia="宋体" w:hint="default"/>
                <w:sz w:val="18"/>
                <w:szCs w:val="18"/>
              </w:rPr>
              <w:t>浙江科技孵化开发建设有 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嘉兴市秀洲新区丽晶广场</w:t>
            </w:r>
            <w:r>
              <w:rPr>
                <w:rFonts w:ascii="Times New Roman" w:hAnsi="Times New Roman" w:cs="Times New Roman" w:eastAsia="Times New Roman" w:hint="default"/>
                <w:sz w:val="18"/>
                <w:szCs w:val="18"/>
              </w:rPr>
              <w:t>1</w:t>
            </w:r>
            <w:r>
              <w:rPr>
                <w:rFonts w:ascii="宋体" w:hAnsi="宋体" w:cs="宋体" w:eastAsia="宋体" w:hint="default"/>
                <w:sz w:val="18"/>
                <w:szCs w:val="18"/>
              </w:rPr>
              <w:t>幢</w:t>
            </w:r>
            <w:r>
              <w:rPr>
                <w:rFonts w:ascii="Times New Roman" w:hAnsi="Times New Roman" w:cs="Times New Roman" w:eastAsia="Times New Roman" w:hint="default"/>
                <w:sz w:val="18"/>
                <w:szCs w:val="18"/>
              </w:rPr>
              <w:t>501</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2016.11.01-2019.02.28</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80"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朗新金关</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0"/>
              <w:ind w:left="967" w:right="65" w:hanging="900"/>
              <w:jc w:val="left"/>
              <w:rPr>
                <w:rFonts w:ascii="宋体" w:hAnsi="宋体" w:cs="宋体" w:eastAsia="宋体" w:hint="default"/>
                <w:sz w:val="18"/>
                <w:szCs w:val="18"/>
              </w:rPr>
            </w:pPr>
            <w:r>
              <w:rPr>
                <w:rFonts w:ascii="宋体" w:hAnsi="宋体" w:cs="宋体" w:eastAsia="宋体" w:hint="default"/>
                <w:sz w:val="18"/>
                <w:szCs w:val="18"/>
              </w:rPr>
              <w:t>无锡软件产业发展有限公 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80"/>
              <w:ind w:left="520" w:right="38" w:hanging="481"/>
              <w:jc w:val="left"/>
              <w:rPr>
                <w:rFonts w:ascii="宋体" w:hAnsi="宋体" w:cs="宋体" w:eastAsia="宋体" w:hint="default"/>
                <w:sz w:val="18"/>
                <w:szCs w:val="18"/>
              </w:rPr>
            </w:pPr>
            <w:r>
              <w:rPr>
                <w:rFonts w:ascii="宋体" w:hAnsi="宋体" w:cs="宋体" w:eastAsia="宋体" w:hint="default"/>
                <w:sz w:val="18"/>
                <w:szCs w:val="18"/>
              </w:rPr>
              <w:t>江苏省无锡市新区净慧东道</w:t>
            </w:r>
            <w:r>
              <w:rPr>
                <w:rFonts w:ascii="Times New Roman" w:hAnsi="Times New Roman" w:cs="Times New Roman" w:eastAsia="Times New Roman" w:hint="default"/>
                <w:sz w:val="18"/>
                <w:szCs w:val="18"/>
              </w:rPr>
              <w:t>90</w:t>
            </w:r>
            <w:r>
              <w:rPr>
                <w:rFonts w:ascii="宋体" w:hAnsi="宋体" w:cs="宋体" w:eastAsia="宋体" w:hint="default"/>
                <w:sz w:val="18"/>
                <w:szCs w:val="18"/>
              </w:rPr>
              <w:t>号无锡 软件园天鹅座</w:t>
            </w:r>
            <w:r>
              <w:rPr>
                <w:rFonts w:ascii="Times New Roman" w:hAnsi="Times New Roman" w:cs="Times New Roman" w:eastAsia="Times New Roman" w:hint="default"/>
                <w:sz w:val="18"/>
                <w:szCs w:val="18"/>
              </w:rPr>
              <w:t>B</w:t>
            </w:r>
            <w:r>
              <w:rPr>
                <w:rFonts w:ascii="宋体" w:hAnsi="宋体" w:cs="宋体" w:eastAsia="宋体" w:hint="default"/>
                <w:sz w:val="18"/>
                <w:szCs w:val="18"/>
              </w:rPr>
              <w:t>栋</w:t>
            </w:r>
            <w:r>
              <w:rPr>
                <w:rFonts w:ascii="Times New Roman" w:hAnsi="Times New Roman" w:cs="Times New Roman" w:eastAsia="Times New Roman" w:hint="default"/>
                <w:sz w:val="18"/>
                <w:szCs w:val="18"/>
              </w:rPr>
              <w:t>1102</w:t>
            </w:r>
            <w:r>
              <w:rPr>
                <w:rFonts w:ascii="宋体" w:hAnsi="宋体" w:cs="宋体" w:eastAsia="宋体" w:hint="default"/>
                <w:sz w:val="18"/>
                <w:szCs w:val="18"/>
              </w:rPr>
              <w:t>室</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2019.01.01-2020.12.31</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600.00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78"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朗新金关</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7"/>
              <w:ind w:left="427" w:right="0" w:hanging="423"/>
              <w:jc w:val="left"/>
              <w:rPr>
                <w:rFonts w:ascii="宋体" w:hAnsi="宋体" w:cs="宋体" w:eastAsia="宋体" w:hint="default"/>
                <w:sz w:val="18"/>
                <w:szCs w:val="18"/>
              </w:rPr>
            </w:pPr>
            <w:r>
              <w:rPr>
                <w:rFonts w:ascii="宋体" w:hAnsi="宋体" w:cs="宋体" w:eastAsia="宋体" w:hint="default"/>
                <w:spacing w:val="-5"/>
                <w:sz w:val="18"/>
                <w:szCs w:val="18"/>
              </w:rPr>
              <w:t>腾飞科技园发展（苏州工业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园区）有限公司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江苏省苏州市工业园区新平街</w:t>
            </w:r>
            <w:r>
              <w:rPr>
                <w:rFonts w:ascii="Times New Roman" w:hAnsi="Times New Roman" w:cs="Times New Roman" w:eastAsia="Times New Roman" w:hint="default"/>
                <w:sz w:val="18"/>
                <w:szCs w:val="18"/>
              </w:rPr>
              <w:t>388</w:t>
            </w:r>
            <w:r>
              <w:rPr>
                <w:rFonts w:ascii="宋体" w:hAnsi="宋体" w:cs="宋体" w:eastAsia="宋体" w:hint="default"/>
                <w:sz w:val="18"/>
                <w:szCs w:val="18"/>
              </w:rPr>
              <w:t>号</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2018.08.27-2021.08.26</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204.00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80"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朗新金关</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0"/>
              <w:ind w:left="787" w:right="0" w:hanging="783"/>
              <w:jc w:val="left"/>
              <w:rPr>
                <w:rFonts w:ascii="宋体" w:hAnsi="宋体" w:cs="宋体" w:eastAsia="宋体" w:hint="default"/>
                <w:sz w:val="18"/>
                <w:szCs w:val="18"/>
              </w:rPr>
            </w:pPr>
            <w:r>
              <w:rPr>
                <w:rFonts w:ascii="宋体" w:hAnsi="宋体" w:cs="宋体" w:eastAsia="宋体" w:hint="default"/>
                <w:spacing w:val="-5"/>
                <w:sz w:val="18"/>
                <w:szCs w:val="18"/>
              </w:rPr>
              <w:t>氪空间（天津）信息技术有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80"/>
              <w:ind w:left="1255" w:right="84" w:hanging="1172"/>
              <w:jc w:val="left"/>
              <w:rPr>
                <w:rFonts w:ascii="Times New Roman" w:hAnsi="Times New Roman" w:cs="Times New Roman" w:eastAsia="Times New Roman" w:hint="default"/>
                <w:sz w:val="18"/>
                <w:szCs w:val="18"/>
              </w:rPr>
            </w:pPr>
            <w:r>
              <w:rPr>
                <w:rFonts w:ascii="宋体" w:hAnsi="宋体" w:cs="宋体" w:eastAsia="宋体" w:hint="default"/>
                <w:sz w:val="18"/>
                <w:szCs w:val="18"/>
              </w:rPr>
              <w:t>天津市和平区南京路</w:t>
            </w:r>
            <w:r>
              <w:rPr>
                <w:rFonts w:ascii="Times New Roman" w:hAnsi="Times New Roman" w:cs="Times New Roman" w:eastAsia="Times New Roman" w:hint="default"/>
                <w:sz w:val="18"/>
                <w:szCs w:val="18"/>
              </w:rPr>
              <w:t>199</w:t>
            </w:r>
            <w:r>
              <w:rPr>
                <w:rFonts w:ascii="宋体" w:hAnsi="宋体" w:cs="宋体" w:eastAsia="宋体" w:hint="default"/>
                <w:sz w:val="18"/>
                <w:szCs w:val="18"/>
              </w:rPr>
              <w:t>号号外时尚 馆</w:t>
            </w:r>
            <w:r>
              <w:rPr>
                <w:rFonts w:ascii="Times New Roman" w:hAnsi="Times New Roman" w:cs="Times New Roman" w:eastAsia="Times New Roman" w:hint="default"/>
                <w:sz w:val="18"/>
                <w:szCs w:val="18"/>
              </w:rPr>
              <w:t>501</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2019.04.01-2019.06.30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72.38</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78"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瀚云科技</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7"/>
              <w:ind w:left="967" w:right="65" w:hanging="900"/>
              <w:jc w:val="left"/>
              <w:rPr>
                <w:rFonts w:ascii="宋体" w:hAnsi="宋体" w:cs="宋体" w:eastAsia="宋体" w:hint="default"/>
                <w:sz w:val="18"/>
                <w:szCs w:val="18"/>
              </w:rPr>
            </w:pPr>
            <w:r>
              <w:rPr>
                <w:rFonts w:ascii="宋体" w:hAnsi="宋体" w:cs="宋体" w:eastAsia="宋体" w:hint="default"/>
                <w:sz w:val="18"/>
                <w:szCs w:val="18"/>
              </w:rPr>
              <w:t>无锡软件产业发展有限公 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77"/>
              <w:ind w:left="520" w:right="38" w:hanging="481"/>
              <w:jc w:val="left"/>
              <w:rPr>
                <w:rFonts w:ascii="宋体" w:hAnsi="宋体" w:cs="宋体" w:eastAsia="宋体" w:hint="default"/>
                <w:sz w:val="18"/>
                <w:szCs w:val="18"/>
              </w:rPr>
            </w:pPr>
            <w:r>
              <w:rPr>
                <w:rFonts w:ascii="宋体" w:hAnsi="宋体" w:cs="宋体" w:eastAsia="宋体" w:hint="default"/>
                <w:sz w:val="18"/>
                <w:szCs w:val="18"/>
              </w:rPr>
              <w:t>江苏省无锡市新区净慧东道</w:t>
            </w:r>
            <w:r>
              <w:rPr>
                <w:rFonts w:ascii="Times New Roman" w:hAnsi="Times New Roman" w:cs="Times New Roman" w:eastAsia="Times New Roman" w:hint="default"/>
                <w:sz w:val="18"/>
                <w:szCs w:val="18"/>
              </w:rPr>
              <w:t>90</w:t>
            </w:r>
            <w:r>
              <w:rPr>
                <w:rFonts w:ascii="宋体" w:hAnsi="宋体" w:cs="宋体" w:eastAsia="宋体" w:hint="default"/>
                <w:sz w:val="18"/>
                <w:szCs w:val="18"/>
              </w:rPr>
              <w:t>号无锡 软件园天鹅座</w:t>
            </w:r>
            <w:r>
              <w:rPr>
                <w:rFonts w:ascii="Times New Roman" w:hAnsi="Times New Roman" w:cs="Times New Roman" w:eastAsia="Times New Roman" w:hint="default"/>
                <w:sz w:val="18"/>
                <w:szCs w:val="18"/>
              </w:rPr>
              <w:t>B</w:t>
            </w:r>
            <w:r>
              <w:rPr>
                <w:rFonts w:ascii="宋体" w:hAnsi="宋体" w:cs="宋体" w:eastAsia="宋体" w:hint="default"/>
                <w:sz w:val="18"/>
                <w:szCs w:val="18"/>
              </w:rPr>
              <w:t>栋</w:t>
            </w:r>
            <w:r>
              <w:rPr>
                <w:rFonts w:ascii="Times New Roman" w:hAnsi="Times New Roman" w:cs="Times New Roman" w:eastAsia="Times New Roman" w:hint="default"/>
                <w:sz w:val="18"/>
                <w:szCs w:val="18"/>
              </w:rPr>
              <w:t>1103</w:t>
            </w:r>
            <w:r>
              <w:rPr>
                <w:rFonts w:ascii="宋体" w:hAnsi="宋体" w:cs="宋体" w:eastAsia="宋体" w:hint="default"/>
                <w:sz w:val="18"/>
                <w:szCs w:val="18"/>
              </w:rPr>
              <w:t>室</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2019.01.01-2020.12.31</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900.00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80"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瀚云重庆</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0"/>
              <w:ind w:left="787" w:right="65" w:hanging="720"/>
              <w:jc w:val="left"/>
              <w:rPr>
                <w:rFonts w:ascii="宋体" w:hAnsi="宋体" w:cs="宋体" w:eastAsia="宋体" w:hint="default"/>
                <w:sz w:val="18"/>
                <w:szCs w:val="18"/>
              </w:rPr>
            </w:pPr>
            <w:r>
              <w:rPr>
                <w:rFonts w:ascii="宋体" w:hAnsi="宋体" w:cs="宋体" w:eastAsia="宋体" w:hint="default"/>
                <w:sz w:val="18"/>
                <w:szCs w:val="18"/>
              </w:rPr>
              <w:t>重庆渝高新兴科技发展有 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重庆市北部新区高新园总部基地</w:t>
            </w:r>
            <w:r>
              <w:rPr>
                <w:rFonts w:ascii="Times New Roman" w:hAnsi="Times New Roman" w:cs="Times New Roman" w:eastAsia="Times New Roman" w:hint="default"/>
                <w:sz w:val="18"/>
                <w:szCs w:val="18"/>
              </w:rPr>
              <w:t>A1</w:t>
            </w:r>
            <w:r>
              <w:rPr>
                <w:rFonts w:ascii="宋体" w:hAnsi="宋体" w:cs="宋体" w:eastAsia="宋体" w:hint="default"/>
                <w:sz w:val="18"/>
                <w:szCs w:val="18"/>
              </w:rPr>
              <w:t>座</w:t>
            </w:r>
          </w:p>
          <w:p>
            <w:pPr>
              <w:pStyle w:val="TableParagraph"/>
              <w:spacing w:line="240" w:lineRule="auto" w:before="6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203</w:t>
            </w:r>
            <w:r>
              <w:rPr>
                <w:rFonts w:ascii="宋体" w:hAnsi="宋体" w:cs="宋体" w:eastAsia="宋体" w:hint="default"/>
                <w:sz w:val="18"/>
                <w:szCs w:val="18"/>
              </w:rPr>
              <w:t>室</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2018.08.07-2019.03.06</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129.40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80"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上海朗新</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7"/>
              <w:ind w:left="427" w:right="0" w:hanging="423"/>
              <w:jc w:val="left"/>
              <w:rPr>
                <w:rFonts w:ascii="宋体" w:hAnsi="宋体" w:cs="宋体" w:eastAsia="宋体" w:hint="default"/>
                <w:sz w:val="18"/>
                <w:szCs w:val="18"/>
              </w:rPr>
            </w:pPr>
            <w:r>
              <w:rPr>
                <w:rFonts w:ascii="宋体" w:hAnsi="宋体" w:cs="宋体" w:eastAsia="宋体" w:hint="default"/>
                <w:spacing w:val="-5"/>
                <w:sz w:val="18"/>
                <w:szCs w:val="18"/>
              </w:rPr>
              <w:t>上海久隆电力（集团）有限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公司物资分公司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上海市徐汇区南丹东路</w:t>
            </w:r>
            <w:r>
              <w:rPr>
                <w:rFonts w:ascii="Times New Roman" w:hAnsi="Times New Roman" w:cs="Times New Roman" w:eastAsia="Times New Roman" w:hint="default"/>
                <w:sz w:val="18"/>
                <w:szCs w:val="18"/>
              </w:rPr>
              <w:t>188</w:t>
            </w:r>
            <w:r>
              <w:rPr>
                <w:rFonts w:ascii="宋体" w:hAnsi="宋体" w:cs="宋体" w:eastAsia="宋体" w:hint="default"/>
                <w:sz w:val="18"/>
                <w:szCs w:val="18"/>
              </w:rPr>
              <w:t>号</w:t>
            </w:r>
            <w:r>
              <w:rPr>
                <w:rFonts w:ascii="Times New Roman" w:hAnsi="Times New Roman" w:cs="Times New Roman" w:eastAsia="Times New Roman" w:hint="default"/>
                <w:sz w:val="18"/>
                <w:szCs w:val="18"/>
              </w:rPr>
              <w:t>1</w:t>
            </w:r>
            <w:r>
              <w:rPr>
                <w:rFonts w:ascii="宋体" w:hAnsi="宋体" w:cs="宋体" w:eastAsia="宋体" w:hint="default"/>
                <w:sz w:val="18"/>
                <w:szCs w:val="18"/>
              </w:rPr>
              <w:t>幢</w:t>
            </w:r>
          </w:p>
          <w:p>
            <w:pPr>
              <w:pStyle w:val="TableParagraph"/>
              <w:spacing w:line="240" w:lineRule="auto" w:before="6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1102</w:t>
            </w:r>
            <w:r>
              <w:rPr>
                <w:rFonts w:ascii="宋体" w:hAnsi="宋体" w:cs="宋体" w:eastAsia="宋体" w:hint="default"/>
                <w:sz w:val="18"/>
                <w:szCs w:val="18"/>
              </w:rPr>
              <w:t>、</w:t>
            </w:r>
            <w:r>
              <w:rPr>
                <w:rFonts w:ascii="Times New Roman" w:hAnsi="Times New Roman" w:cs="Times New Roman" w:eastAsia="Times New Roman" w:hint="default"/>
                <w:sz w:val="18"/>
                <w:szCs w:val="18"/>
              </w:rPr>
              <w:t>1104</w:t>
            </w:r>
            <w:r>
              <w:rPr>
                <w:rFonts w:ascii="宋体" w:hAnsi="宋体" w:cs="宋体" w:eastAsia="宋体" w:hint="default"/>
                <w:sz w:val="18"/>
                <w:szCs w:val="18"/>
              </w:rPr>
              <w:t>室</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2017.03.01-2019.02.28</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213.59</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1462"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上海朗新</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427" w:right="0" w:hanging="423"/>
              <w:jc w:val="left"/>
              <w:rPr>
                <w:rFonts w:ascii="宋体" w:hAnsi="宋体" w:cs="宋体" w:eastAsia="宋体" w:hint="default"/>
                <w:sz w:val="18"/>
                <w:szCs w:val="18"/>
              </w:rPr>
            </w:pPr>
            <w:r>
              <w:rPr>
                <w:rFonts w:ascii="宋体" w:hAnsi="宋体" w:cs="宋体" w:eastAsia="宋体" w:hint="default"/>
                <w:spacing w:val="-5"/>
                <w:sz w:val="18"/>
                <w:szCs w:val="18"/>
              </w:rPr>
              <w:t>上海久隆电力（集团）有限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公司物资分公司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上海市徐汇区南丹东路</w:t>
            </w:r>
            <w:r>
              <w:rPr>
                <w:rFonts w:ascii="Times New Roman" w:hAnsi="Times New Roman" w:cs="Times New Roman" w:eastAsia="Times New Roman" w:hint="default"/>
                <w:sz w:val="18"/>
                <w:szCs w:val="18"/>
              </w:rPr>
              <w:t>188</w:t>
            </w:r>
            <w:r>
              <w:rPr>
                <w:rFonts w:ascii="宋体" w:hAnsi="宋体" w:cs="宋体" w:eastAsia="宋体" w:hint="default"/>
                <w:sz w:val="18"/>
                <w:szCs w:val="18"/>
              </w:rPr>
              <w:t>号</w:t>
            </w:r>
            <w:r>
              <w:rPr>
                <w:rFonts w:ascii="Times New Roman" w:hAnsi="Times New Roman" w:cs="Times New Roman" w:eastAsia="Times New Roman" w:hint="default"/>
                <w:sz w:val="18"/>
                <w:szCs w:val="18"/>
              </w:rPr>
              <w:t>1</w:t>
            </w:r>
            <w:r>
              <w:rPr>
                <w:rFonts w:ascii="宋体" w:hAnsi="宋体" w:cs="宋体" w:eastAsia="宋体" w:hint="default"/>
                <w:sz w:val="18"/>
                <w:szCs w:val="18"/>
              </w:rPr>
              <w:t>幢</w:t>
            </w:r>
          </w:p>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1103</w:t>
            </w:r>
            <w:r>
              <w:rPr>
                <w:rFonts w:ascii="宋体" w:hAnsi="宋体" w:cs="宋体" w:eastAsia="宋体" w:hint="default"/>
                <w:sz w:val="18"/>
                <w:szCs w:val="18"/>
              </w:rPr>
              <w:t>、</w:t>
            </w:r>
            <w:r>
              <w:rPr>
                <w:rFonts w:ascii="Times New Roman" w:hAnsi="Times New Roman" w:cs="Times New Roman" w:eastAsia="Times New Roman" w:hint="default"/>
                <w:sz w:val="18"/>
                <w:szCs w:val="18"/>
              </w:rPr>
              <w:t>1105</w:t>
            </w:r>
            <w:r>
              <w:rPr>
                <w:rFonts w:ascii="宋体" w:hAnsi="宋体" w:cs="宋体" w:eastAsia="宋体" w:hint="default"/>
                <w:sz w:val="18"/>
                <w:szCs w:val="18"/>
              </w:rPr>
              <w:t>、</w:t>
            </w:r>
            <w:r>
              <w:rPr>
                <w:rFonts w:ascii="Times New Roman" w:hAnsi="Times New Roman" w:cs="Times New Roman" w:eastAsia="Times New Roman" w:hint="default"/>
                <w:sz w:val="18"/>
                <w:szCs w:val="18"/>
              </w:rPr>
              <w:t>1106</w:t>
            </w:r>
            <w:r>
              <w:rPr>
                <w:rFonts w:ascii="宋体" w:hAnsi="宋体" w:cs="宋体" w:eastAsia="宋体" w:hint="default"/>
                <w:sz w:val="18"/>
                <w:szCs w:val="18"/>
              </w:rPr>
              <w:t>室</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1105</w:t>
            </w:r>
            <w:r>
              <w:rPr>
                <w:rFonts w:ascii="宋体" w:hAnsi="宋体" w:cs="宋体" w:eastAsia="宋体" w:hint="default"/>
                <w:sz w:val="18"/>
                <w:szCs w:val="18"/>
              </w:rPr>
              <w:t>：</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2017.03.15-2019.05.14</w:t>
            </w:r>
          </w:p>
          <w:p>
            <w:pPr>
              <w:pStyle w:val="TableParagraph"/>
              <w:spacing w:line="240" w:lineRule="auto" w:before="12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1103.1106</w:t>
            </w:r>
            <w:r>
              <w:rPr>
                <w:rFonts w:ascii="宋体" w:hAnsi="宋体" w:cs="宋体" w:eastAsia="宋体" w:hint="default"/>
                <w:sz w:val="18"/>
                <w:szCs w:val="18"/>
              </w:rPr>
              <w:t>：</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017.05.15-2019.05.14</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302.51</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1092"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朗新数据</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0"/>
              <w:ind w:left="67" w:right="65"/>
              <w:jc w:val="center"/>
              <w:rPr>
                <w:rFonts w:ascii="宋体" w:hAnsi="宋体" w:cs="宋体" w:eastAsia="宋体" w:hint="default"/>
                <w:sz w:val="18"/>
                <w:szCs w:val="18"/>
              </w:rPr>
            </w:pPr>
            <w:r>
              <w:rPr>
                <w:rFonts w:ascii="宋体" w:hAnsi="宋体" w:cs="宋体" w:eastAsia="宋体" w:hint="default"/>
                <w:sz w:val="18"/>
                <w:szCs w:val="18"/>
              </w:rPr>
              <w:t>武汉临空港经济技术开发 区现代服务产业建设管理 办公室</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武汉临空港经济技术开发区五环大道</w:t>
            </w:r>
          </w:p>
          <w:p>
            <w:pPr>
              <w:pStyle w:val="TableParagraph"/>
              <w:spacing w:line="240" w:lineRule="auto" w:before="7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666</w:t>
            </w:r>
            <w:r>
              <w:rPr>
                <w:rFonts w:ascii="宋体" w:hAnsi="宋体" w:cs="宋体" w:eastAsia="宋体" w:hint="default"/>
                <w:sz w:val="18"/>
                <w:szCs w:val="18"/>
              </w:rPr>
              <w:t>号</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2018.08.07-2019.08.06</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100.00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78"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朗新数据</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7"/>
              <w:ind w:left="967" w:right="65" w:hanging="900"/>
              <w:jc w:val="left"/>
              <w:rPr>
                <w:rFonts w:ascii="宋体" w:hAnsi="宋体" w:cs="宋体" w:eastAsia="宋体" w:hint="default"/>
                <w:sz w:val="18"/>
                <w:szCs w:val="18"/>
              </w:rPr>
            </w:pPr>
            <w:r>
              <w:rPr>
                <w:rFonts w:ascii="宋体" w:hAnsi="宋体" w:cs="宋体" w:eastAsia="宋体" w:hint="default"/>
                <w:sz w:val="18"/>
                <w:szCs w:val="18"/>
              </w:rPr>
              <w:t>江苏高格商务服务有限公 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77"/>
              <w:ind w:left="849" w:right="10" w:hanging="840"/>
              <w:jc w:val="left"/>
              <w:rPr>
                <w:rFonts w:ascii="宋体" w:hAnsi="宋体" w:cs="宋体" w:eastAsia="宋体" w:hint="default"/>
                <w:sz w:val="18"/>
                <w:szCs w:val="18"/>
              </w:rPr>
            </w:pPr>
            <w:r>
              <w:rPr>
                <w:rFonts w:ascii="宋体" w:hAnsi="宋体" w:cs="宋体" w:eastAsia="宋体" w:hint="default"/>
                <w:sz w:val="18"/>
                <w:szCs w:val="18"/>
              </w:rPr>
              <w:t>南京市雨花台区软件大道</w:t>
            </w:r>
            <w:r>
              <w:rPr>
                <w:rFonts w:ascii="Times New Roman" w:hAnsi="Times New Roman" w:cs="Times New Roman" w:eastAsia="Times New Roman" w:hint="default"/>
                <w:sz w:val="18"/>
                <w:szCs w:val="18"/>
              </w:rPr>
              <w:t>170-1</w:t>
            </w:r>
            <w:r>
              <w:rPr>
                <w:rFonts w:ascii="宋体" w:hAnsi="宋体" w:cs="宋体" w:eastAsia="宋体" w:hint="default"/>
                <w:sz w:val="18"/>
                <w:szCs w:val="18"/>
              </w:rPr>
              <w:t>号天溯 科技园</w:t>
            </w:r>
            <w:r>
              <w:rPr>
                <w:rFonts w:ascii="Times New Roman" w:hAnsi="Times New Roman" w:cs="Times New Roman" w:eastAsia="Times New Roman" w:hint="default"/>
                <w:sz w:val="18"/>
                <w:szCs w:val="18"/>
              </w:rPr>
              <w:t>1</w:t>
            </w:r>
            <w:r>
              <w:rPr>
                <w:rFonts w:ascii="宋体" w:hAnsi="宋体" w:cs="宋体" w:eastAsia="宋体" w:hint="default"/>
                <w:sz w:val="18"/>
                <w:szCs w:val="18"/>
              </w:rPr>
              <w:t>栋</w:t>
            </w:r>
            <w:r>
              <w:rPr>
                <w:rFonts w:ascii="Times New Roman" w:hAnsi="Times New Roman" w:cs="Times New Roman" w:eastAsia="Times New Roman" w:hint="default"/>
                <w:sz w:val="18"/>
                <w:szCs w:val="18"/>
              </w:rPr>
              <w:t>503</w:t>
            </w:r>
            <w:r>
              <w:rPr>
                <w:rFonts w:ascii="宋体" w:hAnsi="宋体" w:cs="宋体" w:eastAsia="宋体" w:hint="default"/>
                <w:sz w:val="18"/>
                <w:szCs w:val="18"/>
              </w:rPr>
              <w:t>室</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2018.08.13-2020.08.12</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240.00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80"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朗新数据</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张锋</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80"/>
              <w:ind w:left="309" w:right="81" w:hanging="226"/>
              <w:jc w:val="left"/>
              <w:rPr>
                <w:rFonts w:ascii="宋体" w:hAnsi="宋体" w:cs="宋体" w:eastAsia="宋体" w:hint="default"/>
                <w:sz w:val="18"/>
                <w:szCs w:val="18"/>
              </w:rPr>
            </w:pPr>
            <w:r>
              <w:rPr>
                <w:rFonts w:ascii="宋体" w:hAnsi="宋体" w:cs="宋体" w:eastAsia="宋体" w:hint="default"/>
                <w:sz w:val="18"/>
                <w:szCs w:val="18"/>
              </w:rPr>
              <w:t>南宁市桂春路南二里</w:t>
            </w:r>
            <w:r>
              <w:rPr>
                <w:rFonts w:ascii="Times New Roman" w:hAnsi="Times New Roman" w:cs="Times New Roman" w:eastAsia="Times New Roman" w:hint="default"/>
                <w:sz w:val="18"/>
                <w:szCs w:val="18"/>
              </w:rPr>
              <w:t>8</w:t>
            </w:r>
            <w:r>
              <w:rPr>
                <w:rFonts w:ascii="宋体" w:hAnsi="宋体" w:cs="宋体" w:eastAsia="宋体" w:hint="default"/>
                <w:sz w:val="18"/>
                <w:szCs w:val="18"/>
              </w:rPr>
              <w:t>号和兴大厦</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楼</w:t>
            </w:r>
            <w:r>
              <w:rPr>
                <w:rFonts w:ascii="Times New Roman" w:hAnsi="Times New Roman" w:cs="Times New Roman" w:eastAsia="Times New Roman" w:hint="default"/>
                <w:sz w:val="18"/>
                <w:szCs w:val="18"/>
              </w:rPr>
              <w:t>1201</w:t>
            </w:r>
            <w:r>
              <w:rPr>
                <w:rFonts w:ascii="宋体" w:hAnsi="宋体" w:cs="宋体" w:eastAsia="宋体" w:hint="default"/>
                <w:sz w:val="18"/>
                <w:szCs w:val="18"/>
              </w:rPr>
              <w:t>、</w:t>
            </w:r>
            <w:r>
              <w:rPr>
                <w:rFonts w:ascii="Times New Roman" w:hAnsi="Times New Roman" w:cs="Times New Roman" w:eastAsia="Times New Roman" w:hint="default"/>
                <w:sz w:val="18"/>
                <w:szCs w:val="18"/>
              </w:rPr>
              <w:t>1202</w:t>
            </w:r>
            <w:r>
              <w:rPr>
                <w:rFonts w:ascii="宋体" w:hAnsi="宋体" w:cs="宋体" w:eastAsia="宋体" w:hint="default"/>
                <w:sz w:val="18"/>
                <w:szCs w:val="18"/>
              </w:rPr>
              <w:t>、</w:t>
            </w:r>
            <w:r>
              <w:rPr>
                <w:rFonts w:ascii="Times New Roman" w:hAnsi="Times New Roman" w:cs="Times New Roman" w:eastAsia="Times New Roman" w:hint="default"/>
                <w:sz w:val="18"/>
                <w:szCs w:val="18"/>
              </w:rPr>
              <w:t>1204</w:t>
            </w:r>
            <w:r>
              <w:rPr>
                <w:rFonts w:ascii="宋体" w:hAnsi="宋体" w:cs="宋体" w:eastAsia="宋体" w:hint="default"/>
                <w:sz w:val="18"/>
                <w:szCs w:val="18"/>
              </w:rPr>
              <w:t>、</w:t>
            </w:r>
            <w:r>
              <w:rPr>
                <w:rFonts w:ascii="Times New Roman" w:hAnsi="Times New Roman" w:cs="Times New Roman" w:eastAsia="Times New Roman" w:hint="default"/>
                <w:sz w:val="18"/>
                <w:szCs w:val="18"/>
              </w:rPr>
              <w:t>1205</w:t>
            </w:r>
            <w:r>
              <w:rPr>
                <w:rFonts w:ascii="宋体" w:hAnsi="宋体" w:cs="宋体" w:eastAsia="宋体" w:hint="default"/>
                <w:sz w:val="18"/>
                <w:szCs w:val="18"/>
              </w:rPr>
              <w:t>室</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2017.08.01-2020.07.31</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271.51</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80"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朗新数据</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余驿华</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77"/>
              <w:ind w:left="1120" w:right="81" w:hanging="1037"/>
              <w:jc w:val="left"/>
              <w:rPr>
                <w:rFonts w:ascii="宋体" w:hAnsi="宋体" w:cs="宋体" w:eastAsia="宋体" w:hint="default"/>
                <w:sz w:val="18"/>
                <w:szCs w:val="18"/>
              </w:rPr>
            </w:pPr>
            <w:r>
              <w:rPr>
                <w:rFonts w:ascii="宋体" w:hAnsi="宋体" w:cs="宋体" w:eastAsia="宋体" w:hint="default"/>
                <w:sz w:val="18"/>
                <w:szCs w:val="18"/>
              </w:rPr>
              <w:t>南宁市桂春路南二里</w:t>
            </w:r>
            <w:r>
              <w:rPr>
                <w:rFonts w:ascii="Times New Roman" w:hAnsi="Times New Roman" w:cs="Times New Roman" w:eastAsia="Times New Roman" w:hint="default"/>
                <w:sz w:val="18"/>
                <w:szCs w:val="18"/>
              </w:rPr>
              <w:t>8</w:t>
            </w:r>
            <w:r>
              <w:rPr>
                <w:rFonts w:ascii="宋体" w:hAnsi="宋体" w:cs="宋体" w:eastAsia="宋体" w:hint="default"/>
                <w:sz w:val="18"/>
                <w:szCs w:val="18"/>
              </w:rPr>
              <w:t>号和兴大厦</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楼</w:t>
            </w:r>
            <w:r>
              <w:rPr>
                <w:rFonts w:ascii="Times New Roman" w:hAnsi="Times New Roman" w:cs="Times New Roman" w:eastAsia="Times New Roman" w:hint="default"/>
                <w:sz w:val="18"/>
                <w:szCs w:val="18"/>
              </w:rPr>
              <w:t>1203</w:t>
            </w:r>
            <w:r>
              <w:rPr>
                <w:rFonts w:ascii="宋体" w:hAnsi="宋体" w:cs="宋体" w:eastAsia="宋体" w:hint="default"/>
                <w:sz w:val="18"/>
                <w:szCs w:val="18"/>
              </w:rPr>
              <w:t>室</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2017.04.01-2020.04.15</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258.20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78"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30.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朗新数据</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王伟湘</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77"/>
              <w:ind w:left="640" w:right="36" w:hanging="600"/>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重庆市渝北区龙溪街道新溉大道</w:t>
            </w:r>
            <w:r>
              <w:rPr>
                <w:rFonts w:ascii="Times New Roman" w:hAnsi="Times New Roman" w:cs="Times New Roman" w:eastAsia="Times New Roman" w:hint="default"/>
                <w:sz w:val="18"/>
                <w:szCs w:val="18"/>
              </w:rPr>
              <w:t>18</w:t>
            </w:r>
            <w:r>
              <w:rPr>
                <w:rFonts w:ascii="宋体" w:hAnsi="宋体" w:cs="宋体" w:eastAsia="宋体" w:hint="default"/>
                <w:sz w:val="18"/>
                <w:szCs w:val="18"/>
              </w:rPr>
              <w:t>号 国宾城</w:t>
            </w:r>
            <w:r>
              <w:rPr>
                <w:rFonts w:ascii="Times New Roman" w:hAnsi="Times New Roman" w:cs="Times New Roman" w:eastAsia="Times New Roman" w:hint="default"/>
                <w:sz w:val="18"/>
                <w:szCs w:val="18"/>
              </w:rPr>
              <w:t>12</w:t>
            </w:r>
            <w:r>
              <w:rPr>
                <w:rFonts w:ascii="宋体" w:hAnsi="宋体" w:cs="宋体" w:eastAsia="宋体" w:hint="default"/>
                <w:sz w:val="18"/>
                <w:szCs w:val="18"/>
              </w:rPr>
              <w:t>幢</w:t>
            </w:r>
            <w:r>
              <w:rPr>
                <w:rFonts w:ascii="Times New Roman" w:hAnsi="Times New Roman" w:cs="Times New Roman" w:eastAsia="Times New Roman" w:hint="default"/>
                <w:sz w:val="18"/>
                <w:szCs w:val="18"/>
              </w:rPr>
              <w:t>1011-1013</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2018.05.18-2020.05.17</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192.32</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80"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31.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朗新云商</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0"/>
              <w:ind w:left="698" w:right="65" w:hanging="632"/>
              <w:jc w:val="left"/>
              <w:rPr>
                <w:rFonts w:ascii="宋体" w:hAnsi="宋体" w:cs="宋体" w:eastAsia="宋体" w:hint="default"/>
                <w:sz w:val="18"/>
                <w:szCs w:val="18"/>
              </w:rPr>
            </w:pPr>
            <w:r>
              <w:rPr>
                <w:rFonts w:ascii="宋体" w:hAnsi="宋体" w:cs="宋体" w:eastAsia="宋体" w:hint="default"/>
                <w:sz w:val="18"/>
                <w:szCs w:val="18"/>
              </w:rPr>
              <w:t>杭州未来科技城资产管理 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80"/>
              <w:ind w:left="1029" w:right="81" w:hanging="946"/>
              <w:jc w:val="left"/>
              <w:rPr>
                <w:rFonts w:ascii="宋体" w:hAnsi="宋体" w:cs="宋体" w:eastAsia="宋体" w:hint="default"/>
                <w:sz w:val="18"/>
                <w:szCs w:val="18"/>
              </w:rPr>
            </w:pPr>
            <w:r>
              <w:rPr>
                <w:rFonts w:ascii="宋体" w:hAnsi="宋体" w:cs="宋体" w:eastAsia="宋体" w:hint="default"/>
                <w:sz w:val="18"/>
                <w:szCs w:val="18"/>
              </w:rPr>
              <w:t>杭州市余杭区五常街道文一西路</w:t>
            </w:r>
            <w:r>
              <w:rPr>
                <w:rFonts w:ascii="Times New Roman" w:hAnsi="Times New Roman" w:cs="Times New Roman" w:eastAsia="Times New Roman" w:hint="default"/>
                <w:sz w:val="18"/>
                <w:szCs w:val="18"/>
              </w:rPr>
              <w:t>998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4</w:t>
            </w:r>
            <w:r>
              <w:rPr>
                <w:rFonts w:ascii="宋体" w:hAnsi="宋体" w:cs="宋体" w:eastAsia="宋体" w:hint="default"/>
                <w:sz w:val="18"/>
                <w:szCs w:val="18"/>
              </w:rPr>
              <w:t>幢</w:t>
            </w:r>
            <w:r>
              <w:rPr>
                <w:rFonts w:ascii="Times New Roman" w:hAnsi="Times New Roman" w:cs="Times New Roman" w:eastAsia="Times New Roman" w:hint="default"/>
                <w:sz w:val="18"/>
                <w:szCs w:val="18"/>
              </w:rPr>
              <w:t>803</w:t>
            </w:r>
            <w:r>
              <w:rPr>
                <w:rFonts w:ascii="宋体" w:hAnsi="宋体" w:cs="宋体" w:eastAsia="宋体" w:hint="default"/>
                <w:sz w:val="18"/>
                <w:szCs w:val="18"/>
              </w:rPr>
              <w:t>室</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2018.03.03-2019.03.02</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426.54</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r>
        <w:trPr>
          <w:trHeight w:val="780" w:hRule="exact"/>
        </w:trPr>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32.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朗新云商</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7"/>
              <w:ind w:left="698" w:right="65" w:hanging="632"/>
              <w:jc w:val="left"/>
              <w:rPr>
                <w:rFonts w:ascii="宋体" w:hAnsi="宋体" w:cs="宋体" w:eastAsia="宋体" w:hint="default"/>
                <w:sz w:val="18"/>
                <w:szCs w:val="18"/>
              </w:rPr>
            </w:pPr>
            <w:r>
              <w:rPr>
                <w:rFonts w:ascii="宋体" w:hAnsi="宋体" w:cs="宋体" w:eastAsia="宋体" w:hint="default"/>
                <w:sz w:val="18"/>
                <w:szCs w:val="18"/>
              </w:rPr>
              <w:t>杭州未来科技城资产管理 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77"/>
              <w:ind w:left="1029" w:right="81" w:hanging="946"/>
              <w:jc w:val="left"/>
              <w:rPr>
                <w:rFonts w:ascii="宋体" w:hAnsi="宋体" w:cs="宋体" w:eastAsia="宋体" w:hint="default"/>
                <w:sz w:val="18"/>
                <w:szCs w:val="18"/>
              </w:rPr>
            </w:pPr>
            <w:r>
              <w:rPr>
                <w:rFonts w:ascii="宋体" w:hAnsi="宋体" w:cs="宋体" w:eastAsia="宋体" w:hint="default"/>
                <w:sz w:val="18"/>
                <w:szCs w:val="18"/>
              </w:rPr>
              <w:t>杭州市余杭区五常街道文一西路</w:t>
            </w:r>
            <w:r>
              <w:rPr>
                <w:rFonts w:ascii="Times New Roman" w:hAnsi="Times New Roman" w:cs="Times New Roman" w:eastAsia="Times New Roman" w:hint="default"/>
                <w:sz w:val="18"/>
                <w:szCs w:val="18"/>
              </w:rPr>
              <w:t>998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4</w:t>
            </w:r>
            <w:r>
              <w:rPr>
                <w:rFonts w:ascii="宋体" w:hAnsi="宋体" w:cs="宋体" w:eastAsia="宋体" w:hint="default"/>
                <w:sz w:val="18"/>
                <w:szCs w:val="18"/>
              </w:rPr>
              <w:t>幢</w:t>
            </w:r>
            <w:r>
              <w:rPr>
                <w:rFonts w:ascii="Times New Roman" w:hAnsi="Times New Roman" w:cs="Times New Roman" w:eastAsia="Times New Roman" w:hint="default"/>
                <w:sz w:val="18"/>
                <w:szCs w:val="18"/>
              </w:rPr>
              <w:t>805</w:t>
            </w:r>
            <w:r>
              <w:rPr>
                <w:rFonts w:ascii="宋体" w:hAnsi="宋体" w:cs="宋体" w:eastAsia="宋体" w:hint="default"/>
                <w:sz w:val="18"/>
                <w:szCs w:val="18"/>
              </w:rPr>
              <w:t>室</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2018.03.03-2019.03.02</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455.74</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办公</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1129"/>
        <w:jc w:val="left"/>
      </w:pPr>
      <w:r>
        <w:rPr/>
        <w:t>为公司带来的损益达到公司报告期利润总额</w:t>
      </w:r>
      <w:r>
        <w:rPr>
          <w:spacing w:val="-45"/>
        </w:rPr>
        <w:t> </w:t>
      </w:r>
      <w:r>
        <w:rPr>
          <w:rFonts w:ascii="Times New Roman" w:hAnsi="Times New Roman" w:cs="Times New Roman" w:eastAsia="Times New Roman" w:hint="default"/>
        </w:rPr>
        <w:t>10%</w:t>
      </w:r>
      <w:r>
        <w:rPr/>
        <w:t>以上的项目</w:t>
      </w:r>
    </w:p>
    <w:p>
      <w:pPr>
        <w:pStyle w:val="BodyText"/>
        <w:spacing w:line="240" w:lineRule="auto" w:before="103"/>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129"/>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2"/>
        <w:rPr>
          <w:rFonts w:ascii="宋体" w:hAnsi="宋体" w:cs="宋体" w:eastAsia="宋体" w:hint="default"/>
          <w:sz w:val="26"/>
          <w:szCs w:val="26"/>
        </w:rPr>
      </w:pPr>
    </w:p>
    <w:p>
      <w:pPr>
        <w:pStyle w:val="Heading3"/>
        <w:spacing w:line="240" w:lineRule="auto"/>
        <w:ind w:right="1129"/>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3"/>
        <w:rPr>
          <w:rFonts w:ascii="宋体" w:hAnsi="宋体" w:cs="宋体" w:eastAsia="宋体" w:hint="default"/>
          <w:sz w:val="21"/>
          <w:szCs w:val="21"/>
        </w:rPr>
      </w:pPr>
    </w:p>
    <w:p>
      <w:pPr>
        <w:pStyle w:val="Heading3"/>
        <w:spacing w:line="240" w:lineRule="auto"/>
        <w:ind w:right="1129"/>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80" w:left="980" w:right="0"/>
          <w:cols w:num="2" w:equalWidth="0">
            <w:col w:w="1953" w:space="6785"/>
            <w:col w:w="219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7"/>
        <w:gridCol w:w="1963"/>
        <w:gridCol w:w="1980"/>
        <w:gridCol w:w="1910"/>
        <w:gridCol w:w="1846"/>
      </w:tblGrid>
      <w:tr>
        <w:trPr>
          <w:trHeight w:val="401" w:hRule="exact"/>
        </w:trPr>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46,574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46,574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29"/>
        <w:jc w:val="left"/>
      </w:pPr>
      <w:r>
        <w:rPr/>
        <w:t>单项金额重大或安全性较低、流动性较差、不保本的高风险委托理财具体情况</w:t>
      </w:r>
    </w:p>
    <w:p>
      <w:pPr>
        <w:pStyle w:val="BodyText"/>
        <w:spacing w:line="240" w:lineRule="auto" w:before="117"/>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71"/>
        <w:gridCol w:w="590"/>
        <w:gridCol w:w="607"/>
        <w:gridCol w:w="574"/>
        <w:gridCol w:w="562"/>
        <w:gridCol w:w="559"/>
        <w:gridCol w:w="562"/>
        <w:gridCol w:w="562"/>
        <w:gridCol w:w="562"/>
        <w:gridCol w:w="559"/>
        <w:gridCol w:w="562"/>
        <w:gridCol w:w="562"/>
        <w:gridCol w:w="562"/>
        <w:gridCol w:w="547"/>
        <w:gridCol w:w="547"/>
        <w:gridCol w:w="547"/>
        <w:gridCol w:w="538"/>
      </w:tblGrid>
      <w:tr>
        <w:trPr>
          <w:trHeight w:val="2275" w:hRule="exact"/>
        </w:trPr>
        <w:tc>
          <w:tcPr>
            <w:tcW w:w="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0" w:right="98"/>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6" w:lineRule="auto" w:before="19"/>
              <w:ind w:left="100" w:right="98"/>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0" w:right="10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19"/>
              <w:ind w:left="24" w:right="29" w:firstLine="7"/>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6"/>
                <w:sz w:val="18"/>
                <w:szCs w:val="18"/>
              </w:rPr>
              <w:t>人）类</w:t>
            </w:r>
            <w:r>
              <w:rPr>
                <w:rFonts w:ascii="宋体" w:hAnsi="宋体" w:cs="宋体" w:eastAsia="宋体" w:hint="default"/>
                <w:spacing w:val="-8"/>
                <w:sz w:val="18"/>
                <w:szCs w:val="18"/>
              </w:rPr>
              <w:t> </w:t>
            </w:r>
            <w:r>
              <w:rPr>
                <w:rFonts w:ascii="宋体" w:hAnsi="宋体" w:cs="宋体" w:eastAsia="宋体" w:hint="default"/>
                <w:sz w:val="18"/>
                <w:szCs w:val="18"/>
              </w:rPr>
              <w:t>型</w:t>
            </w:r>
          </w:p>
        </w:tc>
        <w:tc>
          <w:tcPr>
            <w:tcW w:w="6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08"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6"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6" w:right="91"/>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6"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5" w:right="91"/>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19"/>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5"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88" w:right="86"/>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19" w:hanging="3"/>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196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招商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3,400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润泽</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155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期</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40.98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40.98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招商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3,400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38" w:lineRule="auto"/>
              <w:ind w:left="23"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日益 月鑫 </w:t>
            </w:r>
            <w:r>
              <w:rPr>
                <w:rFonts w:ascii="Times New Roman" w:hAnsi="Times New Roman" w:cs="Times New Roman" w:eastAsia="Times New Roman" w:hint="default"/>
                <w:sz w:val="18"/>
                <w:szCs w:val="18"/>
              </w:rPr>
              <w:t>92060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27.01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27.01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招商</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非保本</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3,100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4" w:right="0"/>
              <w:jc w:val="left"/>
              <w:rPr>
                <w:rFonts w:ascii="Times New Roman" w:hAnsi="Times New Roman" w:cs="Times New Roman" w:eastAsia="Times New Roman" w:hint="default"/>
                <w:sz w:val="18"/>
                <w:szCs w:val="18"/>
              </w:rPr>
            </w:pPr>
            <w:r>
              <w:rPr>
                <w:rFonts w:ascii="Times New Roman"/>
                <w:sz w:val="18"/>
              </w:rPr>
              <w:t>2018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润泽</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到期</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5.30%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37.36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37.36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已收</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1"/>
        <w:gridCol w:w="590"/>
        <w:gridCol w:w="607"/>
        <w:gridCol w:w="574"/>
        <w:gridCol w:w="562"/>
        <w:gridCol w:w="559"/>
        <w:gridCol w:w="562"/>
        <w:gridCol w:w="562"/>
        <w:gridCol w:w="562"/>
        <w:gridCol w:w="559"/>
        <w:gridCol w:w="562"/>
        <w:gridCol w:w="562"/>
        <w:gridCol w:w="562"/>
        <w:gridCol w:w="547"/>
        <w:gridCol w:w="547"/>
        <w:gridCol w:w="547"/>
        <w:gridCol w:w="538"/>
      </w:tblGrid>
      <w:tr>
        <w:trPr>
          <w:trHeight w:val="161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5"/>
              <w:jc w:val="both"/>
              <w:rPr>
                <w:rFonts w:ascii="宋体" w:hAnsi="宋体" w:cs="宋体" w:eastAsia="宋体" w:hint="default"/>
                <w:sz w:val="18"/>
                <w:szCs w:val="18"/>
              </w:rPr>
            </w:pPr>
            <w:r>
              <w:rPr>
                <w:rFonts w:ascii="宋体" w:hAnsi="宋体" w:cs="宋体" w:eastAsia="宋体" w:hint="default"/>
                <w:sz w:val="18"/>
                <w:szCs w:val="18"/>
              </w:rPr>
              <w:t>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1"/>
              <w:jc w:val="left"/>
              <w:rPr>
                <w:rFonts w:ascii="宋体" w:hAnsi="宋体" w:cs="宋体" w:eastAsia="宋体" w:hint="default"/>
                <w:sz w:val="18"/>
                <w:szCs w:val="18"/>
              </w:rPr>
            </w:pPr>
            <w:r>
              <w:rPr>
                <w:rFonts w:ascii="宋体" w:hAnsi="宋体" w:cs="宋体" w:eastAsia="宋体" w:hint="default"/>
                <w:sz w:val="18"/>
                <w:szCs w:val="18"/>
              </w:rPr>
              <w:t>浮动收 益</w:t>
            </w: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155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期</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收取</w:t>
            </w: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招商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38" w:lineRule="auto"/>
              <w:ind w:left="23"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日益 月鑫 </w:t>
            </w:r>
            <w:r>
              <w:rPr>
                <w:rFonts w:ascii="Times New Roman" w:hAnsi="Times New Roman" w:cs="Times New Roman" w:eastAsia="Times New Roman" w:hint="default"/>
                <w:sz w:val="18"/>
                <w:szCs w:val="18"/>
              </w:rPr>
              <w:t>92060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24.98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24.98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招商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38" w:lineRule="auto"/>
              <w:ind w:left="23"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日益 月鑫 </w:t>
            </w:r>
            <w:r>
              <w:rPr>
                <w:rFonts w:ascii="Times New Roman" w:hAnsi="Times New Roman" w:cs="Times New Roman" w:eastAsia="Times New Roman" w:hint="default"/>
                <w:sz w:val="18"/>
                <w:szCs w:val="18"/>
              </w:rPr>
              <w:t>92060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24.08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24.08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上海 浦发 银行 无锡 新区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30"/>
              <w:jc w:val="left"/>
              <w:rPr>
                <w:rFonts w:ascii="Times New Roman" w:hAnsi="Times New Roman" w:cs="Times New Roman" w:eastAsia="Times New Roman" w:hint="default"/>
                <w:sz w:val="18"/>
                <w:szCs w:val="18"/>
              </w:rPr>
            </w:pPr>
            <w:r>
              <w:rPr>
                <w:rFonts w:ascii="宋体" w:hAnsi="宋体" w:cs="宋体" w:eastAsia="宋体" w:hint="default"/>
                <w:sz w:val="18"/>
                <w:szCs w:val="18"/>
              </w:rPr>
              <w:t>财富 班车 进取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号（</w:t>
            </w:r>
            <w:r>
              <w:rPr>
                <w:rFonts w:ascii="Times New Roman" w:hAnsi="Times New Roman" w:cs="Times New Roman" w:eastAsia="Times New Roman" w:hint="default"/>
                <w:spacing w:val="-9"/>
                <w:sz w:val="18"/>
                <w:szCs w:val="18"/>
              </w:rPr>
              <w:t>90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天）</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61.85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61.85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上海 浦发 银行 无锡 新区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30"/>
              <w:jc w:val="left"/>
              <w:rPr>
                <w:rFonts w:ascii="Times New Roman" w:hAnsi="Times New Roman" w:cs="Times New Roman" w:eastAsia="Times New Roman" w:hint="default"/>
                <w:sz w:val="18"/>
                <w:szCs w:val="18"/>
              </w:rPr>
            </w:pPr>
            <w:r>
              <w:rPr>
                <w:rFonts w:ascii="宋体" w:hAnsi="宋体" w:cs="宋体" w:eastAsia="宋体" w:hint="default"/>
                <w:sz w:val="18"/>
                <w:szCs w:val="18"/>
              </w:rPr>
              <w:t>财富 班车 进取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号（</w:t>
            </w:r>
            <w:r>
              <w:rPr>
                <w:rFonts w:ascii="Times New Roman" w:hAnsi="Times New Roman" w:cs="Times New Roman" w:eastAsia="Times New Roman" w:hint="default"/>
                <w:spacing w:val="-9"/>
                <w:sz w:val="18"/>
                <w:szCs w:val="18"/>
              </w:rPr>
              <w:t>90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天）</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52.13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52.13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上海 浦发 银行 无锡 新区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30"/>
              <w:jc w:val="left"/>
              <w:rPr>
                <w:rFonts w:ascii="Times New Roman" w:hAnsi="Times New Roman" w:cs="Times New Roman" w:eastAsia="Times New Roman" w:hint="default"/>
                <w:sz w:val="18"/>
                <w:szCs w:val="18"/>
              </w:rPr>
            </w:pPr>
            <w:r>
              <w:rPr>
                <w:rFonts w:ascii="宋体" w:hAnsi="宋体" w:cs="宋体" w:eastAsia="宋体" w:hint="default"/>
                <w:sz w:val="18"/>
                <w:szCs w:val="18"/>
              </w:rPr>
              <w:t>财富 班车 进取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号（</w:t>
            </w:r>
            <w:r>
              <w:rPr>
                <w:rFonts w:ascii="Times New Roman" w:hAnsi="Times New Roman" w:cs="Times New Roman" w:eastAsia="Times New Roman" w:hint="default"/>
                <w:spacing w:val="-9"/>
                <w:sz w:val="18"/>
                <w:szCs w:val="18"/>
              </w:rPr>
              <w:t>60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天）</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39.31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39.31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上海 浦发 银行 无锡 新区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月添 利</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16.18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16.18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非保本</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18,734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4" w:right="0"/>
              <w:jc w:val="left"/>
              <w:rPr>
                <w:rFonts w:ascii="Times New Roman" w:hAnsi="Times New Roman" w:cs="Times New Roman" w:eastAsia="Times New Roman" w:hint="default"/>
                <w:sz w:val="18"/>
                <w:szCs w:val="18"/>
              </w:rPr>
            </w:pPr>
            <w:r>
              <w:rPr>
                <w:rFonts w:ascii="Times New Roman"/>
                <w:sz w:val="18"/>
              </w:rPr>
              <w:t>2017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中银</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到期</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15.4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15.4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已收</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1"/>
        <w:gridCol w:w="590"/>
        <w:gridCol w:w="607"/>
        <w:gridCol w:w="574"/>
        <w:gridCol w:w="562"/>
        <w:gridCol w:w="559"/>
        <w:gridCol w:w="562"/>
        <w:gridCol w:w="562"/>
        <w:gridCol w:w="562"/>
        <w:gridCol w:w="559"/>
        <w:gridCol w:w="562"/>
        <w:gridCol w:w="562"/>
        <w:gridCol w:w="562"/>
        <w:gridCol w:w="547"/>
        <w:gridCol w:w="547"/>
        <w:gridCol w:w="547"/>
        <w:gridCol w:w="538"/>
      </w:tblGrid>
      <w:tr>
        <w:trPr>
          <w:trHeight w:val="129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5"/>
              <w:jc w:val="both"/>
              <w:rPr>
                <w:rFonts w:ascii="宋体" w:hAnsi="宋体" w:cs="宋体" w:eastAsia="宋体" w:hint="default"/>
                <w:sz w:val="18"/>
                <w:szCs w:val="18"/>
              </w:rPr>
            </w:pPr>
            <w:r>
              <w:rPr>
                <w:rFonts w:ascii="宋体" w:hAnsi="宋体" w:cs="宋体" w:eastAsia="宋体" w:hint="default"/>
                <w:sz w:val="18"/>
                <w:szCs w:val="18"/>
              </w:rPr>
              <w:t>银行 北京 分行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1"/>
              <w:jc w:val="left"/>
              <w:rPr>
                <w:rFonts w:ascii="宋体" w:hAnsi="宋体" w:cs="宋体" w:eastAsia="宋体" w:hint="default"/>
                <w:sz w:val="18"/>
                <w:szCs w:val="18"/>
              </w:rPr>
            </w:pPr>
            <w:r>
              <w:rPr>
                <w:rFonts w:ascii="宋体" w:hAnsi="宋体" w:cs="宋体" w:eastAsia="宋体" w:hint="default"/>
                <w:sz w:val="18"/>
                <w:szCs w:val="18"/>
              </w:rPr>
              <w:t>浮动收 益</w:t>
            </w: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06"/>
              <w:jc w:val="left"/>
              <w:rPr>
                <w:rFonts w:ascii="宋体" w:hAnsi="宋体" w:cs="宋体" w:eastAsia="宋体" w:hint="default"/>
                <w:sz w:val="18"/>
                <w:szCs w:val="18"/>
              </w:rPr>
            </w:pPr>
            <w:r>
              <w:rPr>
                <w:rFonts w:ascii="宋体" w:hAnsi="宋体" w:cs="宋体" w:eastAsia="宋体" w:hint="default"/>
                <w:sz w:val="18"/>
                <w:szCs w:val="18"/>
              </w:rPr>
              <w:t>日积 月累</w:t>
            </w:r>
            <w:r>
              <w:rPr>
                <w:rFonts w:ascii="Times New Roman" w:hAnsi="Times New Roman" w:cs="Times New Roman" w:eastAsia="Times New Roman" w:hint="default"/>
                <w:sz w:val="18"/>
                <w:szCs w:val="18"/>
              </w:rPr>
              <w:t>- </w:t>
            </w:r>
            <w:r>
              <w:rPr>
                <w:rFonts w:ascii="宋体" w:hAnsi="宋体" w:cs="宋体" w:eastAsia="宋体" w:hint="default"/>
                <w:sz w:val="18"/>
                <w:szCs w:val="18"/>
              </w:rPr>
              <w:t>日计 划</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收取</w:t>
            </w: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4145"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中国 银行 北京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18,740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（机 构进 阶</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312" w:lineRule="exact" w:before="23"/>
              <w:ind w:left="23" w:right="59"/>
              <w:jc w:val="left"/>
              <w:rPr>
                <w:rFonts w:ascii="Times New Roman" w:hAnsi="Times New Roman" w:cs="Times New Roman" w:eastAsia="Times New Roman" w:hint="default"/>
                <w:sz w:val="18"/>
                <w:szCs w:val="18"/>
              </w:rPr>
            </w:pPr>
            <w:r>
              <w:rPr>
                <w:rFonts w:ascii="宋体" w:hAnsi="宋体" w:cs="宋体" w:eastAsia="宋体" w:hint="default"/>
                <w:spacing w:val="-24"/>
                <w:sz w:val="18"/>
                <w:szCs w:val="18"/>
              </w:rPr>
              <w:t>万）中</w:t>
            </w:r>
            <w:r>
              <w:rPr>
                <w:rFonts w:ascii="宋体" w:hAnsi="宋体" w:cs="宋体" w:eastAsia="宋体" w:hint="default"/>
                <w:spacing w:val="-36"/>
                <w:sz w:val="18"/>
                <w:szCs w:val="18"/>
              </w:rPr>
              <w:t> </w:t>
            </w:r>
            <w:r>
              <w:rPr>
                <w:rFonts w:ascii="宋体" w:hAnsi="宋体" w:cs="宋体" w:eastAsia="宋体" w:hint="default"/>
                <w:sz w:val="18"/>
                <w:szCs w:val="18"/>
              </w:rPr>
              <w:t>银平</w:t>
            </w:r>
            <w:r>
              <w:rPr>
                <w:rFonts w:ascii="宋体" w:hAnsi="宋体" w:cs="宋体" w:eastAsia="宋体" w:hint="default"/>
                <w:sz w:val="18"/>
                <w:szCs w:val="18"/>
              </w:rPr>
              <w:t> 稳理 财计 划智 荟系 列 </w:t>
            </w:r>
            <w:r>
              <w:rPr>
                <w:rFonts w:ascii="Times New Roman" w:hAnsi="Times New Roman" w:cs="Times New Roman" w:eastAsia="Times New Roman" w:hint="default"/>
                <w:sz w:val="18"/>
                <w:szCs w:val="18"/>
              </w:rPr>
              <w:t>18038</w:t>
            </w:r>
          </w:p>
          <w:p>
            <w:pPr>
              <w:pStyle w:val="TableParagraph"/>
              <w:spacing w:line="240" w:lineRule="auto" w:before="81"/>
              <w:ind w:left="23" w:right="0"/>
              <w:jc w:val="left"/>
              <w:rPr>
                <w:rFonts w:ascii="Times New Roman" w:hAnsi="Times New Roman" w:cs="Times New Roman" w:eastAsia="Times New Roman" w:hint="default"/>
                <w:sz w:val="18"/>
                <w:szCs w:val="18"/>
              </w:rPr>
            </w:pPr>
            <w:r>
              <w:rPr>
                <w:rFonts w:ascii="Times New Roman"/>
                <w:sz w:val="18"/>
              </w:rPr>
              <w:t>-G</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246.14</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246.14</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中国 银行 北京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13,340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中银 日积 月累</w:t>
            </w:r>
            <w:r>
              <w:rPr>
                <w:rFonts w:ascii="Times New Roman" w:hAnsi="Times New Roman" w:cs="Times New Roman" w:eastAsia="Times New Roman" w:hint="default"/>
                <w:sz w:val="18"/>
                <w:szCs w:val="18"/>
              </w:rPr>
              <w:t>- </w:t>
            </w:r>
            <w:r>
              <w:rPr>
                <w:rFonts w:ascii="宋体" w:hAnsi="宋体" w:cs="宋体" w:eastAsia="宋体" w:hint="default"/>
                <w:sz w:val="18"/>
                <w:szCs w:val="18"/>
              </w:rPr>
              <w:t>日计 划</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75"/>
              <w:jc w:val="both"/>
              <w:rPr>
                <w:rFonts w:ascii="宋体" w:hAnsi="宋体" w:cs="宋体" w:eastAsia="宋体" w:hint="default"/>
                <w:sz w:val="18"/>
                <w:szCs w:val="18"/>
              </w:rPr>
            </w:pPr>
            <w:r>
              <w:rPr>
                <w:rFonts w:ascii="宋体" w:hAnsi="宋体" w:cs="宋体" w:eastAsia="宋体" w:hint="default"/>
                <w:sz w:val="18"/>
                <w:szCs w:val="18"/>
              </w:rPr>
              <w:t>中国 银行 北京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（网 银专 </w:t>
            </w:r>
            <w:r>
              <w:rPr>
                <w:rFonts w:ascii="宋体" w:hAnsi="宋体" w:cs="宋体" w:eastAsia="宋体" w:hint="default"/>
                <w:spacing w:val="-24"/>
                <w:sz w:val="18"/>
                <w:szCs w:val="18"/>
              </w:rPr>
              <w:t>属）中</w:t>
            </w:r>
            <w:r>
              <w:rPr>
                <w:rFonts w:ascii="宋体" w:hAnsi="宋体" w:cs="宋体" w:eastAsia="宋体" w:hint="default"/>
                <w:spacing w:val="-36"/>
                <w:sz w:val="18"/>
                <w:szCs w:val="18"/>
              </w:rPr>
              <w:t> </w:t>
            </w:r>
            <w:r>
              <w:rPr>
                <w:rFonts w:ascii="宋体" w:hAnsi="宋体" w:cs="宋体" w:eastAsia="宋体" w:hint="default"/>
                <w:sz w:val="18"/>
                <w:szCs w:val="18"/>
              </w:rPr>
              <w:t>银平</w:t>
            </w:r>
            <w:r>
              <w:rPr>
                <w:rFonts w:ascii="宋体" w:hAnsi="宋体" w:cs="宋体" w:eastAsia="宋体" w:hint="default"/>
                <w:sz w:val="18"/>
                <w:szCs w:val="18"/>
              </w:rPr>
              <w:t> 稳</w:t>
            </w:r>
            <w:r>
              <w:rPr>
                <w:rFonts w:ascii="Times New Roman" w:hAnsi="Times New Roman" w:cs="Times New Roman" w:eastAsia="Times New Roman" w:hint="default"/>
                <w:sz w:val="18"/>
                <w:szCs w:val="18"/>
              </w:rPr>
              <w:t>-</w:t>
            </w:r>
            <w:r>
              <w:rPr>
                <w:rFonts w:ascii="宋体" w:hAnsi="宋体" w:cs="宋体" w:eastAsia="宋体" w:hint="default"/>
                <w:sz w:val="18"/>
                <w:szCs w:val="18"/>
              </w:rPr>
              <w:t>智 荟系 列 </w:t>
            </w:r>
            <w:r>
              <w:rPr>
                <w:rFonts w:ascii="Times New Roman" w:hAnsi="Times New Roman" w:cs="Times New Roman" w:eastAsia="Times New Roman" w:hint="default"/>
                <w:sz w:val="18"/>
                <w:szCs w:val="18"/>
              </w:rPr>
              <w:t>18100</w:t>
            </w:r>
          </w:p>
          <w:p>
            <w:pPr>
              <w:pStyle w:val="TableParagraph"/>
              <w:spacing w:line="240" w:lineRule="auto" w:before="3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期</w:t>
            </w:r>
          </w:p>
          <w:p>
            <w:pPr>
              <w:pStyle w:val="TableParagraph"/>
              <w:spacing w:line="316" w:lineRule="auto" w:before="63"/>
              <w:ind w:left="23" w:right="167"/>
              <w:jc w:val="left"/>
              <w:rPr>
                <w:rFonts w:ascii="宋体" w:hAnsi="宋体" w:cs="宋体" w:eastAsia="宋体" w:hint="default"/>
                <w:sz w:val="18"/>
                <w:szCs w:val="18"/>
              </w:rPr>
            </w:pPr>
            <w:r>
              <w:rPr>
                <w:rFonts w:ascii="宋体" w:hAnsi="宋体" w:cs="宋体" w:eastAsia="宋体" w:hint="default"/>
                <w:sz w:val="18"/>
                <w:szCs w:val="18"/>
              </w:rPr>
              <w:t>【北 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44.77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44.77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17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4" w:right="175"/>
              <w:jc w:val="both"/>
              <w:rPr>
                <w:rFonts w:ascii="宋体" w:hAnsi="宋体" w:cs="宋体" w:eastAsia="宋体" w:hint="default"/>
                <w:sz w:val="18"/>
                <w:szCs w:val="18"/>
              </w:rPr>
            </w:pPr>
            <w:r>
              <w:rPr>
                <w:rFonts w:ascii="宋体" w:hAnsi="宋体" w:cs="宋体" w:eastAsia="宋体" w:hint="default"/>
                <w:sz w:val="18"/>
                <w:szCs w:val="18"/>
              </w:rPr>
              <w:t>中国 银行 北京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（网 银专 </w:t>
            </w:r>
            <w:r>
              <w:rPr>
                <w:rFonts w:ascii="宋体" w:hAnsi="宋体" w:cs="宋体" w:eastAsia="宋体" w:hint="default"/>
                <w:spacing w:val="-24"/>
                <w:sz w:val="18"/>
                <w:szCs w:val="18"/>
              </w:rPr>
              <w:t>属）中</w:t>
            </w:r>
            <w:r>
              <w:rPr>
                <w:rFonts w:ascii="宋体" w:hAnsi="宋体" w:cs="宋体" w:eastAsia="宋体" w:hint="default"/>
                <w:spacing w:val="-36"/>
                <w:sz w:val="18"/>
                <w:szCs w:val="18"/>
              </w:rPr>
              <w:t> </w:t>
            </w:r>
            <w:r>
              <w:rPr>
                <w:rFonts w:ascii="宋体" w:hAnsi="宋体" w:cs="宋体" w:eastAsia="宋体" w:hint="default"/>
                <w:sz w:val="18"/>
                <w:szCs w:val="18"/>
              </w:rPr>
              <w:t>银平</w:t>
            </w:r>
            <w:r>
              <w:rPr>
                <w:rFonts w:ascii="宋体" w:hAnsi="宋体" w:cs="宋体" w:eastAsia="宋体" w:hint="default"/>
                <w:sz w:val="18"/>
                <w:szCs w:val="18"/>
              </w:rPr>
              <w:t> 稳</w:t>
            </w:r>
            <w:r>
              <w:rPr>
                <w:rFonts w:ascii="Times New Roman" w:hAnsi="Times New Roman" w:cs="Times New Roman" w:eastAsia="Times New Roman" w:hint="default"/>
                <w:sz w:val="18"/>
                <w:szCs w:val="18"/>
              </w:rPr>
              <w:t>-</w:t>
            </w:r>
            <w:r>
              <w:rPr>
                <w:rFonts w:ascii="宋体" w:hAnsi="宋体" w:cs="宋体" w:eastAsia="宋体" w:hint="default"/>
                <w:sz w:val="18"/>
                <w:szCs w:val="18"/>
              </w:rPr>
              <w:t>智 荟系 列 </w:t>
            </w:r>
            <w:r>
              <w:rPr>
                <w:rFonts w:ascii="Times New Roman" w:hAnsi="Times New Roman" w:cs="Times New Roman" w:eastAsia="Times New Roman" w:hint="default"/>
                <w:sz w:val="18"/>
                <w:szCs w:val="18"/>
              </w:rPr>
              <w:t>18100</w:t>
            </w:r>
          </w:p>
          <w:p>
            <w:pPr>
              <w:pStyle w:val="TableParagraph"/>
              <w:spacing w:line="240" w:lineRule="auto" w:before="3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期</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39.65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39.65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1"/>
        <w:gridCol w:w="590"/>
        <w:gridCol w:w="607"/>
        <w:gridCol w:w="574"/>
        <w:gridCol w:w="562"/>
        <w:gridCol w:w="559"/>
        <w:gridCol w:w="562"/>
        <w:gridCol w:w="562"/>
        <w:gridCol w:w="562"/>
        <w:gridCol w:w="559"/>
        <w:gridCol w:w="562"/>
        <w:gridCol w:w="562"/>
        <w:gridCol w:w="562"/>
        <w:gridCol w:w="547"/>
        <w:gridCol w:w="547"/>
        <w:gridCol w:w="547"/>
        <w:gridCol w:w="538"/>
      </w:tblGrid>
      <w:tr>
        <w:trPr>
          <w:trHeight w:val="362" w:hRule="exact"/>
        </w:trPr>
        <w:tc>
          <w:tcPr>
            <w:tcW w:w="571"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京】</w:t>
            </w: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中国 银行 北京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中银 日积 月累</w:t>
            </w:r>
            <w:r>
              <w:rPr>
                <w:rFonts w:ascii="Times New Roman" w:hAnsi="Times New Roman" w:cs="Times New Roman" w:eastAsia="Times New Roman" w:hint="default"/>
                <w:sz w:val="18"/>
                <w:szCs w:val="18"/>
              </w:rPr>
              <w:t>- </w:t>
            </w:r>
            <w:r>
              <w:rPr>
                <w:rFonts w:ascii="宋体" w:hAnsi="宋体" w:cs="宋体" w:eastAsia="宋体" w:hint="default"/>
                <w:sz w:val="18"/>
                <w:szCs w:val="18"/>
              </w:rPr>
              <w:t>日计 划</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0.48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0.48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中国 银行 北京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中银 日积 月累</w:t>
            </w:r>
            <w:r>
              <w:rPr>
                <w:rFonts w:ascii="Times New Roman" w:hAnsi="Times New Roman" w:cs="Times New Roman" w:eastAsia="Times New Roman" w:hint="default"/>
                <w:sz w:val="18"/>
                <w:szCs w:val="18"/>
              </w:rPr>
              <w:t>- </w:t>
            </w:r>
            <w:r>
              <w:rPr>
                <w:rFonts w:ascii="宋体" w:hAnsi="宋体" w:cs="宋体" w:eastAsia="宋体" w:hint="default"/>
                <w:sz w:val="18"/>
                <w:szCs w:val="18"/>
              </w:rPr>
              <w:t>日计 划</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1.99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1.99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中国 银行 北京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中银 日积 月累</w:t>
            </w:r>
            <w:r>
              <w:rPr>
                <w:rFonts w:ascii="Times New Roman" w:hAnsi="Times New Roman" w:cs="Times New Roman" w:eastAsia="Times New Roman" w:hint="default"/>
                <w:sz w:val="18"/>
                <w:szCs w:val="18"/>
              </w:rPr>
              <w:t>- </w:t>
            </w:r>
            <w:r>
              <w:rPr>
                <w:rFonts w:ascii="宋体" w:hAnsi="宋体" w:cs="宋体" w:eastAsia="宋体" w:hint="default"/>
                <w:sz w:val="18"/>
                <w:szCs w:val="18"/>
              </w:rPr>
              <w:t>日计 划</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30.17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30.17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中国 银行 北京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中银 日积 月累</w:t>
            </w:r>
            <w:r>
              <w:rPr>
                <w:rFonts w:ascii="Times New Roman" w:hAnsi="Times New Roman" w:cs="Times New Roman" w:eastAsia="Times New Roman" w:hint="default"/>
                <w:sz w:val="18"/>
                <w:szCs w:val="18"/>
              </w:rPr>
              <w:t>- </w:t>
            </w:r>
            <w:r>
              <w:rPr>
                <w:rFonts w:ascii="宋体" w:hAnsi="宋体" w:cs="宋体" w:eastAsia="宋体" w:hint="default"/>
                <w:sz w:val="18"/>
                <w:szCs w:val="18"/>
              </w:rPr>
              <w:t>日计 划</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9.53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9.53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天津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非凡 资产 管理 增增 日上 收益 递增 理财 产品 对公 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13.81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13.81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17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4" w:right="175"/>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天津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非凡 资产 管理 增增 日上 收益 递增 理财 产品 对公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0.38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0.38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1"/>
        <w:gridCol w:w="590"/>
        <w:gridCol w:w="607"/>
        <w:gridCol w:w="574"/>
        <w:gridCol w:w="562"/>
        <w:gridCol w:w="559"/>
        <w:gridCol w:w="562"/>
        <w:gridCol w:w="562"/>
        <w:gridCol w:w="562"/>
        <w:gridCol w:w="559"/>
        <w:gridCol w:w="562"/>
        <w:gridCol w:w="562"/>
        <w:gridCol w:w="562"/>
        <w:gridCol w:w="547"/>
        <w:gridCol w:w="547"/>
        <w:gridCol w:w="547"/>
        <w:gridCol w:w="538"/>
      </w:tblGrid>
      <w:tr>
        <w:trPr>
          <w:trHeight w:val="362" w:hRule="exact"/>
        </w:trPr>
        <w:tc>
          <w:tcPr>
            <w:tcW w:w="571"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股份 有限 公司 无锡 新区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both"/>
              <w:rPr>
                <w:rFonts w:ascii="宋体" w:hAnsi="宋体" w:cs="宋体" w:eastAsia="宋体" w:hint="default"/>
                <w:sz w:val="18"/>
                <w:szCs w:val="18"/>
              </w:rPr>
            </w:pPr>
            <w:r>
              <w:rPr>
                <w:rFonts w:ascii="宋体" w:hAnsi="宋体" w:cs="宋体" w:eastAsia="宋体" w:hint="default"/>
                <w:sz w:val="18"/>
                <w:szCs w:val="18"/>
              </w:rPr>
              <w:t>蕴通 财富 定期 型结 构性 存款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3" w:right="0"/>
              <w:jc w:val="center"/>
              <w:rPr>
                <w:rFonts w:ascii="Times New Roman" w:hAnsi="Times New Roman" w:cs="Times New Roman" w:eastAsia="Times New Roman" w:hint="default"/>
                <w:sz w:val="18"/>
                <w:szCs w:val="18"/>
              </w:rPr>
            </w:pPr>
            <w:r>
              <w:rPr>
                <w:rFonts w:ascii="Times New Roman"/>
                <w:sz w:val="18"/>
              </w:rPr>
              <w:t>4.10%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50.55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50.55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58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股份 有限 公司 无锡 新区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both"/>
              <w:rPr>
                <w:rFonts w:ascii="宋体" w:hAnsi="宋体" w:cs="宋体" w:eastAsia="宋体" w:hint="default"/>
                <w:sz w:val="18"/>
                <w:szCs w:val="18"/>
              </w:rPr>
            </w:pPr>
            <w:r>
              <w:rPr>
                <w:rFonts w:ascii="宋体" w:hAnsi="宋体" w:cs="宋体" w:eastAsia="宋体" w:hint="default"/>
                <w:sz w:val="18"/>
                <w:szCs w:val="18"/>
              </w:rPr>
              <w:t>蕴通 财富 定期 型结 构性 存款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3" w:right="0"/>
              <w:jc w:val="center"/>
              <w:rPr>
                <w:rFonts w:ascii="Times New Roman" w:hAnsi="Times New Roman" w:cs="Times New Roman" w:eastAsia="Times New Roman" w:hint="default"/>
                <w:sz w:val="18"/>
                <w:szCs w:val="18"/>
              </w:rPr>
            </w:pPr>
            <w:r>
              <w:rPr>
                <w:rFonts w:ascii="Times New Roman"/>
                <w:sz w:val="18"/>
              </w:rPr>
              <w:t>3.70%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17.23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17.23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830.95</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830.95</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p>
      <w:pPr>
        <w:pStyle w:val="BodyText"/>
        <w:spacing w:line="240" w:lineRule="auto"/>
        <w:ind w:right="1129"/>
        <w:jc w:val="left"/>
      </w:pPr>
      <w:r>
        <w:rPr/>
        <w:t>委托理财出现预期无法收回本金或存在其他可能导致减值的情形</w:t>
      </w:r>
    </w:p>
    <w:p>
      <w:pPr>
        <w:pStyle w:val="BodyText"/>
        <w:spacing w:line="240" w:lineRule="auto" w:before="115"/>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9"/>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right="1129"/>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1129"/>
        <w:jc w:val="left"/>
        <w:rPr>
          <w:b w:val="0"/>
          <w:bCs w:val="0"/>
        </w:rPr>
      </w:pPr>
      <w:bookmarkStart w:name="十七、社会责任情况" w:id="94"/>
      <w:bookmarkEnd w:id="94"/>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9"/>
        <w:jc w:val="left"/>
        <w:rPr>
          <w:b w:val="0"/>
          <w:bCs w:val="0"/>
        </w:rPr>
      </w:pPr>
      <w:bookmarkStart w:name="1、履行社会责任情况" w:id="95"/>
      <w:bookmarkEnd w:id="95"/>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360"/>
        <w:jc w:val="both"/>
      </w:pPr>
      <w:r>
        <w:rPr>
          <w:spacing w:val="-2"/>
        </w:rPr>
        <w:t>公司严格按照《公司法》、《证券法》、《公司章程》和《股东大会议事规则》等法律、法规、规范性文件及制度的要</w:t>
      </w:r>
      <w:r>
        <w:rPr/>
        <w:t> </w:t>
      </w:r>
      <w:r>
        <w:rPr>
          <w:spacing w:val="-5"/>
        </w:rPr>
        <w:t>求，规范股东大会召集、召开、表决程序，确保所有股东享有平等的股东地位、平等的股东权利；充分保护股东的合法权益，</w:t>
      </w:r>
      <w:r>
        <w:rPr>
          <w:spacing w:val="-81"/>
        </w:rPr>
        <w:t> </w:t>
      </w:r>
      <w:r>
        <w:rPr>
          <w:spacing w:val="-81"/>
        </w:rPr>
      </w:r>
      <w:r>
        <w:rPr/>
        <w:t>让中小投资者充分行使自己的权利。</w:t>
      </w:r>
    </w:p>
    <w:p>
      <w:pPr>
        <w:pStyle w:val="BodyText"/>
        <w:spacing w:line="316" w:lineRule="auto" w:before="59"/>
        <w:ind w:right="1135" w:firstLine="360"/>
        <w:jc w:val="both"/>
      </w:pPr>
      <w:r>
        <w:rPr>
          <w:spacing w:val="-2"/>
        </w:rPr>
        <w:t>公司严格贯彻执行《劳动合同法》《社会保险法》等各项法律法规，为员工提供福利保障；尊重员工，积极采纳员工合</w:t>
      </w:r>
      <w:r>
        <w:rPr/>
        <w:t> </w:t>
      </w:r>
      <w:r>
        <w:rPr>
          <w:spacing w:val="-2"/>
        </w:rPr>
        <w:t>理化建议，增强公司凝聚力；致力于培养出优秀的人才，帮助每一位员工实现自我价值，与企业共同成长。不断完善人力资</w:t>
      </w:r>
      <w:r>
        <w:rPr>
          <w:spacing w:val="-67"/>
        </w:rPr>
        <w:t> </w:t>
      </w:r>
      <w:r>
        <w:rPr>
          <w:spacing w:val="-67"/>
        </w:rPr>
      </w:r>
      <w:r>
        <w:rPr/>
        <w:t>源管理体系，努力为员工提供更大的发展空间及更多的人文关怀。</w:t>
      </w:r>
    </w:p>
    <w:p>
      <w:pPr>
        <w:spacing w:after="0" w:line="316" w:lineRule="auto"/>
        <w:jc w:val="both"/>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29" w:firstLine="360"/>
        <w:jc w:val="left"/>
      </w:pPr>
      <w:r>
        <w:rPr>
          <w:spacing w:val="-2"/>
        </w:rPr>
        <w:t>公司充分尊重和维护相关利益者的合法权益，加强与各相关利益者的沟通交流，实现与客户、员工、社会等相关利益者</w:t>
      </w:r>
      <w:r>
        <w:rPr/>
        <w:t> 的互利共赢，共同推动公司持续、健康地发展。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129"/>
        <w:jc w:val="left"/>
        <w:rPr>
          <w:b w:val="0"/>
          <w:bCs w:val="0"/>
        </w:rPr>
      </w:pPr>
      <w:bookmarkStart w:name="2、履行精准扶贫社会责任情况" w:id="96"/>
      <w:bookmarkEnd w:id="96"/>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9"/>
        <w:jc w:val="left"/>
        <w:rPr>
          <w:b w:val="0"/>
          <w:bCs w:val="0"/>
        </w:rPr>
      </w:pPr>
      <w:bookmarkStart w:name="（1）精准扶贫规划" w:id="97"/>
      <w:bookmarkEnd w:id="97"/>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0"/>
        <w:jc w:val="both"/>
      </w:pPr>
      <w:r>
        <w:rPr/>
        <w:t>北京雏菊花公益基金会是</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月由朗新科技和易视腾科技联合发起成立于北京的一家非公募基金会（慈善组织）。基金 </w:t>
      </w:r>
      <w:r>
        <w:rPr>
          <w:spacing w:val="-2"/>
        </w:rPr>
        <w:t>会的宗旨是通过开展慈善项目，致力于全心全意改善中西部偏远地区青少年教育事业，特别是留守儿童中女童的现状、同时</w:t>
      </w:r>
      <w:r>
        <w:rPr>
          <w:spacing w:val="-63"/>
        </w:rPr>
        <w:t> </w:t>
      </w:r>
      <w:r>
        <w:rPr>
          <w:spacing w:val="-63"/>
        </w:rPr>
      </w:r>
      <w:r>
        <w:rPr/>
        <w:t>为贫困家庭服务，帮助他们自信、从容、有尊严的成长与生活。</w:t>
      </w:r>
    </w:p>
    <w:p>
      <w:pPr>
        <w:spacing w:line="240" w:lineRule="auto" w:before="3"/>
        <w:rPr>
          <w:rFonts w:ascii="宋体" w:hAnsi="宋体" w:cs="宋体" w:eastAsia="宋体" w:hint="default"/>
          <w:sz w:val="23"/>
          <w:szCs w:val="23"/>
        </w:rPr>
      </w:pPr>
    </w:p>
    <w:p>
      <w:pPr>
        <w:pStyle w:val="Heading3"/>
        <w:spacing w:line="240" w:lineRule="auto"/>
        <w:ind w:right="1129"/>
        <w:jc w:val="left"/>
        <w:rPr>
          <w:b w:val="0"/>
          <w:bCs w:val="0"/>
        </w:rPr>
      </w:pPr>
      <w:bookmarkStart w:name="（2）年度精准扶贫概要" w:id="98"/>
      <w:bookmarkEnd w:id="98"/>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4"/>
        <w:jc w:val="left"/>
        <w:rPr>
          <w:rFonts w:ascii="宋体" w:hAnsi="宋体" w:cs="宋体" w:eastAsia="宋体" w:hint="default"/>
        </w:rPr>
      </w:pPr>
      <w:r>
        <w:rPr>
          <w:rFonts w:ascii="宋体" w:hAnsi="宋体" w:cs="宋体" w:eastAsia="宋体" w:hint="default"/>
        </w:rPr>
        <w:t>2018</w:t>
      </w:r>
      <w:r>
        <w:rPr/>
        <w:t>年，基金会启动的第一个项目是援疆志愿者走进新疆的关爱项目，主要是通过汇聚援疆志愿者和社会爱心企业的力量， </w:t>
      </w:r>
      <w:r>
        <w:rPr>
          <w:spacing w:val="-2"/>
        </w:rPr>
        <w:t>以结对子帮扶等方式改善新疆留守儿童女童的生活、学习环境，帮助她们自信快乐的成长。根据项目计划，</w:t>
      </w:r>
      <w:r>
        <w:rPr>
          <w:rFonts w:ascii="宋体" w:hAnsi="宋体" w:cs="宋体" w:eastAsia="宋体" w:hint="default"/>
          <w:spacing w:val="-2"/>
        </w:rPr>
        <w:t>2018</w:t>
      </w:r>
      <w:r>
        <w:rPr>
          <w:spacing w:val="-2"/>
        </w:rPr>
        <w:t>年度，项目</w:t>
      </w:r>
      <w:r>
        <w:rPr>
          <w:spacing w:val="-62"/>
        </w:rPr>
        <w:t> </w:t>
      </w:r>
      <w:r>
        <w:rPr>
          <w:spacing w:val="-62"/>
        </w:rPr>
      </w:r>
      <w:r>
        <w:rPr/>
        <w:t>覆盖了三所学校。</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1129"/>
        <w:jc w:val="left"/>
        <w:rPr>
          <w:b w:val="0"/>
          <w:bCs w:val="0"/>
        </w:rPr>
      </w:pPr>
      <w:bookmarkStart w:name="（3）精准扶贫成效" w:id="99"/>
      <w:bookmarkEnd w:id="99"/>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23"/>
        <w:gridCol w:w="1554"/>
        <w:gridCol w:w="4391"/>
      </w:tblGrid>
      <w:tr>
        <w:trPr>
          <w:trHeight w:val="401"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3"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所</w:t>
            </w:r>
          </w:p>
        </w:tc>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覆盖三所学校</w:t>
            </w:r>
          </w:p>
        </w:tc>
      </w:tr>
      <w:tr>
        <w:trPr>
          <w:trHeight w:val="403"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129"/>
        <w:jc w:val="left"/>
        <w:rPr>
          <w:b w:val="0"/>
          <w:bCs w:val="0"/>
        </w:rPr>
      </w:pPr>
      <w:bookmarkStart w:name="（4）后续精准扶贫计划" w:id="100"/>
      <w:bookmarkEnd w:id="100"/>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5"/>
        <w:jc w:val="left"/>
      </w:pPr>
      <w:r>
        <w:rPr/>
        <w:t>根据项目计划，</w:t>
      </w:r>
      <w:r>
        <w:rPr>
          <w:rFonts w:ascii="宋体" w:hAnsi="宋体" w:cs="宋体" w:eastAsia="宋体" w:hint="default"/>
        </w:rPr>
        <w:t>2018</w:t>
      </w:r>
      <w:r>
        <w:rPr>
          <w:rFonts w:ascii="宋体" w:hAnsi="宋体" w:cs="宋体" w:eastAsia="宋体" w:hint="default"/>
          <w:spacing w:val="-36"/>
        </w:rPr>
        <w:t> </w:t>
      </w:r>
      <w:r>
        <w:rPr/>
        <w:t>年度项目覆盖了三所学校，</w:t>
      </w:r>
      <w:r>
        <w:rPr>
          <w:rFonts w:ascii="宋体" w:hAnsi="宋体" w:cs="宋体" w:eastAsia="宋体" w:hint="default"/>
        </w:rPr>
        <w:t>2019</w:t>
      </w:r>
      <w:r>
        <w:rPr>
          <w:rFonts w:ascii="宋体" w:hAnsi="宋体" w:cs="宋体" w:eastAsia="宋体" w:hint="default"/>
          <w:spacing w:val="-36"/>
        </w:rPr>
        <w:t> </w:t>
      </w:r>
      <w:r>
        <w:rPr/>
        <w:t>年将全部覆盖</w:t>
      </w:r>
      <w:r>
        <w:rPr>
          <w:spacing w:val="-37"/>
        </w:rPr>
        <w:t> </w:t>
      </w:r>
      <w:r>
        <w:rPr>
          <w:rFonts w:ascii="宋体" w:hAnsi="宋体" w:cs="宋体" w:eastAsia="宋体" w:hint="default"/>
        </w:rPr>
        <w:t>10</w:t>
      </w:r>
      <w:r>
        <w:rPr>
          <w:rFonts w:ascii="宋体" w:hAnsi="宋体" w:cs="宋体" w:eastAsia="宋体" w:hint="default"/>
          <w:spacing w:val="-36"/>
        </w:rPr>
        <w:t> </w:t>
      </w:r>
      <w:r>
        <w:rPr/>
        <w:t>所项目学校。同时，</w:t>
      </w:r>
      <w:r>
        <w:rPr>
          <w:rFonts w:ascii="宋体" w:hAnsi="宋体" w:cs="宋体" w:eastAsia="宋体" w:hint="default"/>
        </w:rPr>
        <w:t>2019</w:t>
      </w:r>
      <w:r>
        <w:rPr>
          <w:rFonts w:ascii="宋体" w:hAnsi="宋体" w:cs="宋体" w:eastAsia="宋体" w:hint="default"/>
          <w:spacing w:val="-36"/>
        </w:rPr>
        <w:t> </w:t>
      </w:r>
      <w:r>
        <w:rPr/>
        <w:t>年将遴选部分学生赴北京 参加夏令营，并组织志愿者赴新疆项目学校慰问。</w:t>
      </w:r>
    </w:p>
    <w:p>
      <w:pPr>
        <w:spacing w:after="0" w:line="316"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5714"/>
        <w:jc w:val="left"/>
      </w:pPr>
      <w:r>
        <w:rPr/>
        <w:t>上市公司及其子公司是否属于环境保护部门公布的重点排污单位 不适用</w:t>
      </w:r>
    </w:p>
    <w:p>
      <w:pPr>
        <w:pStyle w:val="BodyText"/>
        <w:spacing w:line="240" w:lineRule="auto" w:before="29"/>
        <w:ind w:right="1129"/>
        <w:jc w:val="left"/>
      </w:pPr>
      <w:r>
        <w:rPr/>
        <w:t>公司及子公司不属于环境保护部门公布的重点排污单位。</w:t>
      </w:r>
    </w:p>
    <w:p>
      <w:pPr>
        <w:spacing w:line="240" w:lineRule="auto" w:before="3"/>
        <w:rPr>
          <w:rFonts w:ascii="宋体" w:hAnsi="宋体" w:cs="宋体" w:eastAsia="宋体" w:hint="default"/>
          <w:sz w:val="25"/>
          <w:szCs w:val="25"/>
        </w:rPr>
      </w:pPr>
    </w:p>
    <w:p>
      <w:pPr>
        <w:pStyle w:val="Heading2"/>
        <w:spacing w:line="240" w:lineRule="auto"/>
        <w:ind w:right="1129"/>
        <w:jc w:val="left"/>
        <w:rPr>
          <w:b w:val="0"/>
          <w:bCs w:val="0"/>
        </w:rPr>
      </w:pPr>
      <w:bookmarkStart w:name="十八、其他重大事项的说明" w:id="102"/>
      <w:bookmarkEnd w:id="102"/>
      <w:r>
        <w:rPr>
          <w:b w:val="0"/>
          <w:bCs w:val="0"/>
        </w:rPr>
      </w:r>
      <w:r>
        <w:rPr/>
        <w:t>十八、其他重大事项的说明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1129"/>
        <w:jc w:val="left"/>
        <w:rPr>
          <w:b w:val="0"/>
          <w:bCs w:val="0"/>
        </w:rPr>
      </w:pPr>
      <w:bookmarkStart w:name="十九、公司子公司重大事项" w:id="103"/>
      <w:bookmarkEnd w:id="103"/>
      <w:r>
        <w:rPr>
          <w:b w:val="0"/>
          <w:bCs w:val="0"/>
        </w:rPr>
      </w: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3" w:right="1129"/>
        <w:jc w:val="left"/>
        <w:rPr>
          <w:b w:val="0"/>
          <w:bCs w:val="0"/>
        </w:rPr>
      </w:pPr>
      <w:bookmarkStart w:name="第六节 股份变动及股东情况" w:id="104"/>
      <w:bookmarkEnd w:id="104"/>
      <w:r>
        <w:rPr>
          <w:b w:val="0"/>
          <w:bCs w:val="0"/>
        </w:rPr>
      </w:r>
      <w:bookmarkStart w:name="_bookmark4" w:id="105"/>
      <w:bookmarkEnd w:id="105"/>
      <w:r>
        <w:rPr>
          <w:b w:val="0"/>
          <w:bCs w:val="0"/>
        </w:rPr>
      </w:r>
      <w:r>
        <w:rPr/>
        <w:t>第六节</w:t>
      </w:r>
      <w:r>
        <w:rPr>
          <w:spacing w:val="-4"/>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9"/>
        <w:jc w:val="left"/>
        <w:rPr>
          <w:b w:val="0"/>
          <w:bCs w:val="0"/>
        </w:rPr>
      </w:pPr>
      <w:bookmarkStart w:name="一、股份变动情况" w:id="106"/>
      <w:bookmarkEnd w:id="106"/>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9"/>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5"/>
        <w:gridCol w:w="823"/>
        <w:gridCol w:w="823"/>
        <w:gridCol w:w="823"/>
        <w:gridCol w:w="821"/>
        <w:gridCol w:w="823"/>
        <w:gridCol w:w="821"/>
        <w:gridCol w:w="823"/>
        <w:gridCol w:w="794"/>
        <w:gridCol w:w="792"/>
      </w:tblGrid>
      <w:tr>
        <w:trPr>
          <w:trHeight w:val="403"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5" w:type="dxa"/>
            <w:vMerge w:val="restart"/>
            <w:tcBorders>
              <w:top w:val="nil" w:sz="6" w:space="0" w:color="auto"/>
              <w:left w:val="single" w:sz="4" w:space="0" w:color="000000"/>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794" w:type="dxa"/>
            <w:tcBorders>
              <w:top w:val="single" w:sz="4" w:space="0" w:color="000000"/>
              <w:left w:val="single" w:sz="4" w:space="0" w:color="000000"/>
              <w:bottom w:val="nil" w:sz="6" w:space="0" w:color="auto"/>
              <w:right w:val="single" w:sz="4" w:space="0" w:color="000000"/>
            </w:tcBorders>
            <w:shd w:val="clear" w:color="auto" w:fill="D4D4D4"/>
          </w:tcPr>
          <w:p>
            <w:pPr/>
          </w:p>
        </w:tc>
        <w:tc>
          <w:tcPr>
            <w:tcW w:w="79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2215" w:type="dxa"/>
            <w:vMerge/>
            <w:tcBorders>
              <w:left w:val="single" w:sz="4" w:space="0" w:color="000000"/>
              <w:bottom w:val="nil" w:sz="6" w:space="0" w:color="auto"/>
              <w:right w:val="single" w:sz="4" w:space="0" w:color="000000"/>
            </w:tcBorders>
            <w:shd w:val="clear" w:color="auto" w:fill="D4D4D4"/>
          </w:tcPr>
          <w:p>
            <w:pP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4D4D4"/>
          </w:tcPr>
          <w:p>
            <w:pPr/>
          </w:p>
        </w:tc>
        <w:tc>
          <w:tcPr>
            <w:tcW w:w="82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15" w:type="dxa"/>
            <w:vMerge w:val="restart"/>
            <w:tcBorders>
              <w:top w:val="nil" w:sz="6" w:space="0" w:color="auto"/>
              <w:left w:val="single" w:sz="4" w:space="0" w:color="000000"/>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1"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21"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794" w:type="dxa"/>
            <w:vMerge/>
            <w:tcBorders>
              <w:left w:val="single" w:sz="4" w:space="0" w:color="000000"/>
              <w:bottom w:val="nil" w:sz="6" w:space="0" w:color="auto"/>
              <w:right w:val="single" w:sz="4" w:space="0" w:color="000000"/>
            </w:tcBorders>
            <w:shd w:val="clear" w:color="auto" w:fill="D4D4D4"/>
          </w:tcPr>
          <w:p>
            <w:pPr/>
          </w:p>
        </w:tc>
        <w:tc>
          <w:tcPr>
            <w:tcW w:w="792"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2215" w:type="dxa"/>
            <w:vMerge/>
            <w:tcBorders>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shd w:val="clear" w:color="auto" w:fill="D4D4D4"/>
          </w:tcPr>
          <w:p>
            <w:pPr/>
          </w:p>
        </w:tc>
        <w:tc>
          <w:tcPr>
            <w:tcW w:w="8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794" w:type="dxa"/>
            <w:tcBorders>
              <w:top w:val="nil" w:sz="6" w:space="0" w:color="auto"/>
              <w:left w:val="single" w:sz="4" w:space="0" w:color="000000"/>
              <w:bottom w:val="single" w:sz="4" w:space="0" w:color="000000"/>
              <w:right w:val="single" w:sz="4" w:space="0" w:color="000000"/>
            </w:tcBorders>
            <w:shd w:val="clear" w:color="auto" w:fill="D4D4D4"/>
          </w:tcPr>
          <w:p>
            <w:pPr/>
          </w:p>
        </w:tc>
        <w:tc>
          <w:tcPr>
            <w:tcW w:w="79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371,760,3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89.20%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12,484,00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-119,236,</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620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-106,752,</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620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265,007,6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61.74%</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271,663,7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65.18%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12,484,00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-119,236,</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620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-106,752,</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620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164,911,1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38.42%</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259,903,4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65.18%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-116,865,</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360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-116,865,</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360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143,038,0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33.33%</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11,760,30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2.82%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12,484,00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-2,371,26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10,112,74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21,873,04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5.10%</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100,096,5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24.02%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100,096,5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23.32%</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100,096,5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24.02%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100,096,5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23.32%</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10.80%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119,212,6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119,212,6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164,212,6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38.26%</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10.80%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119,212,6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119,212,6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164,212,6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38.26%</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416,760,3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12,484,00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-24,000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429,220,3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29"/>
        <w:jc w:val="left"/>
      </w:pPr>
      <w:r>
        <w:rPr/>
        <w:t>股份变动的原因</w:t>
      </w:r>
    </w:p>
    <w:p>
      <w:pPr>
        <w:pStyle w:val="BodyText"/>
        <w:spacing w:line="240" w:lineRule="auto" w:before="115"/>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29"/>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日，公司完成解除首次公开发行前已发行股份的限售股工作（详见</w:t>
      </w:r>
      <w:r>
        <w:rPr>
          <w:rFonts w:ascii="Times New Roman" w:hAnsi="Times New Roman" w:cs="Times New Roman" w:eastAsia="Times New Roman" w:hint="default"/>
        </w:rPr>
        <w:t>2018-067</w:t>
      </w:r>
      <w:r>
        <w:rPr/>
        <w:t>号公告），本次解除限售股数量为</w:t>
      </w:r>
    </w:p>
    <w:p>
      <w:pPr>
        <w:spacing w:after="0" w:line="24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9"/>
        <w:jc w:val="left"/>
      </w:pPr>
      <w:r>
        <w:rPr>
          <w:rFonts w:ascii="Times New Roman" w:hAnsi="Times New Roman" w:cs="Times New Roman" w:eastAsia="Times New Roman" w:hint="default"/>
        </w:rPr>
        <w:t>116,865,360</w:t>
      </w:r>
      <w:r>
        <w:rPr/>
        <w:t>股。</w:t>
      </w:r>
    </w:p>
    <w:p>
      <w:pPr>
        <w:pStyle w:val="BodyText"/>
        <w:spacing w:line="240" w:lineRule="auto" w:before="103"/>
        <w:ind w:right="986"/>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日，公司完成了回购注销离职员工的限制性股票工作（详见</w:t>
      </w:r>
      <w:r>
        <w:rPr>
          <w:rFonts w:ascii="Times New Roman" w:hAnsi="Times New Roman" w:cs="Times New Roman" w:eastAsia="Times New Roman" w:hint="default"/>
        </w:rPr>
        <w:t>2018-089</w:t>
      </w:r>
      <w:r>
        <w:rPr/>
        <w:t>号公告），公司总股本减少至</w:t>
      </w:r>
      <w:r>
        <w:rPr>
          <w:rFonts w:ascii="Times New Roman" w:hAnsi="Times New Roman" w:cs="Times New Roman" w:eastAsia="Times New Roman" w:hint="default"/>
        </w:rPr>
        <w:t>416,736,300</w:t>
      </w:r>
    </w:p>
    <w:p>
      <w:pPr>
        <w:pStyle w:val="BodyText"/>
        <w:spacing w:line="240" w:lineRule="auto" w:before="62"/>
        <w:ind w:right="1129"/>
        <w:jc w:val="left"/>
      </w:pPr>
      <w:r>
        <w:rPr/>
        <w:t>股。</w:t>
      </w:r>
    </w:p>
    <w:p>
      <w:pPr>
        <w:pStyle w:val="BodyText"/>
        <w:spacing w:line="240" w:lineRule="auto" w:before="115"/>
        <w:ind w:right="986"/>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日，公司完成了股权激励限制性股票的授予登记工作（详见</w:t>
      </w:r>
      <w:r>
        <w:rPr>
          <w:rFonts w:ascii="Times New Roman" w:hAnsi="Times New Roman" w:cs="Times New Roman" w:eastAsia="Times New Roman" w:hint="default"/>
        </w:rPr>
        <w:t>2018-105</w:t>
      </w:r>
      <w:r>
        <w:rPr/>
        <w:t>号公告），公司总股本增加至</w:t>
      </w:r>
      <w:r>
        <w:rPr>
          <w:rFonts w:ascii="Times New Roman" w:hAnsi="Times New Roman" w:cs="Times New Roman" w:eastAsia="Times New Roman" w:hint="default"/>
        </w:rPr>
        <w:t>429,220,300</w:t>
      </w:r>
    </w:p>
    <w:p>
      <w:pPr>
        <w:pStyle w:val="BodyText"/>
        <w:spacing w:line="240" w:lineRule="auto" w:before="62"/>
        <w:ind w:right="1129"/>
        <w:jc w:val="left"/>
      </w:pPr>
      <w:r>
        <w:rPr/>
        <w:t>股。</w:t>
      </w:r>
    </w:p>
    <w:p>
      <w:pPr>
        <w:pStyle w:val="BodyText"/>
        <w:spacing w:line="300" w:lineRule="auto" w:before="117"/>
        <w:ind w:right="986"/>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日，公司完成了</w:t>
      </w:r>
      <w:r>
        <w:rPr>
          <w:rFonts w:ascii="Times New Roman" w:hAnsi="Times New Roman" w:cs="Times New Roman" w:eastAsia="Times New Roman" w:hint="default"/>
        </w:rPr>
        <w:t>2017</w:t>
      </w:r>
      <w:r>
        <w:rPr/>
        <w:t>年度限制性股票激励计划第一个解除限售期解除限售股份工作（详见</w:t>
      </w:r>
      <w:r>
        <w:rPr>
          <w:rFonts w:ascii="Times New Roman" w:hAnsi="Times New Roman" w:cs="Times New Roman" w:eastAsia="Times New Roman" w:hint="default"/>
        </w:rPr>
        <w:t>2018-115</w:t>
      </w:r>
      <w:r>
        <w:rPr/>
        <w:t>号公告），</w:t>
      </w:r>
      <w:r>
        <w:rPr>
          <w:spacing w:val="-61"/>
        </w:rPr>
        <w:t> </w:t>
      </w:r>
      <w:r>
        <w:rPr/>
        <w:t>本次解除限售股数量为</w:t>
      </w:r>
      <w:r>
        <w:rPr>
          <w:rFonts w:ascii="Times New Roman" w:hAnsi="Times New Roman" w:cs="Times New Roman" w:eastAsia="Times New Roman" w:hint="default"/>
        </w:rPr>
        <w:t>2,347,260</w:t>
      </w:r>
      <w:r>
        <w:rPr/>
        <w:t>股。</w:t>
      </w:r>
    </w:p>
    <w:p>
      <w:pPr>
        <w:pStyle w:val="BodyText"/>
        <w:spacing w:line="240" w:lineRule="auto" w:before="53"/>
        <w:ind w:right="1129"/>
        <w:jc w:val="left"/>
      </w:pPr>
      <w:r>
        <w:rPr/>
        <w:t>股份变动的批准情况</w:t>
      </w:r>
    </w:p>
    <w:p>
      <w:pPr>
        <w:pStyle w:val="BodyText"/>
        <w:spacing w:line="240" w:lineRule="auto" w:before="115"/>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7" w:lineRule="auto" w:before="103"/>
        <w:ind w:right="1130" w:hanging="1"/>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日，公司第二届董事会第十四次会议，审议通过了《关于回购注销部分限制性股票的议案》，公司决定对 </w:t>
      </w:r>
      <w:r>
        <w:rPr>
          <w:spacing w:val="-1"/>
        </w:rPr>
        <w:t>其已获授但尚未解除限售的</w:t>
      </w:r>
      <w:r>
        <w:rPr>
          <w:rFonts w:ascii="Times New Roman" w:hAnsi="Times New Roman" w:cs="Times New Roman" w:eastAsia="Times New Roman" w:hint="default"/>
          <w:spacing w:val="-1"/>
        </w:rPr>
        <w:t>24,000</w:t>
      </w:r>
      <w:r>
        <w:rPr>
          <w:spacing w:val="-1"/>
        </w:rPr>
        <w:t>股限制性股票进行回购注销，回购价格为</w:t>
      </w:r>
      <w:r>
        <w:rPr>
          <w:rFonts w:ascii="Times New Roman" w:hAnsi="Times New Roman" w:cs="Times New Roman" w:eastAsia="Times New Roman" w:hint="default"/>
          <w:spacing w:val="-1"/>
        </w:rPr>
        <w:t>12.979</w:t>
      </w:r>
      <w:r>
        <w:rPr>
          <w:spacing w:val="-1"/>
        </w:rPr>
        <w:t>元</w:t>
      </w:r>
      <w:r>
        <w:rPr>
          <w:rFonts w:ascii="Times New Roman" w:hAnsi="Times New Roman" w:cs="Times New Roman" w:eastAsia="Times New Roman" w:hint="default"/>
          <w:spacing w:val="-1"/>
        </w:rPr>
        <w:t>/</w:t>
      </w:r>
      <w:r>
        <w:rPr>
          <w:spacing w:val="-1"/>
        </w:rPr>
        <w:t>股，本议案经公司</w:t>
      </w:r>
      <w:r>
        <w:rPr>
          <w:rFonts w:ascii="Times New Roman" w:hAnsi="Times New Roman" w:cs="Times New Roman" w:eastAsia="Times New Roman" w:hint="default"/>
          <w:spacing w:val="-1"/>
        </w:rPr>
        <w:t>2018</w:t>
      </w:r>
      <w:r>
        <w:rPr>
          <w:spacing w:val="-1"/>
        </w:rPr>
        <w:t>年第三次临时股</w:t>
      </w:r>
      <w:r>
        <w:rPr>
          <w:spacing w:val="-75"/>
        </w:rPr>
        <w:t> </w:t>
      </w:r>
      <w:r>
        <w:rPr>
          <w:spacing w:val="-75"/>
        </w:rPr>
      </w:r>
      <w:r>
        <w:rPr>
          <w:spacing w:val="-2"/>
        </w:rPr>
        <w:t>东大会审议批准。公司独立董事对此发表了独立意见，认为回购注销部分限制性股票的事项，符合相关规定，程序合法、合</w:t>
      </w:r>
      <w:r>
        <w:rPr>
          <w:spacing w:val="-68"/>
        </w:rPr>
        <w:t> </w:t>
      </w:r>
      <w:r>
        <w:rPr>
          <w:spacing w:val="-68"/>
        </w:rPr>
      </w:r>
      <w:r>
        <w:rPr/>
        <w:t>规。</w:t>
      </w:r>
    </w:p>
    <w:p>
      <w:pPr>
        <w:pStyle w:val="BodyText"/>
        <w:spacing w:line="307" w:lineRule="auto" w:before="67"/>
        <w:ind w:right="1124"/>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日，公司第二届董事会第二十二次会议和第二届监事会第十七次会议审议通过了《关于</w:t>
      </w:r>
      <w:r>
        <w:rPr>
          <w:rFonts w:ascii="Times New Roman" w:hAnsi="Times New Roman" w:cs="Times New Roman" w:eastAsia="Times New Roman" w:hint="default"/>
        </w:rPr>
        <w:t>2017</w:t>
      </w:r>
      <w:r>
        <w:rPr/>
        <w:t>年度限制性 </w:t>
      </w:r>
      <w:r>
        <w:rPr>
          <w:spacing w:val="-2"/>
        </w:rPr>
        <w:t>股票激励计划第一个解除限售期解除限售条件成就的议案》。公司独立董事对此发表了独立意见。本次符合解除限售条件的</w:t>
      </w:r>
      <w:r>
        <w:rPr>
          <w:spacing w:val="-63"/>
        </w:rPr>
        <w:t> </w:t>
      </w:r>
      <w:r>
        <w:rPr>
          <w:spacing w:val="-63"/>
        </w:rPr>
      </w:r>
      <w:r>
        <w:rPr/>
        <w:t>激励对象共计</w:t>
      </w:r>
      <w:r>
        <w:rPr>
          <w:rFonts w:ascii="Times New Roman" w:hAnsi="Times New Roman" w:cs="Times New Roman" w:eastAsia="Times New Roman" w:hint="default"/>
        </w:rPr>
        <w:t>332</w:t>
      </w:r>
      <w:r>
        <w:rPr/>
        <w:t>人，可解除限售的限制性股票数量</w:t>
      </w:r>
      <w:r>
        <w:rPr>
          <w:rFonts w:ascii="Times New Roman" w:hAnsi="Times New Roman" w:cs="Times New Roman" w:eastAsia="Times New Roman" w:hint="default"/>
        </w:rPr>
        <w:t>2,347,260</w:t>
      </w:r>
      <w:r>
        <w:rPr/>
        <w:t>股，占公司目前总股本</w:t>
      </w:r>
      <w:r>
        <w:rPr>
          <w:rFonts w:ascii="Times New Roman" w:hAnsi="Times New Roman" w:cs="Times New Roman" w:eastAsia="Times New Roman" w:hint="default"/>
        </w:rPr>
        <w:t>429,220,300</w:t>
      </w:r>
      <w:r>
        <w:rPr/>
        <w:t>股的</w:t>
      </w:r>
      <w:r>
        <w:rPr>
          <w:rFonts w:ascii="Times New Roman" w:hAnsi="Times New Roman" w:cs="Times New Roman" w:eastAsia="Times New Roman" w:hint="default"/>
        </w:rPr>
        <w:t>0.55%</w:t>
      </w:r>
      <w:r>
        <w:rPr/>
        <w:t>。本次解除限售 股份上市流通日为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w:t>
      </w:r>
    </w:p>
    <w:p>
      <w:pPr>
        <w:pStyle w:val="BodyText"/>
        <w:spacing w:line="300" w:lineRule="auto" w:before="45"/>
        <w:ind w:left="153" w:right="1130" w:hanging="1"/>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日，公司第二届董事会第十五次会议审议通过了《关于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2018</w:t>
      </w:r>
      <w:r>
        <w:rPr/>
        <w:t>年度限制性股票与股 票期权激励计划（草案）</w:t>
      </w:r>
      <w:r>
        <w:rPr>
          <w:rFonts w:ascii="Times New Roman" w:hAnsi="Times New Roman" w:cs="Times New Roman" w:eastAsia="Times New Roman" w:hint="default"/>
        </w:rPr>
        <w:t>&gt;</w:t>
      </w:r>
      <w:r>
        <w:rPr/>
        <w:t>及其摘要的议案》等议案；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日，公司</w:t>
      </w:r>
      <w:r>
        <w:rPr>
          <w:rFonts w:ascii="Times New Roman" w:hAnsi="Times New Roman" w:cs="Times New Roman" w:eastAsia="Times New Roman" w:hint="default"/>
        </w:rPr>
        <w:t>2018</w:t>
      </w:r>
      <w:r>
        <w:rPr/>
        <w:t>年第四次临时股东大会审议并通过；</w:t>
      </w:r>
      <w:r>
        <w:rPr>
          <w:rFonts w:ascii="Times New Roman" w:hAnsi="Times New Roman" w:cs="Times New Roman" w:eastAsia="Times New Roman" w:hint="default"/>
        </w:rPr>
        <w:t>2018</w:t>
      </w:r>
      <w:r>
        <w:rPr/>
        <w:t>年 </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w:t>
      </w:r>
      <w:r>
        <w:rPr>
          <w:spacing w:val="-2"/>
        </w:rPr>
        <w:t>日，公司第二届董事会第十七次会议和第二届监事会第十四次会议审议通过了《关于向激励对象授予限制性股票与股票</w:t>
      </w:r>
      <w:r>
        <w:rPr>
          <w:spacing w:val="-64"/>
        </w:rPr>
        <w:t> </w:t>
      </w:r>
      <w:r>
        <w:rPr>
          <w:spacing w:val="-64"/>
        </w:rPr>
      </w:r>
      <w:r>
        <w:rPr/>
        <w:t>期权的议案》；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日，公司第二届董事会第十八次会议和第二届监事会第十五次会议审议通过了《关于调整</w:t>
      </w:r>
      <w:r>
        <w:rPr>
          <w:rFonts w:ascii="Times New Roman" w:hAnsi="Times New Roman" w:cs="Times New Roman" w:eastAsia="Times New Roman" w:hint="default"/>
        </w:rPr>
        <w:t>2018 </w:t>
      </w:r>
      <w:r>
        <w:rPr>
          <w:spacing w:val="-2"/>
        </w:rPr>
        <w:t>年度限制性股票与股票期权激励计划激励对象名单的议案》；</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15</w:t>
      </w:r>
      <w:r>
        <w:rPr>
          <w:spacing w:val="-2"/>
        </w:rPr>
        <w:t>日，公司</w:t>
      </w:r>
      <w:r>
        <w:rPr>
          <w:rFonts w:ascii="Times New Roman" w:hAnsi="Times New Roman" w:cs="Times New Roman" w:eastAsia="Times New Roman" w:hint="default"/>
          <w:spacing w:val="-2"/>
        </w:rPr>
        <w:t>2018</w:t>
      </w:r>
      <w:r>
        <w:rPr>
          <w:spacing w:val="-2"/>
        </w:rPr>
        <w:t>年第五次临时股东大会审议通过了</w:t>
      </w:r>
    </w:p>
    <w:p>
      <w:pPr>
        <w:pStyle w:val="BodyText"/>
        <w:spacing w:line="319" w:lineRule="auto" w:before="13"/>
        <w:ind w:left="153" w:right="1129"/>
        <w:jc w:val="left"/>
      </w:pPr>
      <w:r>
        <w:rPr>
          <w:spacing w:val="-2"/>
        </w:rPr>
        <w:t>《关于调整</w:t>
      </w:r>
      <w:r>
        <w:rPr>
          <w:rFonts w:ascii="Times New Roman" w:hAnsi="Times New Roman" w:cs="Times New Roman" w:eastAsia="Times New Roman" w:hint="default"/>
          <w:spacing w:val="-2"/>
        </w:rPr>
        <w:t>2018</w:t>
      </w:r>
      <w:r>
        <w:rPr>
          <w:spacing w:val="-2"/>
        </w:rPr>
        <w:t>年度限制性股票与股票期权激励计划激励对象名单的议案》；</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日，公司</w:t>
      </w:r>
      <w:r>
        <w:rPr>
          <w:rFonts w:ascii="Times New Roman" w:hAnsi="Times New Roman" w:cs="Times New Roman" w:eastAsia="Times New Roman" w:hint="default"/>
          <w:spacing w:val="-2"/>
        </w:rPr>
        <w:t>2018</w:t>
      </w:r>
      <w:r>
        <w:rPr>
          <w:spacing w:val="-2"/>
        </w:rPr>
        <w:t>年股票期权授予登</w:t>
      </w:r>
      <w:r>
        <w:rPr>
          <w:spacing w:val="-58"/>
        </w:rPr>
        <w:t> </w:t>
      </w:r>
      <w:r>
        <w:rPr>
          <w:spacing w:val="-58"/>
        </w:rPr>
      </w:r>
      <w:r>
        <w:rPr/>
        <w:t>记完成，并在中国证监会指定创业板信息披露网站公告了《关于</w:t>
      </w:r>
      <w:r>
        <w:rPr>
          <w:rFonts w:ascii="Times New Roman" w:hAnsi="Times New Roman" w:cs="Times New Roman" w:eastAsia="Times New Roman" w:hint="default"/>
        </w:rPr>
        <w:t>2018</w:t>
      </w:r>
      <w:r>
        <w:rPr/>
        <w:t>年股权激励计划股票期权授予登记完成的公告》。 股份变动的过户情况</w:t>
      </w:r>
    </w:p>
    <w:p>
      <w:pPr>
        <w:pStyle w:val="BodyText"/>
        <w:spacing w:line="240" w:lineRule="auto" w:before="58"/>
        <w:ind w:left="153"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50" w:lineRule="auto" w:before="101"/>
        <w:ind w:left="153" w:right="1129"/>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年度限制性股票回购注销 经中国证券登记结算有限责任公司深圳分公司审核确认，公司本次限制性股票的回购注销事宜已经完成。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年度限制性股票首次授予登记</w:t>
      </w:r>
    </w:p>
    <w:p>
      <w:pPr>
        <w:pStyle w:val="BodyText"/>
        <w:spacing w:line="300" w:lineRule="auto" w:before="9"/>
        <w:ind w:left="153" w:right="1129"/>
        <w:jc w:val="left"/>
      </w:pPr>
      <w:r>
        <w:rPr>
          <w:spacing w:val="-1"/>
        </w:rPr>
        <w:t>在限制性股票资金缴纳、股份登记过程中，有</w:t>
      </w:r>
      <w:r>
        <w:rPr>
          <w:rFonts w:ascii="Times New Roman" w:hAnsi="Times New Roman" w:cs="Times New Roman" w:eastAsia="Times New Roman" w:hint="default"/>
          <w:spacing w:val="-1"/>
        </w:rPr>
        <w:t>19</w:t>
      </w:r>
      <w:r>
        <w:rPr>
          <w:spacing w:val="-1"/>
        </w:rPr>
        <w:t>名激励对象因个人原因自动放弃认购其对应的限制性股票</w:t>
      </w:r>
      <w:r>
        <w:rPr>
          <w:rFonts w:ascii="Times New Roman" w:hAnsi="Times New Roman" w:cs="Times New Roman" w:eastAsia="Times New Roman" w:hint="default"/>
          <w:spacing w:val="-1"/>
        </w:rPr>
        <w:t>18,809</w:t>
      </w:r>
      <w:r>
        <w:rPr>
          <w:spacing w:val="-1"/>
        </w:rPr>
        <w:t>股，因而公</w:t>
      </w:r>
      <w:r>
        <w:rPr>
          <w:spacing w:val="-72"/>
        </w:rPr>
        <w:t> </w:t>
      </w:r>
      <w:r>
        <w:rPr>
          <w:spacing w:val="-72"/>
        </w:rPr>
      </w:r>
      <w:r>
        <w:rPr/>
        <w:t>司本次限制性股票实际授予对象为</w:t>
      </w:r>
      <w:r>
        <w:rPr>
          <w:rFonts w:ascii="Times New Roman" w:hAnsi="Times New Roman" w:cs="Times New Roman" w:eastAsia="Times New Roman" w:hint="default"/>
        </w:rPr>
        <w:t>308</w:t>
      </w:r>
      <w:r>
        <w:rPr/>
        <w:t>人，实际授予数量为</w:t>
      </w:r>
      <w:r>
        <w:rPr>
          <w:rFonts w:ascii="Times New Roman" w:hAnsi="Times New Roman" w:cs="Times New Roman" w:eastAsia="Times New Roman" w:hint="default"/>
        </w:rPr>
        <w:t>12,484,000</w:t>
      </w:r>
      <w:r>
        <w:rPr/>
        <w:t>股，占授予前公司总股本</w:t>
      </w:r>
      <w:r>
        <w:rPr>
          <w:rFonts w:ascii="Times New Roman" w:hAnsi="Times New Roman" w:cs="Times New Roman" w:eastAsia="Times New Roman" w:hint="default"/>
        </w:rPr>
        <w:t>416,736,300</w:t>
      </w:r>
      <w:r>
        <w:rPr/>
        <w:t>股的</w:t>
      </w:r>
      <w:r>
        <w:rPr>
          <w:rFonts w:ascii="Times New Roman" w:hAnsi="Times New Roman" w:cs="Times New Roman" w:eastAsia="Times New Roman" w:hint="default"/>
        </w:rPr>
        <w:t>2.996%</w:t>
      </w:r>
      <w:r>
        <w:rPr/>
        <w:t>。普 </w:t>
      </w:r>
      <w:r>
        <w:rPr>
          <w:spacing w:val="-2"/>
        </w:rPr>
        <w:t>华永道中天会计师事务所（特殊普通合伙）出具了验资报告，公司完成了</w:t>
      </w:r>
      <w:r>
        <w:rPr>
          <w:rFonts w:ascii="Times New Roman" w:hAnsi="Times New Roman" w:cs="Times New Roman" w:eastAsia="Times New Roman" w:hint="default"/>
          <w:spacing w:val="-2"/>
        </w:rPr>
        <w:t>2018</w:t>
      </w:r>
      <w:r>
        <w:rPr>
          <w:spacing w:val="-2"/>
        </w:rPr>
        <w:t>年度股权激励计划限制性股票的首次授予登记</w:t>
      </w:r>
      <w:r>
        <w:rPr>
          <w:spacing w:val="-61"/>
        </w:rPr>
        <w:t> </w:t>
      </w:r>
      <w:r>
        <w:rPr>
          <w:spacing w:val="-61"/>
        </w:rPr>
      </w:r>
      <w:r>
        <w:rPr/>
        <w:t>工作。</w:t>
      </w:r>
    </w:p>
    <w:p>
      <w:pPr>
        <w:pStyle w:val="BodyText"/>
        <w:spacing w:line="240" w:lineRule="auto" w:before="72"/>
        <w:ind w:left="153" w:right="1129"/>
        <w:jc w:val="left"/>
      </w:pPr>
      <w:r>
        <w:rPr/>
        <w:t>股份回购的实施进展情况</w:t>
      </w:r>
    </w:p>
    <w:p>
      <w:pPr>
        <w:pStyle w:val="BodyText"/>
        <w:spacing w:line="338" w:lineRule="auto" w:before="117"/>
        <w:ind w:left="153"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40" w:lineRule="auto" w:before="43"/>
        <w:ind w:left="153"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240" w:lineRule="auto" w:before="39"/>
        <w:ind w:left="153"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left="153" w:right="1222" w:firstLine="360"/>
        <w:jc w:val="left"/>
      </w:pPr>
      <w:r>
        <w:rPr/>
        <w:t>报告期内，公司完成了公开发行及限制性股票授予登记工作，截至 </w:t>
      </w:r>
      <w:r>
        <w:rPr>
          <w:rFonts w:ascii="Times New Roman" w:hAnsi="Times New Roman" w:cs="Times New Roman" w:eastAsia="Times New Roman" w:hint="default"/>
        </w:rPr>
        <w:t>2018</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日，公司总股本较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416,760,300</w:t>
      </w:r>
      <w:r>
        <w:rPr/>
        <w:t>股增加了</w:t>
      </w:r>
      <w:r>
        <w:rPr>
          <w:rFonts w:ascii="Times New Roman" w:hAnsi="Times New Roman" w:cs="Times New Roman" w:eastAsia="Times New Roman" w:hint="default"/>
        </w:rPr>
        <w:t>14,960,562</w:t>
      </w:r>
      <w:r>
        <w:rPr/>
        <w:t>股，将摊薄公司每股收益与每股净资产。</w:t>
      </w:r>
    </w:p>
    <w:p>
      <w:pPr>
        <w:spacing w:after="0" w:line="30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9"/>
        <w:jc w:val="left"/>
      </w:pPr>
      <w:r>
        <w:rPr/>
        <w:t>公司认为必要或证券监管机构要求披露的其他内容</w:t>
      </w:r>
    </w:p>
    <w:p>
      <w:pPr>
        <w:pStyle w:val="BodyText"/>
        <w:spacing w:line="240" w:lineRule="auto" w:before="117"/>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9"/>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3"/>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3"/>
        <w:gridCol w:w="1368"/>
        <w:gridCol w:w="1368"/>
        <w:gridCol w:w="1370"/>
        <w:gridCol w:w="1368"/>
        <w:gridCol w:w="1370"/>
        <w:gridCol w:w="1361"/>
      </w:tblGrid>
      <w:tr>
        <w:trPr>
          <w:trHeight w:val="713" w:hRule="exact"/>
        </w:trPr>
        <w:tc>
          <w:tcPr>
            <w:tcW w:w="13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55"/>
              <w:jc w:val="left"/>
              <w:rPr>
                <w:rFonts w:ascii="Times New Roman" w:hAnsi="Times New Roman" w:cs="Times New Roman" w:eastAsia="Times New Roman" w:hint="default"/>
                <w:sz w:val="18"/>
                <w:szCs w:val="18"/>
              </w:rPr>
            </w:pPr>
            <w:r>
              <w:rPr>
                <w:rFonts w:ascii="Times New Roman"/>
                <w:spacing w:val="-7"/>
                <w:sz w:val="18"/>
              </w:rPr>
              <w:t>Yue </w:t>
            </w:r>
            <w:r>
              <w:rPr>
                <w:rFonts w:ascii="Times New Roman"/>
                <w:sz w:val="18"/>
              </w:rPr>
              <w:t>Qi</w:t>
            </w:r>
            <w:r>
              <w:rPr>
                <w:rFonts w:ascii="Times New Roman"/>
                <w:spacing w:val="5"/>
                <w:sz w:val="18"/>
              </w:rPr>
              <w:t> </w:t>
            </w:r>
            <w:r>
              <w:rPr>
                <w:rFonts w:ascii="Times New Roman"/>
                <w:sz w:val="18"/>
              </w:rPr>
              <w:t>Capital</w:t>
            </w:r>
            <w:r>
              <w:rPr>
                <w:rFonts w:ascii="Times New Roman"/>
                <w:sz w:val="18"/>
              </w:rPr>
              <w:t> Limited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100,096,560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100,096,560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2020/8/1</w:t>
            </w:r>
          </w:p>
        </w:tc>
      </w:tr>
      <w:tr>
        <w:trPr>
          <w:trHeight w:val="102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无锡朴华股权投 资合伙企业（有 限合伙）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84,268,440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84,268,440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2020/8/1</w:t>
            </w:r>
          </w:p>
        </w:tc>
      </w:tr>
      <w:tr>
        <w:trPr>
          <w:trHeight w:val="1339"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国开博裕一期</w:t>
            </w:r>
          </w:p>
          <w:p>
            <w:pPr>
              <w:pStyle w:val="TableParagraph"/>
              <w:spacing w:line="316" w:lineRule="auto" w:before="76"/>
              <w:ind w:left="24" w:right="67"/>
              <w:jc w:val="both"/>
              <w:rPr>
                <w:rFonts w:ascii="宋体" w:hAnsi="宋体" w:cs="宋体" w:eastAsia="宋体" w:hint="default"/>
                <w:sz w:val="18"/>
                <w:szCs w:val="18"/>
              </w:rPr>
            </w:pPr>
            <w:r>
              <w:rPr>
                <w:rFonts w:ascii="宋体" w:hAnsi="宋体" w:cs="宋体" w:eastAsia="宋体" w:hint="default"/>
                <w:sz w:val="18"/>
                <w:szCs w:val="18"/>
              </w:rPr>
              <w:t>（上海）股权投 资合伙企业（有 限合伙）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53,910,000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53,910,000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2018/8/1</w:t>
            </w: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上海云鑫创业投 资有限公司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2018/8/1</w:t>
            </w:r>
          </w:p>
        </w:tc>
      </w:tr>
      <w:tr>
        <w:trPr>
          <w:trHeight w:val="1027"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无锡群英股权投 资合伙企业（有 限合伙）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33,760,080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33,760,080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2020/8/1</w:t>
            </w:r>
          </w:p>
        </w:tc>
      </w:tr>
      <w:tr>
        <w:trPr>
          <w:trHeight w:val="102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天津诚柏股权投 资合伙企业（有 限合伙）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18,868,680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18,868,680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2018/8/1</w:t>
            </w:r>
          </w:p>
        </w:tc>
      </w:tr>
      <w:tr>
        <w:trPr>
          <w:trHeight w:val="1027"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无锡富赡股权投 资合伙企业（有 限合伙）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9,430,560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9,430,560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2020/8/1</w:t>
            </w:r>
          </w:p>
        </w:tc>
      </w:tr>
      <w:tr>
        <w:trPr>
          <w:trHeight w:val="102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无锡羲华投资合 伙企业（有限合 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8,143,560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8,143,560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2020/8/1</w:t>
            </w:r>
          </w:p>
        </w:tc>
      </w:tr>
      <w:tr>
        <w:trPr>
          <w:trHeight w:val="1027"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海南华兴合创创 业投资中心（有 限合伙）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8,086,680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8,086,680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2018/8/1</w:t>
            </w:r>
          </w:p>
        </w:tc>
      </w:tr>
      <w:tr>
        <w:trPr>
          <w:trHeight w:val="102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无锡道元投资合 伙企业（有限合 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7,435,440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7,435,440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2020/8/1</w:t>
            </w:r>
          </w:p>
        </w:tc>
      </w:tr>
      <w:tr>
        <w:trPr>
          <w:trHeight w:val="986"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97"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年度限制性 股票激励对象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6"/>
              <w:jc w:val="right"/>
              <w:rPr>
                <w:rFonts w:ascii="Times New Roman" w:hAnsi="Times New Roman" w:cs="Times New Roman" w:eastAsia="Times New Roman" w:hint="default"/>
                <w:sz w:val="18"/>
                <w:szCs w:val="18"/>
              </w:rPr>
            </w:pPr>
            <w:r>
              <w:rPr>
                <w:rFonts w:ascii="Times New Roman"/>
                <w:spacing w:val="-1"/>
                <w:sz w:val="18"/>
              </w:rPr>
              <w:t>11,760,300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2,371,260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9,389,040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年度限制性 股票激励计划第 一个解除限售期</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300" w:lineRule="auto" w:before="63"/>
              <w:ind w:left="2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日解禁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tc>
      </w:tr>
    </w:tbl>
    <w:p>
      <w:pPr>
        <w:spacing w:after="0" w:line="300" w:lineRule="auto"/>
        <w:jc w:val="lef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3"/>
        <w:gridCol w:w="1368"/>
        <w:gridCol w:w="1368"/>
        <w:gridCol w:w="1370"/>
        <w:gridCol w:w="1368"/>
        <w:gridCol w:w="1370"/>
        <w:gridCol w:w="1361"/>
      </w:tblGrid>
      <w:tr>
        <w:trPr>
          <w:trHeight w:val="674" w:hRule="exact"/>
        </w:trPr>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4"/>
              <w:jc w:val="left"/>
              <w:rPr>
                <w:rFonts w:ascii="宋体" w:hAnsi="宋体" w:cs="宋体" w:eastAsia="宋体" w:hint="default"/>
                <w:sz w:val="18"/>
                <w:szCs w:val="18"/>
              </w:rPr>
            </w:pPr>
            <w:r>
              <w:rPr>
                <w:rFonts w:ascii="宋体" w:hAnsi="宋体" w:cs="宋体" w:eastAsia="宋体" w:hint="default"/>
                <w:sz w:val="18"/>
                <w:szCs w:val="18"/>
              </w:rPr>
              <w:t>解除限售条件成 就</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日解禁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196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票激励对象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12,484,000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12,484,000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3"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票激励计划</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300" w:lineRule="auto" w:before="63"/>
              <w:ind w:left="23"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日解禁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300" w:lineRule="auto" w:before="13"/>
              <w:ind w:left="23"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日解禁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 </w:t>
            </w: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日解禁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371,760,300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119,236,620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12,484,000</w:t>
            </w:r>
          </w:p>
        </w:tc>
        <w:tc>
          <w:tcPr>
            <w:tcW w:w="1368"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273,094,360</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29"/>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9"/>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1"/>
        <w:gridCol w:w="1294"/>
        <w:gridCol w:w="1296"/>
        <w:gridCol w:w="1294"/>
        <w:gridCol w:w="1296"/>
        <w:gridCol w:w="1296"/>
        <w:gridCol w:w="1682"/>
      </w:tblGrid>
      <w:tr>
        <w:trPr>
          <w:trHeight w:val="713" w:hRule="exact"/>
        </w:trPr>
        <w:tc>
          <w:tcPr>
            <w:tcW w:w="14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3"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股权激励限制性 股票</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8.23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12,484,000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49"/>
        <w:ind w:right="1129"/>
        <w:jc w:val="left"/>
      </w:pPr>
      <w:r>
        <w:rPr/>
        <w:t>报告期内证券发行（不含优先股）情况的说明</w:t>
      </w:r>
    </w:p>
    <w:p>
      <w:pPr>
        <w:pStyle w:val="BodyText"/>
        <w:spacing w:line="300" w:lineRule="auto" w:before="117"/>
        <w:ind w:right="1124"/>
        <w:jc w:val="left"/>
      </w:pPr>
      <w:r>
        <w:rPr/>
        <w:t>公司</w:t>
      </w:r>
      <w:r>
        <w:rPr>
          <w:rFonts w:ascii="Times New Roman" w:hAnsi="Times New Roman" w:cs="Times New Roman" w:eastAsia="Times New Roman" w:hint="default"/>
        </w:rPr>
        <w:t>2018</w:t>
      </w:r>
      <w:r>
        <w:rPr/>
        <w:t>年度限制性股票与股票期权激励计划首次授予</w:t>
      </w:r>
      <w:r>
        <w:rPr>
          <w:rFonts w:ascii="Times New Roman" w:hAnsi="Times New Roman" w:cs="Times New Roman" w:eastAsia="Times New Roman" w:hint="default"/>
        </w:rPr>
        <w:t>12,484,000</w:t>
      </w:r>
      <w:r>
        <w:rPr/>
        <w:t>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日，公司</w:t>
      </w:r>
      <w:r>
        <w:rPr>
          <w:rFonts w:ascii="Times New Roman" w:hAnsi="Times New Roman" w:cs="Times New Roman" w:eastAsia="Times New Roman" w:hint="default"/>
        </w:rPr>
        <w:t>2018</w:t>
      </w:r>
      <w:r>
        <w:rPr/>
        <w:t>年限制性股票首次授予登 记完成并上市。</w:t>
      </w:r>
    </w:p>
    <w:p>
      <w:pPr>
        <w:spacing w:line="240" w:lineRule="auto" w:before="10"/>
        <w:rPr>
          <w:rFonts w:ascii="宋体" w:hAnsi="宋体" w:cs="宋体" w:eastAsia="宋体" w:hint="default"/>
          <w:sz w:val="23"/>
          <w:szCs w:val="23"/>
        </w:rPr>
      </w:pPr>
    </w:p>
    <w:p>
      <w:pPr>
        <w:pStyle w:val="Heading3"/>
        <w:spacing w:line="240" w:lineRule="auto"/>
        <w:ind w:right="1129"/>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报告期内，公司股份总数及股东结构均发生了变化。股份总数及股东结构的变化情况见本节</w:t>
      </w:r>
      <w:r>
        <w:rPr>
          <w:rFonts w:ascii="Times New Roman" w:hAnsi="Times New Roman" w:cs="Times New Roman" w:eastAsia="Times New Roman" w:hint="default"/>
        </w:rPr>
        <w:t>“</w:t>
      </w:r>
      <w:r>
        <w:rPr/>
        <w:t>一、股份变动情况</w:t>
      </w:r>
      <w:r>
        <w:rPr>
          <w:rFonts w:ascii="Times New Roman" w:hAnsi="Times New Roman" w:cs="Times New Roman" w:eastAsia="Times New Roman" w:hint="default"/>
        </w:rPr>
        <w:t>”</w:t>
      </w:r>
      <w:r>
        <w:rPr/>
        <w:t>。同时，公 司进行了短期银行债务融资，公司的资本结构进一步优化，财务状况持续向好，财务风险较低，公司抗风险能力得到提高。</w:t>
      </w:r>
    </w:p>
    <w:p>
      <w:pPr>
        <w:spacing w:line="240" w:lineRule="auto" w:before="9"/>
        <w:rPr>
          <w:rFonts w:ascii="宋体" w:hAnsi="宋体" w:cs="宋体" w:eastAsia="宋体" w:hint="default"/>
          <w:sz w:val="22"/>
          <w:szCs w:val="22"/>
        </w:rPr>
      </w:pPr>
    </w:p>
    <w:p>
      <w:pPr>
        <w:pStyle w:val="Heading3"/>
        <w:spacing w:line="240" w:lineRule="auto"/>
        <w:ind w:right="1129"/>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9"/>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9"/>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3"/>
        <w:jc w:val="right"/>
      </w:pPr>
      <w:r>
        <w:rPr/>
        <w:t>单位：股</w:t>
      </w:r>
    </w:p>
    <w:p>
      <w:pPr>
        <w:spacing w:after="0" w:line="240" w:lineRule="auto"/>
        <w:jc w:val="right"/>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49.159698pt;margin-top:123.239983pt;width:85.7pt;height:31.2pt;mso-position-horizontal-relative:page;mso-position-vertical-relative:page;z-index:-1107304" type="#_x0000_t202" filled="false" stroked="false">
            <v:textbox inset="0,0,0,0">
              <w:txbxContent>
                <w:p>
                  <w:pPr>
                    <w:pStyle w:val="BodyText"/>
                    <w:spacing w:line="205" w:lineRule="exact"/>
                    <w:ind w:left="0" w:right="0"/>
                    <w:jc w:val="left"/>
                  </w:pPr>
                  <w:r>
                    <w:rPr/>
                    <w:t>（如有）</w:t>
                  </w:r>
                </w:p>
              </w:txbxContent>
            </v:textbox>
            <w10:wrap type="none"/>
          </v:shape>
        </w:pict>
      </w:r>
      <w:r>
        <w:rPr/>
        <w:pict>
          <v:group style="position:absolute;margin-left:482.399994pt;margin-top:123.239983pt;width:52.45pt;height:31.2pt;mso-position-horizontal-relative:page;mso-position-vertical-relative:page;z-index:-1107280" coordorigin="9648,2465" coordsize="1049,624">
            <v:shape style="position:absolute;left:9648;top:2465;width:1049;height:624" coordorigin="9648,2465" coordsize="1049,624" path="m9648,3089l10697,3089,10697,2465,9648,2465,9648,308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34"/>
        <w:gridCol w:w="134"/>
        <w:gridCol w:w="674"/>
        <w:gridCol w:w="737"/>
        <w:gridCol w:w="744"/>
        <w:gridCol w:w="830"/>
        <w:gridCol w:w="346"/>
        <w:gridCol w:w="444"/>
        <w:gridCol w:w="823"/>
        <w:gridCol w:w="802"/>
        <w:gridCol w:w="322"/>
        <w:gridCol w:w="1027"/>
        <w:gridCol w:w="280"/>
        <w:gridCol w:w="512"/>
        <w:gridCol w:w="557"/>
      </w:tblGrid>
      <w:tr>
        <w:trPr>
          <w:trHeight w:val="161" w:hRule="exact"/>
        </w:trPr>
        <w:tc>
          <w:tcPr>
            <w:tcW w:w="1334" w:type="dxa"/>
            <w:vMerge w:val="restart"/>
            <w:tcBorders>
              <w:top w:val="single" w:sz="4" w:space="0" w:color="000000"/>
              <w:left w:val="single" w:sz="4" w:space="0" w:color="000000"/>
              <w:right w:val="single" w:sz="4" w:space="0" w:color="000000"/>
            </w:tcBorders>
            <w:shd w:val="clear" w:color="auto" w:fill="D4D4D4"/>
          </w:tcPr>
          <w:p>
            <w:pPr/>
          </w:p>
        </w:tc>
        <w:tc>
          <w:tcPr>
            <w:tcW w:w="809" w:type="dxa"/>
            <w:gridSpan w:val="2"/>
            <w:vMerge w:val="restart"/>
            <w:tcBorders>
              <w:top w:val="single" w:sz="4" w:space="0" w:color="000000"/>
              <w:left w:val="single" w:sz="9" w:space="0" w:color="D4D4D4"/>
              <w:right w:val="single" w:sz="10" w:space="0" w:color="D4D4D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13,714</w:t>
            </w:r>
          </w:p>
        </w:tc>
        <w:tc>
          <w:tcPr>
            <w:tcW w:w="1481" w:type="dxa"/>
            <w:gridSpan w:val="2"/>
            <w:vMerge w:val="restart"/>
            <w:tcBorders>
              <w:top w:val="single" w:sz="4" w:space="0" w:color="000000"/>
              <w:left w:val="single" w:sz="4" w:space="0" w:color="000000"/>
              <w:right w:val="single" w:sz="4" w:space="0" w:color="000000"/>
            </w:tcBorders>
            <w:shd w:val="clear" w:color="auto" w:fill="D4D4D4"/>
          </w:tcPr>
          <w:p>
            <w:pPr/>
          </w:p>
        </w:tc>
        <w:tc>
          <w:tcPr>
            <w:tcW w:w="1176" w:type="dxa"/>
            <w:gridSpan w:val="2"/>
            <w:vMerge w:val="restart"/>
            <w:tcBorders>
              <w:top w:val="single" w:sz="4" w:space="0" w:color="000000"/>
              <w:left w:val="single" w:sz="10" w:space="0" w:color="D4D4D4"/>
              <w:right w:val="single" w:sz="10" w:space="0" w:color="D4D4D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14,247</w:t>
            </w:r>
          </w:p>
        </w:tc>
        <w:tc>
          <w:tcPr>
            <w:tcW w:w="1267"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124" w:type="dxa"/>
            <w:gridSpan w:val="2"/>
            <w:vMerge w:val="restart"/>
            <w:tcBorders>
              <w:top w:val="single" w:sz="4" w:space="0" w:color="000000"/>
              <w:left w:val="single" w:sz="10" w:space="0" w:color="D4D4D4"/>
              <w:right w:val="single" w:sz="13" w:space="0" w:color="D4D4D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2"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2" w:type="dxa"/>
            <w:vMerge w:val="restart"/>
            <w:tcBorders>
              <w:top w:val="single" w:sz="4" w:space="0" w:color="000000"/>
              <w:left w:val="single" w:sz="12" w:space="0" w:color="D4D4D4"/>
              <w:right w:val="nil" w:sz="6" w:space="0" w:color="auto"/>
            </w:tcBorders>
          </w:tcPr>
          <w:p>
            <w:pPr/>
          </w:p>
        </w:tc>
        <w:tc>
          <w:tcPr>
            <w:tcW w:w="557"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81" w:type="dxa"/>
            <w:gridSpan w:val="2"/>
            <w:vMerge/>
            <w:tcBorders>
              <w:left w:val="single" w:sz="4" w:space="0" w:color="000000"/>
              <w:bottom w:val="nil" w:sz="6" w:space="0" w:color="auto"/>
              <w:right w:val="single" w:sz="4" w:space="0" w:color="000000"/>
            </w:tcBorders>
            <w:shd w:val="clear" w:color="auto" w:fill="D4D4D4"/>
          </w:tcPr>
          <w:p>
            <w:pPr/>
          </w:p>
        </w:tc>
        <w:tc>
          <w:tcPr>
            <w:tcW w:w="1176" w:type="dxa"/>
            <w:gridSpan w:val="2"/>
            <w:vMerge/>
            <w:tcBorders>
              <w:left w:val="single" w:sz="10" w:space="0" w:color="D4D4D4"/>
              <w:right w:val="single" w:sz="10" w:space="0" w:color="D4D4D4"/>
            </w:tcBorders>
          </w:tcPr>
          <w:p>
            <w:pPr/>
          </w:p>
        </w:tc>
        <w:tc>
          <w:tcPr>
            <w:tcW w:w="1267"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2" w:right="-16"/>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bottom w:val="nil" w:sz="6" w:space="0" w:color="auto"/>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81"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1" w:right="19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6" w:type="dxa"/>
            <w:gridSpan w:val="2"/>
            <w:vMerge/>
            <w:tcBorders>
              <w:left w:val="single" w:sz="10" w:space="0" w:color="D4D4D4"/>
              <w:right w:val="single" w:sz="10" w:space="0" w:color="D4D4D4"/>
            </w:tcBorders>
          </w:tcPr>
          <w:p>
            <w:pPr/>
          </w:p>
        </w:tc>
        <w:tc>
          <w:tcPr>
            <w:tcW w:w="1267" w:type="dxa"/>
            <w:gridSpan w:val="2"/>
            <w:vMerge/>
            <w:tcBorders>
              <w:left w:val="single" w:sz="4" w:space="0" w:color="000000"/>
              <w:right w:val="single" w:sz="4" w:space="0" w:color="000000"/>
            </w:tcBorders>
            <w:shd w:val="clear" w:color="auto" w:fill="D4D4D4"/>
          </w:tcPr>
          <w:p>
            <w:pP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3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9" w:type="dxa"/>
            <w:gridSpan w:val="2"/>
            <w:vMerge/>
            <w:tcBorders>
              <w:left w:val="single" w:sz="9" w:space="0" w:color="D4D4D4"/>
              <w:right w:val="single" w:sz="10" w:space="0" w:color="D4D4D4"/>
            </w:tcBorders>
          </w:tcPr>
          <w:p>
            <w:pPr/>
          </w:p>
        </w:tc>
        <w:tc>
          <w:tcPr>
            <w:tcW w:w="1481" w:type="dxa"/>
            <w:gridSpan w:val="2"/>
            <w:vMerge/>
            <w:tcBorders>
              <w:left w:val="single" w:sz="4" w:space="0" w:color="000000"/>
              <w:right w:val="single" w:sz="4" w:space="0" w:color="000000"/>
            </w:tcBorders>
            <w:shd w:val="clear" w:color="auto" w:fill="D4D4D4"/>
          </w:tcPr>
          <w:p>
            <w:pPr/>
          </w:p>
        </w:tc>
        <w:tc>
          <w:tcPr>
            <w:tcW w:w="1176" w:type="dxa"/>
            <w:gridSpan w:val="2"/>
            <w:vMerge/>
            <w:tcBorders>
              <w:left w:val="single" w:sz="10" w:space="0" w:color="D4D4D4"/>
              <w:right w:val="single" w:sz="10" w:space="0" w:color="D4D4D4"/>
            </w:tcBorders>
          </w:tcPr>
          <w:p>
            <w:pPr/>
          </w:p>
        </w:tc>
        <w:tc>
          <w:tcPr>
            <w:tcW w:w="1267" w:type="dxa"/>
            <w:gridSpan w:val="2"/>
            <w:vMerge/>
            <w:tcBorders>
              <w:left w:val="single" w:sz="4" w:space="0" w:color="000000"/>
              <w:right w:val="single" w:sz="4" w:space="0" w:color="000000"/>
            </w:tcBorders>
            <w:shd w:val="clear" w:color="auto" w:fill="D4D4D4"/>
          </w:tcPr>
          <w:p>
            <w:pP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4" w:type="dxa"/>
            <w:vMerge w:val="restart"/>
            <w:tcBorders>
              <w:top w:val="nil" w:sz="6" w:space="0" w:color="auto"/>
              <w:left w:val="single" w:sz="4" w:space="0" w:color="000000"/>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81" w:type="dxa"/>
            <w:gridSpan w:val="2"/>
            <w:vMerge/>
            <w:tcBorders>
              <w:left w:val="single" w:sz="4" w:space="0" w:color="000000"/>
              <w:bottom w:val="nil" w:sz="6" w:space="0" w:color="auto"/>
              <w:right w:val="single" w:sz="4" w:space="0" w:color="000000"/>
            </w:tcBorders>
            <w:shd w:val="clear" w:color="auto" w:fill="D4D4D4"/>
          </w:tcPr>
          <w:p>
            <w:pPr/>
          </w:p>
        </w:tc>
        <w:tc>
          <w:tcPr>
            <w:tcW w:w="1176" w:type="dxa"/>
            <w:gridSpan w:val="2"/>
            <w:vMerge/>
            <w:tcBorders>
              <w:left w:val="single" w:sz="10" w:space="0" w:color="D4D4D4"/>
              <w:right w:val="single" w:sz="10" w:space="0" w:color="D4D4D4"/>
            </w:tcBorders>
          </w:tcPr>
          <w:p>
            <w:pPr/>
          </w:p>
        </w:tc>
        <w:tc>
          <w:tcPr>
            <w:tcW w:w="1267" w:type="dxa"/>
            <w:gridSpan w:val="2"/>
            <w:vMerge/>
            <w:tcBorders>
              <w:left w:val="single" w:sz="4" w:space="0" w:color="000000"/>
              <w:right w:val="single" w:sz="4" w:space="0" w:color="000000"/>
            </w:tcBorders>
            <w:shd w:val="clear" w:color="auto" w:fill="D4D4D4"/>
          </w:tcPr>
          <w:p>
            <w:pP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81" w:type="dxa"/>
            <w:gridSpan w:val="2"/>
            <w:vMerge w:val="restart"/>
            <w:tcBorders>
              <w:top w:val="nil" w:sz="6" w:space="0" w:color="auto"/>
              <w:left w:val="single" w:sz="4" w:space="0" w:color="000000"/>
              <w:right w:val="single" w:sz="4" w:space="0" w:color="000000"/>
            </w:tcBorders>
            <w:shd w:val="clear" w:color="auto" w:fill="D4D4D4"/>
          </w:tcPr>
          <w:p>
            <w:pPr/>
          </w:p>
        </w:tc>
        <w:tc>
          <w:tcPr>
            <w:tcW w:w="1176" w:type="dxa"/>
            <w:gridSpan w:val="2"/>
            <w:vMerge/>
            <w:tcBorders>
              <w:left w:val="single" w:sz="10" w:space="0" w:color="D4D4D4"/>
              <w:right w:val="single" w:sz="10" w:space="0" w:color="D4D4D4"/>
            </w:tcBorders>
          </w:tcPr>
          <w:p>
            <w:pPr/>
          </w:p>
        </w:tc>
        <w:tc>
          <w:tcPr>
            <w:tcW w:w="1267" w:type="dxa"/>
            <w:gridSpan w:val="2"/>
            <w:vMerge/>
            <w:tcBorders>
              <w:left w:val="single" w:sz="4" w:space="0" w:color="000000"/>
              <w:bottom w:val="nil" w:sz="6" w:space="0" w:color="auto"/>
              <w:right w:val="single" w:sz="4" w:space="0" w:color="000000"/>
            </w:tcBorders>
            <w:shd w:val="clear" w:color="auto" w:fill="D4D4D4"/>
          </w:tcPr>
          <w:p>
            <w:pP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68" w:hRule="exact"/>
        </w:trPr>
        <w:tc>
          <w:tcPr>
            <w:tcW w:w="1334" w:type="dxa"/>
            <w:vMerge/>
            <w:tcBorders>
              <w:left w:val="single" w:sz="4" w:space="0" w:color="000000"/>
              <w:bottom w:val="single" w:sz="4" w:space="0" w:color="000000"/>
              <w:right w:val="single" w:sz="4" w:space="0" w:color="000000"/>
            </w:tcBorders>
            <w:shd w:val="clear" w:color="auto" w:fill="D4D4D4"/>
          </w:tcPr>
          <w:p>
            <w:pPr/>
          </w:p>
        </w:tc>
        <w:tc>
          <w:tcPr>
            <w:tcW w:w="809" w:type="dxa"/>
            <w:gridSpan w:val="2"/>
            <w:vMerge/>
            <w:tcBorders>
              <w:left w:val="single" w:sz="9" w:space="0" w:color="D4D4D4"/>
              <w:bottom w:val="single" w:sz="4" w:space="0" w:color="000000"/>
              <w:right w:val="single" w:sz="10" w:space="0" w:color="D4D4D4"/>
            </w:tcBorders>
          </w:tcPr>
          <w:p>
            <w:pPr/>
          </w:p>
        </w:tc>
        <w:tc>
          <w:tcPr>
            <w:tcW w:w="1481" w:type="dxa"/>
            <w:gridSpan w:val="2"/>
            <w:vMerge/>
            <w:tcBorders>
              <w:left w:val="single" w:sz="4" w:space="0" w:color="000000"/>
              <w:bottom w:val="single" w:sz="4" w:space="0" w:color="000000"/>
              <w:right w:val="single" w:sz="4" w:space="0" w:color="000000"/>
            </w:tcBorders>
            <w:shd w:val="clear" w:color="auto" w:fill="D4D4D4"/>
          </w:tcPr>
          <w:p>
            <w:pPr/>
          </w:p>
        </w:tc>
        <w:tc>
          <w:tcPr>
            <w:tcW w:w="1176" w:type="dxa"/>
            <w:gridSpan w:val="2"/>
            <w:vMerge/>
            <w:tcBorders>
              <w:left w:val="single" w:sz="10" w:space="0" w:color="D4D4D4"/>
              <w:bottom w:val="single" w:sz="4" w:space="0" w:color="000000"/>
              <w:right w:val="single" w:sz="10" w:space="0" w:color="D4D4D4"/>
            </w:tcBorders>
          </w:tcPr>
          <w:p>
            <w:pPr/>
          </w:p>
        </w:tc>
        <w:tc>
          <w:tcPr>
            <w:tcW w:w="1267"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124" w:type="dxa"/>
            <w:gridSpan w:val="2"/>
            <w:vMerge/>
            <w:tcBorders>
              <w:left w:val="single" w:sz="10" w:space="0" w:color="D4D4D4"/>
              <w:bottom w:val="single" w:sz="4" w:space="0" w:color="000000"/>
              <w:right w:val="single" w:sz="13" w:space="0" w:color="D4D4D4"/>
            </w:tcBorders>
          </w:tcPr>
          <w:p>
            <w:pPr/>
          </w:p>
        </w:tc>
        <w:tc>
          <w:tcPr>
            <w:tcW w:w="1307" w:type="dxa"/>
            <w:gridSpan w:val="2"/>
            <w:vMerge/>
            <w:tcBorders>
              <w:left w:val="single" w:sz="4" w:space="0" w:color="000000"/>
              <w:bottom w:val="single" w:sz="4" w:space="0" w:color="000000"/>
              <w:right w:val="single" w:sz="4" w:space="0" w:color="000000"/>
            </w:tcBorders>
            <w:shd w:val="clear" w:color="auto" w:fill="D4D4D4"/>
          </w:tcPr>
          <w:p>
            <w:pPr/>
          </w:p>
        </w:tc>
        <w:tc>
          <w:tcPr>
            <w:tcW w:w="512" w:type="dxa"/>
            <w:vMerge/>
            <w:tcBorders>
              <w:left w:val="single" w:sz="12" w:space="0" w:color="D4D4D4"/>
              <w:bottom w:val="single" w:sz="4" w:space="0" w:color="000000"/>
              <w:right w:val="nil" w:sz="6" w:space="0" w:color="auto"/>
            </w:tcBorders>
          </w:tcPr>
          <w:p>
            <w:pPr/>
          </w:p>
        </w:tc>
        <w:tc>
          <w:tcPr>
            <w:tcW w:w="557"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6" w:type="dxa"/>
            <w:gridSpan w:val="1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4D4D4"/>
          </w:tcPr>
          <w:p>
            <w:pPr/>
          </w:p>
        </w:tc>
        <w:tc>
          <w:tcPr>
            <w:tcW w:w="1411" w:type="dxa"/>
            <w:gridSpan w:val="2"/>
            <w:vMerge w:val="restart"/>
            <w:tcBorders>
              <w:top w:val="single" w:sz="4" w:space="0" w:color="000000"/>
              <w:left w:val="single" w:sz="4" w:space="0" w:color="000000"/>
              <w:right w:val="single" w:sz="4" w:space="0" w:color="000000"/>
            </w:tcBorders>
            <w:shd w:val="clear" w:color="auto" w:fill="D4D4D4"/>
          </w:tcPr>
          <w:p>
            <w:pPr/>
          </w:p>
        </w:tc>
        <w:tc>
          <w:tcPr>
            <w:tcW w:w="744" w:type="dxa"/>
            <w:vMerge w:val="restart"/>
            <w:tcBorders>
              <w:top w:val="single" w:sz="4" w:space="0" w:color="000000"/>
              <w:left w:val="single" w:sz="4" w:space="0" w:color="000000"/>
              <w:right w:val="single" w:sz="4" w:space="0" w:color="000000"/>
            </w:tcBorders>
            <w:shd w:val="clear" w:color="auto" w:fill="D4D4D4"/>
          </w:tcPr>
          <w:p>
            <w:pPr/>
          </w:p>
        </w:tc>
        <w:tc>
          <w:tcPr>
            <w:tcW w:w="830" w:type="dxa"/>
            <w:tcBorders>
              <w:top w:val="single" w:sz="4" w:space="0" w:color="000000"/>
              <w:left w:val="single" w:sz="4" w:space="0" w:color="000000"/>
              <w:bottom w:val="nil" w:sz="6" w:space="0" w:color="auto"/>
              <w:right w:val="single" w:sz="4" w:space="0" w:color="000000"/>
            </w:tcBorders>
            <w:shd w:val="clear" w:color="auto" w:fill="D4D4D4"/>
          </w:tcPr>
          <w:p>
            <w:pPr/>
          </w:p>
        </w:tc>
        <w:tc>
          <w:tcPr>
            <w:tcW w:w="79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8" w:right="6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1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4D4D4"/>
          </w:tcPr>
          <w:p>
            <w:pPr/>
          </w:p>
        </w:tc>
        <w:tc>
          <w:tcPr>
            <w:tcW w:w="1411" w:type="dxa"/>
            <w:gridSpan w:val="2"/>
            <w:vMerge/>
            <w:tcBorders>
              <w:left w:val="single" w:sz="4" w:space="0" w:color="000000"/>
              <w:bottom w:val="nil" w:sz="6" w:space="0" w:color="auto"/>
              <w:right w:val="single" w:sz="4" w:space="0" w:color="000000"/>
            </w:tcBorders>
            <w:shd w:val="clear" w:color="auto" w:fill="D4D4D4"/>
          </w:tcPr>
          <w:p>
            <w:pPr/>
          </w:p>
        </w:tc>
        <w:tc>
          <w:tcPr>
            <w:tcW w:w="744" w:type="dxa"/>
            <w:vMerge/>
            <w:tcBorders>
              <w:left w:val="single" w:sz="4" w:space="0" w:color="000000"/>
              <w:bottom w:val="nil" w:sz="6" w:space="0" w:color="auto"/>
              <w:right w:val="single" w:sz="4" w:space="0" w:color="000000"/>
            </w:tcBorders>
            <w:shd w:val="clear" w:color="auto" w:fill="D4D4D4"/>
          </w:tcPr>
          <w:p>
            <w:pPr/>
          </w:p>
        </w:tc>
        <w:tc>
          <w:tcPr>
            <w:tcW w:w="830"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72"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2698" w:type="dxa"/>
            <w:gridSpan w:val="5"/>
            <w:vMerge/>
            <w:tcBorders>
              <w:left w:val="single" w:sz="4" w:space="0" w:color="000000"/>
              <w:right w:val="single" w:sz="4" w:space="0" w:color="000000"/>
            </w:tcBorders>
            <w:shd w:val="clear" w:color="auto" w:fill="D4D4D4"/>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2698" w:type="dxa"/>
            <w:gridSpan w:val="5"/>
            <w:vMerge/>
            <w:tcBorders>
              <w:left w:val="single" w:sz="4" w:space="0" w:color="000000"/>
              <w:bottom w:val="single" w:sz="4" w:space="0" w:color="000000"/>
              <w:right w:val="single" w:sz="4" w:space="0" w:color="000000"/>
            </w:tcBorders>
            <w:shd w:val="clear" w:color="auto" w:fill="D4D4D4"/>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4D4D4"/>
          </w:tcPr>
          <w:p>
            <w:pPr/>
          </w:p>
        </w:tc>
        <w:tc>
          <w:tcPr>
            <w:tcW w:w="1411" w:type="dxa"/>
            <w:gridSpan w:val="2"/>
            <w:vMerge/>
            <w:tcBorders>
              <w:left w:val="single" w:sz="4" w:space="0" w:color="000000"/>
              <w:bottom w:val="nil" w:sz="6" w:space="0" w:color="auto"/>
              <w:right w:val="single" w:sz="4" w:space="0" w:color="000000"/>
            </w:tcBorders>
            <w:shd w:val="clear" w:color="auto" w:fill="D4D4D4"/>
          </w:tcPr>
          <w:p>
            <w:pPr/>
          </w:p>
        </w:tc>
        <w:tc>
          <w:tcPr>
            <w:tcW w:w="744" w:type="dxa"/>
            <w:vMerge/>
            <w:tcBorders>
              <w:left w:val="single" w:sz="4" w:space="0" w:color="000000"/>
              <w:bottom w:val="nil" w:sz="6" w:space="0" w:color="auto"/>
              <w:right w:val="single" w:sz="4" w:space="0" w:color="000000"/>
            </w:tcBorders>
            <w:shd w:val="clear" w:color="auto" w:fill="D4D4D4"/>
          </w:tcPr>
          <w:p>
            <w:pPr/>
          </w:p>
        </w:tc>
        <w:tc>
          <w:tcPr>
            <w:tcW w:w="830" w:type="dxa"/>
            <w:vMerge/>
            <w:tcBorders>
              <w:left w:val="single" w:sz="4" w:space="0" w:color="000000"/>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134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5"/>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4D4D4"/>
          </w:tcPr>
          <w:p>
            <w:pPr/>
          </w:p>
        </w:tc>
        <w:tc>
          <w:tcPr>
            <w:tcW w:w="1411" w:type="dxa"/>
            <w:gridSpan w:val="2"/>
            <w:vMerge w:val="restart"/>
            <w:tcBorders>
              <w:top w:val="nil" w:sz="6" w:space="0" w:color="auto"/>
              <w:left w:val="single" w:sz="4" w:space="0" w:color="000000"/>
              <w:right w:val="single" w:sz="4" w:space="0" w:color="000000"/>
            </w:tcBorders>
            <w:shd w:val="clear" w:color="auto" w:fill="D4D4D4"/>
          </w:tcPr>
          <w:p>
            <w:pPr/>
          </w:p>
        </w:tc>
        <w:tc>
          <w:tcPr>
            <w:tcW w:w="744" w:type="dxa"/>
            <w:vMerge w:val="restart"/>
            <w:tcBorders>
              <w:top w:val="nil" w:sz="6" w:space="0" w:color="auto"/>
              <w:left w:val="single" w:sz="4" w:space="0" w:color="000000"/>
              <w:right w:val="single" w:sz="4" w:space="0" w:color="000000"/>
            </w:tcBorders>
            <w:shd w:val="clear" w:color="auto" w:fill="D4D4D4"/>
          </w:tcPr>
          <w:p>
            <w:pPr/>
          </w:p>
        </w:tc>
        <w:tc>
          <w:tcPr>
            <w:tcW w:w="830" w:type="dxa"/>
            <w:vMerge/>
            <w:tcBorders>
              <w:left w:val="single" w:sz="4" w:space="0" w:color="000000"/>
              <w:bottom w:val="nil" w:sz="6" w:space="0" w:color="auto"/>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1349" w:type="dxa"/>
            <w:gridSpan w:val="2"/>
            <w:vMerge/>
            <w:tcBorders>
              <w:left w:val="single" w:sz="4" w:space="0" w:color="000000"/>
              <w:right w:val="single" w:sz="4" w:space="0" w:color="000000"/>
            </w:tcBorders>
            <w:shd w:val="clear" w:color="auto" w:fill="D4D4D4"/>
          </w:tcPr>
          <w:p>
            <w:pPr/>
          </w:p>
        </w:tc>
        <w:tc>
          <w:tcPr>
            <w:tcW w:w="1349" w:type="dxa"/>
            <w:gridSpan w:val="3"/>
            <w:vMerge/>
            <w:tcBorders>
              <w:left w:val="single" w:sz="4" w:space="0" w:color="000000"/>
              <w:right w:val="single" w:sz="4" w:space="0" w:color="000000"/>
            </w:tcBorders>
            <w:shd w:val="clear" w:color="auto" w:fill="D4D4D4"/>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4D4D4"/>
          </w:tcPr>
          <w:p>
            <w:pPr/>
          </w:p>
        </w:tc>
        <w:tc>
          <w:tcPr>
            <w:tcW w:w="1411" w:type="dxa"/>
            <w:gridSpan w:val="2"/>
            <w:vMerge/>
            <w:tcBorders>
              <w:left w:val="single" w:sz="4" w:space="0" w:color="000000"/>
              <w:bottom w:val="single" w:sz="4" w:space="0" w:color="000000"/>
              <w:right w:val="single" w:sz="4" w:space="0" w:color="000000"/>
            </w:tcBorders>
            <w:shd w:val="clear" w:color="auto" w:fill="D4D4D4"/>
          </w:tcPr>
          <w:p>
            <w:pPr/>
          </w:p>
        </w:tc>
        <w:tc>
          <w:tcPr>
            <w:tcW w:w="744" w:type="dxa"/>
            <w:vMerge/>
            <w:tcBorders>
              <w:left w:val="single" w:sz="4" w:space="0" w:color="000000"/>
              <w:bottom w:val="single" w:sz="4" w:space="0" w:color="000000"/>
              <w:right w:val="single" w:sz="4" w:space="0" w:color="000000"/>
            </w:tcBorders>
            <w:shd w:val="clear" w:color="auto" w:fill="D4D4D4"/>
          </w:tcPr>
          <w:p>
            <w:pPr/>
          </w:p>
        </w:tc>
        <w:tc>
          <w:tcPr>
            <w:tcW w:w="830" w:type="dxa"/>
            <w:tcBorders>
              <w:top w:val="nil" w:sz="6" w:space="0" w:color="auto"/>
              <w:left w:val="single" w:sz="4" w:space="0" w:color="000000"/>
              <w:bottom w:val="single" w:sz="4" w:space="0" w:color="000000"/>
              <w:right w:val="single" w:sz="4" w:space="0" w:color="000000"/>
            </w:tcBorders>
            <w:shd w:val="clear" w:color="auto" w:fill="D4D4D4"/>
          </w:tcPr>
          <w:p>
            <w:pPr/>
          </w:p>
        </w:tc>
        <w:tc>
          <w:tcPr>
            <w:tcW w:w="790" w:type="dxa"/>
            <w:gridSpan w:val="2"/>
            <w:vMerge/>
            <w:tcBorders>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shd w:val="clear" w:color="auto" w:fill="D4D4D4"/>
          </w:tcPr>
          <w:p>
            <w:pPr/>
          </w:p>
        </w:tc>
        <w:tc>
          <w:tcPr>
            <w:tcW w:w="802" w:type="dxa"/>
            <w:vMerge/>
            <w:tcBorders>
              <w:left w:val="single" w:sz="4" w:space="0" w:color="000000"/>
              <w:bottom w:val="single" w:sz="4" w:space="0" w:color="000000"/>
              <w:right w:val="single" w:sz="4" w:space="0" w:color="000000"/>
            </w:tcBorders>
            <w:shd w:val="clear" w:color="auto" w:fill="D4D4D4"/>
          </w:tcPr>
          <w:p>
            <w:pPr/>
          </w:p>
        </w:tc>
        <w:tc>
          <w:tcPr>
            <w:tcW w:w="1349" w:type="dxa"/>
            <w:gridSpan w:val="2"/>
            <w:vMerge/>
            <w:tcBorders>
              <w:left w:val="single" w:sz="4" w:space="0" w:color="000000"/>
              <w:bottom w:val="single" w:sz="4" w:space="0" w:color="000000"/>
              <w:right w:val="single" w:sz="4" w:space="0" w:color="000000"/>
            </w:tcBorders>
            <w:shd w:val="clear" w:color="auto" w:fill="D4D4D4"/>
          </w:tcPr>
          <w:p>
            <w:pPr/>
          </w:p>
        </w:tc>
        <w:tc>
          <w:tcPr>
            <w:tcW w:w="1349" w:type="dxa"/>
            <w:gridSpan w:val="3"/>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360"/>
              <w:jc w:val="left"/>
              <w:rPr>
                <w:rFonts w:ascii="Times New Roman" w:hAnsi="Times New Roman" w:cs="Times New Roman" w:eastAsia="Times New Roman" w:hint="default"/>
                <w:sz w:val="18"/>
                <w:szCs w:val="18"/>
              </w:rPr>
            </w:pPr>
            <w:r>
              <w:rPr>
                <w:rFonts w:ascii="Times New Roman"/>
                <w:spacing w:val="-7"/>
                <w:sz w:val="18"/>
              </w:rPr>
              <w:t>Yue </w:t>
            </w:r>
            <w:r>
              <w:rPr>
                <w:rFonts w:ascii="Times New Roman"/>
                <w:sz w:val="18"/>
              </w:rPr>
              <w:t>Qi</w:t>
            </w:r>
            <w:r>
              <w:rPr>
                <w:rFonts w:ascii="Times New Roman"/>
                <w:spacing w:val="5"/>
                <w:sz w:val="18"/>
              </w:rPr>
              <w:t> </w:t>
            </w:r>
            <w:r>
              <w:rPr>
                <w:rFonts w:ascii="Times New Roman"/>
                <w:sz w:val="18"/>
              </w:rPr>
              <w:t>Capital</w:t>
            </w:r>
            <w:r>
              <w:rPr>
                <w:rFonts w:ascii="Times New Roman"/>
                <w:sz w:val="18"/>
              </w:rPr>
              <w:t> Limited</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23.32%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100,096,5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5"/>
              <w:jc w:val="right"/>
              <w:rPr>
                <w:rFonts w:ascii="Times New Roman" w:hAnsi="Times New Roman" w:cs="Times New Roman" w:eastAsia="Times New Roman" w:hint="default"/>
                <w:sz w:val="18"/>
                <w:szCs w:val="18"/>
              </w:rPr>
            </w:pPr>
            <w:r>
              <w:rPr>
                <w:rFonts w:ascii="Times New Roman"/>
                <w:spacing w:val="-1"/>
                <w:sz w:val="18"/>
              </w:rPr>
              <w:t>100,096,5</w:t>
            </w:r>
          </w:p>
          <w:p>
            <w:pPr>
              <w:pStyle w:val="TableParagraph"/>
              <w:spacing w:line="240" w:lineRule="auto" w:before="102"/>
              <w:ind w:right="54"/>
              <w:jc w:val="right"/>
              <w:rPr>
                <w:rFonts w:ascii="Times New Roman" w:hAnsi="Times New Roman" w:cs="Times New Roman" w:eastAsia="Times New Roman" w:hint="default"/>
                <w:sz w:val="18"/>
                <w:szCs w:val="18"/>
              </w:rPr>
            </w:pPr>
            <w:r>
              <w:rPr>
                <w:rFonts w:ascii="Times New Roman"/>
                <w:sz w:val="18"/>
              </w:rPr>
              <w:t>60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D4D4D4"/>
              <w:left w:val="single" w:sz="4" w:space="0" w:color="000000"/>
              <w:bottom w:val="single" w:sz="4" w:space="0" w:color="000000"/>
              <w:right w:val="single" w:sz="4" w:space="0" w:color="000000"/>
            </w:tcBorders>
          </w:tcPr>
          <w:p>
            <w:pPr/>
          </w:p>
        </w:tc>
        <w:tc>
          <w:tcPr>
            <w:tcW w:w="1349" w:type="dxa"/>
            <w:gridSpan w:val="3"/>
            <w:tcBorders>
              <w:top w:val="single" w:sz="48" w:space="0" w:color="D4D4D4"/>
              <w:left w:val="single" w:sz="4" w:space="0" w:color="000000"/>
              <w:bottom w:val="single" w:sz="4" w:space="0" w:color="000000"/>
              <w:right w:val="single" w:sz="4" w:space="0" w:color="000000"/>
            </w:tcBorders>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无锡朴华股权投 </w:t>
            </w:r>
            <w:r>
              <w:rPr>
                <w:rFonts w:ascii="宋体" w:hAnsi="宋体" w:cs="宋体" w:eastAsia="宋体" w:hint="default"/>
                <w:spacing w:val="-4"/>
                <w:sz w:val="18"/>
                <w:szCs w:val="18"/>
              </w:rPr>
              <w:t>资合伙企业（有限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19.63%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84,268,44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pacing w:val="-1"/>
                <w:sz w:val="18"/>
              </w:rPr>
              <w:t>84,268,44</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57,215,000</w:t>
            </w: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
              <w:jc w:val="both"/>
              <w:rPr>
                <w:rFonts w:ascii="宋体" w:hAnsi="宋体" w:cs="宋体" w:eastAsia="宋体" w:hint="default"/>
                <w:sz w:val="18"/>
                <w:szCs w:val="18"/>
              </w:rPr>
            </w:pPr>
            <w:r>
              <w:rPr>
                <w:rFonts w:ascii="宋体" w:hAnsi="宋体" w:cs="宋体" w:eastAsia="宋体" w:hint="default"/>
                <w:spacing w:val="-4"/>
                <w:sz w:val="18"/>
                <w:szCs w:val="18"/>
              </w:rPr>
              <w:t>国开博裕一期（上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海）股权投资合伙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企业（有限合伙）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12.56%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53,910,00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53,910,00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上海云鑫创业投 资有限公司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8.39%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无锡群英股权投 </w:t>
            </w:r>
            <w:r>
              <w:rPr>
                <w:rFonts w:ascii="宋体" w:hAnsi="宋体" w:cs="宋体" w:eastAsia="宋体" w:hint="default"/>
                <w:spacing w:val="-4"/>
                <w:sz w:val="18"/>
                <w:szCs w:val="18"/>
              </w:rPr>
              <w:t>资合伙企业（有限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7.87%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33,760,08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pacing w:val="-1"/>
                <w:sz w:val="18"/>
              </w:rPr>
              <w:t>33,760,08</w:t>
            </w:r>
          </w:p>
          <w:p>
            <w:pPr>
              <w:pStyle w:val="TableParagraph"/>
              <w:spacing w:line="240" w:lineRule="auto" w:before="102"/>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27,952,300</w:t>
            </w: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天津诚柏股权投 </w:t>
            </w:r>
            <w:r>
              <w:rPr>
                <w:rFonts w:ascii="宋体" w:hAnsi="宋体" w:cs="宋体" w:eastAsia="宋体" w:hint="default"/>
                <w:spacing w:val="-4"/>
                <w:sz w:val="18"/>
                <w:szCs w:val="18"/>
              </w:rPr>
              <w:t>资合伙企业（有限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4.01%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17,226,20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-1,642,47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17,226,20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无锡富赡股权投 </w:t>
            </w:r>
            <w:r>
              <w:rPr>
                <w:rFonts w:ascii="宋体" w:hAnsi="宋体" w:cs="宋体" w:eastAsia="宋体" w:hint="default"/>
                <w:spacing w:val="-4"/>
                <w:sz w:val="18"/>
                <w:szCs w:val="18"/>
              </w:rPr>
              <w:t>资合伙企业（有限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2.20%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9,430,560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pacing w:val="-1"/>
                <w:sz w:val="18"/>
              </w:rPr>
              <w:t>9,430,560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无锡羲华投资合 伙企业（有限合 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1.90%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8,143,560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pacing w:val="-1"/>
                <w:sz w:val="18"/>
              </w:rPr>
              <w:t>8,143,560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7,000,000</w:t>
            </w: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海南华兴合创创 </w:t>
            </w:r>
            <w:r>
              <w:rPr>
                <w:rFonts w:ascii="宋体" w:hAnsi="宋体" w:cs="宋体" w:eastAsia="宋体" w:hint="default"/>
                <w:spacing w:val="-4"/>
                <w:sz w:val="18"/>
                <w:szCs w:val="18"/>
              </w:rPr>
              <w:t>业投资中心（有限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1.88%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8,086,680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8,086,680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无锡道元投资合 伙企业（有限合 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1.73%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7,435,440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pacing w:val="-1"/>
                <w:sz w:val="18"/>
              </w:rPr>
              <w:t>7,435,440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75"/>
        <w:gridCol w:w="3994"/>
        <w:gridCol w:w="1349"/>
        <w:gridCol w:w="1349"/>
      </w:tblGrid>
      <w:tr>
        <w:trPr>
          <w:trHeight w:val="161" w:hRule="exact"/>
        </w:trPr>
        <w:tc>
          <w:tcPr>
            <w:tcW w:w="287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92" w:type="dxa"/>
            <w:gridSpan w:val="3"/>
            <w:vMerge w:val="restart"/>
            <w:tcBorders>
              <w:top w:val="single" w:sz="4" w:space="0" w:color="000000"/>
              <w:left w:val="single" w:sz="9" w:space="0" w:color="D4D4D4"/>
              <w:right w:val="single" w:sz="4" w:space="0" w:color="000000"/>
            </w:tcBorders>
          </w:tcPr>
          <w:p>
            <w:pPr>
              <w:pStyle w:val="TableParagraph"/>
              <w:spacing w:line="316" w:lineRule="auto" w:before="49"/>
              <w:ind w:left="23" w:right="-8"/>
              <w:jc w:val="both"/>
              <w:rPr>
                <w:rFonts w:ascii="宋体" w:hAnsi="宋体" w:cs="宋体" w:eastAsia="宋体" w:hint="default"/>
                <w:sz w:val="18"/>
                <w:szCs w:val="18"/>
              </w:rPr>
            </w:pPr>
            <w:r>
              <w:rPr>
                <w:rFonts w:ascii="宋体" w:hAnsi="宋体" w:cs="宋体" w:eastAsia="宋体" w:hint="default"/>
                <w:spacing w:val="-5"/>
                <w:sz w:val="18"/>
                <w:szCs w:val="18"/>
              </w:rPr>
              <w:t>无锡朴华股权投资合伙企业（有限合伙）、无锡群英股权投资合伙企业（有限合伙）、</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无锡富赡股权投资合伙企业（有限合伙）、无锡羲华投资合伙企业（有限合伙）、无锡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道元投资合伙企业（有限合伙）为一致行动人</w:t>
            </w:r>
          </w:p>
        </w:tc>
      </w:tr>
      <w:tr>
        <w:trPr>
          <w:trHeight w:val="703" w:hRule="exact"/>
        </w:trPr>
        <w:tc>
          <w:tcPr>
            <w:tcW w:w="287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2" w:type="dxa"/>
            <w:gridSpan w:val="3"/>
            <w:vMerge/>
            <w:tcBorders>
              <w:left w:val="single" w:sz="9" w:space="0" w:color="D4D4D4"/>
              <w:right w:val="single" w:sz="4" w:space="0" w:color="000000"/>
            </w:tcBorders>
          </w:tcPr>
          <w:p>
            <w:pPr/>
          </w:p>
        </w:tc>
      </w:tr>
      <w:tr>
        <w:trPr>
          <w:trHeight w:val="162" w:hRule="exact"/>
        </w:trPr>
        <w:tc>
          <w:tcPr>
            <w:tcW w:w="287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92" w:type="dxa"/>
            <w:gridSpan w:val="3"/>
            <w:vMerge/>
            <w:tcBorders>
              <w:left w:val="single" w:sz="9" w:space="0" w:color="D4D4D4"/>
              <w:bottom w:val="single" w:sz="4" w:space="0" w:color="000000"/>
              <w:right w:val="single" w:sz="4" w:space="0" w:color="000000"/>
            </w:tcBorders>
          </w:tcPr>
          <w:p>
            <w:pPr/>
          </w:p>
        </w:tc>
      </w:tr>
      <w:tr>
        <w:trPr>
          <w:trHeight w:val="402"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75" w:type="dxa"/>
            <w:tcBorders>
              <w:top w:val="single" w:sz="4" w:space="0" w:color="000000"/>
              <w:left w:val="single" w:sz="4" w:space="0" w:color="000000"/>
              <w:bottom w:val="nil" w:sz="6" w:space="0" w:color="auto"/>
              <w:right w:val="single" w:sz="4" w:space="0" w:color="000000"/>
            </w:tcBorders>
            <w:shd w:val="clear" w:color="auto" w:fill="D4D4D4"/>
          </w:tcPr>
          <w:p>
            <w:pPr/>
          </w:p>
        </w:tc>
        <w:tc>
          <w:tcPr>
            <w:tcW w:w="3994" w:type="dxa"/>
            <w:tcBorders>
              <w:top w:val="single" w:sz="4" w:space="0" w:color="000000"/>
              <w:left w:val="single" w:sz="4" w:space="0" w:color="000000"/>
              <w:bottom w:val="nil" w:sz="6" w:space="0" w:color="auto"/>
              <w:right w:val="single" w:sz="4" w:space="0" w:color="000000"/>
            </w:tcBorders>
            <w:shd w:val="clear" w:color="auto" w:fill="D4D4D4"/>
          </w:tcPr>
          <w:p>
            <w:pPr/>
          </w:p>
        </w:tc>
        <w:tc>
          <w:tcPr>
            <w:tcW w:w="269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7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4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875" w:type="dxa"/>
            <w:vMerge/>
            <w:tcBorders>
              <w:left w:val="single" w:sz="4" w:space="0" w:color="000000"/>
              <w:bottom w:val="nil" w:sz="6" w:space="0" w:color="auto"/>
              <w:right w:val="single" w:sz="4" w:space="0" w:color="000000"/>
            </w:tcBorders>
            <w:shd w:val="clear" w:color="auto" w:fill="D4D4D4"/>
          </w:tcPr>
          <w:p>
            <w:pPr/>
          </w:p>
        </w:tc>
        <w:tc>
          <w:tcPr>
            <w:tcW w:w="3994" w:type="dxa"/>
            <w:vMerge/>
            <w:tcBorders>
              <w:left w:val="single" w:sz="4" w:space="0" w:color="000000"/>
              <w:bottom w:val="nil" w:sz="6" w:space="0" w:color="auto"/>
              <w:right w:val="single" w:sz="4" w:space="0" w:color="000000"/>
            </w:tcBorders>
            <w:shd w:val="clear" w:color="auto" w:fill="D4D4D4"/>
          </w:tcPr>
          <w:p>
            <w:pPr/>
          </w:p>
        </w:tc>
        <w:tc>
          <w:tcPr>
            <w:tcW w:w="134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75" w:type="dxa"/>
            <w:tcBorders>
              <w:top w:val="nil" w:sz="6" w:space="0" w:color="auto"/>
              <w:left w:val="single" w:sz="4" w:space="0" w:color="000000"/>
              <w:bottom w:val="single" w:sz="4" w:space="0" w:color="000000"/>
              <w:right w:val="single" w:sz="4" w:space="0" w:color="000000"/>
            </w:tcBorders>
            <w:shd w:val="clear" w:color="auto" w:fill="D4D4D4"/>
          </w:tcPr>
          <w:p>
            <w:pPr/>
          </w:p>
        </w:tc>
        <w:tc>
          <w:tcPr>
            <w:tcW w:w="39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349" w:type="dxa"/>
            <w:vMerge/>
            <w:tcBorders>
              <w:left w:val="single" w:sz="4" w:space="0" w:color="000000"/>
              <w:bottom w:val="single" w:sz="4" w:space="0" w:color="000000"/>
              <w:right w:val="single" w:sz="4" w:space="0" w:color="000000"/>
            </w:tcBorders>
            <w:shd w:val="clear" w:color="auto" w:fill="D4D4D4"/>
          </w:tcPr>
          <w:p>
            <w:pPr/>
          </w:p>
        </w:tc>
        <w:tc>
          <w:tcPr>
            <w:tcW w:w="1349"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
              <w:jc w:val="left"/>
              <w:rPr>
                <w:rFonts w:ascii="宋体" w:hAnsi="宋体" w:cs="宋体" w:eastAsia="宋体" w:hint="default"/>
                <w:sz w:val="18"/>
                <w:szCs w:val="18"/>
              </w:rPr>
            </w:pPr>
            <w:r>
              <w:rPr>
                <w:rFonts w:ascii="宋体" w:hAnsi="宋体" w:cs="宋体" w:eastAsia="宋体" w:hint="default"/>
                <w:spacing w:val="-4"/>
                <w:sz w:val="18"/>
                <w:szCs w:val="18"/>
              </w:rPr>
              <w:t>国开博裕一期（上海）股权投资合伙</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企业（有限合伙）</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53,910,000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53,910,000</w:t>
            </w:r>
          </w:p>
        </w:tc>
      </w:tr>
      <w:tr>
        <w:trPr>
          <w:trHeight w:val="403"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上海云鑫创业投资有限公司</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36,000,000</w:t>
            </w:r>
          </w:p>
        </w:tc>
      </w:tr>
      <w:tr>
        <w:trPr>
          <w:trHeight w:val="713"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
              <w:jc w:val="left"/>
              <w:rPr>
                <w:rFonts w:ascii="宋体" w:hAnsi="宋体" w:cs="宋体" w:eastAsia="宋体" w:hint="default"/>
                <w:sz w:val="18"/>
                <w:szCs w:val="18"/>
              </w:rPr>
            </w:pPr>
            <w:r>
              <w:rPr>
                <w:rFonts w:ascii="宋体" w:hAnsi="宋体" w:cs="宋体" w:eastAsia="宋体" w:hint="default"/>
                <w:spacing w:val="-4"/>
                <w:sz w:val="18"/>
                <w:szCs w:val="18"/>
              </w:rPr>
              <w:t>天津诚柏股权投资合伙企业（有限合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17,226,205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17,226,205</w:t>
            </w:r>
          </w:p>
        </w:tc>
      </w:tr>
      <w:tr>
        <w:trPr>
          <w:trHeight w:val="715"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
              <w:jc w:val="left"/>
              <w:rPr>
                <w:rFonts w:ascii="宋体" w:hAnsi="宋体" w:cs="宋体" w:eastAsia="宋体" w:hint="default"/>
                <w:sz w:val="18"/>
                <w:szCs w:val="18"/>
              </w:rPr>
            </w:pPr>
            <w:r>
              <w:rPr>
                <w:rFonts w:ascii="宋体" w:hAnsi="宋体" w:cs="宋体" w:eastAsia="宋体" w:hint="default"/>
                <w:spacing w:val="-4"/>
                <w:sz w:val="18"/>
                <w:szCs w:val="18"/>
              </w:rPr>
              <w:t>海南华兴合创创业投资中心（有限合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8,086,680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8,086,680</w:t>
            </w:r>
          </w:p>
        </w:tc>
      </w:tr>
      <w:tr>
        <w:trPr>
          <w:trHeight w:val="1025"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0"/>
              <w:jc w:val="both"/>
              <w:rPr>
                <w:rFonts w:ascii="宋体" w:hAnsi="宋体" w:cs="宋体" w:eastAsia="宋体" w:hint="default"/>
                <w:sz w:val="18"/>
                <w:szCs w:val="18"/>
              </w:rPr>
            </w:pPr>
            <w:r>
              <w:rPr>
                <w:rFonts w:ascii="宋体" w:hAnsi="宋体" w:cs="宋体" w:eastAsia="宋体" w:hint="default"/>
                <w:sz w:val="18"/>
                <w:szCs w:val="18"/>
              </w:rPr>
              <w:t>中国建设银行股份有限公司－融通 新能源灵活配置混合型证券投资基 金</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1,364,940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1,364,940</w:t>
            </w:r>
          </w:p>
        </w:tc>
      </w:tr>
      <w:tr>
        <w:trPr>
          <w:trHeight w:val="715"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0"/>
              <w:jc w:val="left"/>
              <w:rPr>
                <w:rFonts w:ascii="宋体" w:hAnsi="宋体" w:cs="宋体" w:eastAsia="宋体" w:hint="default"/>
                <w:sz w:val="18"/>
                <w:szCs w:val="18"/>
              </w:rPr>
            </w:pPr>
            <w:r>
              <w:rPr>
                <w:rFonts w:ascii="宋体" w:hAnsi="宋体" w:cs="宋体" w:eastAsia="宋体" w:hint="default"/>
                <w:sz w:val="18"/>
                <w:szCs w:val="18"/>
              </w:rPr>
              <w:t>中国建设银行股份有限公司－华安 科技动力混合型证券投资基金</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1,200,000</w:t>
            </w:r>
          </w:p>
        </w:tc>
      </w:tr>
      <w:tr>
        <w:trPr>
          <w:trHeight w:val="401"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于兴革</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1,153,980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1,153,980</w:t>
            </w:r>
          </w:p>
        </w:tc>
      </w:tr>
      <w:tr>
        <w:trPr>
          <w:trHeight w:val="403"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赵玉霞</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879,700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879,700</w:t>
            </w:r>
          </w:p>
        </w:tc>
      </w:tr>
      <w:tr>
        <w:trPr>
          <w:trHeight w:val="1025"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0"/>
              <w:jc w:val="both"/>
              <w:rPr>
                <w:rFonts w:ascii="宋体" w:hAnsi="宋体" w:cs="宋体" w:eastAsia="宋体" w:hint="default"/>
                <w:sz w:val="18"/>
                <w:szCs w:val="18"/>
              </w:rPr>
            </w:pPr>
            <w:r>
              <w:rPr>
                <w:rFonts w:ascii="宋体" w:hAnsi="宋体" w:cs="宋体" w:eastAsia="宋体" w:hint="default"/>
                <w:sz w:val="18"/>
                <w:szCs w:val="18"/>
              </w:rPr>
              <w:t>中国建设银行股份有限公司－融通 新能源汽车主题精选灵活配置混合 型证券投资基金</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856,500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856,500</w:t>
            </w:r>
          </w:p>
        </w:tc>
      </w:tr>
      <w:tr>
        <w:trPr>
          <w:trHeight w:val="403"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李岳鹏</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811,873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811,873</w:t>
            </w:r>
          </w:p>
        </w:tc>
      </w:tr>
      <w:tr>
        <w:trPr>
          <w:trHeight w:val="1337" w:hRule="exact"/>
        </w:trPr>
        <w:tc>
          <w:tcPr>
            <w:tcW w:w="28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1"/>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9" w:right="19"/>
              <w:jc w:val="both"/>
              <w:rPr>
                <w:rFonts w:ascii="宋体" w:hAnsi="宋体" w:cs="宋体" w:eastAsia="宋体" w:hint="default"/>
                <w:sz w:val="18"/>
                <w:szCs w:val="18"/>
              </w:rPr>
            </w:pPr>
            <w:r>
              <w:rPr>
                <w:rFonts w:ascii="宋体" w:hAnsi="宋体" w:cs="宋体" w:eastAsia="宋体" w:hint="default"/>
                <w:sz w:val="18"/>
                <w:szCs w:val="18"/>
              </w:rPr>
              <w:t>上述前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名无限售流通股东之间未知是否存在关联系或一致行动人；其与前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w:t>
            </w:r>
            <w:r>
              <w:rPr>
                <w:rFonts w:ascii="宋体" w:hAnsi="宋体" w:cs="宋体" w:eastAsia="宋体" w:hint="default"/>
                <w:spacing w:val="-1"/>
                <w:sz w:val="18"/>
                <w:szCs w:val="18"/>
              </w:rPr>
              <w:t>股东中的公司内部股东之间不存在关联关系或一致行动人关系，与公司外部股东之间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未知是否存在关联关系或一致行动人关系。</w:t>
            </w:r>
          </w:p>
        </w:tc>
      </w:tr>
      <w:tr>
        <w:trPr>
          <w:trHeight w:val="715" w:hRule="exact"/>
        </w:trPr>
        <w:tc>
          <w:tcPr>
            <w:tcW w:w="28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4"/>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公司股票不属于融资融券标的证券。</w:t>
            </w:r>
          </w:p>
        </w:tc>
      </w:tr>
    </w:tbl>
    <w:p>
      <w:pPr>
        <w:pStyle w:val="BodyText"/>
        <w:spacing w:line="240" w:lineRule="auto" w:before="49"/>
        <w:ind w:right="1129"/>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29"/>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1129"/>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594"/>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2197"/>
        <w:gridCol w:w="1793"/>
        <w:gridCol w:w="1594"/>
        <w:gridCol w:w="1753"/>
        <w:gridCol w:w="2231"/>
      </w:tblGrid>
      <w:tr>
        <w:trPr>
          <w:trHeight w:val="402" w:hRule="exact"/>
        </w:trPr>
        <w:tc>
          <w:tcPr>
            <w:tcW w:w="21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55"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7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8"/>
        <w:gridCol w:w="1793"/>
        <w:gridCol w:w="1594"/>
        <w:gridCol w:w="1752"/>
        <w:gridCol w:w="2232"/>
      </w:tblGrid>
      <w:tr>
        <w:trPr>
          <w:trHeight w:val="362" w:hRule="exact"/>
        </w:trPr>
        <w:tc>
          <w:tcPr>
            <w:tcW w:w="21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23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71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2"/>
              <w:jc w:val="left"/>
              <w:rPr>
                <w:rFonts w:ascii="宋体" w:hAnsi="宋体" w:cs="宋体" w:eastAsia="宋体" w:hint="default"/>
                <w:sz w:val="18"/>
                <w:szCs w:val="18"/>
              </w:rPr>
            </w:pPr>
            <w:r>
              <w:rPr>
                <w:rFonts w:ascii="宋体" w:hAnsi="宋体" w:cs="宋体" w:eastAsia="宋体" w:hint="default"/>
                <w:sz w:val="18"/>
                <w:szCs w:val="18"/>
              </w:rPr>
              <w:t>无锡朴华股权投资合伙企 业（有限合伙）</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郑新标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913202000586011166</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从事非证券股权投资活动及 相关咨询业务。</w:t>
            </w:r>
          </w:p>
        </w:tc>
      </w:tr>
      <w:tr>
        <w:trPr>
          <w:trHeight w:val="715"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2"/>
              <w:jc w:val="left"/>
              <w:rPr>
                <w:rFonts w:ascii="宋体" w:hAnsi="宋体" w:cs="宋体" w:eastAsia="宋体" w:hint="default"/>
                <w:sz w:val="18"/>
                <w:szCs w:val="18"/>
              </w:rPr>
            </w:pPr>
            <w:r>
              <w:rPr>
                <w:rFonts w:ascii="宋体" w:hAnsi="宋体" w:cs="宋体" w:eastAsia="宋体" w:hint="default"/>
                <w:sz w:val="18"/>
                <w:szCs w:val="18"/>
              </w:rPr>
              <w:t>无锡群英股权投资合伙企 业（有限合伙）</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郑新标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91320200058688039C</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从事非证券股权投资活动及 相关咨询业务。</w:t>
            </w:r>
          </w:p>
        </w:tc>
      </w:tr>
    </w:tbl>
    <w:p>
      <w:pPr>
        <w:pStyle w:val="BodyText"/>
        <w:spacing w:line="240" w:lineRule="auto" w:before="49"/>
        <w:ind w:right="1129"/>
        <w:jc w:val="left"/>
      </w:pPr>
      <w:r>
        <w:rPr/>
        <w:t>控股股东报告期内变更</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5"/>
        <w:rPr>
          <w:rFonts w:ascii="宋体" w:hAnsi="宋体" w:cs="宋体" w:eastAsia="宋体" w:hint="default"/>
          <w:sz w:val="21"/>
          <w:szCs w:val="21"/>
        </w:rPr>
      </w:pPr>
    </w:p>
    <w:p>
      <w:pPr>
        <w:pStyle w:val="Heading3"/>
        <w:spacing w:line="240" w:lineRule="auto"/>
        <w:ind w:right="1129"/>
        <w:jc w:val="left"/>
        <w:rPr>
          <w:b w:val="0"/>
          <w:bCs w:val="0"/>
        </w:rPr>
      </w:pPr>
      <w:bookmarkStart w:name="3、公司实际控制人及其一致行动人" w:id="116"/>
      <w:bookmarkEnd w:id="116"/>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10" w:right="110"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徐长军</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830" w:right="23" w:hanging="807"/>
              <w:jc w:val="left"/>
              <w:rPr>
                <w:rFonts w:ascii="宋体" w:hAnsi="宋体" w:cs="宋体" w:eastAsia="宋体" w:hint="default"/>
                <w:sz w:val="18"/>
                <w:szCs w:val="18"/>
              </w:rPr>
            </w:pPr>
            <w:r>
              <w:rPr>
                <w:rFonts w:ascii="宋体" w:hAnsi="宋体" w:cs="宋体" w:eastAsia="宋体" w:hint="default"/>
                <w:spacing w:val="-1"/>
                <w:sz w:val="18"/>
                <w:szCs w:val="18"/>
              </w:rPr>
              <w:t>一致行动（含协议、亲属、同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郑新标</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830" w:right="23" w:hanging="807"/>
              <w:jc w:val="left"/>
              <w:rPr>
                <w:rFonts w:ascii="宋体" w:hAnsi="宋体" w:cs="宋体" w:eastAsia="宋体" w:hint="default"/>
                <w:sz w:val="18"/>
                <w:szCs w:val="18"/>
              </w:rPr>
            </w:pPr>
            <w:r>
              <w:rPr>
                <w:rFonts w:ascii="宋体" w:hAnsi="宋体" w:cs="宋体" w:eastAsia="宋体" w:hint="default"/>
                <w:spacing w:val="-1"/>
                <w:sz w:val="18"/>
                <w:szCs w:val="18"/>
              </w:rPr>
              <w:t>一致行动（含协议、亲属、同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报告期内，徐长军先生担任公司董事长；郑新标先生担任公司董事、总经理。</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9"/>
        <w:ind w:right="1129"/>
        <w:jc w:val="left"/>
      </w:pPr>
      <w:r>
        <w:rPr/>
        <w:t>实际控制人报告期内变更</w:t>
      </w:r>
    </w:p>
    <w:p>
      <w:pPr>
        <w:pStyle w:val="BodyText"/>
        <w:spacing w:line="348"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1"/>
        <w:rPr>
          <w:rFonts w:ascii="宋体" w:hAnsi="宋体" w:cs="宋体" w:eastAsia="宋体" w:hint="default"/>
          <w:sz w:val="18"/>
          <w:szCs w:val="18"/>
        </w:rPr>
      </w:pPr>
    </w:p>
    <w:p>
      <w:pPr>
        <w:spacing w:line="3000" w:lineRule="exact"/>
        <w:ind w:left="1358"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4586099" cy="190500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4586099" cy="1905000"/>
                    </a:xfrm>
                    <a:prstGeom prst="rect">
                      <a:avLst/>
                    </a:prstGeom>
                  </pic:spPr>
                </pic:pic>
              </a:graphicData>
            </a:graphic>
          </wp:inline>
        </w:drawing>
      </w:r>
      <w:r>
        <w:rPr>
          <w:rFonts w:ascii="宋体" w:hAnsi="宋体" w:cs="宋体" w:eastAsia="宋体" w:hint="default"/>
          <w:position w:val="-59"/>
          <w:sz w:val="20"/>
          <w:szCs w:val="20"/>
        </w:rPr>
      </w:r>
    </w:p>
    <w:p>
      <w:pPr>
        <w:spacing w:line="240" w:lineRule="auto" w:before="1"/>
        <w:rPr>
          <w:rFonts w:ascii="宋体" w:hAnsi="宋体" w:cs="宋体" w:eastAsia="宋体" w:hint="default"/>
          <w:sz w:val="17"/>
          <w:szCs w:val="17"/>
        </w:rPr>
      </w:pPr>
    </w:p>
    <w:p>
      <w:pPr>
        <w:spacing w:before="0"/>
        <w:ind w:left="152" w:right="1129"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80"/>
        <w:gridCol w:w="1814"/>
        <w:gridCol w:w="1414"/>
        <w:gridCol w:w="1634"/>
        <w:gridCol w:w="2126"/>
      </w:tblGrid>
      <w:tr>
        <w:trPr>
          <w:trHeight w:val="715" w:hRule="exact"/>
        </w:trPr>
        <w:tc>
          <w:tcPr>
            <w:tcW w:w="25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1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813" w:right="6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71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pacing w:val="-7"/>
                <w:sz w:val="18"/>
              </w:rPr>
              <w:t>Yue </w:t>
            </w:r>
            <w:r>
              <w:rPr>
                <w:rFonts w:ascii="Times New Roman"/>
                <w:sz w:val="18"/>
              </w:rPr>
              <w:t>Qi Capital</w:t>
            </w:r>
            <w:r>
              <w:rPr>
                <w:rFonts w:ascii="Times New Roman"/>
                <w:spacing w:val="-3"/>
                <w:sz w:val="18"/>
              </w:rPr>
              <w:t> </w:t>
            </w:r>
            <w:r>
              <w:rPr>
                <w:rFonts w:ascii="Times New Roman"/>
                <w:sz w:val="18"/>
              </w:rPr>
              <w:t>Limited</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何志成</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9,434,801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投资管理</w:t>
            </w:r>
          </w:p>
        </w:tc>
      </w:tr>
      <w:tr>
        <w:trPr>
          <w:trHeight w:val="1339"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24" w:hanging="360"/>
              <w:jc w:val="left"/>
              <w:rPr>
                <w:rFonts w:ascii="宋体" w:hAnsi="宋体" w:cs="宋体" w:eastAsia="宋体" w:hint="default"/>
                <w:sz w:val="18"/>
                <w:szCs w:val="18"/>
              </w:rPr>
            </w:pPr>
            <w:r>
              <w:rPr>
                <w:rFonts w:ascii="宋体" w:hAnsi="宋体" w:cs="宋体" w:eastAsia="宋体" w:hint="default"/>
                <w:sz w:val="18"/>
                <w:szCs w:val="18"/>
              </w:rPr>
              <w:t>国开博裕一期（上海）股权投资 合伙企业（有限合伙）</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童小幪</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4,890,000,000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7" w:right="67"/>
              <w:jc w:val="both"/>
              <w:rPr>
                <w:rFonts w:ascii="宋体" w:hAnsi="宋体" w:cs="宋体" w:eastAsia="宋体" w:hint="default"/>
                <w:sz w:val="18"/>
                <w:szCs w:val="18"/>
              </w:rPr>
            </w:pPr>
            <w:r>
              <w:rPr>
                <w:rFonts w:ascii="宋体" w:hAnsi="宋体" w:cs="宋体" w:eastAsia="宋体" w:hint="default"/>
                <w:sz w:val="18"/>
                <w:szCs w:val="18"/>
              </w:rPr>
              <w:t>股权投资、投资管理及投 资咨询服务（依法须经批 准的项目，经相关部门批 准后方可开展经营活动）</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4" w:right="1129"/>
        <w:jc w:val="left"/>
        <w:rPr>
          <w:b w:val="0"/>
          <w:bCs w:val="0"/>
        </w:rPr>
      </w:pPr>
      <w:bookmarkStart w:name="第七节 优先股相关情况" w:id="119"/>
      <w:bookmarkEnd w:id="119"/>
      <w:r>
        <w:rPr>
          <w:b w:val="0"/>
          <w:bCs w:val="0"/>
        </w:rPr>
      </w:r>
      <w:bookmarkStart w:name="_bookmark5" w:id="120"/>
      <w:bookmarkEnd w:id="120"/>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129"/>
        <w:jc w:val="left"/>
        <w:rPr>
          <w:b w:val="0"/>
          <w:bCs w:val="0"/>
        </w:rPr>
      </w:pPr>
      <w:bookmarkStart w:name="第八节 董事、监事、高级管理人员和员工情况" w:id="121"/>
      <w:bookmarkEnd w:id="121"/>
      <w:r>
        <w:rPr>
          <w:b w:val="0"/>
          <w:bCs w:val="0"/>
        </w:rPr>
      </w:r>
      <w:bookmarkStart w:name="_bookmark6" w:id="122"/>
      <w:bookmarkEnd w:id="122"/>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9"/>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张明平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1,750,000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郑新标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彭知平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250,000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马雪征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倪行军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穆钢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谢德仁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赵国栋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674"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焦国云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350,000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王慎勇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250,000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鲁清芳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380,000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陈峙屹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黄利洲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戴清林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万海艳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2,980,000</w:t>
            </w:r>
          </w:p>
        </w:tc>
      </w:tr>
    </w:tbl>
    <w:p>
      <w:pPr>
        <w:pStyle w:val="BodyText"/>
        <w:spacing w:line="300" w:lineRule="auto" w:before="49"/>
        <w:ind w:right="1129" w:hanging="1"/>
        <w:jc w:val="left"/>
      </w:pPr>
      <w:r>
        <w:rPr>
          <w:spacing w:val="-7"/>
        </w:rPr>
        <w:t>其中，徐长军、郑新标、焦国云、彭知平、王慎勇和鲁清芳分别间接持有公司股票，比例分别为</w:t>
      </w:r>
      <w:r>
        <w:rPr>
          <w:spacing w:val="-19"/>
        </w:rPr>
        <w:t> </w:t>
      </w:r>
      <w:r>
        <w:rPr>
          <w:rFonts w:ascii="Times New Roman" w:hAnsi="Times New Roman" w:cs="Times New Roman" w:eastAsia="Times New Roman" w:hint="default"/>
          <w:spacing w:val="-5"/>
        </w:rPr>
        <w:t>19.49%</w:t>
      </w:r>
      <w:r>
        <w:rPr>
          <w:spacing w:val="-5"/>
        </w:rPr>
        <w:t>、</w:t>
      </w:r>
      <w:r>
        <w:rPr>
          <w:rFonts w:ascii="Times New Roman" w:hAnsi="Times New Roman" w:cs="Times New Roman" w:eastAsia="Times New Roman" w:hint="default"/>
          <w:spacing w:val="-5"/>
        </w:rPr>
        <w:t>9.1406%</w:t>
      </w:r>
      <w:r>
        <w:rPr>
          <w:spacing w:val="-5"/>
        </w:rPr>
        <w:t>、</w:t>
      </w:r>
      <w:r>
        <w:rPr>
          <w:rFonts w:ascii="Times New Roman" w:hAnsi="Times New Roman" w:cs="Times New Roman" w:eastAsia="Times New Roman" w:hint="default"/>
          <w:spacing w:val="-5"/>
        </w:rPr>
        <w:t>0.5564%</w:t>
      </w:r>
      <w:r>
        <w:rPr>
          <w:spacing w:val="-5"/>
        </w:rPr>
        <w:t>、</w:t>
      </w:r>
      <w:r>
        <w:rPr>
          <w:spacing w:val="-76"/>
        </w:rPr>
        <w:t> </w:t>
      </w:r>
      <w:r>
        <w:rPr>
          <w:rFonts w:ascii="Times New Roman" w:hAnsi="Times New Roman" w:cs="Times New Roman" w:eastAsia="Times New Roman" w:hint="default"/>
        </w:rPr>
        <w:t>0.4627%</w:t>
      </w:r>
      <w:r>
        <w:rPr/>
        <w:t>、</w:t>
      </w:r>
      <w:r>
        <w:rPr>
          <w:rFonts w:ascii="Times New Roman" w:hAnsi="Times New Roman" w:cs="Times New Roman" w:eastAsia="Times New Roman" w:hint="default"/>
        </w:rPr>
        <w:t>0.0746%</w:t>
      </w:r>
      <w:r>
        <w:rPr/>
        <w:t>、</w:t>
      </w:r>
      <w:r>
        <w:rPr>
          <w:rFonts w:ascii="Times New Roman" w:hAnsi="Times New Roman" w:cs="Times New Roman" w:eastAsia="Times New Roman" w:hint="default"/>
        </w:rPr>
        <w:t>0.0995%</w:t>
      </w:r>
      <w:r>
        <w:rPr/>
        <w:t>。</w:t>
      </w:r>
    </w:p>
    <w:p>
      <w:pPr>
        <w:spacing w:line="240" w:lineRule="auto" w:before="3"/>
        <w:rPr>
          <w:rFonts w:ascii="宋体" w:hAnsi="宋体" w:cs="宋体" w:eastAsia="宋体" w:hint="default"/>
          <w:sz w:val="20"/>
          <w:szCs w:val="20"/>
        </w:rPr>
      </w:pPr>
    </w:p>
    <w:p>
      <w:pPr>
        <w:pStyle w:val="Heading2"/>
        <w:spacing w:line="240" w:lineRule="auto"/>
        <w:ind w:right="1129"/>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966"/>
        <w:gridCol w:w="3612"/>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马雪征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陈峙屹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3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
        <w:rPr>
          <w:rFonts w:ascii="宋体" w:hAnsi="宋体" w:cs="宋体" w:eastAsia="宋体" w:hint="default"/>
          <w:sz w:val="18"/>
          <w:szCs w:val="18"/>
        </w:rPr>
      </w:pPr>
    </w:p>
    <w:p>
      <w:pPr>
        <w:pStyle w:val="Heading2"/>
        <w:spacing w:line="240" w:lineRule="auto" w:before="26"/>
        <w:ind w:right="1129"/>
        <w:jc w:val="left"/>
        <w:rPr>
          <w:b w:val="0"/>
          <w:bCs w:val="0"/>
        </w:rPr>
      </w:pPr>
      <w:bookmarkStart w:name="三、任职情况" w:id="125"/>
      <w:bookmarkEnd w:id="125"/>
      <w:r>
        <w:rPr>
          <w:b w:val="0"/>
          <w:bCs w:val="0"/>
        </w:rPr>
      </w: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t>公司现任董事、监事、高级管理人员专业背景、主要工作经历以及目前在公司的主要职责</w:t>
      </w:r>
    </w:p>
    <w:p>
      <w:pPr>
        <w:pStyle w:val="BodyText"/>
        <w:spacing w:line="357" w:lineRule="auto" w:before="117"/>
        <w:ind w:right="4454"/>
        <w:jc w:val="left"/>
      </w:pPr>
      <w:r>
        <w:rPr/>
        <w:t>（一）董事会成员 本报告期，公司在任董事</w:t>
      </w:r>
      <w:r>
        <w:rPr>
          <w:rFonts w:ascii="Times New Roman" w:hAnsi="Times New Roman" w:cs="Times New Roman" w:eastAsia="Times New Roman" w:hint="default"/>
        </w:rPr>
        <w:t>10</w:t>
      </w:r>
      <w:r>
        <w:rPr/>
        <w:t>名，主要工作经历以及目前在公司的主要职责如下：</w:t>
      </w:r>
    </w:p>
    <w:p>
      <w:pPr>
        <w:pStyle w:val="BodyText"/>
        <w:tabs>
          <w:tab w:pos="512" w:val="left" w:leader="none"/>
        </w:tabs>
        <w:spacing w:line="240" w:lineRule="auto" w:before="6"/>
        <w:ind w:right="986"/>
        <w:jc w:val="left"/>
      </w:pPr>
      <w:r>
        <w:rPr>
          <w:rFonts w:ascii="Times New Roman" w:hAnsi="Times New Roman" w:cs="Times New Roman" w:eastAsia="Times New Roman" w:hint="default"/>
        </w:rPr>
        <w:t>1.</w:t>
        <w:tab/>
      </w:r>
      <w:r>
        <w:rPr>
          <w:spacing w:val="-5"/>
        </w:rPr>
        <w:t>徐长军，中国国籍，无境外居留权，男，</w:t>
      </w:r>
      <w:r>
        <w:rPr>
          <w:rFonts w:ascii="Times New Roman" w:hAnsi="Times New Roman" w:cs="Times New Roman" w:eastAsia="Times New Roman" w:hint="default"/>
          <w:spacing w:val="-5"/>
        </w:rPr>
        <w:t>1964</w:t>
      </w:r>
      <w:r>
        <w:rPr>
          <w:spacing w:val="-5"/>
        </w:rPr>
        <w:t>年出生，硕士研究生学历，毕业于清华大学应用数学系，公司创始人之一。</w:t>
      </w:r>
    </w:p>
    <w:p>
      <w:pPr>
        <w:spacing w:after="0" w:line="24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2" w:right="1129"/>
        <w:jc w:val="left"/>
      </w:pPr>
      <w:r>
        <w:rPr>
          <w:rFonts w:ascii="Times New Roman" w:hAnsi="Times New Roman" w:cs="Times New Roman" w:eastAsia="Times New Roman" w:hint="default"/>
          <w:spacing w:val="-2"/>
        </w:rPr>
        <w:t>1989</w:t>
      </w:r>
      <w:r>
        <w:rPr>
          <w:spacing w:val="-2"/>
        </w:rPr>
        <w:t>至</w:t>
      </w:r>
      <w:r>
        <w:rPr>
          <w:rFonts w:ascii="Times New Roman" w:hAnsi="Times New Roman" w:cs="Times New Roman" w:eastAsia="Times New Roman" w:hint="default"/>
          <w:spacing w:val="-2"/>
        </w:rPr>
        <w:t>1996</w:t>
      </w:r>
      <w:r>
        <w:rPr>
          <w:spacing w:val="-2"/>
        </w:rPr>
        <w:t>年任职于华北计算机技术研究所；</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2007</w:t>
      </w:r>
      <w:r>
        <w:rPr>
          <w:spacing w:val="-2"/>
        </w:rPr>
        <w:t>年任北京朗新信息系统有限公司总经理；</w:t>
      </w:r>
      <w:r>
        <w:rPr>
          <w:rFonts w:ascii="Times New Roman" w:hAnsi="Times New Roman" w:cs="Times New Roman" w:eastAsia="Times New Roman" w:hint="default"/>
          <w:spacing w:val="-2"/>
        </w:rPr>
        <w:t>2010</w:t>
      </w:r>
      <w:r>
        <w:rPr>
          <w:spacing w:val="-2"/>
        </w:rPr>
        <w:t>年至</w:t>
      </w:r>
      <w:r>
        <w:rPr>
          <w:rFonts w:ascii="Times New Roman" w:hAnsi="Times New Roman" w:cs="Times New Roman" w:eastAsia="Times New Roman" w:hint="default"/>
          <w:spacing w:val="-2"/>
        </w:rPr>
        <w:t>2013</w:t>
      </w:r>
      <w:r>
        <w:rPr>
          <w:spacing w:val="-2"/>
        </w:rPr>
        <w:t>年任</w:t>
      </w:r>
      <w:r>
        <w:rPr>
          <w:spacing w:val="-53"/>
        </w:rPr>
        <w:t> </w:t>
      </w:r>
      <w:r>
        <w:rPr/>
        <w:t>朗新有限董事；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月至今任朗新科技董事长。目前兼任易视腾科技董事长、邦道科技董事长等职务。</w:t>
      </w:r>
    </w:p>
    <w:p>
      <w:pPr>
        <w:pStyle w:val="BodyText"/>
        <w:tabs>
          <w:tab w:pos="512" w:val="left" w:leader="none"/>
        </w:tabs>
        <w:spacing w:line="300" w:lineRule="auto" w:before="53"/>
        <w:ind w:left="512" w:right="1128" w:hanging="360"/>
        <w:jc w:val="left"/>
      </w:pPr>
      <w:r>
        <w:rPr>
          <w:rFonts w:ascii="Times New Roman" w:hAnsi="Times New Roman" w:cs="Times New Roman" w:eastAsia="Times New Roman" w:hint="default"/>
        </w:rPr>
        <w:t>2.</w:t>
        <w:tab/>
      </w:r>
      <w:r>
        <w:rPr/>
        <w:t>张明平，中国国籍，无境外居留权，男，</w:t>
      </w:r>
      <w:r>
        <w:rPr>
          <w:rFonts w:ascii="Times New Roman" w:hAnsi="Times New Roman" w:cs="Times New Roman" w:eastAsia="Times New Roman" w:hint="default"/>
        </w:rPr>
        <w:t>1962</w:t>
      </w:r>
      <w:r>
        <w:rPr/>
        <w:t>年出生，</w:t>
      </w:r>
      <w:r>
        <w:rPr>
          <w:rFonts w:ascii="Times New Roman" w:hAnsi="Times New Roman" w:cs="Times New Roman" w:eastAsia="Times New Roman" w:hint="default"/>
        </w:rPr>
        <w:t>1982</w:t>
      </w:r>
      <w:r>
        <w:rPr/>
        <w:t>年本科毕业于华中师范大学汉语文学专业。</w:t>
      </w:r>
      <w:r>
        <w:rPr>
          <w:rFonts w:ascii="Times New Roman" w:hAnsi="Times New Roman" w:cs="Times New Roman" w:eastAsia="Times New Roman" w:hint="default"/>
        </w:rPr>
        <w:t>1982</w:t>
      </w:r>
      <w:r>
        <w:rPr/>
        <w:t>年至</w:t>
      </w:r>
      <w:r>
        <w:rPr>
          <w:rFonts w:ascii="Times New Roman" w:hAnsi="Times New Roman" w:cs="Times New Roman" w:eastAsia="Times New Roman" w:hint="default"/>
        </w:rPr>
        <w:t>1986</w:t>
      </w:r>
      <w:r>
        <w:rPr>
          <w:rFonts w:ascii="Times New Roman" w:hAnsi="Times New Roman" w:cs="Times New Roman" w:eastAsia="Times New Roman" w:hint="default"/>
          <w:spacing w:val="-2"/>
        </w:rPr>
        <w:t> </w:t>
      </w:r>
      <w:r>
        <w:rPr>
          <w:spacing w:val="-5"/>
        </w:rPr>
        <w:t>年任职于十堰市教育局；</w:t>
      </w:r>
      <w:r>
        <w:rPr>
          <w:rFonts w:ascii="Times New Roman" w:hAnsi="Times New Roman" w:cs="Times New Roman" w:eastAsia="Times New Roman" w:hint="default"/>
          <w:spacing w:val="-5"/>
        </w:rPr>
        <w:t>1986</w:t>
      </w:r>
      <w:r>
        <w:rPr>
          <w:spacing w:val="-5"/>
        </w:rPr>
        <w:t>年至</w:t>
      </w:r>
      <w:r>
        <w:rPr>
          <w:rFonts w:ascii="Times New Roman" w:hAnsi="Times New Roman" w:cs="Times New Roman" w:eastAsia="Times New Roman" w:hint="default"/>
          <w:spacing w:val="-5"/>
        </w:rPr>
        <w:t>2001</w:t>
      </w:r>
      <w:r>
        <w:rPr>
          <w:spacing w:val="-5"/>
        </w:rPr>
        <w:t>年任职于湖北省委组织部；</w:t>
      </w:r>
      <w:r>
        <w:rPr>
          <w:rFonts w:ascii="Times New Roman" w:hAnsi="Times New Roman" w:cs="Times New Roman" w:eastAsia="Times New Roman" w:hint="default"/>
          <w:spacing w:val="-5"/>
        </w:rPr>
        <w:t>2001</w:t>
      </w:r>
      <w:r>
        <w:rPr>
          <w:spacing w:val="-5"/>
        </w:rPr>
        <w:t>年至</w:t>
      </w:r>
      <w:r>
        <w:rPr>
          <w:rFonts w:ascii="Times New Roman" w:hAnsi="Times New Roman" w:cs="Times New Roman" w:eastAsia="Times New Roman" w:hint="default"/>
          <w:spacing w:val="-5"/>
        </w:rPr>
        <w:t>2016</w:t>
      </w:r>
      <w:r>
        <w:rPr>
          <w:spacing w:val="-5"/>
        </w:rPr>
        <w:t>年任职于中央组织部；</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10</w:t>
      </w:r>
      <w:r>
        <w:rPr>
          <w:spacing w:val="-5"/>
        </w:rPr>
        <w:t>月至</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
        </w:rPr>
        <w:t> </w:t>
      </w:r>
      <w:r>
        <w:rPr/>
        <w:t>年任职于中国国际人才交流中心、国家农业担保联盟公司；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月至今任职于朗新科技股份有限公司，任创新事业 群总裁。，</w:t>
      </w:r>
      <w:r>
        <w:rPr>
          <w:rFonts w:ascii="宋体" w:hAnsi="宋体" w:cs="宋体" w:eastAsia="宋体" w:hint="default"/>
        </w:rPr>
        <w:t>2018</w:t>
      </w:r>
      <w:r>
        <w:rPr/>
        <w:t>年</w:t>
      </w:r>
      <w:r>
        <w:rPr>
          <w:rFonts w:ascii="宋体" w:hAnsi="宋体" w:cs="宋体" w:eastAsia="宋体" w:hint="default"/>
        </w:rPr>
        <w:t>4</w:t>
      </w:r>
      <w:r>
        <w:rPr/>
        <w:t>月至今人朗新科技副董事长。目前兼任邦道科技董事等职务。</w:t>
      </w:r>
    </w:p>
    <w:p>
      <w:pPr>
        <w:pStyle w:val="BodyText"/>
        <w:spacing w:line="300" w:lineRule="auto" w:before="70"/>
        <w:ind w:left="512" w:right="1128" w:hanging="36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郑新标，中国国籍，无境外居留权，男，</w:t>
      </w:r>
      <w:r>
        <w:rPr>
          <w:rFonts w:ascii="Times New Roman" w:hAnsi="Times New Roman" w:cs="Times New Roman" w:eastAsia="Times New Roman" w:hint="default"/>
        </w:rPr>
        <w:t>1963</w:t>
      </w:r>
      <w:r>
        <w:rPr/>
        <w:t>年出生，硕士研究生学历，高级工程师，公司创始人之一。</w:t>
      </w:r>
      <w:r>
        <w:rPr>
          <w:rFonts w:ascii="Times New Roman" w:hAnsi="Times New Roman" w:cs="Times New Roman" w:eastAsia="Times New Roman" w:hint="default"/>
        </w:rPr>
        <w:t>1987</w:t>
      </w:r>
      <w:r>
        <w:rPr/>
        <w:t>年至</w:t>
      </w:r>
      <w:r>
        <w:rPr>
          <w:rFonts w:ascii="Times New Roman" w:hAnsi="Times New Roman" w:cs="Times New Roman" w:eastAsia="Times New Roman" w:hint="default"/>
        </w:rPr>
        <w:t>1996</w:t>
      </w:r>
      <w:r>
        <w:rPr>
          <w:rFonts w:ascii="Times New Roman" w:hAnsi="Times New Roman" w:cs="Times New Roman" w:eastAsia="Times New Roman" w:hint="default"/>
          <w:spacing w:val="1"/>
        </w:rPr>
        <w:t> </w:t>
      </w:r>
      <w:r>
        <w:rPr>
          <w:spacing w:val="-2"/>
        </w:rPr>
        <w:t>年任职于华北计算机技术研究所；</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2008</w:t>
      </w:r>
      <w:r>
        <w:rPr>
          <w:spacing w:val="-2"/>
        </w:rPr>
        <w:t>年担任北京朗新信息系统有限公司副总经理；</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2010</w:t>
      </w:r>
      <w:r>
        <w:rPr>
          <w:spacing w:val="-2"/>
        </w:rPr>
        <w:t>年任易视腾</w:t>
      </w:r>
      <w:r>
        <w:rPr/>
        <w:t> </w:t>
      </w:r>
      <w:r>
        <w:rPr>
          <w:spacing w:val="-2"/>
        </w:rPr>
        <w:t>科技总经理；</w:t>
      </w:r>
      <w:r>
        <w:rPr>
          <w:rFonts w:ascii="Times New Roman" w:hAnsi="Times New Roman" w:cs="Times New Roman" w:eastAsia="Times New Roman" w:hint="default"/>
          <w:spacing w:val="-2"/>
        </w:rPr>
        <w:t>2010</w:t>
      </w:r>
      <w:r>
        <w:rPr>
          <w:spacing w:val="-2"/>
        </w:rPr>
        <w:t>年至</w:t>
      </w:r>
      <w:r>
        <w:rPr>
          <w:rFonts w:ascii="Times New Roman" w:hAnsi="Times New Roman" w:cs="Times New Roman" w:eastAsia="Times New Roman" w:hint="default"/>
          <w:spacing w:val="-2"/>
        </w:rPr>
        <w:t>2013</w:t>
      </w:r>
      <w:r>
        <w:rPr>
          <w:spacing w:val="-2"/>
        </w:rPr>
        <w:t>年任朗新有限董事长兼总经理，</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月至今任朗新科技董事兼总经理。目前兼任无锡群</w:t>
      </w:r>
      <w:r>
        <w:rPr/>
        <w:t> 兴执行董事等职务。</w:t>
      </w:r>
    </w:p>
    <w:p>
      <w:pPr>
        <w:pStyle w:val="BodyText"/>
        <w:spacing w:line="300" w:lineRule="auto" w:before="72"/>
        <w:ind w:left="512" w:right="1131" w:hanging="36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41"/>
        </w:rPr>
        <w:t> </w:t>
      </w:r>
      <w:r>
        <w:rPr/>
        <w:t>彭知平，中国国籍，无境外居留权，男，</w:t>
      </w:r>
      <w:r>
        <w:rPr>
          <w:rFonts w:ascii="Times New Roman" w:hAnsi="Times New Roman" w:cs="Times New Roman" w:eastAsia="Times New Roman" w:hint="default"/>
        </w:rPr>
        <w:t>1973</w:t>
      </w:r>
      <w:r>
        <w:rPr/>
        <w:t>年出生，硕士研究生学历，</w:t>
      </w:r>
      <w:r>
        <w:rPr>
          <w:rFonts w:ascii="Times New Roman" w:hAnsi="Times New Roman" w:cs="Times New Roman" w:eastAsia="Times New Roman" w:hint="default"/>
        </w:rPr>
        <w:t>MBA</w:t>
      </w:r>
      <w:r>
        <w:rPr/>
        <w:t>。</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2010</w:t>
      </w:r>
      <w:r>
        <w:rPr/>
        <w:t>年历任北京朗新信息系 </w:t>
      </w:r>
      <w:r>
        <w:rPr>
          <w:spacing w:val="-2"/>
        </w:rPr>
        <w:t>统有限公司软件工程师、项目经理、部门经理、人力资源部经理、人力资源总监、副总裁。</w:t>
      </w:r>
      <w:r>
        <w:rPr>
          <w:rFonts w:ascii="Times New Roman" w:hAnsi="Times New Roman" w:cs="Times New Roman" w:eastAsia="Times New Roman" w:hint="default"/>
          <w:spacing w:val="-2"/>
        </w:rPr>
        <w:t>2011</w:t>
      </w:r>
      <w:r>
        <w:rPr>
          <w:spacing w:val="-2"/>
        </w:rPr>
        <w:t>年至今任朗新科技副总</w:t>
      </w:r>
      <w:r>
        <w:rPr/>
        <w:t> 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月至今任朗新科技董事等职务。</w:t>
      </w:r>
    </w:p>
    <w:p>
      <w:pPr>
        <w:pStyle w:val="BodyText"/>
        <w:tabs>
          <w:tab w:pos="512" w:val="left" w:leader="none"/>
        </w:tabs>
        <w:spacing w:line="300" w:lineRule="auto" w:before="53"/>
        <w:ind w:left="512" w:right="1045" w:hanging="360"/>
        <w:jc w:val="left"/>
      </w:pPr>
      <w:r>
        <w:rPr>
          <w:rFonts w:ascii="Times New Roman" w:hAnsi="Times New Roman" w:cs="Times New Roman" w:eastAsia="Times New Roman" w:hint="default"/>
        </w:rPr>
        <w:t>5.</w:t>
        <w:tab/>
      </w:r>
      <w:r>
        <w:rPr/>
        <w:t>林栋梁，中国国籍，无境外居留权，男，</w:t>
      </w:r>
      <w:r>
        <w:rPr>
          <w:rFonts w:ascii="Times New Roman" w:hAnsi="Times New Roman" w:cs="Times New Roman" w:eastAsia="Times New Roman" w:hint="default"/>
        </w:rPr>
        <w:t>1962</w:t>
      </w:r>
      <w:r>
        <w:rPr/>
        <w:t>年出生，硕士研究生学历。</w:t>
      </w:r>
      <w:r>
        <w:rPr>
          <w:rFonts w:ascii="Times New Roman" w:hAnsi="Times New Roman" w:cs="Times New Roman" w:eastAsia="Times New Roman" w:hint="default"/>
        </w:rPr>
        <w:t>1995</w:t>
      </w:r>
      <w:r>
        <w:rPr/>
        <w:t>年加入</w:t>
      </w:r>
      <w:r>
        <w:rPr>
          <w:rFonts w:ascii="Times New Roman" w:hAnsi="Times New Roman" w:cs="Times New Roman" w:eastAsia="Times New Roman" w:hint="default"/>
        </w:rPr>
        <w:t>IDG</w:t>
      </w:r>
      <w:r>
        <w:rPr/>
        <w:t>技术创业投资基金管理团队，</w:t>
      </w:r>
      <w:r>
        <w:rPr>
          <w:spacing w:val="-56"/>
        </w:rPr>
        <w:t> </w:t>
      </w:r>
      <w:r>
        <w:rPr/>
        <w:t>在爱奇高科技北京有限公司任副总裁。</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2012</w:t>
      </w:r>
      <w:r>
        <w:rPr/>
        <w:t>年任国际数据中国投资有限公司副总裁；</w:t>
      </w:r>
      <w:r>
        <w:rPr>
          <w:rFonts w:ascii="Times New Roman" w:hAnsi="Times New Roman" w:cs="Times New Roman" w:eastAsia="Times New Roman" w:hint="default"/>
        </w:rPr>
        <w:t>2013</w:t>
      </w:r>
      <w:r>
        <w:rPr/>
        <w:t>年至</w:t>
      </w:r>
      <w:r>
        <w:rPr>
          <w:rFonts w:ascii="Times New Roman" w:hAnsi="Times New Roman" w:cs="Times New Roman" w:eastAsia="Times New Roman" w:hint="default"/>
        </w:rPr>
        <w:t>2016</w:t>
      </w:r>
      <w:r>
        <w:rPr/>
        <w:t>年任</w:t>
      </w:r>
      <w:r>
        <w:rPr>
          <w:rFonts w:ascii="Times New Roman" w:hAnsi="Times New Roman" w:cs="Times New Roman" w:eastAsia="Times New Roman" w:hint="default"/>
        </w:rPr>
        <w:t>IDG</w:t>
      </w:r>
      <w:r>
        <w:rPr/>
        <w:t>资 </w:t>
      </w:r>
      <w:r>
        <w:rPr>
          <w:spacing w:val="-2"/>
        </w:rPr>
        <w:t>本投资顾问（北京）有限公司任合伙人；</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月至今任朗新科技董事；</w:t>
      </w:r>
      <w:r>
        <w:rPr>
          <w:rFonts w:ascii="宋体" w:hAnsi="宋体" w:cs="宋体" w:eastAsia="宋体" w:hint="default"/>
          <w:spacing w:val="-2"/>
        </w:rPr>
        <w:t>2016</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月在和谐天明投资管理</w:t>
      </w:r>
    </w:p>
    <w:p>
      <w:pPr>
        <w:pStyle w:val="BodyText"/>
        <w:spacing w:line="240" w:lineRule="auto" w:before="31"/>
        <w:ind w:left="512" w:right="1129"/>
        <w:jc w:val="left"/>
      </w:pPr>
      <w:r>
        <w:rPr/>
        <w:t>（北京）有限公司任总经理，</w:t>
      </w:r>
      <w:r>
        <w:rPr>
          <w:rFonts w:ascii="宋体" w:hAnsi="宋体" w:cs="宋体" w:eastAsia="宋体" w:hint="default"/>
        </w:rPr>
        <w:t>2019</w:t>
      </w:r>
      <w:r>
        <w:rPr/>
        <w:t>年</w:t>
      </w:r>
      <w:r>
        <w:rPr>
          <w:rFonts w:ascii="宋体" w:hAnsi="宋体" w:cs="宋体" w:eastAsia="宋体" w:hint="default"/>
        </w:rPr>
        <w:t>3</w:t>
      </w:r>
      <w:r>
        <w:rPr/>
        <w:t>月至今在和谐爱奇投资管理（北京）有限公司任合伙人。</w:t>
      </w:r>
    </w:p>
    <w:p>
      <w:pPr>
        <w:pStyle w:val="BodyText"/>
        <w:tabs>
          <w:tab w:pos="512" w:val="left" w:leader="none"/>
        </w:tabs>
        <w:spacing w:line="309" w:lineRule="auto" w:before="115"/>
        <w:ind w:left="512" w:right="1047" w:hanging="360"/>
        <w:jc w:val="left"/>
      </w:pPr>
      <w:r>
        <w:rPr>
          <w:rFonts w:ascii="Times New Roman" w:hAnsi="Times New Roman" w:cs="Times New Roman" w:eastAsia="Times New Roman" w:hint="default"/>
        </w:rPr>
        <w:t>6.</w:t>
        <w:tab/>
      </w:r>
      <w:r>
        <w:rPr>
          <w:spacing w:val="-2"/>
        </w:rPr>
        <w:t>倪行军，中国国籍，无境外居留权，男，</w:t>
      </w:r>
      <w:r>
        <w:rPr>
          <w:rFonts w:ascii="Times New Roman" w:hAnsi="Times New Roman" w:cs="Times New Roman" w:eastAsia="Times New Roman" w:hint="default"/>
          <w:spacing w:val="-2"/>
        </w:rPr>
        <w:t>1977</w:t>
      </w:r>
      <w:r>
        <w:rPr>
          <w:spacing w:val="-2"/>
        </w:rPr>
        <w:t>年出生，大学学历，中欧国际工商学院</w:t>
      </w:r>
      <w:r>
        <w:rPr>
          <w:rFonts w:ascii="Times New Roman" w:hAnsi="Times New Roman" w:cs="Times New Roman" w:eastAsia="Times New Roman" w:hint="default"/>
          <w:spacing w:val="-2"/>
        </w:rPr>
        <w:t>EMBA</w:t>
      </w:r>
      <w:r>
        <w:rPr>
          <w:spacing w:val="-2"/>
        </w:rPr>
        <w:t>硕士学位。历任杭州天地网</w:t>
      </w:r>
      <w:r>
        <w:rPr>
          <w:spacing w:val="-49"/>
        </w:rPr>
        <w:t> </w:t>
      </w:r>
      <w:r>
        <w:rPr>
          <w:spacing w:val="-49"/>
        </w:rPr>
      </w:r>
      <w:r>
        <w:rPr>
          <w:spacing w:val="-2"/>
        </w:rPr>
        <w:t>络技术有限公司工程师，绍兴星河网络技术有限公司技术部负责人，华东医药股份有限公司工程师，阿里巴巴集团控股</w:t>
      </w:r>
      <w:r>
        <w:rPr/>
        <w:t> </w:t>
      </w:r>
      <w:r>
        <w:rPr>
          <w:spacing w:val="-2"/>
        </w:rPr>
        <w:t>有限公司（包括下属子公司）工程师，浙江蚂蚁小微金融服务集团有限公司（包括下属子公司）工程师。</w:t>
      </w:r>
      <w:r>
        <w:rPr>
          <w:rFonts w:ascii="Times New Roman" w:hAnsi="Times New Roman" w:cs="Times New Roman" w:eastAsia="Times New Roman" w:hint="default"/>
          <w:spacing w:val="-2"/>
        </w:rPr>
        <w:t>2005</w:t>
      </w:r>
      <w:r>
        <w:rPr>
          <w:spacing w:val="-2"/>
        </w:rPr>
        <w:t>年至今在</w:t>
      </w:r>
      <w:r>
        <w:rPr/>
        <w:t> 蚂蚁金融服务集团（包括前身浙江阿里巴巴电子商务有限公司及下属子公司）任职，现任蚂蚁金服支付宝事业群总裁。</w:t>
      </w:r>
      <w:r>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月至今任朗新科技董事。</w:t>
      </w:r>
    </w:p>
    <w:p>
      <w:pPr>
        <w:pStyle w:val="BodyText"/>
        <w:spacing w:line="300" w:lineRule="auto" w:before="46"/>
        <w:ind w:left="511" w:right="1131" w:hanging="360"/>
        <w:jc w:val="both"/>
      </w:pPr>
      <w:r>
        <w:rPr>
          <w:rFonts w:ascii="Times New Roman" w:hAnsi="Times New Roman" w:cs="Times New Roman" w:eastAsia="Times New Roman" w:hint="default"/>
        </w:rPr>
        <w:t>7.</w:t>
      </w:r>
      <w:r>
        <w:rPr>
          <w:rFonts w:ascii="Times New Roman" w:hAnsi="Times New Roman" w:cs="Times New Roman" w:eastAsia="Times New Roman" w:hint="default"/>
          <w:spacing w:val="31"/>
        </w:rPr>
        <w:t> </w:t>
      </w:r>
      <w:r>
        <w:rPr>
          <w:spacing w:val="-5"/>
        </w:rPr>
        <w:t>穆钢，中国国籍，无境外居留权，男，</w:t>
      </w:r>
      <w:r>
        <w:rPr>
          <w:rFonts w:ascii="Times New Roman" w:hAnsi="Times New Roman" w:cs="Times New Roman" w:eastAsia="Times New Roman" w:hint="default"/>
          <w:spacing w:val="-5"/>
        </w:rPr>
        <w:t>1957</w:t>
      </w:r>
      <w:r>
        <w:rPr>
          <w:spacing w:val="-5"/>
        </w:rPr>
        <w:t>年出生，博士研究生学历，教授。</w:t>
      </w:r>
      <w:r>
        <w:rPr>
          <w:rFonts w:ascii="Times New Roman" w:hAnsi="Times New Roman" w:cs="Times New Roman" w:eastAsia="Times New Roman" w:hint="default"/>
          <w:spacing w:val="-5"/>
        </w:rPr>
        <w:t>1984</w:t>
      </w:r>
      <w:r>
        <w:rPr>
          <w:spacing w:val="-5"/>
        </w:rPr>
        <w:t>年至</w:t>
      </w:r>
      <w:r>
        <w:rPr>
          <w:rFonts w:ascii="Times New Roman" w:hAnsi="Times New Roman" w:cs="Times New Roman" w:eastAsia="Times New Roman" w:hint="default"/>
          <w:spacing w:val="-5"/>
        </w:rPr>
        <w:t>1987</w:t>
      </w:r>
      <w:r>
        <w:rPr>
          <w:spacing w:val="-5"/>
        </w:rPr>
        <w:t>年任教于东北电力学院；</w:t>
      </w:r>
      <w:r>
        <w:rPr>
          <w:rFonts w:ascii="Times New Roman" w:hAnsi="Times New Roman" w:cs="Times New Roman" w:eastAsia="Times New Roman" w:hint="default"/>
          <w:spacing w:val="-5"/>
        </w:rPr>
        <w:t>1987</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spacing w:val="-2"/>
        </w:rPr>
        <w:t>年至</w:t>
      </w:r>
      <w:r>
        <w:rPr>
          <w:rFonts w:ascii="Times New Roman" w:hAnsi="Times New Roman" w:cs="Times New Roman" w:eastAsia="Times New Roman" w:hint="default"/>
          <w:spacing w:val="-2"/>
        </w:rPr>
        <w:t>1991</w:t>
      </w:r>
      <w:r>
        <w:rPr>
          <w:spacing w:val="-2"/>
        </w:rPr>
        <w:t>年就读于清华大学并获工学博士学位；</w:t>
      </w:r>
      <w:r>
        <w:rPr>
          <w:rFonts w:ascii="Times New Roman" w:hAnsi="Times New Roman" w:cs="Times New Roman" w:eastAsia="Times New Roman" w:hint="default"/>
          <w:spacing w:val="-2"/>
        </w:rPr>
        <w:t>1991</w:t>
      </w:r>
      <w:r>
        <w:rPr>
          <w:spacing w:val="-2"/>
        </w:rPr>
        <w:t>年至</w:t>
      </w:r>
      <w:r>
        <w:rPr>
          <w:rFonts w:ascii="Times New Roman" w:hAnsi="Times New Roman" w:cs="Times New Roman" w:eastAsia="Times New Roman" w:hint="default"/>
          <w:spacing w:val="-2"/>
        </w:rPr>
        <w:t>1995</w:t>
      </w:r>
      <w:r>
        <w:rPr>
          <w:spacing w:val="-2"/>
        </w:rPr>
        <w:t>年任教于东北电力学院；</w:t>
      </w:r>
      <w:r>
        <w:rPr>
          <w:rFonts w:ascii="Times New Roman" w:hAnsi="Times New Roman" w:cs="Times New Roman" w:eastAsia="Times New Roman" w:hint="default"/>
          <w:spacing w:val="-2"/>
        </w:rPr>
        <w:t>1995</w:t>
      </w:r>
      <w:r>
        <w:rPr>
          <w:spacing w:val="-2"/>
        </w:rPr>
        <w:t>年至</w:t>
      </w:r>
      <w:r>
        <w:rPr>
          <w:rFonts w:ascii="Times New Roman" w:hAnsi="Times New Roman" w:cs="Times New Roman" w:eastAsia="Times New Roman" w:hint="default"/>
          <w:spacing w:val="-2"/>
        </w:rPr>
        <w:t>2005</w:t>
      </w:r>
      <w:r>
        <w:rPr>
          <w:spacing w:val="-2"/>
        </w:rPr>
        <w:t>年任教于东北电力</w:t>
      </w:r>
      <w:r>
        <w:rPr/>
        <w:t> </w:t>
      </w:r>
      <w:r>
        <w:rPr>
          <w:spacing w:val="-2"/>
        </w:rPr>
        <w:t>学院并担任院长助理兼教务处长、副院长、院长；</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2011</w:t>
      </w:r>
      <w:r>
        <w:rPr>
          <w:spacing w:val="-2"/>
        </w:rPr>
        <w:t>年任东北电力大学校长。</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月至今任朗新科技独</w:t>
      </w:r>
      <w:r>
        <w:rPr/>
        <w:t> 立董事。目前兼任中国电机工程学会电工数学专委会名誉主任委员等职务。</w:t>
      </w:r>
    </w:p>
    <w:p>
      <w:pPr>
        <w:pStyle w:val="BodyText"/>
        <w:tabs>
          <w:tab w:pos="511" w:val="left" w:leader="none"/>
        </w:tabs>
        <w:spacing w:line="240" w:lineRule="auto" w:before="72"/>
        <w:ind w:left="151" w:right="1129"/>
        <w:jc w:val="left"/>
      </w:pPr>
      <w:r>
        <w:rPr>
          <w:rFonts w:ascii="Times New Roman" w:hAnsi="Times New Roman" w:cs="Times New Roman" w:eastAsia="Times New Roman" w:hint="default"/>
        </w:rPr>
        <w:t>8.</w:t>
        <w:tab/>
      </w:r>
      <w:r>
        <w:rPr>
          <w:spacing w:val="-4"/>
        </w:rPr>
        <w:t>谢德仁，中国国籍，无境外居留权，男，</w:t>
      </w:r>
      <w:r>
        <w:rPr>
          <w:rFonts w:ascii="Times New Roman" w:hAnsi="Times New Roman" w:cs="Times New Roman" w:eastAsia="Times New Roman" w:hint="default"/>
          <w:spacing w:val="-4"/>
        </w:rPr>
        <w:t>1972</w:t>
      </w:r>
      <w:r>
        <w:rPr>
          <w:spacing w:val="-4"/>
        </w:rPr>
        <w:t>年出生，会计学博士，</w:t>
      </w:r>
      <w:r>
        <w:rPr>
          <w:rFonts w:ascii="Times New Roman" w:hAnsi="Times New Roman" w:cs="Times New Roman" w:eastAsia="Times New Roman" w:hint="default"/>
          <w:spacing w:val="-4"/>
        </w:rPr>
        <w:t>1998</w:t>
      </w:r>
      <w:r>
        <w:rPr>
          <w:spacing w:val="-4"/>
        </w:rPr>
        <w:t>年</w:t>
      </w:r>
      <w:r>
        <w:rPr>
          <w:rFonts w:ascii="Times New Roman" w:hAnsi="Times New Roman" w:cs="Times New Roman" w:eastAsia="Times New Roman" w:hint="default"/>
          <w:spacing w:val="-4"/>
        </w:rPr>
        <w:t>8</w:t>
      </w:r>
      <w:r>
        <w:rPr>
          <w:spacing w:val="-4"/>
        </w:rPr>
        <w:t>月起任职于清华大学，现任经管学院教授。</w:t>
      </w:r>
    </w:p>
    <w:p>
      <w:pPr>
        <w:pStyle w:val="BodyText"/>
        <w:spacing w:line="240" w:lineRule="auto" w:before="62"/>
        <w:ind w:left="512" w:right="1129"/>
        <w:jc w:val="left"/>
      </w:pPr>
      <w:r>
        <w:rPr>
          <w:rFonts w:ascii="宋体" w:hAnsi="宋体" w:cs="宋体" w:eastAsia="宋体" w:hint="default"/>
        </w:rPr>
        <w:t>2013</w:t>
      </w:r>
      <w:r>
        <w:rPr/>
        <w:t>年</w:t>
      </w:r>
      <w:r>
        <w:rPr>
          <w:rFonts w:ascii="宋体" w:hAnsi="宋体" w:cs="宋体" w:eastAsia="宋体" w:hint="default"/>
        </w:rPr>
        <w:t>12</w:t>
      </w:r>
      <w:r>
        <w:rPr/>
        <w:t>月至今任朗新科技独立董事。目前兼任博彦科技股份有限公司独立董事等职务。</w:t>
      </w:r>
    </w:p>
    <w:p>
      <w:pPr>
        <w:pStyle w:val="BodyText"/>
        <w:spacing w:line="300" w:lineRule="auto" w:before="115"/>
        <w:ind w:left="512" w:right="1131" w:hanging="361"/>
        <w:jc w:val="both"/>
      </w:pP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梅生伟，中国国籍，无境外居留权，男，</w:t>
      </w:r>
      <w:r>
        <w:rPr>
          <w:rFonts w:ascii="Times New Roman" w:hAnsi="Times New Roman" w:cs="Times New Roman" w:eastAsia="Times New Roman" w:hint="default"/>
        </w:rPr>
        <w:t>1964</w:t>
      </w:r>
      <w:r>
        <w:rPr/>
        <w:t>年出生，博士研究生学历，教授。</w:t>
      </w:r>
      <w:r>
        <w:rPr>
          <w:rFonts w:ascii="Times New Roman" w:hAnsi="Times New Roman" w:cs="Times New Roman" w:eastAsia="Times New Roman" w:hint="default"/>
        </w:rPr>
        <w:t>1984</w:t>
      </w:r>
      <w:r>
        <w:rPr/>
        <w:t>年至</w:t>
      </w:r>
      <w:r>
        <w:rPr>
          <w:rFonts w:ascii="Times New Roman" w:hAnsi="Times New Roman" w:cs="Times New Roman" w:eastAsia="Times New Roman" w:hint="default"/>
        </w:rPr>
        <w:t>1987</w:t>
      </w:r>
      <w:r>
        <w:rPr/>
        <w:t>年任教于新疆大学；</w:t>
      </w:r>
      <w:r>
        <w:rPr>
          <w:rFonts w:ascii="Times New Roman" w:hAnsi="Times New Roman" w:cs="Times New Roman" w:eastAsia="Times New Roman" w:hint="default"/>
        </w:rPr>
        <w:t>1987</w:t>
      </w:r>
      <w:r>
        <w:rPr>
          <w:rFonts w:ascii="Times New Roman" w:hAnsi="Times New Roman" w:cs="Times New Roman" w:eastAsia="Times New Roman" w:hint="default"/>
          <w:spacing w:val="-2"/>
        </w:rPr>
        <w:t> </w:t>
      </w:r>
      <w:r>
        <w:rPr>
          <w:spacing w:val="-2"/>
        </w:rPr>
        <w:t>年至</w:t>
      </w:r>
      <w:r>
        <w:rPr>
          <w:rFonts w:ascii="Times New Roman" w:hAnsi="Times New Roman" w:cs="Times New Roman" w:eastAsia="Times New Roman" w:hint="default"/>
          <w:spacing w:val="-2"/>
        </w:rPr>
        <w:t>1989</w:t>
      </w:r>
      <w:r>
        <w:rPr>
          <w:spacing w:val="-2"/>
        </w:rPr>
        <w:t>年就读于清华大学应用数学系，获硕士学位；</w:t>
      </w:r>
      <w:r>
        <w:rPr>
          <w:rFonts w:ascii="Times New Roman" w:hAnsi="Times New Roman" w:cs="Times New Roman" w:eastAsia="Times New Roman" w:hint="default"/>
          <w:spacing w:val="-2"/>
        </w:rPr>
        <w:t>1990</w:t>
      </w:r>
      <w:r>
        <w:rPr>
          <w:spacing w:val="-2"/>
        </w:rPr>
        <w:t>年至</w:t>
      </w:r>
      <w:r>
        <w:rPr>
          <w:rFonts w:ascii="Times New Roman" w:hAnsi="Times New Roman" w:cs="Times New Roman" w:eastAsia="Times New Roman" w:hint="default"/>
          <w:spacing w:val="-2"/>
        </w:rPr>
        <w:t>1993</w:t>
      </w:r>
      <w:r>
        <w:rPr>
          <w:spacing w:val="-2"/>
        </w:rPr>
        <w:t>年任教于新疆大学，</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1996</w:t>
      </w:r>
      <w:r>
        <w:rPr>
          <w:spacing w:val="-2"/>
        </w:rPr>
        <w:t>年就读于中国科</w:t>
      </w:r>
      <w:r>
        <w:rPr/>
        <w:t> </w:t>
      </w:r>
      <w:r>
        <w:rPr>
          <w:spacing w:val="-2"/>
        </w:rPr>
        <w:t>学院系统科学研究所，获博士学位；</w:t>
      </w:r>
      <w:r>
        <w:rPr>
          <w:rFonts w:ascii="Times New Roman" w:hAnsi="Times New Roman" w:cs="Times New Roman" w:eastAsia="Times New Roman" w:hint="default"/>
          <w:spacing w:val="-2"/>
        </w:rPr>
        <w:t>1996</w:t>
      </w:r>
      <w:r>
        <w:rPr>
          <w:spacing w:val="-2"/>
        </w:rPr>
        <w:t>年至今任教于清华大学。现任清华大学教授，博士生导师，国家杰出青年基金</w:t>
      </w:r>
      <w:r>
        <w:rPr/>
        <w:t> 获得者，教育部长江学者特聘教授，国家自然科学基金委创新研究群体学术带头人，</w:t>
      </w:r>
      <w:r>
        <w:rPr>
          <w:rFonts w:ascii="Times New Roman" w:hAnsi="Times New Roman" w:cs="Times New Roman" w:eastAsia="Times New Roman" w:hint="default"/>
        </w:rPr>
        <w:t>IETFellow</w:t>
      </w:r>
      <w:r>
        <w:rPr/>
        <w:t>，</w:t>
      </w:r>
      <w:r>
        <w:rPr>
          <w:rFonts w:ascii="Times New Roman" w:hAnsi="Times New Roman" w:cs="Times New Roman" w:eastAsia="Times New Roman" w:hint="default"/>
        </w:rPr>
        <w:t>IEEEFellow,</w:t>
      </w:r>
      <w:r>
        <w:rPr/>
        <w:t>享受国务 院政府特殊津贴。曾在英国</w:t>
      </w:r>
      <w:r>
        <w:rPr>
          <w:rFonts w:ascii="Times New Roman" w:hAnsi="Times New Roman" w:cs="Times New Roman" w:eastAsia="Times New Roman" w:hint="default"/>
        </w:rPr>
        <w:t>Brunel</w:t>
      </w:r>
      <w:r>
        <w:rPr/>
        <w:t>大学、日本上智大学及国立新加坡大学访问研究。</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月至今任朗新科技独立董 事。</w:t>
      </w:r>
    </w:p>
    <w:p>
      <w:pPr>
        <w:pStyle w:val="BodyText"/>
        <w:spacing w:line="312" w:lineRule="auto" w:before="72"/>
        <w:ind w:left="512" w:right="1129" w:hanging="36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29"/>
        </w:rPr>
        <w:t> </w:t>
      </w:r>
      <w:r>
        <w:rPr>
          <w:spacing w:val="-5"/>
        </w:rPr>
        <w:t>赵国栋，中国国籍，无境外居留权，男，</w:t>
      </w:r>
      <w:r>
        <w:rPr>
          <w:rFonts w:ascii="宋体" w:hAnsi="宋体" w:cs="宋体" w:eastAsia="宋体" w:hint="default"/>
          <w:spacing w:val="-5"/>
        </w:rPr>
        <w:t>1974</w:t>
      </w:r>
      <w:r>
        <w:rPr>
          <w:spacing w:val="-5"/>
        </w:rPr>
        <w:t>年出生，本科学历。</w:t>
      </w:r>
      <w:r>
        <w:rPr>
          <w:rFonts w:ascii="宋体" w:hAnsi="宋体" w:cs="宋体" w:eastAsia="宋体" w:hint="default"/>
          <w:spacing w:val="-5"/>
        </w:rPr>
        <w:t>2011</w:t>
      </w:r>
      <w:r>
        <w:rPr>
          <w:spacing w:val="-5"/>
        </w:rPr>
        <w:t>年至</w:t>
      </w:r>
      <w:r>
        <w:rPr>
          <w:rFonts w:ascii="宋体" w:hAnsi="宋体" w:cs="宋体" w:eastAsia="宋体" w:hint="default"/>
          <w:spacing w:val="-5"/>
        </w:rPr>
        <w:t>2013</w:t>
      </w:r>
      <w:r>
        <w:rPr>
          <w:spacing w:val="-5"/>
        </w:rPr>
        <w:t>年，任国金证券研究所高级分析师；</w:t>
      </w:r>
      <w:r>
        <w:rPr>
          <w:rFonts w:ascii="宋体" w:hAnsi="宋体" w:cs="宋体" w:eastAsia="宋体" w:hint="default"/>
          <w:spacing w:val="-5"/>
        </w:rPr>
        <w:t>2013</w:t>
      </w:r>
      <w:r>
        <w:rPr>
          <w:rFonts w:ascii="宋体" w:hAnsi="宋体" w:cs="宋体" w:eastAsia="宋体" w:hint="default"/>
          <w:spacing w:val="-86"/>
        </w:rPr>
        <w:t> </w:t>
      </w:r>
      <w:r>
        <w:rPr>
          <w:rFonts w:ascii="宋体" w:hAnsi="宋体" w:cs="宋体" w:eastAsia="宋体" w:hint="default"/>
          <w:spacing w:val="-86"/>
        </w:rPr>
      </w:r>
      <w:r>
        <w:rPr/>
        <w:t>年至</w:t>
      </w:r>
      <w:r>
        <w:rPr>
          <w:rFonts w:ascii="宋体" w:hAnsi="宋体" w:cs="宋体" w:eastAsia="宋体" w:hint="default"/>
        </w:rPr>
        <w:t>2014</w:t>
      </w:r>
      <w:r>
        <w:rPr/>
        <w:t>年，任宏源证券研究所首席分析师；</w:t>
      </w:r>
      <w:r>
        <w:rPr>
          <w:rFonts w:ascii="宋体" w:hAnsi="宋体" w:cs="宋体" w:eastAsia="宋体" w:hint="default"/>
        </w:rPr>
        <w:t>2014</w:t>
      </w:r>
      <w:r>
        <w:rPr/>
        <w:t>年至</w:t>
      </w:r>
      <w:r>
        <w:rPr>
          <w:rFonts w:ascii="宋体" w:hAnsi="宋体" w:cs="宋体" w:eastAsia="宋体" w:hint="default"/>
        </w:rPr>
        <w:t>2016</w:t>
      </w:r>
      <w:r>
        <w:rPr/>
        <w:t>年，任用友网络科技股份有限公司副总裁；</w:t>
      </w:r>
      <w:r>
        <w:rPr>
          <w:rFonts w:ascii="宋体" w:hAnsi="宋体" w:cs="宋体" w:eastAsia="宋体" w:hint="default"/>
        </w:rPr>
        <w:t>2015</w:t>
      </w:r>
      <w:r>
        <w:rPr/>
        <w:t>年至</w:t>
      </w:r>
      <w:r>
        <w:rPr>
          <w:rFonts w:ascii="宋体" w:hAnsi="宋体" w:cs="宋体" w:eastAsia="宋体" w:hint="default"/>
        </w:rPr>
        <w:t>2016</w:t>
      </w:r>
      <w:r>
        <w:rPr>
          <w:rFonts w:ascii="宋体" w:hAnsi="宋体" w:cs="宋体" w:eastAsia="宋体" w:hint="default"/>
          <w:spacing w:val="-2"/>
        </w:rPr>
        <w:t> </w:t>
      </w:r>
      <w:r>
        <w:rPr>
          <w:spacing w:val="-2"/>
        </w:rPr>
        <w:t>年，任北京大数据研究院副院长；</w:t>
      </w:r>
      <w:r>
        <w:rPr>
          <w:rFonts w:ascii="宋体" w:hAnsi="宋体" w:cs="宋体" w:eastAsia="宋体" w:hint="default"/>
          <w:spacing w:val="-2"/>
        </w:rPr>
        <w:t>2016</w:t>
      </w:r>
      <w:r>
        <w:rPr>
          <w:spacing w:val="-2"/>
        </w:rPr>
        <w:t>年</w:t>
      </w:r>
      <w:r>
        <w:rPr>
          <w:rFonts w:ascii="宋体" w:hAnsi="宋体" w:cs="宋体" w:eastAsia="宋体" w:hint="default"/>
          <w:spacing w:val="-2"/>
        </w:rPr>
        <w:t>10</w:t>
      </w:r>
      <w:r>
        <w:rPr>
          <w:spacing w:val="-2"/>
        </w:rPr>
        <w:t>月至今任朗新科技股份有限公司独立董事。目前兼任中关村大数据产业联盟</w:t>
      </w:r>
      <w:r>
        <w:rPr/>
        <w:t> 秘书长等职务。</w:t>
      </w:r>
    </w:p>
    <w:p>
      <w:pPr>
        <w:pStyle w:val="BodyText"/>
        <w:spacing w:line="357" w:lineRule="auto" w:before="63"/>
        <w:ind w:right="3734"/>
        <w:jc w:val="left"/>
      </w:pPr>
      <w:r>
        <w:rPr/>
        <w:t>（二）监事会成员 公司监事会由</w:t>
      </w:r>
      <w:r>
        <w:rPr>
          <w:rFonts w:ascii="Times New Roman" w:hAnsi="Times New Roman" w:cs="Times New Roman" w:eastAsia="Times New Roman" w:hint="default"/>
        </w:rPr>
        <w:t>3</w:t>
      </w:r>
      <w:r>
        <w:rPr/>
        <w:t>名成员组成，目前</w:t>
      </w:r>
      <w:r>
        <w:rPr>
          <w:rFonts w:ascii="Times New Roman" w:hAnsi="Times New Roman" w:cs="Times New Roman" w:eastAsia="Times New Roman" w:hint="default"/>
        </w:rPr>
        <w:t>3</w:t>
      </w:r>
      <w:r>
        <w:rPr/>
        <w:t>名监事主要工作经历以及目前在公司的主要职责如下：</w:t>
      </w:r>
    </w:p>
    <w:p>
      <w:pPr>
        <w:pStyle w:val="BodyText"/>
        <w:spacing w:line="240" w:lineRule="auto" w:before="6"/>
        <w:ind w:right="986"/>
        <w:jc w:val="left"/>
      </w:pPr>
      <w:r>
        <w:rPr>
          <w:rFonts w:ascii="Times New Roman" w:hAnsi="Times New Roman" w:cs="Times New Roman" w:eastAsia="Times New Roman" w:hint="default"/>
        </w:rPr>
        <w:t>1.</w:t>
      </w:r>
      <w:r>
        <w:rPr/>
        <w:t>黄利洲，中国国籍，无境外居留权，男，</w:t>
      </w:r>
      <w:r>
        <w:rPr>
          <w:rFonts w:ascii="Times New Roman" w:hAnsi="Times New Roman" w:cs="Times New Roman" w:eastAsia="Times New Roman" w:hint="default"/>
        </w:rPr>
        <w:t>1964</w:t>
      </w:r>
      <w:r>
        <w:rPr/>
        <w:t>年出生，大学本科学历，毕业于合肥工业大学。曾任职于北京机床研究所，</w:t>
      </w:r>
    </w:p>
    <w:p>
      <w:pPr>
        <w:pStyle w:val="BodyText"/>
        <w:spacing w:line="300" w:lineRule="auto" w:before="62"/>
        <w:ind w:right="1124"/>
        <w:jc w:val="left"/>
      </w:pPr>
      <w:r>
        <w:rPr>
          <w:rFonts w:ascii="Times New Roman" w:hAnsi="Times New Roman" w:cs="Times New Roman" w:eastAsia="Times New Roman" w:hint="default"/>
        </w:rPr>
        <w:t>1996</w:t>
      </w:r>
      <w:r>
        <w:rPr/>
        <w:t>年</w:t>
      </w:r>
      <w:r>
        <w:rPr>
          <w:rFonts w:ascii="Times New Roman" w:hAnsi="Times New Roman" w:cs="Times New Roman" w:eastAsia="Times New Roman" w:hint="default"/>
        </w:rPr>
        <w:t>5</w:t>
      </w:r>
      <w:r>
        <w:rPr/>
        <w:t>月加入北京朗新信息系统有限公司，曾任副总经理，</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2018</w:t>
      </w:r>
      <w:r>
        <w:rPr/>
        <w:t>年初，在北京动力设备有限公司工作，曾任副总 经理。</w:t>
      </w:r>
      <w:r>
        <w:rPr>
          <w:rFonts w:ascii="Times New Roman" w:hAnsi="Times New Roman" w:cs="Times New Roman" w:eastAsia="Times New Roman" w:hint="default"/>
        </w:rPr>
        <w:t>2018</w:t>
      </w:r>
      <w:r>
        <w:rPr/>
        <w:t>年</w:t>
      </w:r>
      <w:r>
        <w:rPr>
          <w:rFonts w:ascii="宋体" w:hAnsi="宋体" w:cs="宋体" w:eastAsia="宋体" w:hint="default"/>
        </w:rPr>
        <w:t>7</w:t>
      </w:r>
      <w:r>
        <w:rPr/>
        <w:t>月至今任朗新科技监事会主席。</w:t>
      </w:r>
    </w:p>
    <w:p>
      <w:pPr>
        <w:spacing w:after="0" w:line="30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212" w:right="1133"/>
        <w:jc w:val="both"/>
      </w:pPr>
      <w:r>
        <w:rPr>
          <w:rFonts w:ascii="Times New Roman" w:hAnsi="Times New Roman" w:cs="Times New Roman" w:eastAsia="Times New Roman" w:hint="default"/>
          <w:spacing w:val="-1"/>
        </w:rPr>
        <w:t>2.</w:t>
      </w:r>
      <w:r>
        <w:rPr>
          <w:spacing w:val="-1"/>
        </w:rPr>
        <w:t>戴清林，中国国籍，无境外居留权，男，</w:t>
      </w:r>
      <w:r>
        <w:rPr>
          <w:rFonts w:ascii="Times New Roman" w:hAnsi="Times New Roman" w:cs="Times New Roman" w:eastAsia="Times New Roman" w:hint="default"/>
          <w:spacing w:val="-1"/>
        </w:rPr>
        <w:t>1965</w:t>
      </w:r>
      <w:r>
        <w:rPr>
          <w:spacing w:val="-1"/>
        </w:rPr>
        <w:t>年出生，硕士研究生学历，毕业于中国空间技术研究院。曾任职于北京信息</w:t>
      </w:r>
      <w:r>
        <w:rPr>
          <w:spacing w:val="-75"/>
        </w:rPr>
        <w:t> </w:t>
      </w:r>
      <w:r>
        <w:rPr>
          <w:spacing w:val="-75"/>
        </w:rPr>
      </w:r>
      <w:r>
        <w:rPr>
          <w:spacing w:val="-2"/>
        </w:rPr>
        <w:t>控制研究所、美国</w:t>
      </w:r>
      <w:r>
        <w:rPr>
          <w:rFonts w:ascii="Times New Roman" w:hAnsi="Times New Roman" w:cs="Times New Roman" w:eastAsia="Times New Roman" w:hint="default"/>
          <w:spacing w:val="-2"/>
        </w:rPr>
        <w:t>CDC</w:t>
      </w:r>
      <w:r>
        <w:rPr>
          <w:spacing w:val="-2"/>
        </w:rPr>
        <w:t>公司北京办事处、香港中联公司北京办事处，</w:t>
      </w:r>
      <w:r>
        <w:rPr>
          <w:rFonts w:ascii="Times New Roman" w:hAnsi="Times New Roman" w:cs="Times New Roman" w:eastAsia="Times New Roman" w:hint="default"/>
          <w:spacing w:val="-2"/>
        </w:rPr>
        <w:t>1999</w:t>
      </w:r>
      <w:r>
        <w:rPr>
          <w:spacing w:val="-2"/>
        </w:rPr>
        <w:t>年加入北京朗新信息系统有限公司，曾任副总裁，</w:t>
      </w:r>
      <w:r>
        <w:rPr>
          <w:spacing w:val="-75"/>
        </w:rPr>
        <w:t> </w:t>
      </w:r>
      <w:r>
        <w:rPr>
          <w:spacing w:val="-75"/>
        </w:rPr>
      </w:r>
      <w:r>
        <w:rPr>
          <w:rFonts w:ascii="Times New Roman" w:hAnsi="Times New Roman" w:cs="Times New Roman" w:eastAsia="Times New Roman" w:hint="default"/>
        </w:rPr>
        <w:t>2012</w:t>
      </w:r>
      <w:r>
        <w:rPr/>
        <w:t>年加入易视腾科技有限公司，现任战略发展部对外合作总监。</w:t>
      </w:r>
      <w:r>
        <w:rPr>
          <w:rFonts w:ascii="Times New Roman" w:hAnsi="Times New Roman" w:cs="Times New Roman" w:eastAsia="Times New Roman" w:hint="default"/>
        </w:rPr>
        <w:t>2017</w:t>
      </w:r>
      <w:r>
        <w:rPr/>
        <w:t>年</w:t>
      </w:r>
      <w:r>
        <w:rPr>
          <w:rFonts w:ascii="宋体" w:hAnsi="宋体" w:cs="宋体" w:eastAsia="宋体" w:hint="default"/>
        </w:rPr>
        <w:t>12</w:t>
      </w:r>
      <w:r>
        <w:rPr/>
        <w:t>月至今任朗新科技监事。</w:t>
      </w:r>
    </w:p>
    <w:p>
      <w:pPr>
        <w:pStyle w:val="BodyText"/>
        <w:spacing w:line="240" w:lineRule="auto" w:before="53"/>
        <w:ind w:left="212" w:right="0"/>
        <w:jc w:val="both"/>
        <w:rPr>
          <w:rFonts w:ascii="Times New Roman" w:hAnsi="Times New Roman" w:cs="Times New Roman" w:eastAsia="Times New Roman" w:hint="default"/>
        </w:rPr>
      </w:pPr>
      <w:r>
        <w:rPr>
          <w:rFonts w:ascii="Times New Roman" w:hAnsi="Times New Roman" w:cs="Times New Roman" w:eastAsia="Times New Roman" w:hint="default"/>
        </w:rPr>
        <w:t>3.</w:t>
      </w:r>
      <w:r>
        <w:rPr/>
        <w:t>万海艳，中国国籍，无境外居留权，女，</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6</w:t>
      </w:r>
      <w:r>
        <w:rPr/>
        <w:t>月出生，本科学历，</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2002</w:t>
      </w:r>
      <w:r>
        <w:rPr/>
        <w:t>年任职于南昌冶金工业总公司，</w:t>
      </w:r>
      <w:r>
        <w:rPr>
          <w:rFonts w:ascii="Times New Roman" w:hAnsi="Times New Roman" w:cs="Times New Roman" w:eastAsia="Times New Roman" w:hint="default"/>
        </w:rPr>
        <w:t>2002</w:t>
      </w:r>
    </w:p>
    <w:p>
      <w:pPr>
        <w:pStyle w:val="BodyText"/>
        <w:spacing w:line="240" w:lineRule="auto" w:before="62"/>
        <w:ind w:left="212" w:right="0"/>
        <w:jc w:val="both"/>
      </w:pPr>
      <w:r>
        <w:rPr/>
        <w:t>年至</w:t>
      </w:r>
      <w:r>
        <w:rPr>
          <w:rFonts w:ascii="Times New Roman" w:hAnsi="Times New Roman" w:cs="Times New Roman" w:eastAsia="Times New Roman" w:hint="default"/>
        </w:rPr>
        <w:t>2010</w:t>
      </w:r>
      <w:r>
        <w:rPr/>
        <w:t>年历任北京朗新信息系统有限公司总经理助理、资深员工关系专员；</w:t>
      </w:r>
      <w:r>
        <w:rPr>
          <w:rFonts w:ascii="Times New Roman" w:hAnsi="Times New Roman" w:cs="Times New Roman" w:eastAsia="Times New Roman" w:hint="default"/>
        </w:rPr>
        <w:t>2010</w:t>
      </w:r>
      <w:r>
        <w:rPr/>
        <w:t>年任华为朗新人力资源业务合作伙伴</w:t>
      </w:r>
    </w:p>
    <w:p>
      <w:pPr>
        <w:pStyle w:val="BodyText"/>
        <w:spacing w:line="240" w:lineRule="auto" w:before="62"/>
        <w:ind w:left="212" w:right="0"/>
        <w:jc w:val="both"/>
      </w:pPr>
      <w:r>
        <w:rPr/>
        <w:t>（</w:t>
      </w:r>
      <w:r>
        <w:rPr>
          <w:rFonts w:ascii="Times New Roman" w:hAnsi="Times New Roman" w:cs="Times New Roman" w:eastAsia="Times New Roman" w:hint="default"/>
        </w:rPr>
        <w:t>HRBP</w:t>
      </w:r>
      <w:r>
        <w:rPr/>
        <w:t>）；</w:t>
      </w:r>
      <w:r>
        <w:rPr>
          <w:rFonts w:ascii="Times New Roman" w:hAnsi="Times New Roman" w:cs="Times New Roman" w:eastAsia="Times New Roman" w:hint="default"/>
        </w:rPr>
        <w:t>2013</w:t>
      </w:r>
      <w:r>
        <w:rPr/>
        <w:t>年至今任朗新科技人力资源业务合作伙伴（</w:t>
      </w:r>
      <w:r>
        <w:rPr>
          <w:rFonts w:ascii="Times New Roman" w:hAnsi="Times New Roman" w:cs="Times New Roman" w:eastAsia="Times New Roman" w:hint="default"/>
        </w:rPr>
        <w:t>HRBP</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月至今任朗新科技监事。</w:t>
      </w:r>
    </w:p>
    <w:p>
      <w:pPr>
        <w:pStyle w:val="BodyText"/>
        <w:spacing w:line="240" w:lineRule="auto" w:before="101"/>
        <w:ind w:left="212" w:right="0"/>
        <w:jc w:val="both"/>
      </w:pPr>
      <w:r>
        <w:rPr/>
        <w:t>（三）高级管理人员</w:t>
      </w:r>
    </w:p>
    <w:p>
      <w:pPr>
        <w:pStyle w:val="BodyText"/>
        <w:spacing w:line="240" w:lineRule="auto" w:before="117"/>
        <w:ind w:left="212" w:right="0"/>
        <w:jc w:val="both"/>
      </w:pPr>
      <w:r>
        <w:rPr>
          <w:rFonts w:ascii="Times New Roman" w:hAnsi="Times New Roman" w:cs="Times New Roman" w:eastAsia="Times New Roman" w:hint="default"/>
        </w:rPr>
        <w:t>1.</w:t>
      </w:r>
      <w:r>
        <w:rPr/>
        <w:t>郑新标，参见本节之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w:t>
      </w:r>
    </w:p>
    <w:p>
      <w:pPr>
        <w:pStyle w:val="BodyText"/>
        <w:spacing w:line="240" w:lineRule="auto" w:before="103"/>
        <w:ind w:left="212" w:right="0"/>
        <w:jc w:val="both"/>
      </w:pPr>
      <w:r>
        <w:rPr>
          <w:rFonts w:ascii="Times New Roman" w:hAnsi="Times New Roman" w:cs="Times New Roman" w:eastAsia="Times New Roman" w:hint="default"/>
        </w:rPr>
        <w:t>2.</w:t>
      </w:r>
      <w:r>
        <w:rPr/>
        <w:t>彭知平，参见本节之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w:t>
      </w:r>
    </w:p>
    <w:p>
      <w:pPr>
        <w:pStyle w:val="BodyText"/>
        <w:spacing w:line="300" w:lineRule="auto" w:before="101"/>
        <w:ind w:left="212" w:right="745"/>
        <w:jc w:val="left"/>
      </w:pPr>
      <w:r>
        <w:rPr>
          <w:rFonts w:ascii="Times New Roman" w:hAnsi="Times New Roman" w:cs="Times New Roman" w:eastAsia="Times New Roman" w:hint="default"/>
        </w:rPr>
        <w:t>3.</w:t>
      </w:r>
      <w:r>
        <w:rPr/>
        <w:t>焦国云，中国国籍，无境外居留权，男，</w:t>
      </w:r>
      <w:r>
        <w:rPr>
          <w:rFonts w:ascii="Times New Roman" w:hAnsi="Times New Roman" w:cs="Times New Roman" w:eastAsia="Times New Roman" w:hint="default"/>
        </w:rPr>
        <w:t>1962</w:t>
      </w:r>
      <w:r>
        <w:rPr/>
        <w:t>年出生，硕士研究生学历，高级工程师。</w:t>
      </w:r>
      <w:r>
        <w:rPr>
          <w:rFonts w:ascii="Times New Roman" w:hAnsi="Times New Roman" w:cs="Times New Roman" w:eastAsia="Times New Roman" w:hint="default"/>
        </w:rPr>
        <w:t>1986</w:t>
      </w:r>
      <w:r>
        <w:rPr/>
        <w:t>年至</w:t>
      </w:r>
      <w:r>
        <w:rPr>
          <w:rFonts w:ascii="Times New Roman" w:hAnsi="Times New Roman" w:cs="Times New Roman" w:eastAsia="Times New Roman" w:hint="default"/>
        </w:rPr>
        <w:t>1996</w:t>
      </w:r>
      <w:r>
        <w:rPr/>
        <w:t>年任杭州市电力局信 息中心主任；</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2003</w:t>
      </w:r>
      <w:r>
        <w:rPr/>
        <w:t>年任北京朗新信息系统有限公司电力事业部副总经理；</w:t>
      </w:r>
      <w:r>
        <w:rPr>
          <w:rFonts w:ascii="Times New Roman" w:hAnsi="Times New Roman" w:cs="Times New Roman" w:eastAsia="Times New Roman" w:hint="default"/>
        </w:rPr>
        <w:t>2003</w:t>
      </w:r>
      <w:r>
        <w:rPr/>
        <w:t>年至今任朗新科技副总经理；</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月兼任朗新科技董事。</w:t>
      </w:r>
    </w:p>
    <w:p>
      <w:pPr>
        <w:pStyle w:val="BodyText"/>
        <w:spacing w:line="240" w:lineRule="auto" w:before="53"/>
        <w:ind w:left="212" w:right="0"/>
        <w:jc w:val="both"/>
      </w:pPr>
      <w:r>
        <w:rPr>
          <w:rFonts w:ascii="Times New Roman" w:hAnsi="Times New Roman" w:cs="Times New Roman" w:eastAsia="Times New Roman" w:hint="default"/>
        </w:rPr>
        <w:t>4.</w:t>
      </w:r>
      <w:r>
        <w:rPr/>
        <w:t>王慎勇，中国国籍，无境外居留权，男，</w:t>
      </w:r>
      <w:r>
        <w:rPr>
          <w:rFonts w:ascii="Times New Roman" w:hAnsi="Times New Roman" w:cs="Times New Roman" w:eastAsia="Times New Roman" w:hint="default"/>
        </w:rPr>
        <w:t>1972</w:t>
      </w:r>
      <w:r>
        <w:rPr/>
        <w:t>年出生，硕士研究生学历。</w:t>
      </w:r>
      <w:r>
        <w:rPr>
          <w:rFonts w:ascii="Times New Roman" w:hAnsi="Times New Roman" w:cs="Times New Roman" w:eastAsia="Times New Roman" w:hint="default"/>
        </w:rPr>
        <w:t>1994</w:t>
      </w:r>
      <w:r>
        <w:rPr/>
        <w:t>年至</w:t>
      </w:r>
      <w:r>
        <w:rPr>
          <w:rFonts w:ascii="Times New Roman" w:hAnsi="Times New Roman" w:cs="Times New Roman" w:eastAsia="Times New Roman" w:hint="default"/>
        </w:rPr>
        <w:t>1998</w:t>
      </w:r>
      <w:r>
        <w:rPr/>
        <w:t>年任职于华北计算机技术研究所；</w:t>
      </w:r>
    </w:p>
    <w:p>
      <w:pPr>
        <w:pStyle w:val="BodyText"/>
        <w:spacing w:line="300" w:lineRule="auto" w:before="62"/>
        <w:ind w:left="212" w:right="1130"/>
        <w:jc w:val="both"/>
      </w:pP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2009</w:t>
      </w:r>
      <w:r>
        <w:rPr>
          <w:spacing w:val="-2"/>
        </w:rPr>
        <w:t>年任北京朗新信息系统有限公司总监、副总裁；</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2010</w:t>
      </w:r>
      <w:r>
        <w:rPr>
          <w:spacing w:val="-2"/>
        </w:rPr>
        <w:t>年任亚信科技（中国）有限公司运营策略部副总</w:t>
      </w:r>
      <w:r>
        <w:rPr>
          <w:spacing w:val="-55"/>
        </w:rPr>
        <w:t> </w:t>
      </w:r>
      <w:r>
        <w:rPr>
          <w:spacing w:val="-55"/>
        </w:rPr>
      </w:r>
      <w:r>
        <w:rPr/>
        <w:t>经理；</w:t>
      </w: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2012</w:t>
      </w:r>
      <w:r>
        <w:rPr/>
        <w:t>年任北京华为朗新信息系统有限公司副总经理；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月至今任朗新科技副总经理；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w:t>
      </w:r>
      <w:r>
        <w:rPr>
          <w:spacing w:val="-3"/>
        </w:rPr>
        <w:t> </w:t>
      </w:r>
      <w:r>
        <w:rPr/>
        <w:t>兼任朗新科技董事会秘书。</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月至今任无锡群兴股权投资管理有限公司监事。</w:t>
      </w:r>
    </w:p>
    <w:p>
      <w:pPr>
        <w:pStyle w:val="BodyText"/>
        <w:spacing w:line="300" w:lineRule="auto" w:before="53"/>
        <w:ind w:left="212" w:right="1133"/>
        <w:jc w:val="both"/>
      </w:pPr>
      <w:r>
        <w:rPr>
          <w:rFonts w:ascii="Times New Roman" w:hAnsi="Times New Roman" w:cs="Times New Roman" w:eastAsia="Times New Roman" w:hint="default"/>
          <w:spacing w:val="-4"/>
        </w:rPr>
        <w:t>5.</w:t>
      </w:r>
      <w:r>
        <w:rPr>
          <w:spacing w:val="-4"/>
        </w:rPr>
        <w:t>鲁清芳，中国国籍，无境外居留权，女，</w:t>
      </w:r>
      <w:r>
        <w:rPr>
          <w:rFonts w:ascii="Times New Roman" w:hAnsi="Times New Roman" w:cs="Times New Roman" w:eastAsia="Times New Roman" w:hint="default"/>
          <w:spacing w:val="-4"/>
        </w:rPr>
        <w:t>1969</w:t>
      </w:r>
      <w:r>
        <w:rPr>
          <w:spacing w:val="-4"/>
        </w:rPr>
        <w:t>年出生，本科学历。</w:t>
      </w:r>
      <w:r>
        <w:rPr>
          <w:rFonts w:ascii="Times New Roman" w:hAnsi="Times New Roman" w:cs="Times New Roman" w:eastAsia="Times New Roman" w:hint="default"/>
          <w:spacing w:val="-4"/>
        </w:rPr>
        <w:t>1992</w:t>
      </w:r>
      <w:r>
        <w:rPr>
          <w:spacing w:val="-4"/>
        </w:rPr>
        <w:t>年至</w:t>
      </w:r>
      <w:r>
        <w:rPr>
          <w:rFonts w:ascii="Times New Roman" w:hAnsi="Times New Roman" w:cs="Times New Roman" w:eastAsia="Times New Roman" w:hint="default"/>
          <w:spacing w:val="-4"/>
        </w:rPr>
        <w:t>1999</w:t>
      </w:r>
      <w:r>
        <w:rPr>
          <w:spacing w:val="-4"/>
        </w:rPr>
        <w:t>年任职于中华会计师事务所，</w:t>
      </w:r>
      <w:r>
        <w:rPr>
          <w:rFonts w:ascii="Times New Roman" w:hAnsi="Times New Roman" w:cs="Times New Roman" w:eastAsia="Times New Roman" w:hint="default"/>
          <w:spacing w:val="-4"/>
        </w:rPr>
        <w:t>1999</w:t>
      </w:r>
      <w:r>
        <w:rPr>
          <w:spacing w:val="-4"/>
        </w:rPr>
        <w:t>年至</w:t>
      </w:r>
      <w:r>
        <w:rPr>
          <w:rFonts w:ascii="Times New Roman" w:hAnsi="Times New Roman" w:cs="Times New Roman" w:eastAsia="Times New Roman" w:hint="default"/>
          <w:spacing w:val="-4"/>
        </w:rPr>
        <w:t>2000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2"/>
        </w:rPr>
        <w:t>年任北京富国电子信息有限公司财务经理，</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2001</w:t>
      </w:r>
      <w:r>
        <w:rPr>
          <w:spacing w:val="-2"/>
        </w:rPr>
        <w:t>年任北京方正电子有限公司财务经理，</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2002</w:t>
      </w:r>
      <w:r>
        <w:rPr>
          <w:spacing w:val="-2"/>
        </w:rPr>
        <w:t>年任硅谷动力</w:t>
      </w:r>
      <w:r>
        <w:rPr>
          <w:spacing w:val="-57"/>
        </w:rPr>
        <w:t> </w:t>
      </w:r>
      <w:r>
        <w:rPr>
          <w:spacing w:val="-57"/>
        </w:rPr>
      </w:r>
      <w:r>
        <w:rPr/>
        <w:t>网络技术有限公司财务经理。</w:t>
      </w:r>
      <w:r>
        <w:rPr>
          <w:rFonts w:ascii="Times New Roman" w:hAnsi="Times New Roman" w:cs="Times New Roman" w:eastAsia="Times New Roman" w:hint="default"/>
        </w:rPr>
        <w:t>2002</w:t>
      </w:r>
      <w:r>
        <w:rPr/>
        <w:t>年至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月任朗新科技财务经理，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月至今任朗新科技财务总监。</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left="212" w:right="0"/>
        <w:jc w:val="both"/>
      </w:pPr>
      <w:r>
        <w:rPr/>
        <w:t>在股东单位任职情况</w:t>
      </w:r>
    </w:p>
    <w:p>
      <w:pPr>
        <w:pStyle w:val="BodyText"/>
        <w:spacing w:line="338" w:lineRule="auto" w:before="117"/>
        <w:ind w:left="212"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3"/>
        <w:ind w:left="21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238"/>
        <w:gridCol w:w="4682"/>
        <w:gridCol w:w="2126"/>
        <w:gridCol w:w="1807"/>
      </w:tblGrid>
      <w:tr>
        <w:trPr>
          <w:trHeight w:val="713" w:hRule="exact"/>
        </w:trPr>
        <w:tc>
          <w:tcPr>
            <w:tcW w:w="123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4" w:lineRule="auto" w:before="49"/>
              <w:ind w:left="523" w:right="163"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468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212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80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4" w:lineRule="auto" w:before="49"/>
              <w:ind w:left="448" w:right="179"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易视腾科技股份有限公司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易视腾文化发展无锡有限公司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传神语联网网络科技股份有限公司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传神联合（北京）信息技术有限公司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未来电视有限公司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北京长林公益基金会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八方传神数码科技（武汉）有限公司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邦道科技有限公司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无锡群兴股权投资管理有限公司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郑新标</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无锡群兴股权投资管理有限公司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郑新标</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杭州朗新智能技术有限公司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彭知平</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无锡朗易投资管理有限公司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彭知平</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无锡朗道投资管理有限公司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238"/>
        <w:gridCol w:w="4682"/>
        <w:gridCol w:w="2126"/>
        <w:gridCol w:w="1807"/>
      </w:tblGrid>
      <w:tr>
        <w:trPr>
          <w:trHeight w:val="713" w:hRule="exact"/>
        </w:trPr>
        <w:tc>
          <w:tcPr>
            <w:tcW w:w="123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6" w:lineRule="auto" w:before="49"/>
              <w:ind w:left="523" w:right="163"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468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212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80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6" w:lineRule="auto" w:before="49"/>
              <w:ind w:left="448" w:right="179"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GS-Solar(Cayman) Company</w:t>
            </w:r>
            <w:r>
              <w:rPr>
                <w:rFonts w:ascii="Times New Roman"/>
                <w:spacing w:val="-11"/>
                <w:sz w:val="18"/>
              </w:rPr>
              <w:t> </w:t>
            </w:r>
            <w:r>
              <w:rPr>
                <w:rFonts w:ascii="Times New Roman"/>
                <w:sz w:val="18"/>
              </w:rPr>
              <w:t>Ltd.</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南阳迅天宇硅品有限公司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NetDragon </w:t>
            </w:r>
            <w:r>
              <w:rPr>
                <w:rFonts w:ascii="Times New Roman"/>
                <w:spacing w:val="-3"/>
                <w:sz w:val="18"/>
              </w:rPr>
              <w:t>Websoft</w:t>
            </w:r>
            <w:r>
              <w:rPr>
                <w:rFonts w:ascii="Times New Roman"/>
                <w:spacing w:val="-5"/>
                <w:sz w:val="18"/>
              </w:rPr>
              <w:t> </w:t>
            </w:r>
            <w:r>
              <w:rPr>
                <w:rFonts w:ascii="Times New Roman"/>
                <w:sz w:val="18"/>
              </w:rPr>
              <w:t>Inc.</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pacing w:val="-4"/>
                <w:sz w:val="18"/>
              </w:rPr>
              <w:t>Yeecare </w:t>
            </w:r>
            <w:r>
              <w:rPr>
                <w:rFonts w:ascii="Times New Roman"/>
                <w:sz w:val="18"/>
              </w:rPr>
              <w:t>Holdings Co.,</w:t>
            </w:r>
            <w:r>
              <w:rPr>
                <w:rFonts w:ascii="Times New Roman"/>
                <w:spacing w:val="-2"/>
                <w:sz w:val="18"/>
              </w:rPr>
              <w:t> </w:t>
            </w:r>
            <w:r>
              <w:rPr>
                <w:rFonts w:ascii="Times New Roman"/>
                <w:sz w:val="18"/>
              </w:rPr>
              <w:t>Limited</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北京数码大方科技股份有限公司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北京统典弘达投资咨询有限公司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和谐爱奇投资管理（北京）有限公司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Microcare Network</w:t>
            </w:r>
            <w:r>
              <w:rPr>
                <w:rFonts w:ascii="Times New Roman"/>
                <w:spacing w:val="-10"/>
                <w:sz w:val="18"/>
              </w:rPr>
              <w:t> </w:t>
            </w:r>
            <w:r>
              <w:rPr>
                <w:rFonts w:ascii="Times New Roman"/>
                <w:sz w:val="18"/>
              </w:rPr>
              <w:t>Inc.</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1"/>
              <w:jc w:val="left"/>
              <w:rPr>
                <w:rFonts w:ascii="宋体" w:hAnsi="宋体" w:cs="宋体" w:eastAsia="宋体" w:hint="default"/>
                <w:sz w:val="18"/>
                <w:szCs w:val="18"/>
              </w:rPr>
            </w:pPr>
            <w:r>
              <w:rPr>
                <w:rFonts w:ascii="宋体" w:hAnsi="宋体" w:cs="宋体" w:eastAsia="宋体" w:hint="default"/>
                <w:spacing w:val="-2"/>
                <w:sz w:val="18"/>
                <w:szCs w:val="18"/>
              </w:rPr>
              <w:t>拉萨经济技术开发区盈克嘉企业投资咨询有限公司（原名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为</w:t>
            </w:r>
            <w:r>
              <w:rPr>
                <w:rFonts w:ascii="Times New Roman" w:hAnsi="Times New Roman" w:cs="Times New Roman" w:eastAsia="Times New Roman" w:hint="default"/>
                <w:sz w:val="18"/>
                <w:szCs w:val="18"/>
              </w:rPr>
              <w:t>"</w:t>
            </w:r>
            <w:r>
              <w:rPr>
                <w:rFonts w:ascii="宋体" w:hAnsi="宋体" w:cs="宋体" w:eastAsia="宋体" w:hint="default"/>
                <w:sz w:val="18"/>
                <w:szCs w:val="18"/>
              </w:rPr>
              <w:t>广州盈克嘉企业投资咨询有限公司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Superdata Technology (Asia)</w:t>
            </w:r>
            <w:r>
              <w:rPr>
                <w:rFonts w:ascii="Times New Roman"/>
                <w:spacing w:val="-29"/>
                <w:sz w:val="18"/>
              </w:rPr>
              <w:t> </w:t>
            </w:r>
            <w:r>
              <w:rPr>
                <w:rFonts w:ascii="Times New Roman"/>
                <w:sz w:val="18"/>
              </w:rPr>
              <w:t>Limited</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New Channel International Education Group</w:t>
            </w:r>
            <w:r>
              <w:rPr>
                <w:rFonts w:ascii="Times New Roman"/>
                <w:spacing w:val="-21"/>
                <w:sz w:val="18"/>
              </w:rPr>
              <w:t> </w:t>
            </w:r>
            <w:r>
              <w:rPr>
                <w:rFonts w:ascii="Times New Roman"/>
                <w:sz w:val="18"/>
              </w:rPr>
              <w:t>Limited</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Powerbooster Technologies (Cayman)</w:t>
            </w:r>
            <w:r>
              <w:rPr>
                <w:rFonts w:ascii="Times New Roman"/>
                <w:spacing w:val="-34"/>
                <w:sz w:val="18"/>
              </w:rPr>
              <w:t> </w:t>
            </w:r>
            <w:r>
              <w:rPr>
                <w:rFonts w:ascii="Times New Roman"/>
                <w:sz w:val="18"/>
              </w:rPr>
              <w:t>Limited</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pacing w:val="-3"/>
                <w:sz w:val="18"/>
              </w:rPr>
              <w:t>Titan </w:t>
            </w:r>
            <w:r>
              <w:rPr>
                <w:rFonts w:ascii="Times New Roman"/>
                <w:sz w:val="18"/>
              </w:rPr>
              <w:t>Gas Technology Holdings</w:t>
            </w:r>
            <w:r>
              <w:rPr>
                <w:rFonts w:ascii="Times New Roman"/>
                <w:spacing w:val="-21"/>
                <w:sz w:val="18"/>
              </w:rPr>
              <w:t> </w:t>
            </w:r>
            <w:r>
              <w:rPr>
                <w:rFonts w:ascii="Times New Roman"/>
                <w:sz w:val="18"/>
              </w:rPr>
              <w:t>Limited</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西藏爱奇弘盛投资管理有限公司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创业投资（北京）有限公司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西藏和谐投资管理有限公司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四川双马水泥股份有限公司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北京网尚世界信息技术有限公司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北京云测网络科技有限公司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新航道（北京）管理咨询有限公司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福建钧石能源有限公司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北京云测信息技术有限公司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广州义数天企业管理咨询有限公司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北京众测科技有限公司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廊坊开发区鑫化嘉业投资咨询有限公司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西藏裕盈创业投资管理有限公司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北京和谐景顺咨询有限公司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北京伊萝丝广告有限公司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倪行军</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浙江蚂蚁小微金融服务集团有限公司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209"/>
              <w:jc w:val="left"/>
              <w:rPr>
                <w:rFonts w:ascii="宋体" w:hAnsi="宋体" w:cs="宋体" w:eastAsia="宋体" w:hint="default"/>
                <w:sz w:val="18"/>
                <w:szCs w:val="18"/>
              </w:rPr>
            </w:pPr>
            <w:r>
              <w:rPr>
                <w:rFonts w:ascii="宋体" w:hAnsi="宋体" w:cs="宋体" w:eastAsia="宋体" w:hint="default"/>
                <w:sz w:val="18"/>
                <w:szCs w:val="18"/>
              </w:rPr>
              <w:t>蚂蚁金服支付宝事业群 总裁</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穆钢</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中国电机工程学会电工数学专委会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名誉主任委员</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谢德仁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2" w:top="1060" w:bottom="11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238"/>
        <w:gridCol w:w="4682"/>
        <w:gridCol w:w="2126"/>
        <w:gridCol w:w="1807"/>
      </w:tblGrid>
      <w:tr>
        <w:trPr>
          <w:trHeight w:val="713" w:hRule="exact"/>
        </w:trPr>
        <w:tc>
          <w:tcPr>
            <w:tcW w:w="123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6" w:lineRule="auto" w:before="49"/>
              <w:ind w:left="523" w:right="163"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468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212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80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6" w:lineRule="auto" w:before="49"/>
              <w:ind w:left="448" w:right="179"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谢德仁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博彦科技股份有限公司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谢德仁</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中国会计学会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王慎勇</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无锡群兴股权投资管理有限公司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王慎勇</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无锡道新投资有限公司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王慎勇</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无锡朗道投资管理有限公司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王慎勇</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无锡朗易投资管理有限公司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IEEE</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Fellow</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IET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Fellow</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中国电机工程学会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高级会员</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CICRE</w:t>
            </w:r>
            <w:r>
              <w:rPr>
                <w:rFonts w:ascii="宋体" w:hAnsi="宋体" w:cs="宋体" w:eastAsia="宋体" w:hint="default"/>
                <w:sz w:val="18"/>
                <w:szCs w:val="18"/>
              </w:rPr>
              <w:t>（国际大电网组织）</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个人会员</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《控制理论与应用》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编委</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Modelling and Simulation in</w:t>
            </w:r>
            <w:r>
              <w:rPr>
                <w:rFonts w:ascii="Times New Roman"/>
                <w:spacing w:val="-10"/>
                <w:sz w:val="18"/>
              </w:rPr>
              <w:t> </w:t>
            </w:r>
            <w:r>
              <w:rPr>
                <w:rFonts w:ascii="Times New Roman"/>
                <w:sz w:val="18"/>
              </w:rPr>
              <w:t>Engineering</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编委</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《电工电能新技术》</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编委</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赵国栋</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中关村大数据产业联盟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赵国栋</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北京数聚联合科技有限公司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赵国栋</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北京数聚鑫融投资管理有限公司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赵国栋</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北京农信互联科技有限公司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3"/>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6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left="212" w:right="745"/>
        <w:jc w:val="left"/>
      </w:pPr>
      <w:r>
        <w:rPr/>
        <w:t>公司现任及报告期内离任董事、监事和高级管理人员近三年证券监管机构处罚的情况</w:t>
      </w:r>
    </w:p>
    <w:p>
      <w:pPr>
        <w:pStyle w:val="BodyText"/>
        <w:spacing w:line="240" w:lineRule="auto" w:before="115"/>
        <w:ind w:left="212" w:right="7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12" w:right="745"/>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212" w:right="745"/>
        <w:jc w:val="left"/>
      </w:pPr>
      <w:r>
        <w:rPr/>
        <w:t>董事、监事、高级管理人员报酬的决策程序、确定依据、实际支付情况 </w:t>
      </w:r>
      <w:r>
        <w:rPr>
          <w:spacing w:val="-2"/>
        </w:rPr>
        <w:t>公司建立了完善的董事、监事及高级管理人员绩效考评体系和薪酬制度，工作绩效与其收入直接挂钩。公司董事会下设薪酬</w:t>
      </w:r>
      <w:r>
        <w:rPr>
          <w:spacing w:val="-63"/>
        </w:rPr>
        <w:t> </w:t>
      </w:r>
      <w:r>
        <w:rPr>
          <w:spacing w:val="-63"/>
        </w:rPr>
      </w:r>
      <w:r>
        <w:rPr/>
        <w:t>和考核委员会协同公司人力资源部负责对公司董事、监事及高级管理人员进行绩效考核的实施。</w:t>
      </w:r>
    </w:p>
    <w:p>
      <w:pPr>
        <w:pStyle w:val="BodyText"/>
        <w:spacing w:line="240" w:lineRule="auto" w:before="43"/>
        <w:ind w:left="212" w:right="745"/>
        <w:jc w:val="left"/>
      </w:pPr>
      <w:r>
        <w:rPr/>
        <w:t>公司报告期内董事、监事和高级管理人员报酬情况</w:t>
      </w:r>
    </w:p>
    <w:p>
      <w:pPr>
        <w:pStyle w:val="BodyText"/>
        <w:spacing w:line="240" w:lineRule="auto" w:before="115"/>
        <w:ind w:left="0" w:right="1133"/>
        <w:jc w:val="right"/>
      </w:pPr>
      <w:r>
        <w:rPr/>
        <w:t>单位：万元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徐长军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张明平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2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郑新标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彭知平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穆钢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谢德仁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梅生伟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赵国栋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焦国云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106.28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王慎勇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10" w:right="47" w:hanging="360"/>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鲁清芳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万海艳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6"/>
              <w:jc w:val="center"/>
              <w:rPr>
                <w:rFonts w:ascii="Times New Roman" w:hAnsi="Times New Roman" w:cs="Times New Roman" w:eastAsia="Times New Roman" w:hint="default"/>
                <w:sz w:val="18"/>
                <w:szCs w:val="18"/>
              </w:rPr>
            </w:pPr>
            <w:r>
              <w:rPr>
                <w:rFonts w:ascii="Times New Roman"/>
                <w:sz w:val="18"/>
              </w:rPr>
              <w:t>749.65</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619"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0"/>
        </w:sectPr>
      </w:pPr>
    </w:p>
    <w:p>
      <w:pPr>
        <w:pStyle w:val="BodyText"/>
        <w:spacing w:line="240" w:lineRule="auto" w:before="49"/>
        <w:ind w:right="-20"/>
        <w:jc w:val="left"/>
      </w:pPr>
      <w:r>
        <w:rPr/>
        <w:t>公司董事、高级管理人员报告期内被授予的股权激励情况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80" w:left="980" w:right="0"/>
          <w:cols w:num="2" w:equalWidth="0">
            <w:col w:w="4653" w:space="4265"/>
            <w:col w:w="201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69"/>
        <w:gridCol w:w="871"/>
        <w:gridCol w:w="869"/>
        <w:gridCol w:w="871"/>
        <w:gridCol w:w="869"/>
        <w:gridCol w:w="871"/>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71"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5" w:right="41"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1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张明平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16.35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8.23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1,750,000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彭知平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51" w:right="19" w:hanging="226"/>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16.35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焦国云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16.35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8.23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350,000</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王慎勇</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hanging="3"/>
              <w:jc w:val="center"/>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8"/>
                <w:sz w:val="18"/>
                <w:szCs w:val="18"/>
              </w:rPr>
              <w:t>书、副总经</w:t>
            </w:r>
            <w:r>
              <w:rPr>
                <w:rFonts w:ascii="宋体" w:hAnsi="宋体" w:cs="宋体" w:eastAsia="宋体" w:hint="default"/>
                <w:sz w:val="18"/>
                <w:szCs w:val="18"/>
              </w:rPr>
              <w:t> 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16.35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鲁清芳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16.35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8.23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1,180,000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236,000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1,800,000</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2,980,000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700" w:type="dxa"/>
            <w:gridSpan w:val="10"/>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right="1129"/>
        <w:jc w:val="left"/>
        <w:rPr>
          <w:b w:val="0"/>
          <w:bCs w:val="0"/>
        </w:rPr>
      </w:pPr>
      <w:bookmarkStart w:name="五、公司员工情况" w:id="127"/>
      <w:bookmarkEnd w:id="127"/>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9"/>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764"/>
        <w:gridCol w:w="4793"/>
      </w:tblGrid>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2,249</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2,249</w:t>
            </w:r>
          </w:p>
        </w:tc>
      </w:tr>
      <w:tr>
        <w:trPr>
          <w:trHeight w:val="407"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1583"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161</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1,926</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r>
      <w:tr>
        <w:trPr>
          <w:trHeight w:val="407"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2,249</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博士研究生</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115</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本科毕业生</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1,693</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专科毕业生</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406</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高中及高中以下学历人员</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2,249</w:t>
            </w:r>
          </w:p>
        </w:tc>
      </w:tr>
    </w:tbl>
    <w:p>
      <w:pPr>
        <w:spacing w:line="240" w:lineRule="auto" w:before="3"/>
        <w:rPr>
          <w:rFonts w:ascii="宋体" w:hAnsi="宋体" w:cs="宋体" w:eastAsia="宋体" w:hint="default"/>
          <w:b/>
          <w:bCs/>
          <w:sz w:val="19"/>
          <w:szCs w:val="19"/>
        </w:rPr>
      </w:pPr>
    </w:p>
    <w:p>
      <w:pPr>
        <w:pStyle w:val="Heading3"/>
        <w:spacing w:line="240" w:lineRule="auto" w:before="36"/>
        <w:ind w:right="1129"/>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54"/>
        <w:jc w:val="left"/>
        <w:rPr>
          <w:rFonts w:ascii="宋体" w:hAnsi="宋体" w:cs="宋体" w:eastAsia="宋体" w:hint="default"/>
        </w:rPr>
      </w:pPr>
      <w:r>
        <w:rPr/>
        <w:t>公司以实现员工在薪酬分配上的</w:t>
      </w:r>
      <w:r>
        <w:rPr>
          <w:rFonts w:ascii="Times New Roman" w:hAnsi="Times New Roman" w:cs="Times New Roman" w:eastAsia="Times New Roman" w:hint="default"/>
        </w:rPr>
        <w:t>“</w:t>
      </w:r>
      <w:r>
        <w:rPr/>
        <w:t>责任与利益一致、能力与价值一致、风险与回报一致、业绩与收益一致</w:t>
      </w:r>
      <w:r>
        <w:rPr>
          <w:rFonts w:ascii="Times New Roman" w:hAnsi="Times New Roman" w:cs="Times New Roman" w:eastAsia="Times New Roman" w:hint="default"/>
        </w:rPr>
        <w:t>”</w:t>
      </w:r>
      <w:r>
        <w:rPr/>
        <w:t>为目标，按照</w:t>
      </w:r>
      <w:r>
        <w:rPr>
          <w:rFonts w:ascii="Times New Roman" w:hAnsi="Times New Roman" w:cs="Times New Roman" w:eastAsia="Times New Roman" w:hint="default"/>
        </w:rPr>
        <w:t>“</w:t>
      </w:r>
      <w:r>
        <w:rPr/>
        <w:t>适 应市场环境，体现人才价值，发挥激励作用</w:t>
      </w:r>
      <w:r>
        <w:rPr>
          <w:rFonts w:ascii="Times New Roman" w:hAnsi="Times New Roman" w:cs="Times New Roman" w:eastAsia="Times New Roman" w:hint="default"/>
        </w:rPr>
        <w:t>”</w:t>
      </w:r>
      <w:r>
        <w:rPr/>
        <w:t>的原则，建立具有兼顾内部公平性和市场竞争性的薪酬激励体系。</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319" w:lineRule="auto"/>
        <w:ind w:right="1129"/>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spacing w:val="-1"/>
        </w:rPr>
        <w:t>报告期内，公司职工薪酬总额（计入成本部分）</w:t>
      </w:r>
      <w:r>
        <w:rPr>
          <w:rFonts w:ascii="Times New Roman" w:hAnsi="Times New Roman" w:cs="Times New Roman" w:eastAsia="Times New Roman" w:hint="default"/>
          <w:spacing w:val="-1"/>
        </w:rPr>
        <w:t>22,988.089</w:t>
      </w:r>
      <w:r>
        <w:rPr>
          <w:spacing w:val="-1"/>
        </w:rPr>
        <w:t>万元，占公司营业成本的</w:t>
      </w:r>
      <w:r>
        <w:rPr>
          <w:rFonts w:ascii="Times New Roman" w:hAnsi="Times New Roman" w:cs="Times New Roman" w:eastAsia="Times New Roman" w:hint="default"/>
          <w:spacing w:val="-1"/>
        </w:rPr>
        <w:t>45.11%</w:t>
      </w: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日，公司核</w:t>
      </w:r>
      <w:r>
        <w:rPr>
          <w:spacing w:val="-44"/>
        </w:rPr>
        <w:t> </w:t>
      </w:r>
      <w:r>
        <w:rPr>
          <w:spacing w:val="-44"/>
        </w:rPr>
      </w:r>
      <w:r>
        <w:rPr/>
        <w:t>心技术人员为</w:t>
      </w:r>
      <w:r>
        <w:rPr>
          <w:rFonts w:ascii="Times New Roman" w:hAnsi="Times New Roman" w:cs="Times New Roman" w:eastAsia="Times New Roman" w:hint="default"/>
        </w:rPr>
        <w:t>55</w:t>
      </w:r>
      <w:r>
        <w:rPr/>
        <w:t>人，占全体员工人数的</w:t>
      </w:r>
      <w:r>
        <w:rPr>
          <w:rFonts w:ascii="Times New Roman" w:hAnsi="Times New Roman" w:cs="Times New Roman" w:eastAsia="Times New Roman" w:hint="default"/>
        </w:rPr>
        <w:t>2.45%</w:t>
      </w:r>
      <w:r>
        <w:rPr/>
        <w:t>，上年同期核心技术人员为</w:t>
      </w:r>
      <w:r>
        <w:rPr>
          <w:rFonts w:ascii="Times New Roman" w:hAnsi="Times New Roman" w:cs="Times New Roman" w:eastAsia="Times New Roman" w:hint="default"/>
        </w:rPr>
        <w:t>36</w:t>
      </w:r>
      <w:r>
        <w:rPr/>
        <w:t>人，占全体员工人数的</w:t>
      </w:r>
      <w:r>
        <w:rPr>
          <w:rFonts w:ascii="Times New Roman" w:hAnsi="Times New Roman" w:cs="Times New Roman" w:eastAsia="Times New Roman" w:hint="default"/>
        </w:rPr>
        <w:t>2.01%</w:t>
      </w:r>
      <w:r>
        <w:rPr/>
        <w:t>；截至报告期末，</w:t>
      </w:r>
    </w:p>
    <w:p>
      <w:pPr>
        <w:pStyle w:val="BodyText"/>
        <w:spacing w:line="246" w:lineRule="exact"/>
        <w:ind w:right="1129"/>
        <w:jc w:val="left"/>
      </w:pPr>
      <w:r>
        <w:rPr/>
        <w:t>核心技术人员薪酬占全体员工薪酬的</w:t>
      </w:r>
      <w:r>
        <w:rPr>
          <w:rFonts w:ascii="Times New Roman" w:hAnsi="Times New Roman" w:cs="Times New Roman" w:eastAsia="Times New Roman" w:hint="default"/>
        </w:rPr>
        <w:t>5.08%</w:t>
      </w:r>
      <w:r>
        <w:rPr/>
        <w:t>，上年同期为</w:t>
      </w:r>
      <w:r>
        <w:rPr>
          <w:rFonts w:ascii="Times New Roman" w:hAnsi="Times New Roman" w:cs="Times New Roman" w:eastAsia="Times New Roman" w:hint="default"/>
        </w:rPr>
        <w:t>4.31%</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Heading3"/>
        <w:spacing w:line="240" w:lineRule="auto"/>
        <w:ind w:right="1129"/>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129"/>
        <w:jc w:val="left"/>
      </w:pPr>
      <w:r>
        <w:rPr>
          <w:spacing w:val="-2"/>
        </w:rPr>
        <w:t>公司年初依据年度战略目标分解、业务发展、人员规划与培养的计划，通过访谈和问卷调研的方式，分析培训需求，确定培</w:t>
      </w:r>
      <w:r>
        <w:rPr>
          <w:spacing w:val="-67"/>
        </w:rPr>
        <w:t> </w:t>
      </w:r>
      <w:r>
        <w:rPr>
          <w:spacing w:val="-67"/>
        </w:rPr>
      </w:r>
      <w:r>
        <w:rPr/>
        <w:t>训目标，制定年度培训计划。公司年度培训计划报人力资源总监审批后执行。 </w:t>
      </w:r>
      <w:r>
        <w:rPr>
          <w:rFonts w:ascii="Times New Roman" w:hAnsi="Times New Roman" w:cs="Times New Roman" w:eastAsia="Times New Roman" w:hint="default"/>
          <w:spacing w:val="-2"/>
        </w:rPr>
        <w:t>2018</w:t>
      </w:r>
      <w:r>
        <w:rPr>
          <w:spacing w:val="-2"/>
        </w:rPr>
        <w:t>年公司培训以</w:t>
      </w:r>
      <w:r>
        <w:rPr>
          <w:rFonts w:ascii="Times New Roman" w:hAnsi="Times New Roman" w:cs="Times New Roman" w:eastAsia="Times New Roman" w:hint="default"/>
          <w:spacing w:val="-2"/>
        </w:rPr>
        <w:t>“</w:t>
      </w:r>
      <w:r>
        <w:rPr>
          <w:spacing w:val="-2"/>
        </w:rPr>
        <w:t>内训为主、外训为辅</w:t>
      </w:r>
      <w:r>
        <w:rPr>
          <w:rFonts w:ascii="Times New Roman" w:hAnsi="Times New Roman" w:cs="Times New Roman" w:eastAsia="Times New Roman" w:hint="default"/>
          <w:spacing w:val="-2"/>
        </w:rPr>
        <w:t>”</w:t>
      </w:r>
      <w:r>
        <w:rPr>
          <w:spacing w:val="-2"/>
        </w:rPr>
        <w:t>，旨在提升员工的业务技能及管理水平，使其能胜任本职工作，以适应企业的可持</w:t>
      </w:r>
    </w:p>
    <w:p>
      <w:pPr>
        <w:pStyle w:val="BodyText"/>
        <w:spacing w:line="230" w:lineRule="exact"/>
        <w:ind w:right="1129"/>
        <w:jc w:val="left"/>
      </w:pPr>
      <w:r>
        <w:rPr/>
        <w:t>续发展需要。全年培训涵盖启航训练营项目、新员工培养项目、在职员工培养项目、经理</w:t>
      </w:r>
      <w:r>
        <w:rPr>
          <w:rFonts w:ascii="Times New Roman" w:hAnsi="Times New Roman" w:cs="Times New Roman" w:eastAsia="Times New Roman" w:hint="default"/>
        </w:rPr>
        <w:t>/</w:t>
      </w:r>
      <w:r>
        <w:rPr/>
        <w:t>总监培养项目、内训师培养项目</w:t>
      </w:r>
    </w:p>
    <w:p>
      <w:pPr>
        <w:spacing w:after="0" w:line="230" w:lineRule="exact"/>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9"/>
        <w:jc w:val="left"/>
      </w:pPr>
      <w:r>
        <w:rPr/>
        <w:t>等，根据每个群体制定针对性的培训计划并执行。</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4144"/>
        <w:jc w:val="center"/>
        <w:rPr>
          <w:b w:val="0"/>
          <w:bCs w:val="0"/>
        </w:rPr>
      </w:pPr>
      <w:bookmarkStart w:name="第九节 公司治理" w:id="132"/>
      <w:bookmarkEnd w:id="132"/>
      <w:r>
        <w:rPr>
          <w:b w:val="0"/>
          <w:bCs w:val="0"/>
        </w:rPr>
      </w:r>
      <w:bookmarkStart w:name="_bookmark7" w:id="133"/>
      <w:bookmarkEnd w:id="133"/>
      <w:r>
        <w:rPr>
          <w:b w:val="0"/>
          <w:bCs w:val="0"/>
        </w:rPr>
      </w:r>
      <w:r>
        <w:rPr/>
        <w:t>第九节</w:t>
      </w:r>
      <w:r>
        <w:rPr>
          <w:spacing w:val="-4"/>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2" w:right="1129"/>
        <w:jc w:val="left"/>
      </w:pPr>
      <w:r>
        <w:rPr/>
        <w:t>（一）公司治理情况 </w:t>
      </w:r>
      <w:r>
        <w:rPr>
          <w:spacing w:val="-2"/>
        </w:rPr>
        <w:t>公司按照《公司法》《证券法》《深圳证券交易所创业板股票上市规则》《深圳证券交易所创业板上市公司规范运作指</w:t>
      </w:r>
    </w:p>
    <w:p>
      <w:pPr>
        <w:pStyle w:val="BodyText"/>
        <w:spacing w:line="222" w:lineRule="exact"/>
        <w:ind w:right="0"/>
        <w:jc w:val="both"/>
      </w:pPr>
      <w:r>
        <w:rPr/>
        <w:t>引》等相关法律、法规和规范性文件的要求，不断完善公司的法人治理结构，建立健全公司内部管理和控制制度，持续深入</w:t>
      </w:r>
    </w:p>
    <w:p>
      <w:pPr>
        <w:pStyle w:val="BodyText"/>
        <w:spacing w:line="316" w:lineRule="auto" w:before="76"/>
        <w:ind w:right="1135"/>
        <w:jc w:val="both"/>
      </w:pPr>
      <w:r>
        <w:rPr>
          <w:spacing w:val="-2"/>
        </w:rPr>
        <w:t>开展公司治理活动，促进公司规范运作，提高公司治理水平。报告期内，公司股东大会、董事会、监事会依法运作，公司治</w:t>
      </w:r>
      <w:r>
        <w:rPr>
          <w:spacing w:val="-66"/>
        </w:rPr>
        <w:t> </w:t>
      </w:r>
      <w:r>
        <w:rPr>
          <w:spacing w:val="-66"/>
        </w:rPr>
      </w:r>
      <w:r>
        <w:rPr/>
        <w:t>理的实际情况符合中国证监会、深圳证券交易所等发布的法律法规和规范性文件的要求。</w:t>
      </w:r>
    </w:p>
    <w:p>
      <w:pPr>
        <w:pStyle w:val="BodyText"/>
        <w:spacing w:line="316" w:lineRule="auto" w:before="57"/>
        <w:ind w:right="1046" w:firstLine="360"/>
        <w:jc w:val="both"/>
      </w:pPr>
      <w:r>
        <w:rPr>
          <w:spacing w:val="-2"/>
        </w:rPr>
        <w:t>截止目前，公司依据监管部门和公司实际情况在治理方面制定了各项规章制度，主要有《公司章程》、《股东大会议事</w:t>
      </w:r>
      <w:r>
        <w:rPr/>
        <w:t> </w:t>
      </w:r>
      <w:r>
        <w:rPr>
          <w:spacing w:val="-2"/>
        </w:rPr>
        <w:t>规则》、《董事会议事规则》、《监事会议事规则》、《独立董事工作制度》、《董事会战略委员会工作细则》、《董事会</w:t>
      </w:r>
      <w:r>
        <w:rPr>
          <w:spacing w:val="-69"/>
        </w:rPr>
        <w:t> </w:t>
      </w:r>
      <w:r>
        <w:rPr>
          <w:spacing w:val="-69"/>
        </w:rPr>
      </w:r>
      <w:r>
        <w:rPr/>
        <w:t>审计委员会工作细则》、《董事会提名委员会工作细则》、《董事会薪酬与考核委员会工作细则》、《总经理工作细则》、</w:t>
      </w:r>
    </w:p>
    <w:p>
      <w:pPr>
        <w:pStyle w:val="BodyText"/>
        <w:spacing w:line="240" w:lineRule="auto" w:before="18"/>
        <w:ind w:right="0"/>
        <w:jc w:val="both"/>
      </w:pPr>
      <w:r>
        <w:rPr>
          <w:spacing w:val="-8"/>
        </w:rPr>
        <w:t>《董事会秘书工作细则》、《对外投资管理制度》、《对外担保管理制度》、《关联交易管理制度》、《募集资金管理办法》、</w:t>
      </w:r>
    </w:p>
    <w:p>
      <w:pPr>
        <w:pStyle w:val="BodyText"/>
        <w:spacing w:line="316" w:lineRule="auto" w:before="76"/>
        <w:ind w:right="1130"/>
        <w:jc w:val="both"/>
      </w:pPr>
      <w:r>
        <w:rPr>
          <w:spacing w:val="-2"/>
        </w:rPr>
        <w:t>《重大信息内部报告制度》等规章制度。通过一系列制度的制定，搭建了较为完善的公司法人治理结构的制度平台，从制度</w:t>
      </w:r>
      <w:r>
        <w:rPr>
          <w:spacing w:val="-65"/>
        </w:rPr>
        <w:t> </w:t>
      </w:r>
      <w:r>
        <w:rPr>
          <w:spacing w:val="-65"/>
        </w:rPr>
      </w:r>
      <w:r>
        <w:rPr/>
        <w:t>上明确了股东大会、董事会、监事会及管理层各自应履行的职责和议事规程，从而为公司的规范运作提供了制度保障。</w:t>
      </w:r>
    </w:p>
    <w:p>
      <w:pPr>
        <w:pStyle w:val="BodyText"/>
        <w:spacing w:line="340" w:lineRule="auto" w:before="59"/>
        <w:ind w:left="512" w:right="1129"/>
        <w:jc w:val="left"/>
      </w:pPr>
      <w:r>
        <w:rPr>
          <w:rFonts w:ascii="Times New Roman" w:hAnsi="Times New Roman" w:cs="Times New Roman" w:eastAsia="Times New Roman" w:hint="default"/>
        </w:rPr>
        <w:t>1</w:t>
      </w:r>
      <w:r>
        <w:rPr/>
        <w:t>、关于股东与股东大会 </w:t>
      </w:r>
      <w:r>
        <w:rPr>
          <w:spacing w:val="-6"/>
        </w:rPr>
        <w:t>公司严格按照《公司法》《深圳证券交易所创业板上市公司规范运作指引》《公司章程》《股东大会议事规则》等法律、</w:t>
      </w:r>
    </w:p>
    <w:p>
      <w:pPr>
        <w:pStyle w:val="BodyText"/>
        <w:spacing w:line="316" w:lineRule="auto"/>
        <w:ind w:right="1130"/>
        <w:jc w:val="both"/>
      </w:pPr>
      <w:r>
        <w:rPr>
          <w:spacing w:val="-2"/>
        </w:rPr>
        <w:t>法规和规定性文件的规定和要求，规范股东大会的召集、召开和表决程序，尽可能为股东参加股东大会提供便利，使其充分</w:t>
      </w:r>
      <w:r>
        <w:rPr>
          <w:spacing w:val="-64"/>
        </w:rPr>
        <w:t> </w:t>
      </w:r>
      <w:r>
        <w:rPr>
          <w:spacing w:val="-64"/>
        </w:rPr>
      </w:r>
      <w:r>
        <w:rPr>
          <w:spacing w:val="-2"/>
        </w:rPr>
        <w:t>行使股东权利，能够保证各位股东有充分的发言权，平等对待所有股东，确保全体股东特别是中小股东享有平等地位，充分</w:t>
      </w:r>
      <w:r>
        <w:rPr>
          <w:spacing w:val="-65"/>
        </w:rPr>
        <w:t> </w:t>
      </w:r>
      <w:r>
        <w:rPr>
          <w:spacing w:val="-65"/>
        </w:rPr>
      </w:r>
      <w:r>
        <w:rPr/>
        <w:t>行使自己的权力。</w:t>
      </w:r>
    </w:p>
    <w:p>
      <w:pPr>
        <w:pStyle w:val="BodyText"/>
        <w:spacing w:line="312" w:lineRule="auto" w:before="57"/>
        <w:ind w:right="1130" w:firstLine="360"/>
        <w:jc w:val="both"/>
      </w:pPr>
      <w:r>
        <w:rPr>
          <w:spacing w:val="-2"/>
        </w:rPr>
        <w:t>报告期内，公司召开的股东大会不存在违反《上市公司股东大会规则》的情形，公司未发生单独或合并持有本公司有表</w:t>
      </w:r>
      <w:r>
        <w:rPr/>
        <w:t> </w:t>
      </w:r>
      <w:r>
        <w:rPr>
          <w:spacing w:val="-1"/>
        </w:rPr>
        <w:t>决权股份总数</w:t>
      </w:r>
      <w:r>
        <w:rPr>
          <w:rFonts w:ascii="Times New Roman" w:hAnsi="Times New Roman" w:cs="Times New Roman" w:eastAsia="Times New Roman" w:hint="default"/>
          <w:spacing w:val="-1"/>
        </w:rPr>
        <w:t>10%</w:t>
      </w:r>
      <w:r>
        <w:rPr>
          <w:spacing w:val="-1"/>
        </w:rPr>
        <w:t>以上的股东请求召开临时股东大会的情形，也无应监事会提议召开的股东大会。按照《公司法》《公司章</w:t>
      </w:r>
      <w:r>
        <w:rPr>
          <w:spacing w:val="-88"/>
        </w:rPr>
        <w:t> </w:t>
      </w:r>
      <w:r>
        <w:rPr>
          <w:spacing w:val="-88"/>
        </w:rPr>
      </w:r>
      <w:r>
        <w:rPr>
          <w:spacing w:val="-2"/>
        </w:rPr>
        <w:t>程》的规定应由股东大会审议的重大事项，本公司均通过股东大会审议，不存在绕过股东大会的情况，也不存在先实施后审</w:t>
      </w:r>
      <w:r>
        <w:rPr>
          <w:spacing w:val="-65"/>
        </w:rPr>
        <w:t> </w:t>
      </w:r>
      <w:r>
        <w:rPr>
          <w:spacing w:val="-65"/>
        </w:rPr>
      </w:r>
      <w:r>
        <w:rPr/>
        <w:t>议的情况。</w:t>
      </w:r>
    </w:p>
    <w:p>
      <w:pPr>
        <w:pStyle w:val="BodyText"/>
        <w:spacing w:line="340" w:lineRule="auto" w:before="63"/>
        <w:ind w:left="512" w:right="1119"/>
        <w:jc w:val="left"/>
      </w:pPr>
      <w:r>
        <w:rPr>
          <w:rFonts w:ascii="Times New Roman" w:hAnsi="Times New Roman" w:cs="Times New Roman" w:eastAsia="Times New Roman" w:hint="default"/>
        </w:rPr>
        <w:t>2</w:t>
      </w:r>
      <w:r>
        <w:rPr/>
        <w:t>、关于公司与控股股东 </w:t>
      </w:r>
      <w:r>
        <w:rPr>
          <w:spacing w:val="-5"/>
        </w:rPr>
        <w:t>公司按照《公司法》、《证券法》、《公司章程》及证券监管部门的有关规定正确处理与控股股东的关系。公司的人员、</w:t>
      </w:r>
    </w:p>
    <w:p>
      <w:pPr>
        <w:pStyle w:val="BodyText"/>
        <w:spacing w:line="316" w:lineRule="auto"/>
        <w:ind w:right="1133"/>
        <w:jc w:val="both"/>
      </w:pPr>
      <w:r>
        <w:rPr>
          <w:spacing w:val="-2"/>
        </w:rPr>
        <w:t>资产、财务、机构、业务独立。控股股东、实际控制人及其关联人不存在违法违规占用公司资金以及要求公司违法违规提供</w:t>
      </w:r>
      <w:r>
        <w:rPr>
          <w:spacing w:val="-65"/>
        </w:rPr>
        <w:t> </w:t>
      </w:r>
      <w:r>
        <w:rPr>
          <w:spacing w:val="-65"/>
        </w:rPr>
      </w:r>
      <w:r>
        <w:rPr/>
        <w:t>担保的情形。</w:t>
      </w:r>
    </w:p>
    <w:p>
      <w:pPr>
        <w:pStyle w:val="BodyText"/>
        <w:spacing w:line="340" w:lineRule="auto" w:before="57"/>
        <w:ind w:left="512" w:right="1124"/>
        <w:jc w:val="left"/>
      </w:pPr>
      <w:r>
        <w:rPr>
          <w:rFonts w:ascii="Times New Roman" w:hAnsi="Times New Roman" w:cs="Times New Roman" w:eastAsia="Times New Roman" w:hint="default"/>
        </w:rPr>
        <w:t>3</w:t>
      </w:r>
      <w:r>
        <w:rPr/>
        <w:t>、关于董事与董事会 目前公司董事会成员暂为</w:t>
      </w:r>
      <w:r>
        <w:rPr>
          <w:rFonts w:ascii="Times New Roman" w:hAnsi="Times New Roman" w:cs="Times New Roman" w:eastAsia="Times New Roman" w:hint="default"/>
        </w:rPr>
        <w:t>10</w:t>
      </w:r>
      <w:r>
        <w:rPr/>
        <w:t>名，其中独立董事</w:t>
      </w:r>
      <w:r>
        <w:rPr>
          <w:rFonts w:ascii="Times New Roman" w:hAnsi="Times New Roman" w:cs="Times New Roman" w:eastAsia="Times New Roman" w:hint="default"/>
        </w:rPr>
        <w:t>4</w:t>
      </w:r>
      <w:r>
        <w:rPr/>
        <w:t>名。公司董事会均严格按照《深圳证券交易所创业板上市公司规范运作</w:t>
      </w:r>
    </w:p>
    <w:p>
      <w:pPr>
        <w:pStyle w:val="BodyText"/>
        <w:spacing w:line="215" w:lineRule="exact"/>
        <w:ind w:right="0"/>
        <w:jc w:val="both"/>
      </w:pPr>
      <w:r>
        <w:rPr/>
        <w:t>指引》、《公司章程》及《董事会议事规则》的程序召集、召开。公司董事出席董事会和股东大会，依法行使职权，勤勉尽</w:t>
      </w:r>
    </w:p>
    <w:p>
      <w:pPr>
        <w:pStyle w:val="BodyText"/>
        <w:spacing w:line="316" w:lineRule="auto" w:before="76"/>
        <w:ind w:right="1135"/>
        <w:jc w:val="both"/>
      </w:pPr>
      <w:r>
        <w:rPr>
          <w:spacing w:val="-2"/>
        </w:rPr>
        <w:t>责地履行董事的职责和义务，积极参加相关培训，熟悉相关法律法规。董事会下设薪酬与考核委员会、战略委员会、提名委</w:t>
      </w:r>
      <w:r>
        <w:rPr>
          <w:spacing w:val="-67"/>
        </w:rPr>
        <w:t> </w:t>
      </w:r>
      <w:r>
        <w:rPr>
          <w:spacing w:val="-67"/>
        </w:rPr>
      </w:r>
      <w:r>
        <w:rPr/>
        <w:t>员会和审计委员会，各委员会根据各自职责对公司发展的事项进行专项研究，为董事会决策提供意见和建议。</w:t>
      </w:r>
    </w:p>
    <w:p>
      <w:pPr>
        <w:pStyle w:val="BodyText"/>
        <w:spacing w:line="338" w:lineRule="auto" w:before="59"/>
        <w:ind w:left="512" w:right="1129"/>
        <w:jc w:val="left"/>
      </w:pPr>
      <w:r>
        <w:rPr>
          <w:rFonts w:ascii="Times New Roman" w:hAnsi="Times New Roman" w:cs="Times New Roman" w:eastAsia="Times New Roman" w:hint="default"/>
        </w:rPr>
        <w:t>4</w:t>
      </w:r>
      <w:r>
        <w:rPr/>
        <w:t>、关于监事与监事会 </w:t>
      </w:r>
      <w:r>
        <w:rPr>
          <w:spacing w:val="-2"/>
        </w:rPr>
        <w:t>公司监事会由</w:t>
      </w:r>
      <w:r>
        <w:rPr>
          <w:rFonts w:ascii="Times New Roman" w:hAnsi="Times New Roman" w:cs="Times New Roman" w:eastAsia="Times New Roman" w:hint="default"/>
          <w:spacing w:val="-2"/>
        </w:rPr>
        <w:t>3</w:t>
      </w:r>
      <w:r>
        <w:rPr>
          <w:spacing w:val="-2"/>
        </w:rPr>
        <w:t>名监事组成，其中职工监事</w:t>
      </w:r>
      <w:r>
        <w:rPr>
          <w:rFonts w:ascii="Times New Roman" w:hAnsi="Times New Roman" w:cs="Times New Roman" w:eastAsia="Times New Roman" w:hint="default"/>
          <w:spacing w:val="-2"/>
        </w:rPr>
        <w:t>1</w:t>
      </w:r>
      <w:r>
        <w:rPr>
          <w:spacing w:val="-2"/>
        </w:rPr>
        <w:t>名，监事的选举程序、监事会的人数及人员构成符合法律、法规和《公司章</w:t>
      </w:r>
    </w:p>
    <w:p>
      <w:pPr>
        <w:pStyle w:val="BodyText"/>
        <w:spacing w:line="217" w:lineRule="exact"/>
        <w:ind w:right="0"/>
        <w:jc w:val="both"/>
      </w:pPr>
      <w:r>
        <w:rPr/>
        <w:t>程》的要求。公司监事会按照《公司章程》及《监事会议事规则》的程序召集、召开。公司监事会认真履行自己的职责，秉</w:t>
      </w:r>
    </w:p>
    <w:p>
      <w:pPr>
        <w:pStyle w:val="BodyText"/>
        <w:spacing w:line="316" w:lineRule="auto" w:before="76"/>
        <w:ind w:right="1130"/>
        <w:jc w:val="both"/>
      </w:pPr>
      <w:r>
        <w:rPr>
          <w:spacing w:val="-2"/>
        </w:rPr>
        <w:t>着对全体股东负责的态度，对公司财务以及董事、高级管理人员行使职权的合法合规性进行监督，充分维护公司及股东的合</w:t>
      </w:r>
      <w:r>
        <w:rPr>
          <w:spacing w:val="-63"/>
        </w:rPr>
        <w:t> </w:t>
      </w:r>
      <w:r>
        <w:rPr>
          <w:spacing w:val="-63"/>
        </w:rPr>
      </w:r>
      <w:r>
        <w:rPr/>
        <w:t>法权益。</w:t>
      </w:r>
    </w:p>
    <w:p>
      <w:pPr>
        <w:pStyle w:val="BodyText"/>
        <w:spacing w:line="340" w:lineRule="auto" w:before="59"/>
        <w:ind w:left="512" w:right="1129"/>
        <w:jc w:val="left"/>
      </w:pPr>
      <w:r>
        <w:rPr>
          <w:rFonts w:ascii="Times New Roman" w:hAnsi="Times New Roman" w:cs="Times New Roman" w:eastAsia="Times New Roman" w:hint="default"/>
        </w:rPr>
        <w:t>5</w:t>
      </w:r>
      <w:r>
        <w:rPr/>
        <w:t>、关于信息披露与透明度 </w:t>
      </w:r>
      <w:r>
        <w:rPr>
          <w:spacing w:val="-2"/>
        </w:rPr>
        <w:t>公司高度重视信息披露与投资者关系管理工作，严格按照《上市公司信息披露管理办法》、深圳证券交易所创业板上市</w:t>
      </w:r>
    </w:p>
    <w:p>
      <w:pPr>
        <w:spacing w:after="0" w:line="34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034"/>
        <w:jc w:val="left"/>
      </w:pPr>
      <w:r>
        <w:rPr/>
        <w:t>公司的信息披露格式指引等规定以及公司制定的《信息披露制度》等操作性文件的要求，真实准确、完整及时的披露信息。</w:t>
      </w:r>
      <w:r>
        <w:rPr>
          <w:spacing w:val="-86"/>
        </w:rPr>
        <w:t> </w:t>
      </w:r>
      <w:r>
        <w:rPr>
          <w:spacing w:val="-86"/>
        </w:rPr>
      </w:r>
      <w:r>
        <w:rPr>
          <w:spacing w:val="-2"/>
        </w:rPr>
        <w:t>公司指定《证券时报》、《证券日报》、《中国证券报》、《上海证券报》为公司信息披露报纸，巨潮资讯网为公司信息披</w:t>
      </w:r>
      <w:r>
        <w:rPr>
          <w:spacing w:val="-70"/>
        </w:rPr>
        <w:t> </w:t>
      </w:r>
      <w:r>
        <w:rPr>
          <w:spacing w:val="-70"/>
        </w:rPr>
      </w:r>
      <w:r>
        <w:rPr>
          <w:spacing w:val="-2"/>
        </w:rPr>
        <w:t>露网站。公司上市以来，不断尝试更加有效的方式开展投资者关系管理工作，设立了互动易、电话专线、专用邮箱等多种渠</w:t>
      </w:r>
      <w:r>
        <w:rPr>
          <w:spacing w:val="-67"/>
        </w:rPr>
        <w:t> </w:t>
      </w:r>
      <w:r>
        <w:rPr>
          <w:spacing w:val="-67"/>
        </w:rPr>
      </w:r>
      <w:r>
        <w:rPr/>
        <w:t>道与投资者进行沟通和交流。</w:t>
      </w:r>
    </w:p>
    <w:p>
      <w:pPr>
        <w:pStyle w:val="BodyText"/>
        <w:spacing w:line="338" w:lineRule="auto" w:before="59"/>
        <w:ind w:left="512" w:right="1119"/>
        <w:jc w:val="left"/>
      </w:pPr>
      <w:r>
        <w:rPr>
          <w:rFonts w:ascii="Times New Roman" w:hAnsi="Times New Roman" w:cs="Times New Roman" w:eastAsia="Times New Roman" w:hint="default"/>
        </w:rPr>
        <w:t>6</w:t>
      </w:r>
      <w:r>
        <w:rPr/>
        <w:t>、关于相关利益者 </w:t>
      </w:r>
      <w:r>
        <w:rPr>
          <w:spacing w:val="-5"/>
        </w:rPr>
        <w:t>公司充分尊重和维护相关利益者的合法权益，重视公司的社会责任，积极与相关利益者合作，加强与各方的沟通和交流，</w:t>
      </w:r>
    </w:p>
    <w:p>
      <w:pPr>
        <w:pStyle w:val="BodyText"/>
        <w:spacing w:line="240" w:lineRule="auto" w:before="2"/>
        <w:ind w:right="1129"/>
        <w:jc w:val="left"/>
        <w:rPr>
          <w:rFonts w:ascii="宋体" w:hAnsi="宋体" w:cs="宋体" w:eastAsia="宋体" w:hint="default"/>
        </w:rPr>
      </w:pPr>
      <w:r>
        <w:rPr/>
        <w:t>实现股东、员工、社会等各方利益的协调平衡，共同推动公司持续、健康的发展。</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ind w:right="1129"/>
        <w:jc w:val="left"/>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129"/>
        <w:jc w:val="left"/>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9"/>
        <w:jc w:val="left"/>
      </w:pPr>
      <w:r>
        <w:rPr>
          <w:spacing w:val="-2"/>
        </w:rPr>
        <w:t>公司严格按照《公司法》、《证券法》等有关法律、法规和《公司章程》的要求规范运作，在业务、资产、人员、机构和财</w:t>
      </w:r>
      <w:r>
        <w:rPr>
          <w:spacing w:val="-73"/>
        </w:rPr>
        <w:t> </w:t>
      </w:r>
      <w:r>
        <w:rPr>
          <w:spacing w:val="-73"/>
        </w:rPr>
      </w:r>
      <w:r>
        <w:rPr/>
        <w:t>务方面与控股股东及其控制的其他企业保持独立，具有完整的业务体系及面向市场独立经营的能力。</w:t>
      </w:r>
    </w:p>
    <w:p>
      <w:pPr>
        <w:spacing w:line="240" w:lineRule="auto" w:before="11"/>
        <w:rPr>
          <w:rFonts w:ascii="宋体" w:hAnsi="宋体" w:cs="宋体" w:eastAsia="宋体" w:hint="default"/>
          <w:sz w:val="20"/>
          <w:szCs w:val="20"/>
        </w:rPr>
      </w:pPr>
    </w:p>
    <w:p>
      <w:pPr>
        <w:pStyle w:val="Heading2"/>
        <w:spacing w:line="240" w:lineRule="auto"/>
        <w:ind w:right="1129"/>
        <w:jc w:val="left"/>
        <w:rPr>
          <w:b w:val="0"/>
          <w:bCs w:val="0"/>
        </w:rPr>
      </w:pPr>
      <w:bookmarkStart w:name="三、同业竞争情况" w:id="136"/>
      <w:bookmarkEnd w:id="136"/>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9"/>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9"/>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380"/>
        <w:gridCol w:w="1418"/>
        <w:gridCol w:w="1843"/>
        <w:gridCol w:w="1560"/>
        <w:gridCol w:w="1769"/>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3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7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434" w:right="47" w:hanging="38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81.86%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hyperlink r:id="rId15">
              <w:r>
                <w:rPr>
                  <w:rFonts w:ascii="Times New Roman"/>
                  <w:sz w:val="18"/>
                </w:rPr>
                <w:t>http://www.cninfo.com</w:t>
              </w:r>
            </w:hyperlink>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.cn/cninfo-new/index</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434" w:right="47" w:hanging="38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79.91%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hyperlink r:id="rId15">
              <w:r>
                <w:rPr>
                  <w:rFonts w:ascii="Times New Roman"/>
                  <w:sz w:val="18"/>
                </w:rPr>
                <w:t>http://www.cninfo.com</w:t>
              </w:r>
            </w:hyperlink>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.cn/cninfo-new/index</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703" w:right="47" w:hanging="65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79.91%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hyperlink r:id="rId15">
              <w:r>
                <w:rPr>
                  <w:rFonts w:ascii="Times New Roman"/>
                  <w:sz w:val="18"/>
                </w:rPr>
                <w:t>http://www.cninfo.com</w:t>
              </w:r>
            </w:hyperlink>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.cn/cninfo-new/index</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434" w:right="47" w:hanging="38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71.27%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hyperlink r:id="rId15">
              <w:r>
                <w:rPr>
                  <w:rFonts w:ascii="Times New Roman"/>
                  <w:sz w:val="18"/>
                </w:rPr>
                <w:t>http://www.cninfo.com</w:t>
              </w:r>
            </w:hyperlink>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.cn/cninfo-new/index</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434" w:right="47" w:hanging="38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79.91%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hyperlink r:id="rId15">
              <w:r>
                <w:rPr>
                  <w:rFonts w:ascii="Times New Roman"/>
                  <w:sz w:val="18"/>
                </w:rPr>
                <w:t>http://www.cninfo.com</w:t>
              </w:r>
            </w:hyperlink>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.cn/cninfo-new/index</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434" w:right="47" w:hanging="38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71.28%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hyperlink r:id="rId15">
              <w:r>
                <w:rPr>
                  <w:rFonts w:ascii="Times New Roman"/>
                  <w:sz w:val="18"/>
                </w:rPr>
                <w:t>http://www.cninfo.com</w:t>
              </w:r>
            </w:hyperlink>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.cn/cninfo-new/index</w:t>
            </w:r>
          </w:p>
        </w:tc>
      </w:tr>
    </w:tbl>
    <w:p>
      <w:pPr>
        <w:spacing w:line="240" w:lineRule="auto" w:before="3"/>
        <w:rPr>
          <w:rFonts w:ascii="宋体" w:hAnsi="宋体" w:cs="宋体" w:eastAsia="宋体" w:hint="default"/>
          <w:b/>
          <w:bCs/>
          <w:sz w:val="19"/>
          <w:szCs w:val="19"/>
        </w:rPr>
      </w:pPr>
    </w:p>
    <w:p>
      <w:pPr>
        <w:pStyle w:val="Heading3"/>
        <w:spacing w:line="240" w:lineRule="auto" w:before="36"/>
        <w:ind w:right="1129"/>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9"/>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9"/>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4"/>
        <w:gridCol w:w="1164"/>
      </w:tblGrid>
      <w:tr>
        <w:trPr>
          <w:trHeight w:val="40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5"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5"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穆钢</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谢德仁</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梅生伟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赵国栋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0"/>
        <w:jc w:val="both"/>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40"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40"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316" w:lineRule="auto" w:before="39"/>
        <w:ind w:right="1130"/>
        <w:jc w:val="both"/>
      </w:pPr>
      <w:r>
        <w:rPr>
          <w:spacing w:val="-2"/>
        </w:rPr>
        <w:t>报告期内，公司独立董事勤勉尽责，充分利用在专业领域的知识和经验，对公司重大事项出具了独立、公正的独立意见；在</w:t>
      </w:r>
      <w:r>
        <w:rPr>
          <w:spacing w:val="-67"/>
        </w:rPr>
        <w:t> </w:t>
      </w:r>
      <w:r>
        <w:rPr>
          <w:spacing w:val="-67"/>
        </w:rPr>
      </w:r>
      <w:r>
        <w:rPr>
          <w:spacing w:val="-2"/>
        </w:rPr>
        <w:t>参加公司董事会及董事会专门委员会时，向公司提出了具有建设性的意见和建议。公司对于独立董事提出的专业性、建设性</w:t>
      </w:r>
      <w:r>
        <w:rPr>
          <w:spacing w:val="-63"/>
        </w:rPr>
        <w:t> </w:t>
      </w:r>
      <w:r>
        <w:rPr>
          <w:spacing w:val="-63"/>
        </w:rPr>
      </w:r>
      <w:r>
        <w:rPr/>
        <w:t>建议均进行了合理性的采纳。</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3" w:firstLine="360"/>
        <w:jc w:val="both"/>
      </w:pPr>
      <w:r>
        <w:rPr>
          <w:spacing w:val="-2"/>
        </w:rPr>
        <w:t>公司董事会目前下设四个专门委员会：战略委员会、审计委员会、提名委员会、薪酬与考核委员会，报告期内，各专门</w:t>
      </w:r>
      <w:r>
        <w:rPr/>
        <w:t> </w:t>
      </w:r>
      <w:r>
        <w:rPr>
          <w:spacing w:val="-2"/>
        </w:rPr>
        <w:t>委员会严格依据公司董事会所制订的职权范围及各专门委员会的议事规则运作，并就专业事项进行研究和讨论，形成建议和</w:t>
      </w:r>
      <w:r>
        <w:rPr>
          <w:spacing w:val="-64"/>
        </w:rPr>
        <w:t> </w:t>
      </w:r>
      <w:r>
        <w:rPr>
          <w:spacing w:val="-64"/>
        </w:rPr>
      </w:r>
      <w:r>
        <w:rPr/>
        <w:t>意见，为董事会的决策提供了积极有效的支撑。</w:t>
      </w:r>
    </w:p>
    <w:p>
      <w:pPr>
        <w:pStyle w:val="BodyText"/>
        <w:spacing w:line="316" w:lineRule="auto" w:before="59"/>
        <w:ind w:right="1133" w:firstLine="360"/>
        <w:jc w:val="both"/>
      </w:pPr>
      <w:r>
        <w:rPr>
          <w:spacing w:val="-6"/>
        </w:rPr>
        <w:t>报告期内，战略委员会严格按照《公司章程》及《公司董事会战略委员会工作制度》等相关规定，本着勤勉尽责的态度，</w:t>
      </w:r>
      <w:r>
        <w:rPr/>
        <w:t> 认真研究国家宏观经济政策调整对公司的影响，结合公司发展战略对重大决策提出建议，促进了公司的健康发展。</w:t>
      </w:r>
    </w:p>
    <w:p>
      <w:pPr>
        <w:pStyle w:val="BodyText"/>
        <w:spacing w:line="307" w:lineRule="auto" w:before="57"/>
        <w:ind w:right="1128" w:firstLine="360"/>
        <w:jc w:val="both"/>
      </w:pPr>
      <w:r>
        <w:rPr>
          <w:spacing w:val="-2"/>
        </w:rPr>
        <w:t>审计委员会严格按照《公司章程》及《公司董事会审计委员会工作制度》等相关规定积极履行职责。报告期内，审计委</w:t>
      </w:r>
      <w:r>
        <w:rPr/>
        <w:t> 员会共召开了</w:t>
      </w:r>
      <w:r>
        <w:rPr>
          <w:rFonts w:ascii="Times New Roman" w:hAnsi="Times New Roman" w:cs="Times New Roman" w:eastAsia="Times New Roman" w:hint="default"/>
        </w:rPr>
        <w:t>5</w:t>
      </w:r>
      <w:r>
        <w:rPr/>
        <w:t>次会议，</w:t>
      </w:r>
      <w:r>
        <w:rPr>
          <w:rFonts w:ascii="Times New Roman" w:hAnsi="Times New Roman" w:cs="Times New Roman" w:eastAsia="Times New Roman" w:hint="default"/>
        </w:rPr>
        <w:t>2018</w:t>
      </w:r>
      <w:r>
        <w:rPr/>
        <w:t>年第一次会议审议了</w:t>
      </w:r>
      <w:r>
        <w:rPr>
          <w:rFonts w:ascii="Times New Roman" w:hAnsi="Times New Roman" w:cs="Times New Roman" w:eastAsia="Times New Roman" w:hint="default"/>
        </w:rPr>
        <w:t>2017</w:t>
      </w:r>
      <w:r>
        <w:rPr/>
        <w:t>年年度报告相关事项；</w:t>
      </w:r>
      <w:r>
        <w:rPr>
          <w:rFonts w:ascii="Times New Roman" w:hAnsi="Times New Roman" w:cs="Times New Roman" w:eastAsia="Times New Roman" w:hint="default"/>
        </w:rPr>
        <w:t>2018</w:t>
      </w:r>
      <w:r>
        <w:rPr/>
        <w:t>年第二次会议审议了</w:t>
      </w:r>
      <w:r>
        <w:rPr>
          <w:rFonts w:ascii="Times New Roman" w:hAnsi="Times New Roman" w:cs="Times New Roman" w:eastAsia="Times New Roman" w:hint="default"/>
        </w:rPr>
        <w:t>2018</w:t>
      </w:r>
      <w:r>
        <w:rPr/>
        <w:t>年第一季度报告 </w:t>
      </w:r>
      <w:r>
        <w:rPr>
          <w:spacing w:val="-5"/>
        </w:rPr>
        <w:t>相关事项；</w:t>
      </w:r>
      <w:r>
        <w:rPr>
          <w:rFonts w:ascii="Times New Roman" w:hAnsi="Times New Roman" w:cs="Times New Roman" w:eastAsia="Times New Roman" w:hint="default"/>
          <w:spacing w:val="-5"/>
        </w:rPr>
        <w:t>2018</w:t>
      </w:r>
      <w:r>
        <w:rPr>
          <w:spacing w:val="-5"/>
        </w:rPr>
        <w:t>年第三次会议审议了</w:t>
      </w:r>
      <w:r>
        <w:rPr>
          <w:rFonts w:ascii="Times New Roman" w:hAnsi="Times New Roman" w:cs="Times New Roman" w:eastAsia="Times New Roman" w:hint="default"/>
          <w:spacing w:val="-5"/>
        </w:rPr>
        <w:t>2018</w:t>
      </w:r>
      <w:r>
        <w:rPr>
          <w:spacing w:val="-5"/>
        </w:rPr>
        <w:t>年半年度报告相关事项；</w:t>
      </w:r>
      <w:r>
        <w:rPr>
          <w:rFonts w:ascii="Times New Roman" w:hAnsi="Times New Roman" w:cs="Times New Roman" w:eastAsia="Times New Roman" w:hint="default"/>
          <w:spacing w:val="-5"/>
        </w:rPr>
        <w:t>2018</w:t>
      </w:r>
      <w:r>
        <w:rPr>
          <w:spacing w:val="-5"/>
        </w:rPr>
        <w:t>年第四次会议审议</w:t>
      </w:r>
      <w:r>
        <w:rPr>
          <w:rFonts w:ascii="Times New Roman" w:hAnsi="Times New Roman" w:cs="Times New Roman" w:eastAsia="Times New Roman" w:hint="default"/>
          <w:spacing w:val="-5"/>
        </w:rPr>
        <w:t>2018</w:t>
      </w:r>
      <w:r>
        <w:rPr>
          <w:spacing w:val="-5"/>
        </w:rPr>
        <w:t>年第三季度报告相关事项；</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年第五次会议听取了公司</w:t>
      </w:r>
      <w:r>
        <w:rPr>
          <w:rFonts w:ascii="Times New Roman" w:hAnsi="Times New Roman" w:cs="Times New Roman" w:eastAsia="Times New Roman" w:hint="default"/>
        </w:rPr>
        <w:t>2018</w:t>
      </w:r>
      <w:r>
        <w:rPr/>
        <w:t>年度财务报表审计计划。</w:t>
      </w:r>
    </w:p>
    <w:p>
      <w:pPr>
        <w:pStyle w:val="BodyText"/>
        <w:spacing w:line="300" w:lineRule="auto" w:before="48"/>
        <w:ind w:right="1140" w:firstLine="360"/>
        <w:jc w:val="both"/>
      </w:pPr>
      <w:r>
        <w:rPr/>
        <w:t>公司提名委员会勤勉尽责地履行职责，持续研究与关注高级管理人员选拔制度。报告期内，提名委委员会共召开了</w:t>
      </w:r>
      <w:r>
        <w:rPr>
          <w:rFonts w:ascii="Times New Roman" w:hAnsi="Times New Roman" w:cs="Times New Roman" w:eastAsia="Times New Roman" w:hint="default"/>
        </w:rPr>
        <w:t>2</w:t>
      </w:r>
      <w:r>
        <w:rPr/>
        <w:t>次 会议，</w:t>
      </w:r>
      <w:r>
        <w:rPr>
          <w:rFonts w:ascii="Times New Roman" w:hAnsi="Times New Roman" w:cs="Times New Roman" w:eastAsia="Times New Roman" w:hint="default"/>
        </w:rPr>
        <w:t>2018</w:t>
      </w:r>
      <w:r>
        <w:rPr/>
        <w:t>年第一次会议审议了提名新任董事相关事项；</w:t>
      </w:r>
      <w:r>
        <w:rPr>
          <w:rFonts w:ascii="Times New Roman" w:hAnsi="Times New Roman" w:cs="Times New Roman" w:eastAsia="Times New Roman" w:hint="default"/>
        </w:rPr>
        <w:t>2018</w:t>
      </w:r>
      <w:r>
        <w:rPr/>
        <w:t>年第二次会议审议了提名副董事长相关事项；</w:t>
      </w:r>
    </w:p>
    <w:p>
      <w:pPr>
        <w:spacing w:after="0" w:line="300" w:lineRule="auto"/>
        <w:jc w:val="both"/>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07" w:lineRule="auto" w:before="44"/>
        <w:ind w:right="1130"/>
        <w:jc w:val="both"/>
      </w:pPr>
      <w:r>
        <w:rPr>
          <w:spacing w:val="-2"/>
        </w:rPr>
        <w:t>薪酬与考核委员会根据《公司章程》及《公司董事会薪酬与考核委员会工作细则》等相关规定积极履行职责，报告期内，薪</w:t>
      </w:r>
      <w:r>
        <w:rPr>
          <w:spacing w:val="-70"/>
        </w:rPr>
        <w:t> </w:t>
      </w:r>
      <w:r>
        <w:rPr>
          <w:spacing w:val="-70"/>
        </w:rPr>
      </w:r>
      <w:r>
        <w:rPr/>
        <w:t>酬与考核委员会共召开了</w:t>
      </w:r>
      <w:r>
        <w:rPr>
          <w:rFonts w:ascii="Times New Roman" w:hAnsi="Times New Roman" w:cs="Times New Roman" w:eastAsia="Times New Roman" w:hint="default"/>
        </w:rPr>
        <w:t>3</w:t>
      </w:r>
      <w:r>
        <w:rPr/>
        <w:t>次会议，</w:t>
      </w:r>
      <w:r>
        <w:rPr>
          <w:rFonts w:ascii="Times New Roman" w:hAnsi="Times New Roman" w:cs="Times New Roman" w:eastAsia="Times New Roman" w:hint="default"/>
        </w:rPr>
        <w:t>2018</w:t>
      </w:r>
      <w:r>
        <w:rPr/>
        <w:t>年第一次会议审议了关于董事及高级管理人员</w:t>
      </w:r>
      <w:r>
        <w:rPr>
          <w:rFonts w:ascii="Times New Roman" w:hAnsi="Times New Roman" w:cs="Times New Roman" w:eastAsia="Times New Roman" w:hint="default"/>
        </w:rPr>
        <w:t>2018</w:t>
      </w:r>
      <w:r>
        <w:rPr/>
        <w:t>年度绩效考核、董事及高级管理</w:t>
      </w:r>
      <w:r>
        <w:rPr>
          <w:spacing w:val="-84"/>
        </w:rPr>
        <w:t> </w:t>
      </w:r>
      <w:r>
        <w:rPr>
          <w:spacing w:val="-84"/>
        </w:rPr>
      </w:r>
      <w:r>
        <w:rPr>
          <w:spacing w:val="-2"/>
        </w:rPr>
        <w:t>人员</w:t>
      </w:r>
      <w:r>
        <w:rPr>
          <w:rFonts w:ascii="Times New Roman" w:hAnsi="Times New Roman" w:cs="Times New Roman" w:eastAsia="Times New Roman" w:hint="default"/>
          <w:spacing w:val="-2"/>
        </w:rPr>
        <w:t>2019</w:t>
      </w:r>
      <w:r>
        <w:rPr>
          <w:spacing w:val="-2"/>
        </w:rPr>
        <w:t>年薪酬与考核方案相关事项；</w:t>
      </w:r>
      <w:r>
        <w:rPr>
          <w:rFonts w:ascii="Times New Roman" w:hAnsi="Times New Roman" w:cs="Times New Roman" w:eastAsia="Times New Roman" w:hint="default"/>
          <w:spacing w:val="-2"/>
        </w:rPr>
        <w:t>2018</w:t>
      </w:r>
      <w:r>
        <w:rPr>
          <w:spacing w:val="-2"/>
        </w:rPr>
        <w:t>年第二次会议审议了限制性股票及股票期权激励相关事项；</w:t>
      </w:r>
      <w:r>
        <w:rPr>
          <w:rFonts w:ascii="Times New Roman" w:hAnsi="Times New Roman" w:cs="Times New Roman" w:eastAsia="Times New Roman" w:hint="default"/>
          <w:spacing w:val="-2"/>
        </w:rPr>
        <w:t>2018</w:t>
      </w:r>
      <w:r>
        <w:rPr>
          <w:spacing w:val="-2"/>
        </w:rPr>
        <w:t>年第三次会议审</w:t>
      </w:r>
      <w:r>
        <w:rPr>
          <w:spacing w:val="-60"/>
        </w:rPr>
        <w:t> </w:t>
      </w:r>
      <w:r>
        <w:rPr>
          <w:spacing w:val="-60"/>
        </w:rPr>
      </w:r>
      <w:r>
        <w:rPr/>
        <w:t>议了</w:t>
      </w:r>
      <w:r>
        <w:rPr>
          <w:rFonts w:ascii="Times New Roman" w:hAnsi="Times New Roman" w:cs="Times New Roman" w:eastAsia="Times New Roman" w:hint="default"/>
        </w:rPr>
        <w:t>2017</w:t>
      </w:r>
      <w:r>
        <w:rPr/>
        <w:t>年限制性股票第一批解锁及</w:t>
      </w:r>
      <w:r>
        <w:rPr>
          <w:rFonts w:ascii="Times New Roman" w:hAnsi="Times New Roman" w:cs="Times New Roman" w:eastAsia="Times New Roman" w:hint="default"/>
        </w:rPr>
        <w:t>2018</w:t>
      </w:r>
      <w:r>
        <w:rPr/>
        <w:t>年预留限制性股票授予相关事项。</w:t>
      </w:r>
    </w:p>
    <w:p>
      <w:pPr>
        <w:spacing w:line="240" w:lineRule="auto" w:before="12"/>
        <w:rPr>
          <w:rFonts w:ascii="宋体" w:hAnsi="宋体" w:cs="宋体" w:eastAsia="宋体" w:hint="default"/>
          <w:sz w:val="19"/>
          <w:szCs w:val="19"/>
        </w:rPr>
      </w:pPr>
    </w:p>
    <w:p>
      <w:pPr>
        <w:pStyle w:val="Heading2"/>
        <w:spacing w:line="240" w:lineRule="auto"/>
        <w:ind w:right="0"/>
        <w:jc w:val="both"/>
        <w:rPr>
          <w:b w:val="0"/>
          <w:bCs w:val="0"/>
        </w:rPr>
      </w:pPr>
      <w:bookmarkStart w:name="七、监事会工作情况" w:id="145"/>
      <w:bookmarkEnd w:id="145"/>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5"/>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jc w:val="both"/>
      </w:pPr>
      <w:r>
        <w:rPr>
          <w:spacing w:val="-2"/>
        </w:rPr>
        <w:t>公司建立了完善的高级管理人员绩效考评体系和薪酬制度，高级管理人员的工作绩效与其收入直接挂钩。高级管理人员的聘</w:t>
      </w:r>
      <w:r>
        <w:rPr>
          <w:spacing w:val="-64"/>
        </w:rPr>
        <w:t> </w:t>
      </w:r>
      <w:r>
        <w:rPr>
          <w:spacing w:val="-64"/>
        </w:rPr>
      </w:r>
      <w:r>
        <w:rPr>
          <w:spacing w:val="-2"/>
        </w:rPr>
        <w:t>任公开、透明，符合法律、法规的规定。公司董事会下设薪酬和考核委员会协同公司人力资源部负责对公司董事、监事及高</w:t>
      </w:r>
      <w:r>
        <w:rPr>
          <w:spacing w:val="-65"/>
        </w:rPr>
        <w:t> </w:t>
      </w:r>
      <w:r>
        <w:rPr>
          <w:spacing w:val="-65"/>
        </w:rPr>
      </w:r>
      <w:r>
        <w:rPr/>
        <w:t>级管理人员进行绩效考核的实施。</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bookmarkStart w:name="九、内部控制评价报告" w:id="147"/>
      <w:bookmarkEnd w:id="147"/>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240" w:lineRule="auto" w:before="44"/>
        <w:ind w:left="0" w:right="1140"/>
        <w:jc w:val="right"/>
      </w:pPr>
      <w:r>
        <w:rPr/>
        <w:pict>
          <v:shape style="position:absolute;margin-left:56.400002pt;margin-top:-152.52829pt;width:479.2pt;height:295.2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27"/>
                    <w:gridCol w:w="305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hyperlink r:id="rId16">
                          <w:r>
                            <w:rPr>
                              <w:rFonts w:ascii="Times New Roman"/>
                              <w:sz w:val="18"/>
                            </w:rPr>
                            <w:t>http://www.cninfo.com.cn/cninfo-new/index</w:t>
                          </w:r>
                        </w:hyperlink>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8"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234" w:hRule="exact"/>
                    </w:trPr>
                    <w:tc>
                      <w:tcPr>
                        <w:tcW w:w="31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327" w:type="dxa"/>
                        <w:vMerge w:val="restart"/>
                        <w:tcBorders>
                          <w:top w:val="single" w:sz="4" w:space="0" w:color="000000"/>
                          <w:left w:val="single" w:sz="9" w:space="0" w:color="D4D4D4"/>
                          <w:right w:val="single" w:sz="4" w:space="0" w:color="000000"/>
                        </w:tcBorders>
                      </w:tcPr>
                      <w:p>
                        <w:pPr>
                          <w:pStyle w:val="TableParagraph"/>
                          <w:spacing w:line="307" w:lineRule="auto" w:before="49"/>
                          <w:ind w:left="23" w:right="43"/>
                          <w:jc w:val="both"/>
                          <w:rPr>
                            <w:rFonts w:ascii="宋体" w:hAnsi="宋体" w:cs="宋体" w:eastAsia="宋体" w:hint="default"/>
                            <w:sz w:val="18"/>
                            <w:szCs w:val="18"/>
                          </w:rPr>
                        </w:pPr>
                        <w:r>
                          <w:rPr>
                            <w:rFonts w:ascii="宋体" w:hAnsi="宋体" w:cs="宋体" w:eastAsia="宋体" w:hint="default"/>
                            <w:spacing w:val="-9"/>
                            <w:sz w:val="18"/>
                            <w:szCs w:val="18"/>
                          </w:rPr>
                          <w:t>大缺陷：（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）控制环境无效；（</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）发现公</w:t>
                        </w:r>
                        <w:r>
                          <w:rPr>
                            <w:rFonts w:ascii="宋体" w:hAnsi="宋体" w:cs="宋体" w:eastAsia="宋体" w:hint="default"/>
                            <w:sz w:val="18"/>
                            <w:szCs w:val="18"/>
                          </w:rPr>
                          <w:t> </w:t>
                        </w:r>
                        <w:r>
                          <w:rPr>
                            <w:rFonts w:ascii="宋体" w:hAnsi="宋体" w:cs="宋体" w:eastAsia="宋体" w:hint="default"/>
                            <w:spacing w:val="-5"/>
                            <w:sz w:val="18"/>
                            <w:szCs w:val="18"/>
                          </w:rPr>
                          <w:t>司管理层存在的任何程度的舞弊；（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）公</w:t>
                        </w:r>
                        <w:r>
                          <w:rPr>
                            <w:rFonts w:ascii="宋体" w:hAnsi="宋体" w:cs="宋体" w:eastAsia="宋体" w:hint="default"/>
                            <w:spacing w:val="-86"/>
                            <w:sz w:val="18"/>
                            <w:szCs w:val="18"/>
                          </w:rPr>
                          <w:t> </w:t>
                        </w:r>
                        <w:r>
                          <w:rPr>
                            <w:rFonts w:ascii="宋体" w:hAnsi="宋体" w:cs="宋体" w:eastAsia="宋体" w:hint="default"/>
                            <w:sz w:val="18"/>
                            <w:szCs w:val="18"/>
                          </w:rPr>
                          <w:t>司审计委员会和内部审计机构对内部控制 </w:t>
                        </w:r>
                        <w:r>
                          <w:rPr>
                            <w:rFonts w:ascii="宋体" w:hAnsi="宋体" w:cs="宋体" w:eastAsia="宋体" w:hint="default"/>
                            <w:spacing w:val="-5"/>
                            <w:sz w:val="18"/>
                            <w:szCs w:val="18"/>
                          </w:rPr>
                          <w:t>的监督无效；（</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）公司重述以前公布的财</w:t>
                        </w:r>
                        <w:r>
                          <w:rPr>
                            <w:rFonts w:ascii="宋体" w:hAnsi="宋体" w:cs="宋体" w:eastAsia="宋体" w:hint="default"/>
                            <w:spacing w:val="-86"/>
                            <w:sz w:val="18"/>
                            <w:szCs w:val="18"/>
                          </w:rPr>
                          <w:t> </w:t>
                        </w:r>
                        <w:r>
                          <w:rPr>
                            <w:rFonts w:ascii="宋体" w:hAnsi="宋体" w:cs="宋体" w:eastAsia="宋体" w:hint="default"/>
                            <w:sz w:val="18"/>
                            <w:szCs w:val="18"/>
                          </w:rPr>
                          <w:t>务报表，以更正由于舞弊或错误导致的重 </w:t>
                        </w:r>
                        <w:r>
                          <w:rPr>
                            <w:rFonts w:ascii="宋体" w:hAnsi="宋体" w:cs="宋体" w:eastAsia="宋体" w:hint="default"/>
                            <w:spacing w:val="-5"/>
                            <w:sz w:val="18"/>
                            <w:szCs w:val="18"/>
                          </w:rPr>
                          <w:t>大错报；（</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）外部审计发现公司当期财务</w:t>
                        </w:r>
                        <w:r>
                          <w:rPr>
                            <w:rFonts w:ascii="宋体" w:hAnsi="宋体" w:cs="宋体" w:eastAsia="宋体" w:hint="default"/>
                            <w:spacing w:val="-86"/>
                            <w:sz w:val="18"/>
                            <w:szCs w:val="18"/>
                          </w:rPr>
                          <w:t> </w:t>
                        </w:r>
                        <w:r>
                          <w:rPr>
                            <w:rFonts w:ascii="宋体" w:hAnsi="宋体" w:cs="宋体" w:eastAsia="宋体" w:hint="default"/>
                            <w:sz w:val="18"/>
                            <w:szCs w:val="18"/>
                          </w:rPr>
                          <w:t>报表存在重大错报，而公司内部控制在运 </w:t>
                        </w:r>
                        <w:r>
                          <w:rPr>
                            <w:rFonts w:ascii="宋体" w:hAnsi="宋体" w:cs="宋体" w:eastAsia="宋体" w:hint="default"/>
                            <w:spacing w:val="-5"/>
                            <w:sz w:val="18"/>
                            <w:szCs w:val="18"/>
                          </w:rPr>
                          <w:t>行过程中未能发现该错报的缺陷；（</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）其</w:t>
                        </w:r>
                        <w:r>
                          <w:rPr>
                            <w:rFonts w:ascii="宋体" w:hAnsi="宋体" w:cs="宋体" w:eastAsia="宋体" w:hint="default"/>
                            <w:spacing w:val="-86"/>
                            <w:sz w:val="18"/>
                            <w:szCs w:val="18"/>
                          </w:rPr>
                          <w:t> </w:t>
                        </w:r>
                        <w:r>
                          <w:rPr>
                            <w:rFonts w:ascii="宋体" w:hAnsi="宋体" w:cs="宋体" w:eastAsia="宋体" w:hint="default"/>
                            <w:sz w:val="18"/>
                            <w:szCs w:val="18"/>
                          </w:rPr>
                          <w:t>他可能导致公司严重偏离控制目标的缺</w:t>
                        </w:r>
                      </w:p>
                    </w:tc>
                    <w:tc>
                      <w:tcPr>
                        <w:tcW w:w="3053" w:type="dxa"/>
                        <w:vMerge w:val="restart"/>
                        <w:tcBorders>
                          <w:top w:val="single" w:sz="4" w:space="0" w:color="000000"/>
                          <w:left w:val="single" w:sz="4" w:space="0" w:color="000000"/>
                          <w:right w:val="single" w:sz="4" w:space="0" w:color="000000"/>
                        </w:tcBorders>
                      </w:tcPr>
                      <w:p>
                        <w:pPr>
                          <w:pStyle w:val="TableParagraph"/>
                          <w:spacing w:line="312" w:lineRule="auto" w:before="49"/>
                          <w:ind w:left="26" w:right="-44"/>
                          <w:jc w:val="left"/>
                          <w:rPr>
                            <w:rFonts w:ascii="宋体" w:hAnsi="宋体" w:cs="宋体" w:eastAsia="宋体" w:hint="default"/>
                            <w:sz w:val="18"/>
                            <w:szCs w:val="18"/>
                          </w:rPr>
                        </w:pPr>
                        <w:r>
                          <w:rPr>
                            <w:rFonts w:ascii="宋体" w:hAnsi="宋体" w:cs="宋体" w:eastAsia="宋体" w:hint="default"/>
                            <w:spacing w:val="-18"/>
                            <w:sz w:val="18"/>
                            <w:szCs w:val="18"/>
                          </w:rPr>
                          <w:t>重大缺陷：（</w:t>
                        </w:r>
                        <w:r>
                          <w:rPr>
                            <w:rFonts w:ascii="Times New Roman" w:hAnsi="Times New Roman" w:cs="Times New Roman" w:eastAsia="Times New Roman" w:hint="default"/>
                            <w:spacing w:val="-18"/>
                            <w:sz w:val="18"/>
                            <w:szCs w:val="18"/>
                          </w:rPr>
                          <w:t>1</w:t>
                        </w:r>
                        <w:r>
                          <w:rPr>
                            <w:rFonts w:ascii="宋体" w:hAnsi="宋体" w:cs="宋体" w:eastAsia="宋体" w:hint="default"/>
                            <w:spacing w:val="-18"/>
                            <w:sz w:val="18"/>
                            <w:szCs w:val="18"/>
                          </w:rPr>
                          <w:t>）违反国家法律法规；（</w:t>
                        </w:r>
                        <w:r>
                          <w:rPr>
                            <w:rFonts w:ascii="Times New Roman" w:hAnsi="Times New Roman" w:cs="Times New Roman" w:eastAsia="Times New Roman" w:hint="default"/>
                            <w:spacing w:val="-18"/>
                            <w:sz w:val="18"/>
                            <w:szCs w:val="18"/>
                          </w:rPr>
                          <w:t>2</w:t>
                        </w:r>
                        <w:r>
                          <w:rPr>
                            <w:rFonts w:ascii="Times New Roman" w:hAnsi="Times New Roman" w:cs="Times New Roman" w:eastAsia="Times New Roman" w:hint="default"/>
                            <w:spacing w:val="-41"/>
                            <w:sz w:val="18"/>
                            <w:szCs w:val="18"/>
                          </w:rPr>
                          <w:t> </w:t>
                        </w:r>
                        <w:r>
                          <w:rPr>
                            <w:rFonts w:ascii="宋体" w:hAnsi="宋体" w:cs="宋体" w:eastAsia="宋体" w:hint="default"/>
                            <w:spacing w:val="-4"/>
                            <w:sz w:val="18"/>
                            <w:szCs w:val="18"/>
                          </w:rPr>
                          <w:t>决策程序不科学，因决策失误导致重大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交易失败；（</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）管理人员或技术人员大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量流失；（</w:t>
                        </w: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）媒体负面新闻频现；（</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w:t>
                        </w:r>
                        <w:r>
                          <w:rPr>
                            <w:rFonts w:ascii="宋体" w:hAnsi="宋体" w:cs="宋体" w:eastAsia="宋体" w:hint="default"/>
                            <w:spacing w:val="-82"/>
                            <w:sz w:val="18"/>
                            <w:szCs w:val="18"/>
                          </w:rPr>
                          <w:t> </w:t>
                        </w:r>
                        <w:r>
                          <w:rPr>
                            <w:rFonts w:ascii="宋体" w:hAnsi="宋体" w:cs="宋体" w:eastAsia="宋体" w:hint="default"/>
                            <w:sz w:val="18"/>
                            <w:szCs w:val="18"/>
                          </w:rPr>
                          <w:t>重要业务缺乏制度控制或制度系统性 </w:t>
                        </w:r>
                        <w:r>
                          <w:rPr>
                            <w:rFonts w:ascii="宋体" w:hAnsi="宋体" w:cs="宋体" w:eastAsia="宋体" w:hint="default"/>
                            <w:spacing w:val="-4"/>
                            <w:sz w:val="18"/>
                            <w:szCs w:val="18"/>
                          </w:rPr>
                          <w:t>失效，重要的经济业务虽有内控制度指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引，但没有有效运行；重大缺陷没有在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合理期间得到整改。重要缺陷：是指一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个或多个控制缺陷的组合，其严重程度</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4D4D4"/>
                          <w:right w:val="single" w:sz="4" w:space="0" w:color="000000"/>
                        </w:tcBorders>
                      </w:tcPr>
                      <w:p>
                        <w:pPr/>
                      </w:p>
                    </w:tc>
                    <w:tc>
                      <w:tcPr>
                        <w:tcW w:w="3053" w:type="dxa"/>
                        <w:vMerge/>
                        <w:tcBorders>
                          <w:left w:val="single" w:sz="4" w:space="0" w:color="000000"/>
                          <w:right w:val="single" w:sz="4" w:space="0" w:color="000000"/>
                        </w:tcBorders>
                      </w:tcPr>
                      <w:p>
                        <w:pPr/>
                      </w:p>
                    </w:tc>
                  </w:tr>
                  <w:tr>
                    <w:trPr>
                      <w:trHeight w:val="1234" w:hRule="exact"/>
                    </w:trPr>
                    <w:tc>
                      <w:tcPr>
                        <w:tcW w:w="3189" w:type="dxa"/>
                        <w:tcBorders>
                          <w:top w:val="nil" w:sz="6" w:space="0" w:color="auto"/>
                          <w:left w:val="single" w:sz="4" w:space="0" w:color="000000"/>
                          <w:bottom w:val="single" w:sz="4" w:space="0" w:color="000000"/>
                          <w:right w:val="single" w:sz="4" w:space="0" w:color="000000"/>
                        </w:tcBorders>
                        <w:shd w:val="clear" w:color="auto" w:fill="D4D4D4"/>
                      </w:tcPr>
                      <w:p>
                        <w:pPr/>
                      </w:p>
                    </w:tc>
                    <w:tc>
                      <w:tcPr>
                        <w:tcW w:w="3327" w:type="dxa"/>
                        <w:vMerge/>
                        <w:tcBorders>
                          <w:left w:val="single" w:sz="9" w:space="0" w:color="D4D4D4"/>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3"/>
        <w:gridCol w:w="3322"/>
        <w:gridCol w:w="3053"/>
      </w:tblGrid>
      <w:tr>
        <w:trPr>
          <w:trHeight w:val="1610"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22" w:type="dxa"/>
            <w:tcBorders>
              <w:top w:val="single" w:sz="4" w:space="0" w:color="000000"/>
              <w:left w:val="single" w:sz="4" w:space="0" w:color="000000"/>
              <w:bottom w:val="single" w:sz="4" w:space="0" w:color="000000"/>
              <w:right w:val="single" w:sz="14" w:space="0" w:color="FFFFFF"/>
            </w:tcBorders>
          </w:tcPr>
          <w:p>
            <w:pPr>
              <w:pStyle w:val="TableParagraph"/>
              <w:spacing w:line="316" w:lineRule="auto" w:before="8"/>
              <w:ind w:left="23" w:right="-50"/>
              <w:jc w:val="left"/>
              <w:rPr>
                <w:rFonts w:ascii="宋体" w:hAnsi="宋体" w:cs="宋体" w:eastAsia="宋体" w:hint="default"/>
                <w:sz w:val="18"/>
                <w:szCs w:val="18"/>
              </w:rPr>
            </w:pPr>
            <w:r>
              <w:rPr>
                <w:rFonts w:ascii="宋体" w:hAnsi="宋体" w:cs="宋体" w:eastAsia="宋体" w:hint="default"/>
                <w:sz w:val="18"/>
                <w:szCs w:val="18"/>
              </w:rPr>
              <w:t>陷。重要缺陷：是指一个或多个控制缺陷 的组合，其严重程度和经济后果低于重大 </w:t>
            </w:r>
            <w:r>
              <w:rPr>
                <w:rFonts w:ascii="宋体" w:hAnsi="宋体" w:cs="宋体" w:eastAsia="宋体" w:hint="default"/>
                <w:spacing w:val="-6"/>
                <w:sz w:val="18"/>
                <w:szCs w:val="18"/>
              </w:rPr>
              <w:t>缺陷，但仍有可能导致企业偏离控制目标。</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一般缺陷：不构成重大缺陷或重要缺陷的</w:t>
            </w:r>
            <w:r>
              <w:rPr>
                <w:rFonts w:ascii="宋体" w:hAnsi="宋体" w:cs="宋体" w:eastAsia="宋体" w:hint="default"/>
                <w:sz w:val="18"/>
                <w:szCs w:val="18"/>
              </w:rPr>
              <w:t> 其他内部控制缺陷。</w:t>
            </w:r>
          </w:p>
        </w:tc>
        <w:tc>
          <w:tcPr>
            <w:tcW w:w="3053" w:type="dxa"/>
            <w:tcBorders>
              <w:top w:val="single" w:sz="4" w:space="0" w:color="000000"/>
              <w:left w:val="single" w:sz="14" w:space="0" w:color="FFFFFF"/>
              <w:bottom w:val="single" w:sz="4" w:space="0" w:color="000000"/>
              <w:right w:val="single" w:sz="4" w:space="0" w:color="000000"/>
            </w:tcBorders>
          </w:tcPr>
          <w:p>
            <w:pPr>
              <w:pStyle w:val="TableParagraph"/>
              <w:spacing w:line="316" w:lineRule="auto" w:before="8"/>
              <w:ind w:left="13" w:right="19"/>
              <w:jc w:val="left"/>
              <w:rPr>
                <w:rFonts w:ascii="宋体" w:hAnsi="宋体" w:cs="宋体" w:eastAsia="宋体" w:hint="default"/>
                <w:sz w:val="18"/>
                <w:szCs w:val="18"/>
              </w:rPr>
            </w:pPr>
            <w:r>
              <w:rPr>
                <w:rFonts w:ascii="宋体" w:hAnsi="宋体" w:cs="宋体" w:eastAsia="宋体" w:hint="default"/>
                <w:spacing w:val="-4"/>
                <w:sz w:val="18"/>
                <w:szCs w:val="18"/>
              </w:rPr>
              <w:t>和经济后果低于重大缺陷，但仍有可能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导致企业偏离控制目标。一般缺陷：不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构成重大缺陷或重要缺陷的其他内部 控制缺陷。</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7"/>
                <w:szCs w:val="27"/>
              </w:rPr>
            </w:pPr>
          </w:p>
          <w:p>
            <w:pPr>
              <w:pStyle w:val="TableParagraph"/>
              <w:spacing w:line="312" w:lineRule="exact"/>
              <w:ind w:left="13" w:right="-27"/>
              <w:jc w:val="left"/>
              <w:rPr>
                <w:rFonts w:ascii="宋体" w:hAnsi="宋体" w:cs="宋体" w:eastAsia="宋体" w:hint="default"/>
                <w:sz w:val="20"/>
                <w:szCs w:val="20"/>
              </w:rPr>
            </w:pPr>
            <w:r>
              <w:rPr>
                <w:rFonts w:ascii="宋体" w:hAnsi="宋体" w:cs="宋体" w:eastAsia="宋体" w:hint="default"/>
                <w:position w:val="-5"/>
                <w:sz w:val="20"/>
                <w:szCs w:val="20"/>
              </w:rPr>
              <w:pict>
                <v:group style="width:149.65pt;height:15.6pt;mso-position-horizontal-relative:char;mso-position-vertical-relative:line" coordorigin="0,0" coordsize="2993,312">
                  <v:group style="position:absolute;left:0;top:0;width:2993;height:312" coordorigin="0,0" coordsize="2993,312">
                    <v:shape style="position:absolute;left:0;top:0;width:2993;height:312" coordorigin="0,0" coordsize="2993,312" path="m0,312l2993,312,2993,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r>
      <w:tr>
        <w:trPr>
          <w:trHeight w:val="2897"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3" w:right="47"/>
              <w:jc w:val="left"/>
              <w:rPr>
                <w:rFonts w:ascii="宋体" w:hAnsi="宋体" w:cs="宋体" w:eastAsia="宋体" w:hint="default"/>
                <w:sz w:val="18"/>
                <w:szCs w:val="18"/>
              </w:rPr>
            </w:pPr>
            <w:r>
              <w:rPr>
                <w:rFonts w:ascii="宋体" w:hAnsi="宋体" w:cs="宋体" w:eastAsia="宋体" w:hint="default"/>
                <w:sz w:val="18"/>
                <w:szCs w:val="18"/>
              </w:rPr>
              <w:t>本公司以利润总额的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作为财务报表整 体重要性水平，当潜在错报大于或等于财 务报表整体重要性水平时为重大缺陷。当 潜在错报小于财务报表整体重要性水平且 大于或等于财务报表整体重要性水平的 </w:t>
            </w:r>
            <w:r>
              <w:rPr>
                <w:rFonts w:ascii="Times New Roman" w:hAnsi="Times New Roman" w:cs="Times New Roman" w:eastAsia="Times New Roman" w:hint="default"/>
                <w:sz w:val="18"/>
                <w:szCs w:val="18"/>
              </w:rPr>
              <w:t>30%</w:t>
            </w:r>
            <w:r>
              <w:rPr>
                <w:rFonts w:ascii="宋体" w:hAnsi="宋体" w:cs="宋体" w:eastAsia="宋体" w:hint="default"/>
                <w:sz w:val="18"/>
                <w:szCs w:val="18"/>
              </w:rPr>
              <w:t>时为重要缺陷。当潜在错报小于财务 报表整体重要性水平的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时为一般缺 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本公司以利润总额的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作为确定缺陷 </w:t>
            </w:r>
            <w:r>
              <w:rPr>
                <w:rFonts w:ascii="宋体" w:hAnsi="宋体" w:cs="宋体" w:eastAsia="宋体" w:hint="default"/>
                <w:spacing w:val="-4"/>
                <w:sz w:val="18"/>
                <w:szCs w:val="18"/>
              </w:rPr>
              <w:t>等级标准。当内部控制缺陷导致或可能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导致的直接损失金额大于或等于该标 </w:t>
            </w:r>
            <w:r>
              <w:rPr>
                <w:rFonts w:ascii="宋体" w:hAnsi="宋体" w:cs="宋体" w:eastAsia="宋体" w:hint="default"/>
                <w:spacing w:val="-4"/>
                <w:sz w:val="18"/>
                <w:szCs w:val="18"/>
              </w:rPr>
              <w:t>准时为重大缺陷。当内部控制缺陷导致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或可能导致的直接损失金额小于该标 准且大于或等于该标准的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时为重 </w:t>
            </w:r>
            <w:r>
              <w:rPr>
                <w:rFonts w:ascii="宋体" w:hAnsi="宋体" w:cs="宋体" w:eastAsia="宋体" w:hint="default"/>
                <w:spacing w:val="-4"/>
                <w:sz w:val="18"/>
                <w:szCs w:val="18"/>
              </w:rPr>
              <w:t>要缺陷。当内部控制缺陷导致或可能导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致的直接损失金额小于该标准的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时为一般缺陷。</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1129"/>
        <w:jc w:val="left"/>
        <w:rPr>
          <w:b w:val="0"/>
          <w:bCs w:val="0"/>
        </w:rPr>
      </w:pPr>
      <w:bookmarkStart w:name="十、内部控制审计报告或鉴证报告" w:id="150"/>
      <w:bookmarkEnd w:id="150"/>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9"/>
        <w:jc w:val="left"/>
      </w:pPr>
      <w:r>
        <w:rPr/>
        <w:t>不适用</w:t>
      </w:r>
    </w:p>
    <w:p>
      <w:pPr>
        <w:spacing w:after="0" w:line="240" w:lineRule="auto"/>
        <w:jc w:val="left"/>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4" w:right="1129"/>
        <w:jc w:val="left"/>
        <w:rPr>
          <w:b w:val="0"/>
          <w:bCs w:val="0"/>
        </w:rPr>
      </w:pPr>
      <w:bookmarkStart w:name="第十节 公司债券相关情况" w:id="151"/>
      <w:bookmarkEnd w:id="151"/>
      <w:r>
        <w:rPr>
          <w:b w:val="0"/>
          <w:bCs w:val="0"/>
        </w:rPr>
      </w:r>
      <w:bookmarkStart w:name="_bookmark8" w:id="152"/>
      <w:bookmarkEnd w:id="152"/>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6" w:right="1129"/>
        <w:jc w:val="left"/>
        <w:rPr>
          <w:b w:val="0"/>
          <w:bCs w:val="0"/>
        </w:rPr>
      </w:pPr>
      <w:bookmarkStart w:name="第十一节 财务报告" w:id="153"/>
      <w:bookmarkEnd w:id="153"/>
      <w:r>
        <w:rPr>
          <w:b w:val="0"/>
          <w:bCs w:val="0"/>
        </w:rPr>
      </w:r>
      <w:bookmarkStart w:name="_bookmark9" w:id="154"/>
      <w:bookmarkEnd w:id="154"/>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9"/>
        <w:jc w:val="left"/>
        <w:rPr>
          <w:b w:val="0"/>
          <w:bCs w:val="0"/>
        </w:rPr>
      </w:pPr>
      <w:bookmarkStart w:name="一、审计报告" w:id="155"/>
      <w:bookmarkEnd w:id="15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普华永道中天会计师事务所（特殊普通合伙）</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普华永道中天审字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李雪梅、李莎</w:t>
            </w:r>
          </w:p>
        </w:tc>
      </w:tr>
    </w:tbl>
    <w:p>
      <w:pPr>
        <w:pStyle w:val="BodyText"/>
        <w:spacing w:line="357" w:lineRule="auto" w:before="49"/>
        <w:ind w:left="4432" w:right="5412"/>
        <w:jc w:val="center"/>
      </w:pPr>
      <w:r>
        <w:rPr/>
        <w:t>审计报告正文 审计报告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before="44"/>
        <w:ind w:left="0" w:right="1130"/>
        <w:jc w:val="right"/>
      </w:pPr>
      <w:r>
        <w:rPr>
          <w:spacing w:val="-1"/>
        </w:rPr>
        <w:t>普华永道中天审字</w:t>
      </w:r>
      <w:r>
        <w:rPr>
          <w:rFonts w:ascii="Times New Roman" w:hAnsi="Times New Roman" w:cs="Times New Roman" w:eastAsia="Times New Roman" w:hint="default"/>
          <w:spacing w:val="-1"/>
        </w:rPr>
        <w:t>(2019)</w:t>
      </w:r>
      <w:r>
        <w:rPr>
          <w:spacing w:val="-1"/>
        </w:rPr>
        <w:t>第</w:t>
      </w:r>
      <w:r>
        <w:rPr>
          <w:rFonts w:ascii="Times New Roman" w:hAnsi="Times New Roman" w:cs="Times New Roman" w:eastAsia="Times New Roman" w:hint="default"/>
          <w:spacing w:val="-1"/>
        </w:rPr>
        <w:t>10061</w:t>
      </w:r>
      <w:r>
        <w:rPr>
          <w:spacing w:val="-1"/>
        </w:rPr>
        <w:t>号</w:t>
      </w:r>
    </w:p>
    <w:p>
      <w:pPr>
        <w:pStyle w:val="BodyText"/>
        <w:spacing w:line="240" w:lineRule="auto" w:before="62"/>
        <w:ind w:left="0" w:right="1133"/>
        <w:jc w:val="right"/>
      </w:pPr>
      <w:r>
        <w:rPr/>
        <w:t>（第一页，共六页）</w:t>
      </w:r>
    </w:p>
    <w:p>
      <w:pPr>
        <w:spacing w:line="240" w:lineRule="auto" w:before="4"/>
        <w:rPr>
          <w:rFonts w:ascii="宋体" w:hAnsi="宋体" w:cs="宋体" w:eastAsia="宋体" w:hint="default"/>
          <w:sz w:val="26"/>
          <w:szCs w:val="26"/>
        </w:rPr>
      </w:pPr>
    </w:p>
    <w:p>
      <w:pPr>
        <w:spacing w:line="636" w:lineRule="auto" w:before="44"/>
        <w:ind w:left="152" w:right="8054" w:firstLine="0"/>
        <w:jc w:val="left"/>
        <w:rPr>
          <w:rFonts w:ascii="宋体" w:hAnsi="宋体" w:cs="宋体" w:eastAsia="宋体" w:hint="default"/>
          <w:sz w:val="18"/>
          <w:szCs w:val="18"/>
        </w:rPr>
      </w:pPr>
      <w:r>
        <w:rPr>
          <w:rFonts w:ascii="宋体" w:hAnsi="宋体" w:cs="宋体" w:eastAsia="宋体" w:hint="default"/>
          <w:sz w:val="18"/>
          <w:szCs w:val="18"/>
        </w:rPr>
        <w:t>朗新科技股份有限公司全体股东：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240" w:lineRule="auto" w:before="139"/>
        <w:ind w:right="1129"/>
        <w:jc w:val="left"/>
      </w:pPr>
      <w:r>
        <w:rPr/>
        <w:t>（一）我们审计的内容</w:t>
      </w:r>
    </w:p>
    <w:p>
      <w:pPr>
        <w:spacing w:line="240" w:lineRule="auto" w:before="2"/>
        <w:rPr>
          <w:rFonts w:ascii="宋体" w:hAnsi="宋体" w:cs="宋体" w:eastAsia="宋体" w:hint="default"/>
          <w:sz w:val="18"/>
          <w:szCs w:val="18"/>
        </w:rPr>
      </w:pPr>
    </w:p>
    <w:p>
      <w:pPr>
        <w:pStyle w:val="BodyText"/>
        <w:spacing w:line="300" w:lineRule="auto"/>
        <w:ind w:right="1129" w:firstLine="566"/>
        <w:jc w:val="left"/>
      </w:pPr>
      <w:r>
        <w:rPr>
          <w:spacing w:val="-2"/>
        </w:rPr>
        <w:t>我们审计了朗新科技股份有限公司（以下简称</w:t>
      </w:r>
      <w:r>
        <w:rPr>
          <w:rFonts w:ascii="Times New Roman" w:hAnsi="Times New Roman" w:cs="Times New Roman" w:eastAsia="Times New Roman" w:hint="default"/>
          <w:spacing w:val="-2"/>
        </w:rPr>
        <w:t>“</w:t>
      </w:r>
      <w:r>
        <w:rPr>
          <w:spacing w:val="-2"/>
        </w:rPr>
        <w:t>朗新公司</w:t>
      </w:r>
      <w:r>
        <w:rPr>
          <w:rFonts w:ascii="Times New Roman" w:hAnsi="Times New Roman" w:cs="Times New Roman" w:eastAsia="Times New Roman" w:hint="default"/>
          <w:spacing w:val="-2"/>
        </w:rPr>
        <w:t>”</w:t>
      </w:r>
      <w:r>
        <w:rPr>
          <w:spacing w:val="-2"/>
        </w:rPr>
        <w:t>）的财务报表，包括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日的合并及公司资产负债</w:t>
      </w:r>
      <w:r>
        <w:rPr/>
        <w:t> 表，</w:t>
      </w:r>
      <w:r>
        <w:rPr>
          <w:rFonts w:ascii="Times New Roman" w:hAnsi="Times New Roman" w:cs="Times New Roman" w:eastAsia="Times New Roman" w:hint="default"/>
        </w:rPr>
        <w:t>2018</w:t>
      </w:r>
      <w:r>
        <w:rPr/>
        <w:t>年度的合并及公司利润表、合并及公司现金流量表、合并及公司股东权益变动表以及财务报表附注。</w:t>
      </w:r>
    </w:p>
    <w:p>
      <w:pPr>
        <w:spacing w:line="240" w:lineRule="auto" w:before="11"/>
        <w:rPr>
          <w:rFonts w:ascii="宋体" w:hAnsi="宋体" w:cs="宋体" w:eastAsia="宋体" w:hint="default"/>
          <w:sz w:val="24"/>
          <w:szCs w:val="24"/>
        </w:rPr>
      </w:pPr>
    </w:p>
    <w:p>
      <w:pPr>
        <w:pStyle w:val="BodyText"/>
        <w:spacing w:line="240" w:lineRule="auto"/>
        <w:ind w:right="1129"/>
        <w:jc w:val="left"/>
      </w:pPr>
      <w:r>
        <w:rPr/>
        <w:t>（二）我们的意见</w:t>
      </w:r>
    </w:p>
    <w:p>
      <w:pPr>
        <w:spacing w:line="240" w:lineRule="auto" w:before="12"/>
        <w:rPr>
          <w:rFonts w:ascii="宋体" w:hAnsi="宋体" w:cs="宋体" w:eastAsia="宋体" w:hint="default"/>
          <w:sz w:val="17"/>
          <w:szCs w:val="17"/>
        </w:rPr>
      </w:pPr>
    </w:p>
    <w:p>
      <w:pPr>
        <w:pStyle w:val="BodyText"/>
        <w:spacing w:line="300" w:lineRule="auto"/>
        <w:ind w:right="1129" w:firstLine="566"/>
        <w:jc w:val="left"/>
      </w:pPr>
      <w:r>
        <w:rPr/>
        <w:t>我们认为，后附的财务报表在所有重大方面按照企业会计准则的规定编制，公允反映了朗新公司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w:t>
      </w:r>
      <w:r>
        <w:rPr>
          <w:spacing w:val="2"/>
        </w:rPr>
        <w:t> </w:t>
      </w:r>
      <w:r>
        <w:rPr/>
        <w:t>合并及公司财务状况以及</w:t>
      </w:r>
      <w:r>
        <w:rPr>
          <w:rFonts w:ascii="Times New Roman" w:hAnsi="Times New Roman" w:cs="Times New Roman" w:eastAsia="Times New Roman" w:hint="default"/>
        </w:rPr>
        <w:t>2018</w:t>
      </w:r>
      <w:r>
        <w:rPr/>
        <w:t>年度的合并及公司经营成果和现金流量。</w:t>
      </w:r>
    </w:p>
    <w:p>
      <w:pPr>
        <w:pStyle w:val="BodyText"/>
        <w:spacing w:line="440" w:lineRule="atLeast" w:before="120"/>
        <w:ind w:left="719" w:right="1131" w:hanging="567"/>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w:t>
      </w:r>
    </w:p>
    <w:p>
      <w:pPr>
        <w:pStyle w:val="BodyText"/>
        <w:spacing w:line="636" w:lineRule="auto" w:before="62"/>
        <w:ind w:left="791" w:right="1574" w:hanging="639"/>
        <w:jc w:val="left"/>
      </w:pPr>
      <w:r>
        <w:rPr/>
        <w:t>步阐述了我们在这些准则下的责任。我们相信，我们获取的审计证据是充分、适当的，为发表审计意见提供了基础。 按照中国注册会计师职业道德守则，我们独立于朗新公司，并履行了职业道德方面的其他责任。</w:t>
      </w:r>
    </w:p>
    <w:p>
      <w:pPr>
        <w:pStyle w:val="Heading4"/>
        <w:spacing w:line="240" w:lineRule="auto" w:before="91"/>
        <w:ind w:right="1129"/>
        <w:jc w:val="left"/>
        <w:rPr>
          <w:b w:val="0"/>
          <w:bCs w:val="0"/>
        </w:rPr>
      </w:pPr>
      <w:r>
        <w:rPr/>
        <w:t>三、关键审计事项</w:t>
      </w:r>
      <w:r>
        <w:rPr>
          <w:b w:val="0"/>
          <w:bCs w:val="0"/>
        </w:rPr>
      </w:r>
    </w:p>
    <w:p>
      <w:pPr>
        <w:spacing w:line="240" w:lineRule="auto" w:before="0"/>
        <w:rPr>
          <w:rFonts w:ascii="宋体" w:hAnsi="宋体" w:cs="宋体" w:eastAsia="宋体" w:hint="default"/>
          <w:b/>
          <w:bCs/>
          <w:sz w:val="15"/>
          <w:szCs w:val="15"/>
        </w:rPr>
      </w:pPr>
    </w:p>
    <w:p>
      <w:pPr>
        <w:pStyle w:val="BodyText"/>
        <w:spacing w:line="316" w:lineRule="auto"/>
        <w:ind w:right="1129" w:firstLine="566"/>
        <w:jc w:val="left"/>
      </w:pPr>
      <w:r>
        <w:rPr/>
        <w:t>关键审计事项是我们根据职业判断，认为对本期财务报表审计最为重要的事项。这些事项的应对以对财务报表整体</w:t>
      </w:r>
      <w:r>
        <w:rPr>
          <w:spacing w:val="2"/>
        </w:rPr>
        <w:t> </w:t>
      </w:r>
      <w:r>
        <w:rPr/>
        <w:t>进行审计并形成审计意见为背景，我们不对这些事项单独发表意见。</w:t>
      </w:r>
    </w:p>
    <w:p>
      <w:pPr>
        <w:spacing w:after="0" w:line="316"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719" w:right="1129"/>
        <w:jc w:val="left"/>
      </w:pPr>
      <w:r>
        <w:rPr/>
        <w:t>我们在审计中识别出的关键审计事项汇总如下：</w:t>
      </w:r>
    </w:p>
    <w:p>
      <w:pPr>
        <w:spacing w:line="240" w:lineRule="auto" w:before="0"/>
        <w:rPr>
          <w:rFonts w:ascii="宋体" w:hAnsi="宋体" w:cs="宋体" w:eastAsia="宋体" w:hint="default"/>
          <w:sz w:val="18"/>
          <w:szCs w:val="18"/>
        </w:rPr>
      </w:pPr>
    </w:p>
    <w:p>
      <w:pPr>
        <w:pStyle w:val="BodyText"/>
        <w:spacing w:line="240" w:lineRule="auto" w:before="152"/>
        <w:ind w:left="579" w:right="1129"/>
        <w:jc w:val="left"/>
      </w:pPr>
      <w:r>
        <w:rPr/>
        <w:t>（一）定制软件开发业务收入确认</w:t>
      </w:r>
    </w:p>
    <w:p>
      <w:pPr>
        <w:pStyle w:val="BodyText"/>
        <w:spacing w:line="240" w:lineRule="auto" w:before="76"/>
        <w:ind w:left="579" w:right="1129"/>
        <w:jc w:val="left"/>
      </w:pPr>
      <w:r>
        <w:rPr/>
        <w:t>（二）股份支付</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pStyle w:val="BodyText"/>
        <w:spacing w:line="240" w:lineRule="auto"/>
        <w:ind w:left="0" w:right="1043"/>
        <w:jc w:val="right"/>
      </w:pPr>
      <w:r>
        <w:rPr/>
        <w:pict>
          <v:shape style="position:absolute;margin-left:55.799999pt;margin-top:-81.408279pt;width:484pt;height:379.1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73"/>
                    <w:gridCol w:w="4985"/>
                  </w:tblGrid>
                  <w:tr>
                    <w:trPr>
                      <w:trHeight w:val="348" w:hRule="exact"/>
                    </w:trPr>
                    <w:tc>
                      <w:tcPr>
                        <w:tcW w:w="4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关键审计事项</w:t>
                        </w:r>
                      </w:p>
                    </w:tc>
                    <w:tc>
                      <w:tcPr>
                        <w:tcW w:w="4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18"/>
                            <w:szCs w:val="18"/>
                          </w:rPr>
                        </w:pPr>
                        <w:r>
                          <w:rPr>
                            <w:rFonts w:ascii="宋体" w:hAnsi="宋体" w:cs="宋体" w:eastAsia="宋体" w:hint="default"/>
                            <w:sz w:val="18"/>
                            <w:szCs w:val="18"/>
                          </w:rPr>
                          <w:t>我们在审计中如何应对关键审计事项</w:t>
                        </w:r>
                      </w:p>
                    </w:tc>
                  </w:tr>
                  <w:tr>
                    <w:trPr>
                      <w:trHeight w:val="7219" w:hRule="exact"/>
                    </w:trPr>
                    <w:tc>
                      <w:tcPr>
                        <w:tcW w:w="4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2" w:right="0"/>
                          <w:jc w:val="both"/>
                          <w:rPr>
                            <w:rFonts w:ascii="宋体" w:hAnsi="宋体" w:cs="宋体" w:eastAsia="宋体" w:hint="default"/>
                            <w:sz w:val="18"/>
                            <w:szCs w:val="18"/>
                          </w:rPr>
                        </w:pPr>
                        <w:r>
                          <w:rPr>
                            <w:rFonts w:ascii="宋体" w:hAnsi="宋体" w:cs="宋体" w:eastAsia="宋体" w:hint="default"/>
                            <w:b/>
                            <w:bCs/>
                            <w:sz w:val="18"/>
                            <w:szCs w:val="18"/>
                          </w:rPr>
                          <w:t>（一）定制软件开发业务收入确认</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53"/>
                          <w:ind w:left="2" w:right="-3"/>
                          <w:jc w:val="both"/>
                          <w:rPr>
                            <w:rFonts w:ascii="宋体" w:hAnsi="宋体" w:cs="宋体" w:eastAsia="宋体" w:hint="default"/>
                            <w:sz w:val="18"/>
                            <w:szCs w:val="18"/>
                          </w:rPr>
                        </w:pPr>
                        <w:r>
                          <w:rPr>
                            <w:rFonts w:ascii="宋体" w:hAnsi="宋体" w:cs="宋体" w:eastAsia="宋体" w:hint="default"/>
                            <w:sz w:val="18"/>
                            <w:szCs w:val="18"/>
                          </w:rPr>
                          <w:t>参见财务报表附注二</w:t>
                        </w:r>
                        <w:r>
                          <w:rPr>
                            <w:rFonts w:ascii="Times New Roman" w:hAnsi="Times New Roman" w:cs="Times New Roman" w:eastAsia="Times New Roman" w:hint="default"/>
                            <w:sz w:val="18"/>
                            <w:szCs w:val="18"/>
                          </w:rPr>
                          <w:t>(23)“</w:t>
                        </w:r>
                        <w:r>
                          <w:rPr>
                            <w:rFonts w:ascii="宋体" w:hAnsi="宋体" w:cs="宋体" w:eastAsia="宋体" w:hint="default"/>
                            <w:sz w:val="18"/>
                            <w:szCs w:val="18"/>
                          </w:rPr>
                          <w:t>收入确认</w:t>
                        </w:r>
                        <w:r>
                          <w:rPr>
                            <w:rFonts w:ascii="Times New Roman" w:hAnsi="Times New Roman" w:cs="Times New Roman" w:eastAsia="Times New Roman" w:hint="default"/>
                            <w:sz w:val="18"/>
                            <w:szCs w:val="18"/>
                          </w:rPr>
                          <w:t>”</w:t>
                        </w:r>
                        <w:r>
                          <w:rPr>
                            <w:rFonts w:ascii="宋体" w:hAnsi="宋体" w:cs="宋体" w:eastAsia="宋体" w:hint="default"/>
                            <w:sz w:val="18"/>
                            <w:szCs w:val="18"/>
                          </w:rPr>
                          <w:t>及附注四</w:t>
                        </w:r>
                        <w:r>
                          <w:rPr>
                            <w:rFonts w:ascii="Times New Roman" w:hAnsi="Times New Roman" w:cs="Times New Roman" w:eastAsia="Times New Roman" w:hint="default"/>
                            <w:sz w:val="18"/>
                            <w:szCs w:val="18"/>
                          </w:rPr>
                          <w:t>(27)“</w:t>
                        </w:r>
                        <w:r>
                          <w:rPr>
                            <w:rFonts w:ascii="宋体" w:hAnsi="宋体" w:cs="宋体" w:eastAsia="宋体" w:hint="default"/>
                            <w:sz w:val="18"/>
                            <w:szCs w:val="18"/>
                          </w:rPr>
                          <w:t>营业收入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及营业成本</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300" w:lineRule="auto"/>
                          <w:ind w:left="2" w:right="-1"/>
                          <w:jc w:val="both"/>
                          <w:rPr>
                            <w:rFonts w:ascii="宋体" w:hAnsi="宋体" w:cs="宋体" w:eastAsia="宋体" w:hint="default"/>
                            <w:sz w:val="18"/>
                            <w:szCs w:val="18"/>
                          </w:rPr>
                        </w:pPr>
                        <w:r>
                          <w:rPr>
                            <w:rFonts w:ascii="宋体" w:hAnsi="宋体" w:cs="宋体" w:eastAsia="宋体" w:hint="default"/>
                            <w:sz w:val="18"/>
                            <w:szCs w:val="18"/>
                          </w:rPr>
                          <w:t>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年度，朗新公司定制软件开发业务收入为人民币</w:t>
                        </w:r>
                        <w:r>
                          <w:rPr>
                            <w:rFonts w:ascii="Times New Roman" w:hAnsi="Times New Roman" w:cs="Times New Roman" w:eastAsia="Times New Roman" w:hint="default"/>
                            <w:sz w:val="18"/>
                            <w:szCs w:val="18"/>
                          </w:rPr>
                          <w:t>8.60</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pacing w:val="-29"/>
                            <w:sz w:val="18"/>
                            <w:szCs w:val="18"/>
                          </w:rPr>
                        </w:r>
                        <w:r>
                          <w:rPr>
                            <w:rFonts w:ascii="宋体" w:hAnsi="宋体" w:cs="宋体" w:eastAsia="宋体" w:hint="default"/>
                            <w:sz w:val="18"/>
                            <w:szCs w:val="18"/>
                          </w:rPr>
                          <w:t>亿元，占营业收入的比重为</w:t>
                        </w:r>
                        <w:r>
                          <w:rPr>
                            <w:rFonts w:ascii="Times New Roman" w:hAnsi="Times New Roman" w:cs="Times New Roman" w:eastAsia="Times New Roman" w:hint="default"/>
                            <w:sz w:val="18"/>
                            <w:szCs w:val="18"/>
                          </w:rPr>
                          <w:t>84.71%</w:t>
                        </w:r>
                        <w:r>
                          <w:rPr>
                            <w:rFonts w:ascii="宋体" w:hAnsi="宋体" w:cs="宋体" w:eastAsia="宋体" w:hint="default"/>
                            <w:sz w:val="18"/>
                            <w:szCs w:val="18"/>
                          </w:rPr>
                          <w:t>。</w:t>
                        </w: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316" w:lineRule="auto"/>
                          <w:ind w:left="2" w:right="-1"/>
                          <w:jc w:val="both"/>
                          <w:rPr>
                            <w:rFonts w:ascii="宋体" w:hAnsi="宋体" w:cs="宋体" w:eastAsia="宋体" w:hint="default"/>
                            <w:sz w:val="18"/>
                            <w:szCs w:val="18"/>
                          </w:rPr>
                        </w:pPr>
                        <w:r>
                          <w:rPr>
                            <w:rFonts w:ascii="宋体" w:hAnsi="宋体" w:cs="宋体" w:eastAsia="宋体" w:hint="default"/>
                            <w:spacing w:val="-2"/>
                            <w:sz w:val="18"/>
                            <w:szCs w:val="18"/>
                          </w:rPr>
                          <w:t>定制软件开发业务，包括软件的设计、开发、测试和实施等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环节。朗新公司在合同项目主要功能通过测试并取得客户确</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认的上线报告的前提下开始确认收入，完工进度按已经发生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的成本占预计总成本的比例确定，结合合同总收入及以前期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间累计确认收入，确认当期定制软件开发收入。</w:t>
                        </w:r>
                      </w:p>
                      <w:p>
                        <w:pPr>
                          <w:pStyle w:val="TableParagraph"/>
                          <w:spacing w:line="240" w:lineRule="auto" w:before="4"/>
                          <w:ind w:right="0"/>
                          <w:jc w:val="left"/>
                          <w:rPr>
                            <w:rFonts w:ascii="宋体" w:hAnsi="宋体" w:cs="宋体" w:eastAsia="宋体" w:hint="default"/>
                            <w:b/>
                            <w:bCs/>
                            <w:sz w:val="25"/>
                            <w:szCs w:val="25"/>
                          </w:rPr>
                        </w:pPr>
                      </w:p>
                      <w:p>
                        <w:pPr>
                          <w:pStyle w:val="TableParagraph"/>
                          <w:spacing w:line="316" w:lineRule="auto"/>
                          <w:ind w:left="2" w:right="-1"/>
                          <w:jc w:val="both"/>
                          <w:rPr>
                            <w:rFonts w:ascii="宋体" w:hAnsi="宋体" w:cs="宋体" w:eastAsia="宋体" w:hint="default"/>
                            <w:sz w:val="18"/>
                            <w:szCs w:val="18"/>
                          </w:rPr>
                        </w:pPr>
                        <w:r>
                          <w:rPr>
                            <w:rFonts w:ascii="宋体" w:hAnsi="宋体" w:cs="宋体" w:eastAsia="宋体" w:hint="default"/>
                            <w:spacing w:val="-1"/>
                            <w:sz w:val="18"/>
                            <w:szCs w:val="18"/>
                          </w:rPr>
                          <w:t>管理层在制定预计总成本时，需要基于过往经验、合同项目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规划及不确定性风险评估等因素，并于合同执行过程中持续</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评估和修订。</w:t>
                        </w:r>
                      </w:p>
                      <w:p>
                        <w:pPr>
                          <w:pStyle w:val="TableParagraph"/>
                          <w:spacing w:line="240" w:lineRule="auto" w:before="4"/>
                          <w:ind w:right="0"/>
                          <w:jc w:val="left"/>
                          <w:rPr>
                            <w:rFonts w:ascii="宋体" w:hAnsi="宋体" w:cs="宋体" w:eastAsia="宋体" w:hint="default"/>
                            <w:b/>
                            <w:bCs/>
                            <w:sz w:val="25"/>
                            <w:szCs w:val="25"/>
                          </w:rPr>
                        </w:pPr>
                      </w:p>
                      <w:p>
                        <w:pPr>
                          <w:pStyle w:val="TableParagraph"/>
                          <w:spacing w:line="316" w:lineRule="auto"/>
                          <w:ind w:left="2" w:right="0"/>
                          <w:jc w:val="both"/>
                          <w:rPr>
                            <w:rFonts w:ascii="宋体" w:hAnsi="宋体" w:cs="宋体" w:eastAsia="宋体" w:hint="default"/>
                            <w:sz w:val="18"/>
                            <w:szCs w:val="18"/>
                          </w:rPr>
                        </w:pPr>
                        <w:r>
                          <w:rPr>
                            <w:rFonts w:ascii="宋体" w:hAnsi="宋体" w:cs="宋体" w:eastAsia="宋体" w:hint="default"/>
                            <w:spacing w:val="-2"/>
                            <w:sz w:val="18"/>
                            <w:szCs w:val="18"/>
                          </w:rPr>
                          <w:t>由于定制软件开发业务收入金额重大且核算过程复杂，属于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审计重点关注领域，因此我们将其认定为关键审计事项。</w:t>
                        </w:r>
                      </w:p>
                    </w:tc>
                    <w:tc>
                      <w:tcPr>
                        <w:tcW w:w="4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我们实施的审计程序包括：</w:t>
                        </w: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53"/>
                          <w:ind w:left="364" w:right="0" w:hanging="360"/>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了解、评价并测试与定制软件开发业务收入确认相关的内部</w:t>
                        </w:r>
                        <w:r>
                          <w:rPr>
                            <w:rFonts w:ascii="宋体" w:hAnsi="宋体" w:cs="宋体" w:eastAsia="宋体" w:hint="default"/>
                            <w:sz w:val="18"/>
                            <w:szCs w:val="18"/>
                          </w:rPr>
                          <w:t> </w:t>
                        </w:r>
                        <w:r>
                          <w:rPr>
                            <w:rFonts w:ascii="宋体" w:hAnsi="宋体" w:cs="宋体" w:eastAsia="宋体" w:hint="default"/>
                            <w:spacing w:val="-7"/>
                            <w:sz w:val="18"/>
                            <w:szCs w:val="18"/>
                          </w:rPr>
                          <w:t>控制，包括预算管理、成本归集、完工进度计算和收入确认</w:t>
                        </w:r>
                      </w:p>
                      <w:p>
                        <w:pPr>
                          <w:pStyle w:val="TableParagraph"/>
                          <w:spacing w:line="240" w:lineRule="auto" w:before="4"/>
                          <w:ind w:right="0"/>
                          <w:jc w:val="left"/>
                          <w:rPr>
                            <w:rFonts w:ascii="宋体" w:hAnsi="宋体" w:cs="宋体" w:eastAsia="宋体" w:hint="default"/>
                            <w:b/>
                            <w:bCs/>
                            <w:sz w:val="25"/>
                            <w:szCs w:val="25"/>
                          </w:rPr>
                        </w:pPr>
                      </w:p>
                      <w:p>
                        <w:pPr>
                          <w:pStyle w:val="TableParagraph"/>
                          <w:spacing w:line="316" w:lineRule="auto"/>
                          <w:ind w:left="364" w:right="-9" w:hanging="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5"/>
                            <w:sz w:val="18"/>
                            <w:szCs w:val="18"/>
                          </w:rPr>
                          <w:t> </w:t>
                        </w:r>
                        <w:r>
                          <w:rPr>
                            <w:rFonts w:ascii="宋体" w:hAnsi="宋体" w:cs="宋体" w:eastAsia="宋体" w:hint="default"/>
                            <w:spacing w:val="3"/>
                            <w:sz w:val="18"/>
                            <w:szCs w:val="18"/>
                          </w:rPr>
                          <w:t>抽取已完工合同，将已经发生的成本与预计总成本进行对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比，分析差异原因，以评估管理层制定预计总成本的经验和</w:t>
                        </w:r>
                        <w:r>
                          <w:rPr>
                            <w:rFonts w:ascii="宋体" w:hAnsi="宋体" w:cs="宋体" w:eastAsia="宋体" w:hint="default"/>
                            <w:sz w:val="18"/>
                            <w:szCs w:val="18"/>
                          </w:rPr>
                          <w:t> 能力；</w:t>
                        </w: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复核预计总成本初始审批及定期更新的文档；</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3"/>
                            <w:szCs w:val="23"/>
                          </w:rPr>
                        </w:pPr>
                      </w:p>
                      <w:p>
                        <w:pPr>
                          <w:pStyle w:val="TableParagraph"/>
                          <w:spacing w:line="316" w:lineRule="auto"/>
                          <w:ind w:left="364" w:right="0" w:hanging="360"/>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测试已经发生的成本，根据该等已经发生的成本和预计总成</w:t>
                        </w:r>
                        <w:r>
                          <w:rPr>
                            <w:rFonts w:ascii="宋体" w:hAnsi="宋体" w:cs="宋体" w:eastAsia="宋体" w:hint="default"/>
                            <w:sz w:val="18"/>
                            <w:szCs w:val="18"/>
                          </w:rPr>
                          <w:t> </w:t>
                        </w:r>
                        <w:r>
                          <w:rPr>
                            <w:rFonts w:ascii="宋体" w:hAnsi="宋体" w:cs="宋体" w:eastAsia="宋体" w:hint="default"/>
                            <w:spacing w:val="-3"/>
                            <w:sz w:val="18"/>
                            <w:szCs w:val="18"/>
                          </w:rPr>
                          <w:t>本测算完工百分比，并结合合同总收入，检查收入计算的准</w:t>
                        </w:r>
                        <w:r>
                          <w:rPr>
                            <w:rFonts w:ascii="宋体" w:hAnsi="宋体" w:cs="宋体" w:eastAsia="宋体" w:hint="default"/>
                            <w:sz w:val="18"/>
                            <w:szCs w:val="18"/>
                          </w:rPr>
                          <w:t> 确性；及</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316" w:lineRule="auto"/>
                          <w:ind w:left="4" w:right="0"/>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抽取合同检查上线报告或验收报告签署日期，复核收入开始</w:t>
                        </w:r>
                        <w:r>
                          <w:rPr>
                            <w:rFonts w:ascii="宋体" w:hAnsi="宋体" w:cs="宋体" w:eastAsia="宋体" w:hint="default"/>
                            <w:sz w:val="18"/>
                            <w:szCs w:val="18"/>
                          </w:rPr>
                          <w:t> 确认时点的准确性，就合同执行进度向客户发放函证。</w:t>
                        </w:r>
                      </w:p>
                      <w:p>
                        <w:pPr>
                          <w:pStyle w:val="TableParagraph"/>
                          <w:spacing w:line="240" w:lineRule="auto" w:before="4"/>
                          <w:ind w:right="0"/>
                          <w:jc w:val="left"/>
                          <w:rPr>
                            <w:rFonts w:ascii="宋体" w:hAnsi="宋体" w:cs="宋体" w:eastAsia="宋体" w:hint="default"/>
                            <w:b/>
                            <w:bCs/>
                            <w:sz w:val="25"/>
                            <w:szCs w:val="25"/>
                          </w:rPr>
                        </w:pPr>
                      </w:p>
                      <w:p>
                        <w:pPr>
                          <w:pStyle w:val="TableParagraph"/>
                          <w:spacing w:line="316"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基于所实施的审计程序，管理层的定制软件开发业务收入确认结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果可以被我们获取的证据所支持。</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4"/>
        <w:spacing w:line="240" w:lineRule="auto"/>
        <w:ind w:right="1129"/>
        <w:jc w:val="left"/>
        <w:rPr>
          <w:b w:val="0"/>
          <w:bCs w:val="0"/>
        </w:rPr>
      </w:pPr>
      <w:r>
        <w:rPr/>
        <w:t>三、关键审计事项（续）</w:t>
      </w:r>
      <w:r>
        <w:rPr>
          <w:b w:val="0"/>
          <w:bCs w:val="0"/>
        </w:rPr>
      </w:r>
    </w:p>
    <w:p>
      <w:pPr>
        <w:spacing w:line="240" w:lineRule="auto" w:before="1"/>
        <w:rPr>
          <w:rFonts w:ascii="宋体" w:hAnsi="宋体" w:cs="宋体" w:eastAsia="宋体" w:hint="default"/>
          <w:b/>
          <w:bCs/>
          <w:sz w:val="29"/>
          <w:szCs w:val="29"/>
        </w:rPr>
      </w:pPr>
    </w:p>
    <w:tbl>
      <w:tblPr>
        <w:tblW w:w="0" w:type="auto"/>
        <w:jc w:val="left"/>
        <w:tblInd w:w="136" w:type="dxa"/>
        <w:tblLayout w:type="fixed"/>
        <w:tblCellMar>
          <w:top w:w="0" w:type="dxa"/>
          <w:left w:w="0" w:type="dxa"/>
          <w:bottom w:w="0" w:type="dxa"/>
          <w:right w:w="0" w:type="dxa"/>
        </w:tblCellMar>
        <w:tblLook w:val="01E0"/>
      </w:tblPr>
      <w:tblGrid>
        <w:gridCol w:w="4829"/>
        <w:gridCol w:w="4829"/>
      </w:tblGrid>
      <w:tr>
        <w:trPr>
          <w:trHeight w:val="346"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关键审计事项</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969" w:right="0"/>
              <w:jc w:val="left"/>
              <w:rPr>
                <w:rFonts w:ascii="宋体" w:hAnsi="宋体" w:cs="宋体" w:eastAsia="宋体" w:hint="default"/>
                <w:sz w:val="18"/>
                <w:szCs w:val="18"/>
              </w:rPr>
            </w:pPr>
            <w:r>
              <w:rPr>
                <w:rFonts w:ascii="宋体" w:hAnsi="宋体" w:cs="宋体" w:eastAsia="宋体" w:hint="default"/>
                <w:sz w:val="18"/>
                <w:szCs w:val="18"/>
              </w:rPr>
              <w:t>我们在审计中如何应对关键审计事项</w:t>
            </w:r>
          </w:p>
        </w:tc>
      </w:tr>
      <w:tr>
        <w:trPr>
          <w:trHeight w:val="3156"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2" w:right="0"/>
              <w:jc w:val="both"/>
              <w:rPr>
                <w:rFonts w:ascii="宋体" w:hAnsi="宋体" w:cs="宋体" w:eastAsia="宋体" w:hint="default"/>
                <w:sz w:val="18"/>
                <w:szCs w:val="18"/>
              </w:rPr>
            </w:pPr>
            <w:r>
              <w:rPr>
                <w:rFonts w:ascii="宋体" w:hAnsi="宋体" w:cs="宋体" w:eastAsia="宋体" w:hint="default"/>
                <w:b/>
                <w:bCs/>
                <w:sz w:val="18"/>
                <w:szCs w:val="18"/>
              </w:rPr>
              <w:t>（二）股份支付</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53"/>
              <w:ind w:left="2" w:right="0"/>
              <w:jc w:val="both"/>
              <w:rPr>
                <w:rFonts w:ascii="宋体" w:hAnsi="宋体" w:cs="宋体" w:eastAsia="宋体" w:hint="default"/>
                <w:sz w:val="18"/>
                <w:szCs w:val="18"/>
              </w:rPr>
            </w:pPr>
            <w:r>
              <w:rPr>
                <w:rFonts w:ascii="宋体" w:hAnsi="宋体" w:cs="宋体" w:eastAsia="宋体" w:hint="default"/>
                <w:sz w:val="18"/>
                <w:szCs w:val="18"/>
              </w:rPr>
              <w:t>参见财务报表附注二</w:t>
            </w:r>
            <w:r>
              <w:rPr>
                <w:rFonts w:ascii="Times New Roman" w:hAnsi="Times New Roman" w:cs="Times New Roman" w:eastAsia="Times New Roman" w:hint="default"/>
                <w:sz w:val="18"/>
                <w:szCs w:val="18"/>
              </w:rPr>
              <w:t>(22)“</w:t>
            </w:r>
            <w:r>
              <w:rPr>
                <w:rFonts w:ascii="宋体" w:hAnsi="宋体" w:cs="宋体" w:eastAsia="宋体" w:hint="default"/>
                <w:sz w:val="18"/>
                <w:szCs w:val="18"/>
              </w:rPr>
              <w:t>股份支付</w:t>
            </w:r>
            <w:r>
              <w:rPr>
                <w:rFonts w:ascii="Times New Roman" w:hAnsi="Times New Roman" w:cs="Times New Roman" w:eastAsia="Times New Roman" w:hint="default"/>
                <w:sz w:val="18"/>
                <w:szCs w:val="18"/>
              </w:rPr>
              <w:t>”</w:t>
            </w:r>
            <w:r>
              <w:rPr>
                <w:rFonts w:ascii="宋体" w:hAnsi="宋体" w:cs="宋体" w:eastAsia="宋体" w:hint="default"/>
                <w:sz w:val="18"/>
                <w:szCs w:val="18"/>
              </w:rPr>
              <w:t>及财务报表附注四</w:t>
            </w:r>
            <w:r>
              <w:rPr>
                <w:rFonts w:ascii="Times New Roman" w:hAnsi="Times New Roman" w:cs="Times New Roman" w:eastAsia="Times New Roman" w:hint="default"/>
                <w:sz w:val="18"/>
                <w:szCs w:val="18"/>
              </w:rPr>
              <w:t>(41)“</w:t>
            </w:r>
            <w:r>
              <w:rPr>
                <w:rFonts w:ascii="宋体" w:hAnsi="宋体" w:cs="宋体" w:eastAsia="宋体" w:hint="default"/>
                <w:sz w:val="18"/>
                <w:szCs w:val="18"/>
              </w:rPr>
              <w:t>股</w:t>
            </w:r>
            <w:r>
              <w:rPr>
                <w:rFonts w:ascii="宋体" w:hAnsi="宋体" w:cs="宋体" w:eastAsia="宋体" w:hint="default"/>
                <w:spacing w:val="-85"/>
                <w:sz w:val="18"/>
                <w:szCs w:val="18"/>
              </w:rPr>
              <w:t> </w:t>
            </w:r>
            <w:r>
              <w:rPr>
                <w:rFonts w:ascii="宋体" w:hAnsi="宋体" w:cs="宋体" w:eastAsia="宋体" w:hint="default"/>
                <w:sz w:val="18"/>
                <w:szCs w:val="18"/>
              </w:rPr>
              <w:t>份支付</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300" w:lineRule="auto"/>
              <w:ind w:left="2" w:right="0"/>
              <w:jc w:val="both"/>
              <w:rPr>
                <w:rFonts w:ascii="宋体" w:hAnsi="宋体" w:cs="宋体" w:eastAsia="宋体" w:hint="default"/>
                <w:sz w:val="18"/>
                <w:szCs w:val="18"/>
              </w:rPr>
            </w:pPr>
            <w:r>
              <w:rPr>
                <w:rFonts w:ascii="宋体" w:hAnsi="宋体" w:cs="宋体" w:eastAsia="宋体" w:hint="default"/>
                <w:spacing w:val="-2"/>
                <w:sz w:val="18"/>
                <w:szCs w:val="18"/>
              </w:rPr>
              <w:t>朗新公司通过了</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年度限制性股票与股权期权激励计划（以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激励计划</w:t>
            </w:r>
            <w:r>
              <w:rPr>
                <w:rFonts w:ascii="Times New Roman" w:hAnsi="Times New Roman" w:cs="Times New Roman" w:eastAsia="Times New Roman" w:hint="default"/>
                <w:sz w:val="18"/>
                <w:szCs w:val="18"/>
              </w:rPr>
              <w:t>”</w:t>
            </w:r>
            <w:r>
              <w:rPr>
                <w:rFonts w:ascii="宋体" w:hAnsi="宋体" w:cs="宋体" w:eastAsia="宋体" w:hint="default"/>
                <w:sz w:val="18"/>
                <w:szCs w:val="18"/>
              </w:rPr>
              <w:t>），向激励对象定向增发人民币普通股</w:t>
            </w:r>
            <w:r>
              <w:rPr>
                <w:rFonts w:ascii="Times New Roman" w:hAnsi="Times New Roman" w:cs="Times New Roman" w:eastAsia="Times New Roman" w:hint="default"/>
                <w:sz w:val="18"/>
                <w:szCs w:val="18"/>
              </w:rPr>
              <w:t>A</w:t>
            </w:r>
            <w:r>
              <w:rPr>
                <w:rFonts w:ascii="宋体" w:hAnsi="宋体" w:cs="宋体" w:eastAsia="宋体" w:hint="default"/>
                <w:sz w:val="18"/>
                <w:szCs w:val="18"/>
              </w:rPr>
              <w:t>股</w:t>
            </w:r>
            <w:r>
              <w:rPr>
                <w:rFonts w:ascii="宋体" w:hAnsi="宋体" w:cs="宋体" w:eastAsia="宋体" w:hint="default"/>
                <w:spacing w:val="-76"/>
                <w:sz w:val="18"/>
                <w:szCs w:val="18"/>
              </w:rPr>
              <w:t> </w:t>
            </w:r>
            <w:r>
              <w:rPr>
                <w:rFonts w:ascii="宋体" w:hAnsi="宋体" w:cs="宋体" w:eastAsia="宋体" w:hint="default"/>
                <w:sz w:val="18"/>
                <w:szCs w:val="18"/>
              </w:rPr>
              <w:t>股票或授予股票期权。</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我们实施的审计程序包括：</w:t>
            </w: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53"/>
              <w:ind w:left="364" w:right="-1" w:hanging="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1"/>
                <w:sz w:val="18"/>
                <w:szCs w:val="18"/>
              </w:rPr>
              <w:t> </w:t>
            </w:r>
            <w:r>
              <w:rPr>
                <w:rFonts w:ascii="宋体" w:hAnsi="宋体" w:cs="宋体" w:eastAsia="宋体" w:hint="default"/>
                <w:spacing w:val="-3"/>
                <w:sz w:val="18"/>
                <w:szCs w:val="18"/>
              </w:rPr>
              <w:t>复核股东大会及董事会决议所批准的激励计划，包括激励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对象、授予数量、授予</w:t>
            </w:r>
            <w:r>
              <w:rPr>
                <w:rFonts w:ascii="Times New Roman" w:hAnsi="Times New Roman" w:cs="Times New Roman" w:eastAsia="Times New Roman" w:hint="default"/>
                <w:sz w:val="18"/>
                <w:szCs w:val="18"/>
              </w:rPr>
              <w:t>/</w:t>
            </w:r>
            <w:r>
              <w:rPr>
                <w:rFonts w:ascii="宋体" w:hAnsi="宋体" w:cs="宋体" w:eastAsia="宋体" w:hint="default"/>
                <w:sz w:val="18"/>
                <w:szCs w:val="18"/>
              </w:rPr>
              <w:t>行权价格、考核管理办法等；</w:t>
            </w: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316" w:lineRule="auto"/>
              <w:ind w:left="364" w:right="-1" w:hanging="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1"/>
                <w:sz w:val="18"/>
                <w:szCs w:val="18"/>
              </w:rPr>
              <w:t> </w:t>
            </w:r>
            <w:r>
              <w:rPr>
                <w:rFonts w:ascii="宋体" w:hAnsi="宋体" w:cs="宋体" w:eastAsia="宋体" w:hint="default"/>
                <w:spacing w:val="-3"/>
                <w:sz w:val="18"/>
                <w:szCs w:val="18"/>
              </w:rPr>
              <w:t>在内部评估专家的协助下，评估管理层所选用的估值模型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的恰当性；参考公开市场数据，评估关键参数（如可比公</w:t>
            </w:r>
            <w:r>
              <w:rPr>
                <w:rFonts w:ascii="宋体" w:hAnsi="宋体" w:cs="宋体" w:eastAsia="宋体" w:hint="default"/>
                <w:sz w:val="18"/>
                <w:szCs w:val="18"/>
              </w:rPr>
              <w:t> </w:t>
            </w:r>
            <w:r>
              <w:rPr>
                <w:rFonts w:ascii="宋体" w:hAnsi="宋体" w:cs="宋体" w:eastAsia="宋体" w:hint="default"/>
                <w:spacing w:val="-3"/>
                <w:sz w:val="18"/>
                <w:szCs w:val="18"/>
              </w:rPr>
              <w:t>司的股价波动率、股息率及加权平均资本成本）及假设的</w:t>
            </w:r>
            <w:r>
              <w:rPr>
                <w:rFonts w:ascii="宋体" w:hAnsi="宋体" w:cs="宋体" w:eastAsia="宋体" w:hint="default"/>
                <w:sz w:val="18"/>
                <w:szCs w:val="18"/>
              </w:rPr>
              <w:t> 合理性；</w:t>
            </w:r>
          </w:p>
        </w:tc>
      </w:tr>
    </w:tbl>
    <w:p>
      <w:pPr>
        <w:spacing w:after="0" w:line="316" w:lineRule="auto"/>
        <w:jc w:val="both"/>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36" w:type="dxa"/>
        <w:tblLayout w:type="fixed"/>
        <w:tblCellMar>
          <w:top w:w="0" w:type="dxa"/>
          <w:left w:w="0" w:type="dxa"/>
          <w:bottom w:w="0" w:type="dxa"/>
          <w:right w:w="0" w:type="dxa"/>
        </w:tblCellMar>
        <w:tblLook w:val="01E0"/>
      </w:tblPr>
      <w:tblGrid>
        <w:gridCol w:w="4829"/>
        <w:gridCol w:w="4829"/>
      </w:tblGrid>
      <w:tr>
        <w:trPr>
          <w:trHeight w:val="4730"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pacing w:val="11"/>
                <w:sz w:val="18"/>
                <w:szCs w:val="18"/>
              </w:rPr>
              <w:t>于</w:t>
            </w:r>
            <w:r>
              <w:rPr>
                <w:rFonts w:ascii="Times New Roman" w:hAnsi="Times New Roman" w:cs="Times New Roman" w:eastAsia="Times New Roman" w:hint="default"/>
                <w:spacing w:val="11"/>
                <w:sz w:val="18"/>
                <w:szCs w:val="18"/>
              </w:rPr>
              <w:t>2018</w:t>
            </w:r>
            <w:r>
              <w:rPr>
                <w:rFonts w:ascii="宋体" w:hAnsi="宋体" w:cs="宋体" w:eastAsia="宋体" w:hint="default"/>
                <w:spacing w:val="11"/>
                <w:sz w:val="18"/>
                <w:szCs w:val="18"/>
              </w:rPr>
              <w:t>年度，朗新公司就激励计划确认成本费用约人民币</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5,943</w:t>
            </w:r>
            <w:r>
              <w:rPr>
                <w:rFonts w:ascii="宋体" w:hAnsi="宋体" w:cs="宋体" w:eastAsia="宋体" w:hint="default"/>
                <w:sz w:val="18"/>
                <w:szCs w:val="18"/>
              </w:rPr>
              <w:t>万元。管理层在确定该项激励计划成本时，需要：</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2"/>
                <w:szCs w:val="22"/>
              </w:rPr>
            </w:pPr>
          </w:p>
          <w:p>
            <w:pPr>
              <w:pStyle w:val="TableParagraph"/>
              <w:spacing w:line="309" w:lineRule="auto"/>
              <w:ind w:left="403" w:right="-6" w:hanging="360"/>
              <w:jc w:val="both"/>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5"/>
                <w:sz w:val="18"/>
                <w:szCs w:val="18"/>
              </w:rPr>
              <w:t> </w:t>
            </w:r>
            <w:r>
              <w:rPr>
                <w:rFonts w:ascii="宋体" w:hAnsi="宋体" w:cs="宋体" w:eastAsia="宋体" w:hint="default"/>
                <w:spacing w:val="3"/>
                <w:sz w:val="18"/>
                <w:szCs w:val="18"/>
              </w:rPr>
              <w:t>选择恰当的估值模型、关键参数及基础数据，以评估根</w:t>
            </w:r>
            <w:r>
              <w:rPr>
                <w:rFonts w:ascii="宋体" w:hAnsi="宋体" w:cs="宋体" w:eastAsia="宋体" w:hint="default"/>
                <w:spacing w:val="4"/>
                <w:sz w:val="18"/>
                <w:szCs w:val="18"/>
              </w:rPr>
              <w:t> </w:t>
            </w:r>
            <w:r>
              <w:rPr>
                <w:rFonts w:ascii="宋体" w:hAnsi="宋体" w:cs="宋体" w:eastAsia="宋体" w:hint="default"/>
                <w:sz w:val="18"/>
                <w:szCs w:val="18"/>
              </w:rPr>
              <w:t>据该计划所授予限制性股票</w:t>
            </w:r>
            <w:r>
              <w:rPr>
                <w:rFonts w:ascii="Times New Roman" w:hAnsi="Times New Roman" w:cs="Times New Roman" w:eastAsia="Times New Roman" w:hint="default"/>
                <w:sz w:val="18"/>
                <w:szCs w:val="18"/>
              </w:rPr>
              <w:t>/</w:t>
            </w:r>
            <w:r>
              <w:rPr>
                <w:rFonts w:ascii="宋体" w:hAnsi="宋体" w:cs="宋体" w:eastAsia="宋体" w:hint="default"/>
                <w:sz w:val="18"/>
                <w:szCs w:val="18"/>
              </w:rPr>
              <w:t>股票期权于授予日的公允价</w:t>
            </w:r>
            <w:r>
              <w:rPr>
                <w:rFonts w:ascii="宋体" w:hAnsi="宋体" w:cs="宋体" w:eastAsia="宋体" w:hint="default"/>
                <w:spacing w:val="2"/>
                <w:sz w:val="18"/>
                <w:szCs w:val="18"/>
              </w:rPr>
              <w:t> </w:t>
            </w:r>
            <w:r>
              <w:rPr>
                <w:rFonts w:ascii="宋体" w:hAnsi="宋体" w:cs="宋体" w:eastAsia="宋体" w:hint="default"/>
                <w:sz w:val="18"/>
                <w:szCs w:val="18"/>
              </w:rPr>
              <w:t>值；</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300" w:lineRule="auto"/>
              <w:ind w:left="403" w:right="-2" w:hanging="360"/>
              <w:jc w:val="both"/>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30"/>
                <w:sz w:val="18"/>
                <w:szCs w:val="18"/>
              </w:rPr>
              <w:t> </w:t>
            </w:r>
            <w:r>
              <w:rPr>
                <w:rFonts w:ascii="宋体" w:hAnsi="宋体" w:cs="宋体" w:eastAsia="宋体" w:hint="default"/>
                <w:sz w:val="18"/>
                <w:szCs w:val="18"/>
              </w:rPr>
              <w:t>预计解除限售</w:t>
            </w:r>
            <w:r>
              <w:rPr>
                <w:rFonts w:ascii="Times New Roman" w:hAnsi="Times New Roman" w:cs="Times New Roman" w:eastAsia="Times New Roman" w:hint="default"/>
                <w:sz w:val="18"/>
                <w:szCs w:val="18"/>
              </w:rPr>
              <w:t>/</w:t>
            </w:r>
            <w:r>
              <w:rPr>
                <w:rFonts w:ascii="宋体" w:hAnsi="宋体" w:cs="宋体" w:eastAsia="宋体" w:hint="default"/>
                <w:sz w:val="18"/>
                <w:szCs w:val="18"/>
              </w:rPr>
              <w:t>可行权条件的满足情况，结合历史离职率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预期，估计可达到解除限售</w:t>
            </w:r>
            <w:r>
              <w:rPr>
                <w:rFonts w:ascii="Times New Roman" w:hAnsi="Times New Roman" w:cs="Times New Roman" w:eastAsia="Times New Roman" w:hint="default"/>
                <w:sz w:val="18"/>
                <w:szCs w:val="18"/>
              </w:rPr>
              <w:t>/</w:t>
            </w:r>
            <w:r>
              <w:rPr>
                <w:rFonts w:ascii="宋体" w:hAnsi="宋体" w:cs="宋体" w:eastAsia="宋体" w:hint="default"/>
                <w:sz w:val="18"/>
                <w:szCs w:val="18"/>
              </w:rPr>
              <w:t>可行权条件的限制性股票</w:t>
            </w:r>
            <w:r>
              <w:rPr>
                <w:rFonts w:ascii="Times New Roman" w:hAnsi="Times New Roman" w:cs="Times New Roman" w:eastAsia="Times New Roman" w:hint="default"/>
                <w:sz w:val="18"/>
                <w:szCs w:val="18"/>
              </w:rPr>
              <w:t>/</w:t>
            </w:r>
            <w:r>
              <w:rPr>
                <w:rFonts w:ascii="宋体" w:hAnsi="宋体" w:cs="宋体" w:eastAsia="宋体" w:hint="default"/>
                <w:sz w:val="18"/>
                <w:szCs w:val="18"/>
              </w:rPr>
              <w:t>股 票期权数量。</w:t>
            </w:r>
          </w:p>
          <w:p>
            <w:pPr>
              <w:pStyle w:val="TableParagraph"/>
              <w:spacing w:line="240" w:lineRule="auto" w:before="9"/>
              <w:ind w:right="0"/>
              <w:jc w:val="left"/>
              <w:rPr>
                <w:rFonts w:ascii="宋体" w:hAnsi="宋体" w:cs="宋体" w:eastAsia="宋体" w:hint="default"/>
                <w:b/>
                <w:bCs/>
                <w:sz w:val="14"/>
                <w:szCs w:val="14"/>
              </w:rPr>
            </w:pPr>
          </w:p>
          <w:p>
            <w:pPr>
              <w:pStyle w:val="TableParagraph"/>
              <w:spacing w:line="316" w:lineRule="auto"/>
              <w:ind w:left="2" w:right="0"/>
              <w:jc w:val="left"/>
              <w:rPr>
                <w:rFonts w:ascii="宋体" w:hAnsi="宋体" w:cs="宋体" w:eastAsia="宋体" w:hint="default"/>
                <w:sz w:val="18"/>
                <w:szCs w:val="18"/>
              </w:rPr>
            </w:pPr>
            <w:r>
              <w:rPr>
                <w:rFonts w:ascii="宋体" w:hAnsi="宋体" w:cs="宋体" w:eastAsia="宋体" w:hint="default"/>
                <w:spacing w:val="-2"/>
                <w:sz w:val="18"/>
                <w:szCs w:val="18"/>
              </w:rPr>
              <w:t>鉴于该激励计划对财务报表影响重大，且其估值涉及管理层重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大估计和判断，因此我们将其认定为关键审计事项。</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300" w:lineRule="auto"/>
              <w:ind w:left="364" w:right="0" w:hanging="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5"/>
                <w:sz w:val="18"/>
                <w:szCs w:val="18"/>
              </w:rPr>
              <w:t> </w:t>
            </w:r>
            <w:r>
              <w:rPr>
                <w:rFonts w:ascii="宋体" w:hAnsi="宋体" w:cs="宋体" w:eastAsia="宋体" w:hint="default"/>
                <w:spacing w:val="2"/>
                <w:sz w:val="18"/>
                <w:szCs w:val="18"/>
              </w:rPr>
              <w:t>检查管理层所使用的估值模型基础数据（如授予</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行权价</w:t>
            </w:r>
            <w:r>
              <w:rPr>
                <w:rFonts w:ascii="宋体" w:hAnsi="宋体" w:cs="宋体" w:eastAsia="宋体" w:hint="default"/>
                <w:spacing w:val="-88"/>
                <w:sz w:val="18"/>
                <w:szCs w:val="18"/>
              </w:rPr>
              <w:t> </w:t>
            </w:r>
            <w:r>
              <w:rPr>
                <w:rFonts w:ascii="宋体" w:hAnsi="宋体" w:cs="宋体" w:eastAsia="宋体" w:hint="default"/>
                <w:sz w:val="18"/>
                <w:szCs w:val="18"/>
              </w:rPr>
              <w:t>格、授予日股价、解除限售</w:t>
            </w:r>
            <w:r>
              <w:rPr>
                <w:rFonts w:ascii="Times New Roman" w:hAnsi="Times New Roman" w:cs="Times New Roman" w:eastAsia="Times New Roman" w:hint="default"/>
                <w:sz w:val="18"/>
                <w:szCs w:val="18"/>
              </w:rPr>
              <w:t>/</w:t>
            </w:r>
            <w:r>
              <w:rPr>
                <w:rFonts w:ascii="宋体" w:hAnsi="宋体" w:cs="宋体" w:eastAsia="宋体" w:hint="default"/>
                <w:sz w:val="18"/>
                <w:szCs w:val="18"/>
              </w:rPr>
              <w:t>行权期等）的准确性；及</w:t>
            </w: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307" w:lineRule="auto"/>
              <w:ind w:left="364" w:right="-1" w:hanging="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1"/>
                <w:sz w:val="18"/>
                <w:szCs w:val="18"/>
              </w:rPr>
              <w:t> </w:t>
            </w:r>
            <w:r>
              <w:rPr>
                <w:rFonts w:ascii="宋体" w:hAnsi="宋体" w:cs="宋体" w:eastAsia="宋体" w:hint="default"/>
                <w:spacing w:val="-3"/>
                <w:sz w:val="18"/>
                <w:szCs w:val="18"/>
              </w:rPr>
              <w:t>通过比较朗新公司历史离职率及公司层面、业务单元层面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及个人层面业绩考核情况等，复核管理层对解除限售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可</w:t>
            </w:r>
            <w:r>
              <w:rPr>
                <w:rFonts w:ascii="宋体" w:hAnsi="宋体" w:cs="宋体" w:eastAsia="宋体" w:hint="default"/>
                <w:sz w:val="18"/>
                <w:szCs w:val="18"/>
              </w:rPr>
              <w:t> </w:t>
            </w:r>
            <w:r>
              <w:rPr>
                <w:rFonts w:ascii="宋体" w:hAnsi="宋体" w:cs="宋体" w:eastAsia="宋体" w:hint="default"/>
                <w:spacing w:val="2"/>
                <w:sz w:val="18"/>
                <w:szCs w:val="18"/>
              </w:rPr>
              <w:t>行权条件能否达成的预期，及对可达到解除限售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可行权 </w:t>
            </w:r>
            <w:r>
              <w:rPr>
                <w:rFonts w:ascii="宋体" w:hAnsi="宋体" w:cs="宋体" w:eastAsia="宋体" w:hint="default"/>
                <w:sz w:val="18"/>
                <w:szCs w:val="18"/>
              </w:rPr>
              <w:t>条件的限制性股票</w:t>
            </w:r>
            <w:r>
              <w:rPr>
                <w:rFonts w:ascii="Times New Roman" w:hAnsi="Times New Roman" w:cs="Times New Roman" w:eastAsia="Times New Roman" w:hint="default"/>
                <w:sz w:val="18"/>
                <w:szCs w:val="18"/>
              </w:rPr>
              <w:t>/</w:t>
            </w:r>
            <w:r>
              <w:rPr>
                <w:rFonts w:ascii="宋体" w:hAnsi="宋体" w:cs="宋体" w:eastAsia="宋体" w:hint="default"/>
                <w:sz w:val="18"/>
                <w:szCs w:val="18"/>
              </w:rPr>
              <w:t>股票期权数量所作估计的合理性。</w:t>
            </w:r>
          </w:p>
          <w:p>
            <w:pPr>
              <w:pStyle w:val="TableParagraph"/>
              <w:spacing w:line="240" w:lineRule="auto" w:before="12"/>
              <w:ind w:left="4" w:right="-1"/>
              <w:jc w:val="left"/>
              <w:rPr>
                <w:rFonts w:ascii="宋体" w:hAnsi="宋体" w:cs="宋体" w:eastAsia="宋体" w:hint="default"/>
                <w:sz w:val="18"/>
                <w:szCs w:val="18"/>
              </w:rPr>
            </w:pPr>
            <w:r>
              <w:rPr>
                <w:rFonts w:ascii="宋体" w:hAnsi="宋体"/>
                <w:sz w:val="18"/>
              </w:rPr>
              <w:t>· </w:t>
            </w:r>
          </w:p>
          <w:p>
            <w:pPr>
              <w:pStyle w:val="TableParagraph"/>
              <w:spacing w:line="316" w:lineRule="auto" w:before="153"/>
              <w:ind w:left="4" w:right="-1"/>
              <w:jc w:val="left"/>
              <w:rPr>
                <w:rFonts w:ascii="宋体" w:hAnsi="宋体" w:cs="宋体" w:eastAsia="宋体" w:hint="default"/>
                <w:sz w:val="18"/>
                <w:szCs w:val="18"/>
              </w:rPr>
            </w:pPr>
            <w:r>
              <w:rPr>
                <w:rFonts w:ascii="宋体" w:hAnsi="宋体" w:cs="宋体" w:eastAsia="宋体" w:hint="default"/>
                <w:spacing w:val="-2"/>
                <w:sz w:val="18"/>
                <w:szCs w:val="18"/>
              </w:rPr>
              <w:t>基于所实施的审计程序，管理层对激励计划成本费用作出的估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计可以被我们获取的证据所支持。</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4"/>
          <w:szCs w:val="24"/>
        </w:rPr>
      </w:pPr>
    </w:p>
    <w:p>
      <w:pPr>
        <w:pStyle w:val="Heading4"/>
        <w:spacing w:line="240" w:lineRule="auto"/>
        <w:ind w:right="1129"/>
        <w:jc w:val="left"/>
        <w:rPr>
          <w:b w:val="0"/>
          <w:bCs w:val="0"/>
        </w:rPr>
      </w:pPr>
      <w:r>
        <w:rPr/>
        <w:t>四、其他信息</w:t>
      </w:r>
      <w:r>
        <w:rPr>
          <w:b w:val="0"/>
          <w:bCs w:val="0"/>
        </w:rPr>
      </w:r>
    </w:p>
    <w:p>
      <w:pPr>
        <w:spacing w:line="240" w:lineRule="auto" w:before="2"/>
        <w:rPr>
          <w:rFonts w:ascii="宋体" w:hAnsi="宋体" w:cs="宋体" w:eastAsia="宋体" w:hint="default"/>
          <w:b/>
          <w:bCs/>
          <w:sz w:val="18"/>
          <w:szCs w:val="18"/>
        </w:rPr>
      </w:pPr>
    </w:p>
    <w:p>
      <w:pPr>
        <w:pStyle w:val="BodyText"/>
        <w:spacing w:line="300" w:lineRule="auto"/>
        <w:ind w:right="1129" w:firstLine="566"/>
        <w:jc w:val="both"/>
      </w:pPr>
      <w:r>
        <w:rPr/>
        <w:t>朗新公司管理层对其他信息负责。其他信息包括朗新公司</w:t>
      </w:r>
      <w:r>
        <w:rPr>
          <w:rFonts w:ascii="Times New Roman" w:hAnsi="Times New Roman" w:cs="Times New Roman" w:eastAsia="Times New Roman" w:hint="default"/>
        </w:rPr>
        <w:t>2018</w:t>
      </w:r>
      <w:r>
        <w:rPr/>
        <w:t>年年度报告中涵盖的信息，但不包括财务报表和我们</w:t>
      </w:r>
      <w:r>
        <w:rPr>
          <w:spacing w:val="2"/>
        </w:rPr>
        <w:t> </w:t>
      </w:r>
      <w:r>
        <w:rPr/>
        <w:t>的审计报告。</w:t>
      </w:r>
    </w:p>
    <w:p>
      <w:pPr>
        <w:pStyle w:val="BodyText"/>
        <w:spacing w:line="624" w:lineRule="exact" w:before="54"/>
        <w:ind w:left="719" w:right="1129"/>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结合我们对财务报表的审计，我们的责任是阅读其他信息，在此过程中，考虑其他信息是否与财务报表或我们在审</w:t>
      </w:r>
    </w:p>
    <w:p>
      <w:pPr>
        <w:pStyle w:val="BodyText"/>
        <w:spacing w:line="212" w:lineRule="exact"/>
        <w:ind w:right="986"/>
        <w:jc w:val="left"/>
      </w:pPr>
      <w:r>
        <w:rPr/>
        <w:t>计过程中了解到的情况存在重大不一致或者似乎存在重大错报。基于我们已经执行的工作，如果我们确定其他信息存在重大</w:t>
      </w:r>
    </w:p>
    <w:p>
      <w:pPr>
        <w:pStyle w:val="BodyText"/>
        <w:spacing w:line="240" w:lineRule="auto" w:before="76"/>
        <w:ind w:right="1129"/>
        <w:jc w:val="left"/>
      </w:pPr>
      <w:r>
        <w:rPr/>
        <w:t>错报，我们应当报告该事实。在这方面，我们无任何事项需要报告。</w:t>
      </w:r>
    </w:p>
    <w:p>
      <w:pPr>
        <w:spacing w:line="470" w:lineRule="atLeast" w:before="154"/>
        <w:ind w:left="719" w:right="1129" w:hanging="567"/>
        <w:jc w:val="left"/>
        <w:rPr>
          <w:rFonts w:ascii="宋体" w:hAnsi="宋体" w:cs="宋体" w:eastAsia="宋体" w:hint="default"/>
          <w:sz w:val="18"/>
          <w:szCs w:val="18"/>
        </w:rPr>
      </w:pPr>
      <w:r>
        <w:rPr>
          <w:rFonts w:ascii="宋体" w:hAnsi="宋体" w:cs="宋体" w:eastAsia="宋体" w:hint="default"/>
          <w:b/>
          <w:bCs/>
          <w:sz w:val="18"/>
          <w:szCs w:val="18"/>
        </w:rPr>
        <w:t>五、管理层和审计委员会对财务报表的责任</w:t>
      </w:r>
      <w:r>
        <w:rPr>
          <w:rFonts w:ascii="宋体" w:hAnsi="宋体" w:cs="宋体" w:eastAsia="宋体" w:hint="default"/>
          <w:b/>
          <w:bCs/>
          <w:w w:val="99"/>
          <w:sz w:val="18"/>
          <w:szCs w:val="18"/>
        </w:rPr>
        <w:t> </w:t>
      </w:r>
      <w:r>
        <w:rPr>
          <w:rFonts w:ascii="宋体" w:hAnsi="宋体" w:cs="宋体" w:eastAsia="宋体" w:hint="default"/>
          <w:sz w:val="18"/>
          <w:szCs w:val="18"/>
        </w:rPr>
        <w:t>朗新公司管理层负责按照企业会计准则的规定编制财务报表，使其实现公允反映，并设计、执行和维护必要的内部</w:t>
      </w:r>
    </w:p>
    <w:p>
      <w:pPr>
        <w:pStyle w:val="BodyText"/>
        <w:spacing w:line="240" w:lineRule="auto" w:before="76"/>
        <w:ind w:right="1129"/>
        <w:jc w:val="left"/>
      </w:pPr>
      <w:r>
        <w:rPr/>
        <w:t>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52"/>
        <w:ind w:right="1129" w:firstLine="566"/>
        <w:jc w:val="both"/>
      </w:pPr>
      <w:r>
        <w:rPr/>
        <w:t>在编制财务报表时，管理层负责评估朗新公司的持续经营能力，披露与持续经营相关的事项（如适用），并运用持</w:t>
      </w:r>
      <w:r>
        <w:rPr>
          <w:spacing w:val="2"/>
        </w:rPr>
        <w:t> </w:t>
      </w:r>
      <w:r>
        <w:rPr/>
        <w:t>续经营假设，除非管理层计划清算朗新公司、终止运营或别无其他现实的选择。</w:t>
      </w:r>
    </w:p>
    <w:p>
      <w:pPr>
        <w:spacing w:line="624" w:lineRule="exact" w:before="41"/>
        <w:ind w:left="152" w:right="6408" w:firstLine="566"/>
        <w:jc w:val="left"/>
        <w:rPr>
          <w:rFonts w:ascii="宋体" w:hAnsi="宋体" w:cs="宋体" w:eastAsia="宋体" w:hint="default"/>
          <w:sz w:val="18"/>
          <w:szCs w:val="18"/>
        </w:rPr>
      </w:pPr>
      <w:r>
        <w:rPr>
          <w:rFonts w:ascii="宋体" w:hAnsi="宋体" w:cs="宋体" w:eastAsia="宋体" w:hint="default"/>
          <w:sz w:val="18"/>
          <w:szCs w:val="18"/>
        </w:rPr>
        <w:t>审计委员会负责监督朗新公司的财务报告过程。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135"/>
        <w:ind w:right="1130" w:firstLine="566"/>
        <w:jc w:val="both"/>
      </w:pPr>
      <w:r>
        <w:rPr/>
        <w:t>我们的目标是对财务报表整体是否不存在由于舞弊或错误导致的重大错报获取合理保证，并出具包含审计意见的审</w:t>
      </w:r>
      <w:r>
        <w:rPr>
          <w:spacing w:val="2"/>
        </w:rPr>
        <w:t> </w:t>
      </w:r>
      <w:r>
        <w:rPr>
          <w:spacing w:val="-2"/>
        </w:rPr>
        <w:t>计报告。合理保证是高水平的保证，但并不能保证按照审计准则执行的审计在某一重大错报存在时总能发现。错报可能由于</w:t>
      </w:r>
      <w:r>
        <w:rPr>
          <w:spacing w:val="-63"/>
        </w:rPr>
        <w:t> </w:t>
      </w:r>
      <w:r>
        <w:rPr>
          <w:spacing w:val="-63"/>
        </w:rPr>
      </w:r>
      <w:r>
        <w:rPr>
          <w:spacing w:val="-2"/>
        </w:rPr>
        <w:t>舞弊或错误导致，如果合理预期错报单独或汇总起来可能影响财务报表使用者依据财务报表作出的经济决策，则通常认为错</w:t>
      </w:r>
      <w:r>
        <w:rPr>
          <w:spacing w:val="-64"/>
        </w:rPr>
        <w:t> </w:t>
      </w:r>
      <w:r>
        <w:rPr>
          <w:spacing w:val="-64"/>
        </w:rPr>
      </w:r>
      <w:r>
        <w:rPr/>
        <w:t>报是重大的。</w:t>
      </w:r>
    </w:p>
    <w:p>
      <w:pPr>
        <w:spacing w:line="240" w:lineRule="auto" w:before="4"/>
        <w:rPr>
          <w:rFonts w:ascii="宋体" w:hAnsi="宋体" w:cs="宋体" w:eastAsia="宋体" w:hint="default"/>
          <w:sz w:val="25"/>
          <w:szCs w:val="25"/>
        </w:rPr>
      </w:pPr>
    </w:p>
    <w:p>
      <w:pPr>
        <w:pStyle w:val="Heading4"/>
        <w:spacing w:line="240" w:lineRule="auto" w:before="0"/>
        <w:ind w:right="1129"/>
        <w:jc w:val="left"/>
        <w:rPr>
          <w:b w:val="0"/>
          <w:bCs w:val="0"/>
        </w:rPr>
      </w:pPr>
      <w:r>
        <w:rPr/>
        <w:t>六、</w:t>
      </w:r>
      <w:r>
        <w:rPr>
          <w:spacing w:val="-17"/>
        </w:rPr>
        <w:t> </w:t>
      </w:r>
      <w:r>
        <w:rPr/>
        <w:t>注册会计师对财务报表审计的责任（续）</w:t>
      </w:r>
      <w:r>
        <w:rPr>
          <w:b w:val="0"/>
          <w:bCs w:val="0"/>
        </w:rPr>
      </w:r>
    </w:p>
    <w:p>
      <w:pPr>
        <w:spacing w:after="0" w:line="240" w:lineRule="auto"/>
        <w:jc w:val="left"/>
        <w:sectPr>
          <w:pgSz w:w="11910" w:h="16840"/>
          <w:pgMar w:header="745" w:footer="982" w:top="1060" w:bottom="1180" w:left="980" w:right="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p>
      <w:pPr>
        <w:pStyle w:val="BodyText"/>
        <w:spacing w:line="240" w:lineRule="auto" w:before="44"/>
        <w:ind w:left="791" w:right="1129"/>
        <w:jc w:val="left"/>
      </w:pPr>
      <w:r>
        <w:rPr/>
        <w:t>在按照审计准则执行审计工作的过程中，我们运用职业判断，并保持职业怀疑。同时，我们也执行以下工作：</w:t>
      </w:r>
    </w:p>
    <w:p>
      <w:pPr>
        <w:spacing w:line="240" w:lineRule="auto" w:before="0"/>
        <w:rPr>
          <w:rFonts w:ascii="宋体" w:hAnsi="宋体" w:cs="宋体" w:eastAsia="宋体" w:hint="default"/>
          <w:sz w:val="18"/>
          <w:szCs w:val="18"/>
        </w:rPr>
      </w:pPr>
    </w:p>
    <w:p>
      <w:pPr>
        <w:pStyle w:val="BodyText"/>
        <w:spacing w:line="316" w:lineRule="auto" w:before="152"/>
        <w:ind w:right="1034" w:firstLine="501"/>
        <w:jc w:val="left"/>
      </w:pPr>
      <w:r>
        <w:rPr>
          <w:spacing w:val="-5"/>
        </w:rPr>
        <w:t>（一）识别和评估由于舞弊或错误导致的财务报表重大错报风险；设计和实施审计程序以应对这些风险，并获取充分、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w:t>
      </w:r>
      <w:r>
        <w:rPr>
          <w:spacing w:val="-83"/>
        </w:rPr>
        <w:t> </w:t>
      </w:r>
      <w:r>
        <w:rPr>
          <w:spacing w:val="-83"/>
        </w:rPr>
      </w:r>
      <w:r>
        <w:rPr/>
        <w:t>未能发现由于舞弊导致的重大错报的风险高于未能发现由于错误导致的重大错报的风险。</w:t>
      </w:r>
    </w:p>
    <w:p>
      <w:pPr>
        <w:spacing w:line="240" w:lineRule="auto" w:before="4"/>
        <w:rPr>
          <w:rFonts w:ascii="宋体" w:hAnsi="宋体" w:cs="宋体" w:eastAsia="宋体" w:hint="default"/>
          <w:sz w:val="25"/>
          <w:szCs w:val="25"/>
        </w:rPr>
      </w:pPr>
    </w:p>
    <w:p>
      <w:pPr>
        <w:pStyle w:val="BodyText"/>
        <w:spacing w:line="240" w:lineRule="auto"/>
        <w:ind w:left="654" w:right="1129"/>
        <w:jc w:val="left"/>
      </w:pPr>
      <w:r>
        <w:rPr/>
        <w:t>（二）了解与审计相关的内部控制，以设计恰当的审计程序，但目的并非对内部控制的有效性发表意见。</w:t>
      </w:r>
    </w:p>
    <w:p>
      <w:pPr>
        <w:spacing w:line="240" w:lineRule="auto" w:before="0"/>
        <w:rPr>
          <w:rFonts w:ascii="宋体" w:hAnsi="宋体" w:cs="宋体" w:eastAsia="宋体" w:hint="default"/>
          <w:sz w:val="18"/>
          <w:szCs w:val="18"/>
        </w:rPr>
      </w:pPr>
    </w:p>
    <w:p>
      <w:pPr>
        <w:pStyle w:val="BodyText"/>
        <w:spacing w:line="240" w:lineRule="auto" w:before="152"/>
        <w:ind w:left="654" w:right="1129"/>
        <w:jc w:val="left"/>
      </w:pPr>
      <w:r>
        <w:rPr/>
        <w:t>（三）评价管理层选用会计政策的恰当性和作出会计估计及相关披露的合理性。</w:t>
      </w:r>
    </w:p>
    <w:p>
      <w:pPr>
        <w:spacing w:line="240" w:lineRule="auto" w:before="0"/>
        <w:rPr>
          <w:rFonts w:ascii="宋体" w:hAnsi="宋体" w:cs="宋体" w:eastAsia="宋体" w:hint="default"/>
          <w:sz w:val="18"/>
          <w:szCs w:val="18"/>
        </w:rPr>
      </w:pPr>
    </w:p>
    <w:p>
      <w:pPr>
        <w:pStyle w:val="BodyText"/>
        <w:spacing w:line="316" w:lineRule="auto" w:before="152"/>
        <w:ind w:right="1133" w:firstLine="501"/>
        <w:jc w:val="both"/>
      </w:pPr>
      <w:r>
        <w:rPr>
          <w:spacing w:val="-1"/>
        </w:rPr>
        <w:t>（四）对管理层使用持续经营假设的恰当性得出结论。同时，根据获取的审计证据，就可能导致对朗新公司持续经营</w:t>
      </w:r>
      <w:r>
        <w:rPr/>
        <w:t> </w:t>
      </w: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我们在审计报告中提请报表使用者注意财务报表中的相关披露；如果披露不充分，我们应当发表非无保留意见。我们的结论</w:t>
      </w:r>
      <w:r>
        <w:rPr>
          <w:spacing w:val="-66"/>
        </w:rPr>
        <w:t> </w:t>
      </w:r>
      <w:r>
        <w:rPr>
          <w:spacing w:val="-66"/>
        </w:rPr>
      </w:r>
      <w:r>
        <w:rPr/>
        <w:t>基于截至审计报告日可获得的信息。然而，未来的事项或情况可能导致朗新公司不能持续经营。</w:t>
      </w:r>
    </w:p>
    <w:p>
      <w:pPr>
        <w:spacing w:line="240" w:lineRule="auto" w:before="4"/>
        <w:rPr>
          <w:rFonts w:ascii="宋体" w:hAnsi="宋体" w:cs="宋体" w:eastAsia="宋体" w:hint="default"/>
          <w:sz w:val="25"/>
          <w:szCs w:val="25"/>
        </w:rPr>
      </w:pPr>
    </w:p>
    <w:p>
      <w:pPr>
        <w:pStyle w:val="BodyText"/>
        <w:spacing w:line="240" w:lineRule="auto"/>
        <w:ind w:left="726" w:right="1129"/>
        <w:jc w:val="left"/>
      </w:pPr>
      <w:r>
        <w:rPr/>
        <w:t>（五）评价财务报表的总体列报、结构和内容（包括披露），并评价财务报表是否公允反映相关交易和事项。</w:t>
      </w:r>
    </w:p>
    <w:p>
      <w:pPr>
        <w:spacing w:line="240" w:lineRule="auto" w:before="0"/>
        <w:rPr>
          <w:rFonts w:ascii="宋体" w:hAnsi="宋体" w:cs="宋体" w:eastAsia="宋体" w:hint="default"/>
          <w:sz w:val="18"/>
          <w:szCs w:val="18"/>
        </w:rPr>
      </w:pPr>
    </w:p>
    <w:p>
      <w:pPr>
        <w:pStyle w:val="BodyText"/>
        <w:spacing w:line="316" w:lineRule="auto" w:before="152"/>
        <w:ind w:right="1129" w:firstLine="573"/>
        <w:jc w:val="left"/>
      </w:pPr>
      <w:r>
        <w:rPr/>
        <w:t>（六）就朗新公司中实体或业务活动的财务信息获取充分、适当的审计证据，以对合并财务报表发表审计意见。我</w:t>
      </w:r>
      <w:r>
        <w:rPr>
          <w:spacing w:val="2"/>
        </w:rPr>
        <w:t> </w:t>
      </w:r>
      <w:r>
        <w:rPr/>
        <w:t>们负责指导、监督和执行集团审计，并对审计意见承担全部责任。</w:t>
      </w:r>
    </w:p>
    <w:p>
      <w:pPr>
        <w:spacing w:line="240" w:lineRule="auto" w:before="4"/>
        <w:rPr>
          <w:rFonts w:ascii="宋体" w:hAnsi="宋体" w:cs="宋体" w:eastAsia="宋体" w:hint="default"/>
          <w:sz w:val="25"/>
          <w:szCs w:val="25"/>
        </w:rPr>
      </w:pPr>
    </w:p>
    <w:p>
      <w:pPr>
        <w:pStyle w:val="BodyText"/>
        <w:spacing w:line="316" w:lineRule="auto"/>
        <w:ind w:right="1129" w:firstLine="566"/>
        <w:jc w:val="left"/>
      </w:pPr>
      <w:r>
        <w:rPr/>
        <w:t>我们与审计委员会就计划的审计范围、时间安排和重大审计发现等事项进行沟通，包括沟通我们在审计中识别出的</w:t>
      </w:r>
      <w:r>
        <w:rPr>
          <w:spacing w:val="2"/>
        </w:rPr>
        <w:t> </w:t>
      </w:r>
      <w:r>
        <w:rPr/>
        <w:t>值得关注的内部控制缺陷。</w:t>
      </w:r>
    </w:p>
    <w:p>
      <w:pPr>
        <w:spacing w:line="240" w:lineRule="auto" w:before="4"/>
        <w:rPr>
          <w:rFonts w:ascii="宋体" w:hAnsi="宋体" w:cs="宋体" w:eastAsia="宋体" w:hint="default"/>
          <w:sz w:val="25"/>
          <w:szCs w:val="25"/>
        </w:rPr>
      </w:pPr>
    </w:p>
    <w:p>
      <w:pPr>
        <w:pStyle w:val="BodyText"/>
        <w:spacing w:line="316" w:lineRule="auto"/>
        <w:ind w:right="1129" w:firstLine="566"/>
        <w:jc w:val="left"/>
      </w:pPr>
      <w:r>
        <w:rPr/>
        <w:t>我们还就已遵守与独立性相关的职业道德要求向审计委员会提供声明，并与审计委员会沟通可能被合理认为影响我</w:t>
      </w:r>
      <w:r>
        <w:rPr>
          <w:spacing w:val="2"/>
        </w:rPr>
        <w:t> </w:t>
      </w:r>
      <w:r>
        <w:rPr/>
        <w:t>们独立性的所有关系和其他事项，以及相关的防范措施（如适用）。</w:t>
      </w:r>
    </w:p>
    <w:p>
      <w:pPr>
        <w:tabs>
          <w:tab w:pos="1549" w:val="left" w:leader="none"/>
        </w:tabs>
        <w:spacing w:line="624" w:lineRule="exact" w:before="43"/>
        <w:ind w:left="719" w:right="1133" w:firstLine="7"/>
        <w:jc w:val="left"/>
        <w:rPr>
          <w:rFonts w:ascii="宋体" w:hAnsi="宋体" w:cs="宋体" w:eastAsia="宋体" w:hint="default"/>
          <w:sz w:val="18"/>
          <w:szCs w:val="18"/>
        </w:rPr>
      </w:pPr>
      <w:r>
        <w:rPr>
          <w:rFonts w:ascii="宋体" w:hAnsi="宋体" w:cs="宋体" w:eastAsia="宋体" w:hint="default"/>
          <w:b/>
          <w:bCs/>
          <w:sz w:val="18"/>
          <w:szCs w:val="18"/>
        </w:rPr>
        <w:t>六、</w:t>
        <w:tab/>
        <w:t>注册会计师对财务报表审计的责任（续）</w:t>
      </w:r>
      <w:r>
        <w:rPr>
          <w:rFonts w:ascii="宋体" w:hAnsi="宋体" w:cs="宋体" w:eastAsia="宋体" w:hint="default"/>
          <w:b/>
          <w:bCs/>
          <w:w w:val="99"/>
          <w:sz w:val="18"/>
          <w:szCs w:val="18"/>
        </w:rPr>
        <w:t> </w:t>
      </w:r>
      <w:r>
        <w:rPr>
          <w:rFonts w:ascii="宋体" w:hAnsi="宋体" w:cs="宋体" w:eastAsia="宋体" w:hint="default"/>
          <w:sz w:val="18"/>
          <w:szCs w:val="18"/>
        </w:rPr>
        <w:t>从与审计委员会沟通过的事项中，我们确定哪些事项对本期财务报表审计最为重要，因而构成关键审计事项。我们</w:t>
      </w:r>
    </w:p>
    <w:p>
      <w:pPr>
        <w:pStyle w:val="BodyText"/>
        <w:spacing w:line="212" w:lineRule="exact"/>
        <w:ind w:right="986"/>
        <w:jc w:val="left"/>
      </w:pPr>
      <w:r>
        <w:rPr/>
        <w:t>在审计报告中描述这些事项，除非法律法规禁止公开披露这些事项，或在极少数情形下，如果合理预期在审计报告中沟通某</w:t>
      </w:r>
    </w:p>
    <w:p>
      <w:pPr>
        <w:pStyle w:val="BodyText"/>
        <w:spacing w:line="240" w:lineRule="auto" w:before="76"/>
        <w:ind w:right="1129"/>
        <w:jc w:val="left"/>
      </w:pPr>
      <w:r>
        <w:rPr/>
        <w:t>事项造成的负面后果超过在公众利益方面产生的益处，我们确定不应在审计报告中沟通该事项。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703"/>
        <w:gridCol w:w="1783"/>
        <w:gridCol w:w="3545"/>
      </w:tblGrid>
      <w:tr>
        <w:trPr>
          <w:trHeight w:val="2527"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164"/>
              <w:jc w:val="left"/>
              <w:rPr>
                <w:rFonts w:ascii="宋体" w:hAnsi="宋体" w:cs="宋体" w:eastAsia="宋体" w:hint="default"/>
                <w:sz w:val="18"/>
                <w:szCs w:val="18"/>
              </w:rPr>
            </w:pPr>
            <w:r>
              <w:rPr>
                <w:rFonts w:ascii="宋体" w:hAnsi="宋体" w:cs="宋体" w:eastAsia="宋体" w:hint="default"/>
                <w:sz w:val="18"/>
                <w:szCs w:val="18"/>
              </w:rPr>
              <w:t>普华永道中天 会计师事务所（特殊普通合伙）</w:t>
            </w: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上海市</w:t>
            </w:r>
          </w:p>
          <w:p>
            <w:pPr>
              <w:pStyle w:val="TableParagraph"/>
              <w:spacing w:line="240" w:lineRule="auto" w:before="6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39" w:right="0"/>
              <w:jc w:val="left"/>
              <w:rPr>
                <w:rFonts w:ascii="宋体" w:hAnsi="宋体" w:cs="宋体" w:eastAsia="宋体" w:hint="default"/>
                <w:sz w:val="18"/>
                <w:szCs w:val="18"/>
              </w:rPr>
            </w:pPr>
            <w:r>
              <w:rPr>
                <w:rFonts w:ascii="宋体" w:hAnsi="宋体" w:cs="宋体" w:eastAsia="宋体" w:hint="default"/>
                <w:sz w:val="18"/>
                <w:szCs w:val="18"/>
              </w:rPr>
              <w:t>注册会计师</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注册会计师</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李雪梅（项目合伙人）</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p>
            <w:pPr>
              <w:pStyle w:val="TableParagraph"/>
              <w:tabs>
                <w:tab w:pos="475" w:val="left" w:leader="none"/>
              </w:tabs>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李</w:t>
              <w:tab/>
              <w:t>莎</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9"/>
        <w:jc w:val="left"/>
        <w:rPr>
          <w:b w:val="0"/>
          <w:bCs w:val="0"/>
        </w:rPr>
      </w:pPr>
      <w:bookmarkStart w:name="二、财务报表" w:id="156"/>
      <w:bookmarkEnd w:id="156"/>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9"/>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1、合并资产负债表" w:id="157"/>
      <w:bookmarkEnd w:id="15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0"/>
        </w:sectPr>
      </w:pPr>
    </w:p>
    <w:p>
      <w:pPr>
        <w:pStyle w:val="BodyText"/>
        <w:spacing w:line="240" w:lineRule="auto" w:before="44"/>
        <w:ind w:right="-20"/>
        <w:jc w:val="left"/>
      </w:pPr>
      <w:r>
        <w:rPr/>
        <w:t>编制单位：朗新科技股份有限公司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3"/>
        <w:jc w:val="left"/>
      </w:pPr>
      <w:r>
        <w:rPr>
          <w:rFonts w:ascii="Times New Roman" w:hAnsi="Times New Roman" w:cs="Times New Roman" w:eastAsia="Times New Roman" w:hint="default"/>
        </w:rPr>
        <w:t>2018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0"/>
          <w:cols w:num="3" w:equalWidth="0">
            <w:col w:w="2853" w:space="1222"/>
            <w:col w:w="1641" w:space="3202"/>
            <w:col w:w="2012"/>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2"/>
        <w:gridCol w:w="3416"/>
        <w:gridCol w:w="2969"/>
      </w:tblGrid>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856,264,678.49</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716,415,509.71</w:t>
            </w:r>
            <w:r>
              <w:rPr>
                <w:rFonts w:ascii="Times New Roman"/>
                <w:sz w:val="18"/>
              </w:rPr>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 损益的金融资产</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892,518,738.92</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671,612,889.19</w:t>
            </w:r>
            <w:r>
              <w:rPr>
                <w:rFonts w:ascii="Times New Roman"/>
                <w:sz w:val="18"/>
              </w:rPr>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42,344,473.53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24,632,467.47</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850,174,265.39</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646,980,421.72</w:t>
            </w:r>
            <w:r>
              <w:rPr>
                <w:rFonts w:ascii="Times New Roman"/>
                <w:sz w:val="18"/>
              </w:rPr>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20,993,488.47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21,198,242.04</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37,105,278.47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36,763,629.45</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90,535,844.62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73,295,560.33</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931,627.00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890,855.52</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1,898,349,655.97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1,520,176,686.24</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2"/>
        <w:gridCol w:w="3416"/>
        <w:gridCol w:w="2969"/>
      </w:tblGrid>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147,330,118.60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57,771,246.60</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17,298,343.82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12,331,561.33</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2,383,446.98</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6,989,255.62</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8,692,509.57</w:t>
            </w:r>
            <w:r>
              <w:rPr>
                <w:rFonts w:ascii="Times New Roman"/>
                <w:sz w:val="18"/>
              </w:rPr>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10,054,348.67</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31,404,852.49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31,404,852.49</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5,370,992.21</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6,867,353.43</w:t>
            </w:r>
            <w:r>
              <w:rPr>
                <w:rFonts w:ascii="Times New Roman"/>
                <w:sz w:val="18"/>
              </w:rPr>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9,274,303.48</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7,781,912.27</w:t>
            </w:r>
            <w:r>
              <w:rPr>
                <w:rFonts w:ascii="Times New Roman"/>
                <w:sz w:val="18"/>
              </w:rPr>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230,105,661.87</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124,849,435.69</w:t>
            </w:r>
            <w:r>
              <w:rPr>
                <w:rFonts w:ascii="Times New Roman"/>
                <w:sz w:val="18"/>
              </w:rPr>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2,128,455,317.84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1,645,026,121.93</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110,050,000.00</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 损益的金融负债</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184,092,717.94</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104,937,398.80</w:t>
            </w:r>
            <w:r>
              <w:rPr>
                <w:rFonts w:ascii="Times New Roman"/>
                <w:sz w:val="18"/>
              </w:rPr>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64,084,068.11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77,242,230.63</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114,783,535.27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77,231,218.52</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26,350,268.36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12,786,447.18</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238,627,365.99</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164,317,617.00</w:t>
            </w:r>
            <w:r>
              <w:rPr>
                <w:rFonts w:ascii="Times New Roman"/>
                <w:sz w:val="18"/>
              </w:rPr>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170,453.59</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2"/>
        <w:gridCol w:w="3416"/>
        <w:gridCol w:w="2969"/>
      </w:tblGrid>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19,404,866.52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14,171,047.91</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757,392,822.19</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450,685,960.04</w:t>
            </w:r>
            <w:r>
              <w:rPr>
                <w:rFonts w:ascii="Times New Roman"/>
                <w:sz w:val="18"/>
              </w:rPr>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15,460,000.00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23,040,000.00</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232,500.00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290,625.00</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15,692,500.00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23,330,625.00</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773,085,322.19</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474,016,585.04</w:t>
            </w:r>
            <w:r>
              <w:rPr>
                <w:rFonts w:ascii="Times New Roman"/>
                <w:sz w:val="18"/>
              </w:rPr>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429,220,300.00</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416,760,300.00</w:t>
            </w:r>
            <w:r>
              <w:rPr>
                <w:rFonts w:ascii="Times New Roman"/>
                <w:sz w:val="18"/>
              </w:rPr>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600,759,686.63</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452,221,187.29</w:t>
            </w:r>
            <w:r>
              <w:rPr>
                <w:rFonts w:ascii="Times New Roman"/>
                <w:sz w:val="18"/>
              </w:rPr>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224,603,670.16</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153,236,709.00</w:t>
            </w:r>
            <w:r>
              <w:rPr>
                <w:rFonts w:ascii="Times New Roman"/>
                <w:sz w:val="18"/>
              </w:rPr>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77,272,995.53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60,545,747.44</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477,687,985.93</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381,986,961.71</w:t>
            </w:r>
            <w:r>
              <w:rPr>
                <w:rFonts w:ascii="Times New Roman"/>
                <w:sz w:val="18"/>
              </w:rPr>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1,360,337,297.93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1,158,277,487.44</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-4,967,302.28</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12,732,049.45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3"/>
        <w:gridCol w:w="3406"/>
        <w:gridCol w:w="2969"/>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1,355,369,995.65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1,171,009,536.89</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2,128,455,317.84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1,645,026,121.93</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8" w:val="left" w:leader="none"/>
        </w:tabs>
        <w:spacing w:line="240" w:lineRule="auto" w:before="44"/>
        <w:ind w:left="0" w:right="1222"/>
        <w:jc w:val="right"/>
      </w:pPr>
      <w:r>
        <w:rPr/>
        <w:t>法定代表人：郑新标</w:t>
        <w:tab/>
      </w:r>
      <w:r>
        <w:rPr>
          <w:spacing w:val="-1"/>
        </w:rPr>
        <w:t>主管会计工作负责人：鲁清芳</w:t>
        <w:tab/>
      </w:r>
      <w:r>
        <w:rPr/>
        <w:t>会计机构负责人：鲁清芳</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2、母公司资产负债表" w:id="158"/>
      <w:bookmarkEnd w:id="15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7"/>
        <w:gridCol w:w="3313"/>
        <w:gridCol w:w="2966"/>
      </w:tblGrid>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800,643,359.22</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648,235,369.45</w:t>
            </w:r>
            <w:r>
              <w:rPr>
                <w:rFonts w:ascii="Times New Roman"/>
                <w:sz w:val="18"/>
              </w:rPr>
            </w:r>
          </w:p>
        </w:tc>
      </w:tr>
      <w:tr>
        <w:trPr>
          <w:trHeight w:val="71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 益的金融资产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875,069,593.48</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663,225,756.07</w:t>
            </w:r>
            <w:r>
              <w:rPr>
                <w:rFonts w:ascii="Times New Roman"/>
                <w:sz w:val="18"/>
              </w:rPr>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42,249,473.53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24,280,467.47</w:t>
            </w: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832,820,119.95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638,945,288.60</w:t>
            </w:r>
            <w:r>
              <w:rPr>
                <w:rFonts w:ascii="Times New Roman"/>
                <w:sz w:val="18"/>
              </w:rPr>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21,702,048.27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19,540,630.01</w:t>
            </w: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117,904,450.72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38,434,178.43</w:t>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1,124,733.73</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75,148,001.02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71,257,549.24</w:t>
            </w: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43,888.36</w:t>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1,890,467,452.71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1,440,737,371.56</w:t>
            </w: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283,782,446.36</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211,206,585.10</w:t>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7,645,470.34</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5,076,480.97</w:t>
            </w:r>
            <w:r>
              <w:rPr>
                <w:rFonts w:ascii="Times New Roman"/>
                <w:sz w:val="18"/>
              </w:rPr>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7"/>
        <w:gridCol w:w="3313"/>
        <w:gridCol w:w="2966"/>
      </w:tblGrid>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6,978,922.19</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6,740,676.18</w:t>
            </w:r>
            <w:r>
              <w:rPr>
                <w:rFonts w:ascii="Times New Roman"/>
                <w:sz w:val="18"/>
              </w:rPr>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23,528,884.61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8,520,081.59</w:t>
            </w:r>
            <w:r>
              <w:rPr>
                <w:rFonts w:ascii="Times New Roman"/>
                <w:sz w:val="18"/>
              </w:rPr>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4,325,401.00</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5,105,937.97</w:t>
            </w:r>
            <w:r>
              <w:rPr>
                <w:rFonts w:ascii="Times New Roman"/>
                <w:sz w:val="18"/>
              </w:rPr>
            </w: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9,274,303.48</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7,143,139.04</w:t>
            </w:r>
            <w:r>
              <w:rPr>
                <w:rFonts w:ascii="Times New Roman"/>
                <w:sz w:val="18"/>
              </w:rPr>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335,535,427.98</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243,792,900.85</w:t>
            </w:r>
            <w:r>
              <w:rPr>
                <w:rFonts w:ascii="Times New Roman"/>
                <w:sz w:val="18"/>
              </w:rPr>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2,226,002,880.69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1,684,530,272.41</w:t>
            </w: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110,050,000.00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 益的金融负债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214,572,721.10</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108,702,618.41</w:t>
            </w:r>
            <w:r>
              <w:rPr>
                <w:rFonts w:ascii="Times New Roman"/>
                <w:sz w:val="18"/>
              </w:rPr>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56,360,706.02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74,357,119.35</w:t>
            </w:r>
            <w:r>
              <w:rPr>
                <w:rFonts w:ascii="Times New Roman"/>
                <w:sz w:val="18"/>
              </w:rPr>
            </w: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100,864,681.10</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76,460,823.87</w:t>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27,514,273.19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12,394,016.02</w:t>
            </w: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235,604,822.17</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163,886,364.43</w:t>
            </w:r>
            <w:r>
              <w:rPr>
                <w:rFonts w:ascii="Times New Roman"/>
                <w:sz w:val="18"/>
              </w:rPr>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170,453.59</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17,006,310.53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14,171,047.91</w:t>
            </w: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761,973,514.11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449,971,989.99</w:t>
            </w:r>
            <w:r>
              <w:rPr>
                <w:rFonts w:ascii="Times New Roman"/>
                <w:sz w:val="18"/>
              </w:rPr>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12,960,000.00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20,540,000.00</w:t>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232,500.00</w:t>
            </w: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7"/>
        <w:gridCol w:w="3313"/>
        <w:gridCol w:w="2966"/>
      </w:tblGrid>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13,192,500.00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20,540,000.00</w:t>
            </w: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775,166,014.11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470,511,989.99</w:t>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429,220,300.00</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416,760,300.00</w:t>
            </w:r>
            <w:r>
              <w:rPr>
                <w:rFonts w:ascii="Times New Roman"/>
                <w:sz w:val="18"/>
              </w:rPr>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602,386,046.83</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451,330,201.35</w:t>
            </w:r>
            <w:r>
              <w:rPr>
                <w:rFonts w:ascii="Times New Roman"/>
                <w:sz w:val="18"/>
              </w:rPr>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224,603,670.16</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153,236,709.00</w:t>
            </w:r>
            <w:r>
              <w:rPr>
                <w:rFonts w:ascii="Times New Roman"/>
                <w:sz w:val="18"/>
              </w:rPr>
            </w: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77,272,995.53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60,545,747.44</w:t>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566,561,194.38</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438,618,742.63</w:t>
            </w:r>
            <w:r>
              <w:rPr>
                <w:rFonts w:ascii="Times New Roman"/>
                <w:sz w:val="18"/>
              </w:rPr>
            </w: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1,450,836,866.58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1,214,018,282.42</w:t>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2,226,002,880.69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1,684,530,272.41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b w:val="0"/>
          <w:bCs w:val="0"/>
        </w:rPr>
      </w:pPr>
      <w:bookmarkStart w:name="3、合并利润表" w:id="159"/>
      <w:bookmarkEnd w:id="15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1,015,475,539.46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782,935,041.04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1,015,475,539.46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782,935,041.04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972,562,845.26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705,175,541.11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509,956,363.00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387,859,645.48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5,808,056.72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4,924,814.04</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122,902,251.41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88,841,325.12</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198,128,103.59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129,049,755.86</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124,268,188.39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96,167,843.83</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-5,036,294.91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-4,289,646.17</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2,015,775.94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7,204,705.84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4,422,212.13</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16,536,177.06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2,621,802.95</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24,614,501.02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32,694,932.24</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7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58,033,852.02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38,183,284.52</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49,724,400.30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36,134,422.97</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-38,405.49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-28,040.09</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125,522,641.75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148,609,676.60</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1,083,427.83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207,804.23</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1,306,362.34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357,053.93</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125,299,707.24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148,460,426.90</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13,333,358.35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10,359,213.47</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111,966,348.89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138,101,213.43</w:t>
            </w:r>
            <w:r>
              <w:rPr>
                <w:rFonts w:ascii="Times New Roman"/>
                <w:sz w:val="18"/>
              </w:rPr>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111,966,348.89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138,101,213.43</w:t>
            </w:r>
            <w:r>
              <w:rPr>
                <w:rFonts w:ascii="Times New Roman"/>
                <w:sz w:val="18"/>
              </w:rPr>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133,683,046.76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139,136,836.46</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-21,716,697.87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-1,035,623.03</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6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111,966,348.89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138,101,213.43</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133,683,046.76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139,136,836.46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-21,716,697.87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-1,035,623.03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0.3295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0.3710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0.3290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0.3710</w:t>
            </w:r>
            <w:r>
              <w:rPr>
                <w:rFonts w:ascii="Times New Roman"/>
                <w:sz w:val="18"/>
              </w:rPr>
            </w:r>
          </w:p>
        </w:tc>
      </w:tr>
    </w:tbl>
    <w:p>
      <w:pPr>
        <w:pStyle w:val="BodyText"/>
        <w:tabs>
          <w:tab w:pos="3578" w:val="left" w:leader="none"/>
          <w:tab w:pos="7721" w:val="left" w:leader="none"/>
        </w:tabs>
        <w:spacing w:line="621" w:lineRule="auto" w:before="49"/>
        <w:ind w:right="1222"/>
        <w:jc w:val="left"/>
      </w:pPr>
      <w:r>
        <w:rPr/>
        <w:t>本期发生同一控制下企业合并的，被合并方在合并前实现的净利润为：元，上期被合并方实现的净利润为：元。 法定代表人：郑新标</w:t>
        <w:tab/>
      </w:r>
      <w:r>
        <w:rPr>
          <w:spacing w:val="-1"/>
        </w:rPr>
        <w:t>主管会计工作负责人：鲁清芳</w:t>
        <w:tab/>
      </w:r>
      <w:r>
        <w:rPr/>
        <w:t>会计机构负责人：鲁清芳</w:t>
      </w:r>
    </w:p>
    <w:p>
      <w:pPr>
        <w:pStyle w:val="Heading3"/>
        <w:spacing w:line="240" w:lineRule="auto" w:before="69"/>
        <w:ind w:right="1129"/>
        <w:jc w:val="left"/>
        <w:rPr>
          <w:b w:val="0"/>
          <w:bCs w:val="0"/>
        </w:rPr>
      </w:pPr>
      <w:bookmarkStart w:name="4、母公司利润表" w:id="160"/>
      <w:bookmarkEnd w:id="16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1,001,126,942.53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774,475,927.52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521,198,380.47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388,822,716.22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5,686,467.78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4,785,071.06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105,672,526.96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87,572,979.22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153,105,034.85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118,680,009.12</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108,052,695.08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92,850,278.36</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-5,984,951.78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-3,222,592.71</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2,015,775.94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8,133,957.45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3,352,407.00</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14,847,580.26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3,147,910.48</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24,483,501.02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32,622,599.22</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7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57,204,050.37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38,688,312.86</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49,758,772.35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36,134,422.97</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-38,405.49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17,700.00</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180,198,354.81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153,168,167.85</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1,064,508.54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207,414.56</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1,306,362.34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356,168.99</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179,956,501.01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153,019,413.42</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12,684,020.07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10,202,028.50</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167,272,480.94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142,817,384.92</w:t>
            </w:r>
            <w:r>
              <w:rPr>
                <w:rFonts w:ascii="Times New Roman"/>
                <w:sz w:val="18"/>
              </w:rPr>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167,272,480.94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142,817,384.92</w:t>
            </w:r>
            <w:r>
              <w:rPr>
                <w:rFonts w:ascii="Times New Roman"/>
                <w:sz w:val="18"/>
              </w:rPr>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167,272,480.94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142,817,384.92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0.4124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0.3808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0.4117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0.3808</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b w:val="0"/>
          <w:bCs w:val="0"/>
        </w:rPr>
      </w:pPr>
      <w:bookmarkStart w:name="5、合并现金流量表" w:id="161"/>
      <w:bookmarkEnd w:id="16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853,035,064.78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754,910,279.70</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6,764,101.02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3,314,745.24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54,283,502.94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54,362,385.98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914,082,668.74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812,587,410.92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247,299,043.88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217,143,367.30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440,144,974.26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347,379,285.60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66,732,965.35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46,404,592.61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157,263,696.38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152,945,851.87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911,440,679.87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763,873,097.38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2,641,988.87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48,714,313.54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465,740,000.00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9,610,000.00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8,309,451.72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2,048,861.55</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306,525.00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49,630.00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474,355,976.72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11,708,491.55</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24,291,077.98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9,902,775.77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503,690,000.00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2,786,411.35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527,981,077.98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12,689,191.12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-53,625,101.26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-980,699.57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104,243,320.00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353,916,009.00</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110,050,000.00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214,293,320.00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353,916,009.00</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减少投资支付的现金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311,496.00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23,100,096.80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23,411,592.80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190,881,727.20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353,916,009.00</w:t>
            </w:r>
            <w:r>
              <w:rPr>
                <w:rFonts w:ascii="Times New Roman"/>
                <w:sz w:val="18"/>
              </w:rPr>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139,898,614.81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401,649,622.97</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712,401,770.71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310,752,147.74</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852,300,385.52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712,401,770.71</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b w:val="0"/>
          <w:bCs w:val="0"/>
        </w:rPr>
      </w:pPr>
      <w:bookmarkStart w:name="6、母公司现金流量表" w:id="162"/>
      <w:bookmarkEnd w:id="16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835,057,370.31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738,589,445.05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6,764,101.02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3,267,224.22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53,899,739.49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73,693,724.89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895,721,210.82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815,550,394.16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258,264,679.26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215,491,448.26</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362,588,069.02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342,056,441.97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66,021,571.65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44,690,442.37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137,441,543.66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168,540,123.19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824,315,863.59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770,778,455.79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71,405,347.23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44,771,938.37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437,506,083.49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19,610,000.00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7,445,278.02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2,048,861.55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303,445.00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119,534.22</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455,354,806.51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21,778,395.77</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12,787,446.14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6,795,256.88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469,296,999.00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25,010,100.00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81,600,000.00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563,684,445.14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31,805,356.88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-108,329,638.63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-10,026,961.11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102,743,320.00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353,916,009.00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110,050,000.00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212,793,320.00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353,916,009.00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减少投资支付的现金</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311,496.00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23,100,096.80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23,411,592.80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189,381,727.20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353,916,009.00</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152,457,435.80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388,660,986.26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644,221,630.45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255,560,644.19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796,679,066.25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644,221,630.45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7、合并所有者权益变动表" w:id="163"/>
      <w:bookmarkEnd w:id="16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9"/>
        <w:jc w:val="left"/>
      </w:pPr>
      <w:r>
        <w:rPr/>
        <w:t>本期金额</w:t>
      </w:r>
    </w:p>
    <w:p>
      <w:pPr>
        <w:pStyle w:val="BodyText"/>
        <w:spacing w:line="240" w:lineRule="auto" w:before="115"/>
        <w:ind w:left="0" w:right="1133"/>
        <w:jc w:val="right"/>
      </w:pPr>
      <w:r>
        <w:rPr/>
        <w:t>单位：元</w:t>
      </w:r>
    </w:p>
    <w:p>
      <w:pPr>
        <w:spacing w:after="0" w:line="240" w:lineRule="auto"/>
        <w:jc w:val="right"/>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0"/>
        <w:gridCol w:w="530"/>
        <w:gridCol w:w="665"/>
        <w:gridCol w:w="665"/>
        <w:gridCol w:w="665"/>
        <w:gridCol w:w="665"/>
        <w:gridCol w:w="665"/>
        <w:gridCol w:w="665"/>
        <w:gridCol w:w="665"/>
        <w:gridCol w:w="665"/>
        <w:gridCol w:w="660"/>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4D4D4"/>
          </w:tcPr>
          <w:p>
            <w:pPr/>
          </w:p>
        </w:tc>
        <w:tc>
          <w:tcPr>
            <w:tcW w:w="8134"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6" w:type="dxa"/>
            <w:vMerge/>
            <w:tcBorders>
              <w:left w:val="single" w:sz="4" w:space="0" w:color="000000"/>
              <w:right w:val="single" w:sz="4" w:space="0" w:color="000000"/>
            </w:tcBorders>
            <w:shd w:val="clear" w:color="auto" w:fill="D4D4D4"/>
          </w:tcPr>
          <w:p>
            <w:pPr/>
          </w:p>
        </w:tc>
        <w:tc>
          <w:tcPr>
            <w:tcW w:w="6809"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4D4D4"/>
          </w:tcPr>
          <w:p>
            <w:pPr/>
          </w:p>
        </w:tc>
        <w:tc>
          <w:tcPr>
            <w:tcW w:w="660"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4D4D4"/>
          </w:tcPr>
          <w:p>
            <w:pPr/>
          </w:p>
        </w:tc>
        <w:tc>
          <w:tcPr>
            <w:tcW w:w="6809" w:type="dxa"/>
            <w:gridSpan w:val="11"/>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4D4D4"/>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67" w:hRule="exact"/>
        </w:trPr>
        <w:tc>
          <w:tcPr>
            <w:tcW w:w="1426" w:type="dxa"/>
            <w:vMerge/>
            <w:tcBorders>
              <w:left w:val="single" w:sz="4" w:space="0" w:color="000000"/>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56" w:hRule="exact"/>
        </w:trPr>
        <w:tc>
          <w:tcPr>
            <w:tcW w:w="1426" w:type="dxa"/>
            <w:vMerge/>
            <w:tcBorders>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
        </w:tc>
        <w:tc>
          <w:tcPr>
            <w:tcW w:w="660" w:type="dxa"/>
            <w:vMerge/>
            <w:tcBorders>
              <w:left w:val="single" w:sz="4" w:space="0" w:color="000000"/>
              <w:bottom w:val="nil" w:sz="6" w:space="0" w:color="auto"/>
              <w:right w:val="single" w:sz="4" w:space="0" w:color="000000"/>
            </w:tcBorders>
            <w:shd w:val="clear" w:color="auto" w:fill="D4D4D4"/>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3"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0"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416,76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0,300.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452,221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,187.29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153,236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,709.00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60,545,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747.44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381,986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,961.71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12,732,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049.45</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09,536.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4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416,76</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0,300.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452,221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,187.29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153,236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,709.00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60,545,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747.44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381,986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,961.71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12,732,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049.45</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1,171,0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09,536.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148,538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,499.34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71,366,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961.16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16,727,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248.09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95,701,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024.22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-17,699,</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351.73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184,360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,458.76</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133,683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,046.76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-21,716,</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697.87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111,966</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,348.89</w:t>
            </w: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148,538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,499.34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71,966,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736.46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4,017,3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46.14</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93,049,</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109.02</w:t>
            </w:r>
          </w:p>
        </w:tc>
      </w:tr>
      <w:tr>
        <w:trPr>
          <w:trHeight w:val="703"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12,484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90,259,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320.00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102,743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,320.00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0.00</w:t>
            </w:r>
          </w:p>
        </w:tc>
      </w:tr>
      <w:tr>
        <w:trPr>
          <w:trHeight w:val="703"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97"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58,566,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675.34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-30,465,</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087.54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2,517,3</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46.14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91,549,</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109.02</w:t>
            </w: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-24,00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-287,49</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6.00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-311,49</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00.00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00.00</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0.00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-599,77</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5.30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16,727,</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248.09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-37,982,</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022.54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-20,654,</w:t>
            </w:r>
          </w:p>
          <w:p>
            <w:pPr>
              <w:pStyle w:val="TableParagraph"/>
              <w:spacing w:line="240" w:lineRule="auto" w:before="102"/>
              <w:ind w:left="107" w:right="0"/>
              <w:jc w:val="center"/>
              <w:rPr>
                <w:rFonts w:ascii="Times New Roman" w:hAnsi="Times New Roman" w:cs="Times New Roman" w:eastAsia="Times New Roman" w:hint="default"/>
                <w:sz w:val="18"/>
                <w:szCs w:val="18"/>
              </w:rPr>
            </w:pPr>
            <w:r>
              <w:rPr>
                <w:rFonts w:ascii="Times New Roman"/>
                <w:sz w:val="18"/>
              </w:rPr>
              <w:t>999.15</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16,727,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-16,727,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248.09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9" w:right="0"/>
              <w:jc w:val="left"/>
              <w:rPr>
                <w:rFonts w:ascii="Times New Roman" w:hAnsi="Times New Roman" w:cs="Times New Roman" w:eastAsia="Times New Roman" w:hint="default"/>
                <w:sz w:val="18"/>
                <w:szCs w:val="18"/>
              </w:rPr>
            </w:pPr>
            <w:r>
              <w:rPr>
                <w:rFonts w:ascii="Times New Roman"/>
                <w:sz w:val="18"/>
              </w:rPr>
              <w:t>248.09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-599,77</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5.30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-21,254,</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774.45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-20,654,</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999.15</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429,22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0,300.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600,759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,686.63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224,603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,670.16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77,272,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995.53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477,687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,985.93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-4,967,3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02.28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69,995.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r>
    </w:tbl>
    <w:p>
      <w:pPr>
        <w:pStyle w:val="BodyText"/>
        <w:spacing w:line="240" w:lineRule="auto" w:before="49"/>
        <w:ind w:right="1129"/>
        <w:jc w:val="left"/>
      </w:pPr>
      <w:r>
        <w:rPr/>
        <w:t>上期金额</w:t>
      </w:r>
    </w:p>
    <w:p>
      <w:pPr>
        <w:pStyle w:val="BodyText"/>
        <w:spacing w:line="240" w:lineRule="auto" w:before="115"/>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0"/>
        <w:gridCol w:w="533"/>
        <w:gridCol w:w="662"/>
        <w:gridCol w:w="665"/>
        <w:gridCol w:w="667"/>
        <w:gridCol w:w="665"/>
        <w:gridCol w:w="662"/>
        <w:gridCol w:w="665"/>
        <w:gridCol w:w="679"/>
        <w:gridCol w:w="653"/>
        <w:gridCol w:w="658"/>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4D4D4"/>
          </w:tcPr>
          <w:p>
            <w:pP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4D4D4"/>
          </w:tcPr>
          <w:p>
            <w:pPr/>
          </w:p>
        </w:tc>
        <w:tc>
          <w:tcPr>
            <w:tcW w:w="6821"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4D4D4"/>
          </w:tcPr>
          <w:p>
            <w:pPr/>
          </w:p>
        </w:tc>
        <w:tc>
          <w:tcPr>
            <w:tcW w:w="65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4D4D4"/>
          </w:tcPr>
          <w:p>
            <w:pPr/>
          </w:p>
        </w:tc>
        <w:tc>
          <w:tcPr>
            <w:tcW w:w="6821" w:type="dxa"/>
            <w:gridSpan w:val="11"/>
            <w:vMerge/>
            <w:tcBorders>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nil" w:sz="6" w:space="0" w:color="auto"/>
              <w:right w:val="single" w:sz="4" w:space="0" w:color="000000"/>
            </w:tcBorders>
            <w:shd w:val="clear" w:color="auto" w:fill="D4D4D4"/>
          </w:tcPr>
          <w:p>
            <w:pPr/>
          </w:p>
        </w:tc>
        <w:tc>
          <w:tcPr>
            <w:tcW w:w="65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7"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79" w:type="dxa"/>
            <w:tcBorders>
              <w:top w:val="single" w:sz="4" w:space="0" w:color="000000"/>
              <w:left w:val="single" w:sz="4" w:space="0" w:color="000000"/>
              <w:bottom w:val="nil" w:sz="6" w:space="0" w:color="auto"/>
              <w:right w:val="single" w:sz="4" w:space="0" w:color="000000"/>
            </w:tcBorders>
            <w:shd w:val="clear" w:color="auto" w:fill="D4D4D4"/>
          </w:tcPr>
          <w:p>
            <w:pPr/>
          </w:p>
        </w:tc>
        <w:tc>
          <w:tcPr>
            <w:tcW w:w="653"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4D4D4"/>
          </w:tcPr>
          <w:p>
            <w:pPr/>
          </w:p>
        </w:tc>
      </w:tr>
      <w:tr>
        <w:trPr>
          <w:trHeight w:val="174" w:hRule="exact"/>
        </w:trPr>
        <w:tc>
          <w:tcPr>
            <w:tcW w:w="1438" w:type="dxa"/>
            <w:vMerge/>
            <w:tcBorders>
              <w:left w:val="single" w:sz="4" w:space="0" w:color="000000"/>
              <w:bottom w:val="nil" w:sz="6" w:space="0" w:color="auto"/>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67" w:hRule="exact"/>
        </w:trPr>
        <w:tc>
          <w:tcPr>
            <w:tcW w:w="1438" w:type="dxa"/>
            <w:vMerge/>
            <w:tcBorders>
              <w:left w:val="single" w:sz="4" w:space="0" w:color="000000"/>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bottom w:val="nil" w:sz="6" w:space="0" w:color="auto"/>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56" w:hRule="exact"/>
        </w:trPr>
        <w:tc>
          <w:tcPr>
            <w:tcW w:w="1438" w:type="dxa"/>
            <w:vMerge/>
            <w:tcBorders>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7"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79" w:type="dxa"/>
            <w:vMerge/>
            <w:tcBorders>
              <w:left w:val="single" w:sz="4" w:space="0" w:color="000000"/>
              <w:bottom w:val="nil" w:sz="6" w:space="0" w:color="auto"/>
              <w:right w:val="single" w:sz="4" w:space="0" w:color="000000"/>
            </w:tcBorders>
            <w:shd w:val="clear" w:color="auto" w:fill="D4D4D4"/>
          </w:tcPr>
          <w:p>
            <w:pPr/>
          </w:p>
        </w:tc>
        <w:tc>
          <w:tcPr>
            <w:tcW w:w="653" w:type="dxa"/>
            <w:vMerge w:val="restart"/>
            <w:tcBorders>
              <w:top w:val="nil" w:sz="6" w:space="0" w:color="auto"/>
              <w:left w:val="single" w:sz="4" w:space="0" w:color="000000"/>
              <w:right w:val="single" w:sz="4" w:space="0" w:color="000000"/>
            </w:tcBorders>
            <w:shd w:val="clear" w:color="auto" w:fill="D4D4D4"/>
          </w:tcPr>
          <w:p>
            <w:pPr/>
          </w:p>
        </w:tc>
        <w:tc>
          <w:tcPr>
            <w:tcW w:w="658" w:type="dxa"/>
            <w:vMerge/>
            <w:tcBorders>
              <w:left w:val="single" w:sz="4" w:space="0" w:color="000000"/>
              <w:bottom w:val="nil" w:sz="6" w:space="0" w:color="auto"/>
              <w:right w:val="single" w:sz="4" w:space="0" w:color="000000"/>
            </w:tcBorders>
            <w:shd w:val="clear" w:color="auto" w:fill="D4D4D4"/>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3"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7"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79" w:type="dxa"/>
            <w:tcBorders>
              <w:top w:val="nil" w:sz="6" w:space="0" w:color="auto"/>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single" w:sz="4" w:space="0" w:color="000000"/>
              <w:right w:val="single" w:sz="4" w:space="0" w:color="000000"/>
            </w:tcBorders>
            <w:shd w:val="clear" w:color="auto" w:fill="D4D4D4"/>
          </w:tcPr>
          <w:p>
            <w:pPr/>
          </w:p>
        </w:tc>
        <w:tc>
          <w:tcPr>
            <w:tcW w:w="65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9" w:space="0" w:color="D4D4D4"/>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146,209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,029.40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46,264,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008.94</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257,131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,863.75</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0.00</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809,604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,902.09</w:t>
            </w:r>
          </w:p>
        </w:tc>
      </w:tr>
      <w:tr>
        <w:trPr>
          <w:trHeight w:val="391" w:hRule="exact"/>
        </w:trPr>
        <w:tc>
          <w:tcPr>
            <w:tcW w:w="14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w:t>
            </w:r>
          </w:p>
        </w:tc>
        <w:tc>
          <w:tcPr>
            <w:tcW w:w="56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4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146,209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,029.40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46,264,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008.94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257,131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,863.75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809,604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,902.09</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56,760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306,012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,157.89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153,236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,709.00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14,281,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738.50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124,855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,097.96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12,732,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049.45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361,404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,634.80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139,136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,836.46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-1,035,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623.03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138,101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,213.43</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56,760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306,012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,157.89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153,236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,709.00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13,767,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672.48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223,303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,421.37</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56,760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297,155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,709.00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153,236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,709.00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200,679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,300.00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0.00</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7,965,4</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62.95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7,965,4</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62.95</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890,985</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13,767,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672.48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14,658,</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658.42</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14,281,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738.50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-14,281,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738.50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14,281,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738.50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-14,281,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738.50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416,76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0,300.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452,221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,187.29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153,236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,709.00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60,545,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747.44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381,986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,961.71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12,732,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049.45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1,171,0</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09,536.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9"/>
        <w:jc w:val="left"/>
        <w:rPr>
          <w:b w:val="0"/>
          <w:bCs w:val="0"/>
        </w:rPr>
      </w:pPr>
      <w:bookmarkStart w:name="8、母公司所有者权益变动表" w:id="164"/>
      <w:bookmarkEnd w:id="16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9"/>
        <w:jc w:val="left"/>
      </w:pPr>
      <w:r>
        <w:rPr/>
        <w:t>本期金额</w:t>
      </w:r>
    </w:p>
    <w:p>
      <w:pPr>
        <w:pStyle w:val="BodyText"/>
        <w:spacing w:line="240" w:lineRule="auto" w:before="115"/>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7"/>
        <w:gridCol w:w="702"/>
        <w:gridCol w:w="665"/>
        <w:gridCol w:w="667"/>
        <w:gridCol w:w="665"/>
        <w:gridCol w:w="797"/>
        <w:gridCol w:w="797"/>
        <w:gridCol w:w="797"/>
        <w:gridCol w:w="799"/>
        <w:gridCol w:w="797"/>
        <w:gridCol w:w="677"/>
        <w:gridCol w:w="780"/>
      </w:tblGrid>
      <w:tr>
        <w:trPr>
          <w:trHeight w:val="396"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7" w:type="dxa"/>
            <w:vMerge/>
            <w:tcBorders>
              <w:left w:val="single" w:sz="4" w:space="0" w:color="000000"/>
              <w:bottom w:val="nil" w:sz="6" w:space="0" w:color="auto"/>
              <w:right w:val="single" w:sz="4" w:space="0" w:color="000000"/>
            </w:tcBorders>
            <w:shd w:val="clear" w:color="auto" w:fill="D4D4D4"/>
          </w:tcPr>
          <w:p>
            <w:pPr/>
          </w:p>
        </w:tc>
        <w:tc>
          <w:tcPr>
            <w:tcW w:w="70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2" w:hRule="exact"/>
        </w:trPr>
        <w:tc>
          <w:tcPr>
            <w:tcW w:w="1417" w:type="dxa"/>
            <w:vMerge w:val="restart"/>
            <w:tcBorders>
              <w:top w:val="nil" w:sz="6" w:space="0" w:color="auto"/>
              <w:left w:val="single" w:sz="4" w:space="0" w:color="000000"/>
              <w:right w:val="single" w:sz="4" w:space="0" w:color="000000"/>
            </w:tcBorders>
            <w:shd w:val="clear" w:color="auto" w:fill="D4D4D4"/>
          </w:tcPr>
          <w:p>
            <w:pPr/>
          </w:p>
        </w:tc>
        <w:tc>
          <w:tcPr>
            <w:tcW w:w="702"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4" w:hRule="exact"/>
        </w:trPr>
        <w:tc>
          <w:tcPr>
            <w:tcW w:w="1417" w:type="dxa"/>
            <w:vMerge/>
            <w:tcBorders>
              <w:left w:val="single" w:sz="4" w:space="0" w:color="000000"/>
              <w:bottom w:val="single" w:sz="4" w:space="0" w:color="000000"/>
              <w:right w:val="single" w:sz="4" w:space="0" w:color="000000"/>
            </w:tcBorders>
            <w:shd w:val="clear" w:color="auto" w:fill="D4D4D4"/>
          </w:tcPr>
          <w:p>
            <w:pPr/>
          </w:p>
        </w:tc>
        <w:tc>
          <w:tcPr>
            <w:tcW w:w="70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3"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3"/>
              <w:ind w:left="18" w:right="0"/>
              <w:jc w:val="center"/>
              <w:rPr>
                <w:rFonts w:ascii="Times New Roman" w:hAnsi="Times New Roman" w:cs="Times New Roman" w:eastAsia="Times New Roman" w:hint="default"/>
                <w:sz w:val="18"/>
                <w:szCs w:val="18"/>
              </w:rPr>
            </w:pPr>
            <w:r>
              <w:rPr>
                <w:rFonts w:ascii="Times New Roman"/>
                <w:sz w:val="18"/>
              </w:rPr>
              <w:t>416,760,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300.00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451,330,2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01.35</w:t>
            </w:r>
          </w:p>
        </w:tc>
        <w:tc>
          <w:tcPr>
            <w:tcW w:w="797" w:type="dxa"/>
            <w:vMerge w:val="restart"/>
            <w:tcBorders>
              <w:top w:val="single" w:sz="17" w:space="0" w:color="D4D4D4"/>
              <w:left w:val="single" w:sz="4" w:space="0" w:color="000000"/>
              <w:right w:val="single" w:sz="4" w:space="0" w:color="000000"/>
            </w:tcBorders>
          </w:tcPr>
          <w:p>
            <w:pPr>
              <w:pStyle w:val="TableParagraph"/>
              <w:spacing w:line="240" w:lineRule="auto" w:before="76"/>
              <w:ind w:left="45" w:right="0"/>
              <w:jc w:val="left"/>
              <w:rPr>
                <w:rFonts w:ascii="Times New Roman" w:hAnsi="Times New Roman" w:cs="Times New Roman" w:eastAsia="Times New Roman" w:hint="default"/>
                <w:sz w:val="18"/>
                <w:szCs w:val="18"/>
              </w:rPr>
            </w:pPr>
            <w:r>
              <w:rPr>
                <w:rFonts w:ascii="Times New Roman"/>
                <w:sz w:val="18"/>
              </w:rPr>
              <w:t>153,236,7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09.00</w:t>
            </w:r>
          </w:p>
        </w:tc>
        <w:tc>
          <w:tcPr>
            <w:tcW w:w="797" w:type="dxa"/>
            <w:vMerge w:val="restart"/>
            <w:tcBorders>
              <w:top w:val="single" w:sz="17" w:space="0" w:color="D4D4D4"/>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60,545,74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7.44</w:t>
            </w:r>
          </w:p>
        </w:tc>
        <w:tc>
          <w:tcPr>
            <w:tcW w:w="677" w:type="dxa"/>
            <w:vMerge w:val="restart"/>
            <w:tcBorders>
              <w:top w:val="single" w:sz="17" w:space="0" w:color="D4D4D4"/>
              <w:left w:val="single" w:sz="4" w:space="0" w:color="000000"/>
              <w:right w:val="single" w:sz="4" w:space="0" w:color="000000"/>
            </w:tcBorders>
          </w:tcPr>
          <w:p>
            <w:pPr>
              <w:pStyle w:val="TableParagraph"/>
              <w:spacing w:line="240" w:lineRule="auto" w:before="76"/>
              <w:ind w:left="57" w:right="0"/>
              <w:jc w:val="left"/>
              <w:rPr>
                <w:rFonts w:ascii="Times New Roman" w:hAnsi="Times New Roman" w:cs="Times New Roman" w:eastAsia="Times New Roman" w:hint="default"/>
                <w:sz w:val="18"/>
                <w:szCs w:val="18"/>
              </w:rPr>
            </w:pPr>
            <w:r>
              <w:rPr>
                <w:rFonts w:ascii="Times New Roman"/>
                <w:sz w:val="18"/>
              </w:rPr>
              <w:t>438,618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,742.63</w:t>
            </w:r>
          </w:p>
        </w:tc>
        <w:tc>
          <w:tcPr>
            <w:tcW w:w="780" w:type="dxa"/>
            <w:vMerge w:val="restart"/>
            <w:tcBorders>
              <w:top w:val="single" w:sz="17" w:space="0" w:color="D4D4D4"/>
              <w:left w:val="single" w:sz="4" w:space="0" w:color="000000"/>
              <w:right w:val="single" w:sz="4" w:space="0" w:color="000000"/>
            </w:tcBorders>
          </w:tcPr>
          <w:p>
            <w:pPr>
              <w:pStyle w:val="TableParagraph"/>
              <w:spacing w:line="240" w:lineRule="auto" w:before="76"/>
              <w:ind w:left="8" w:right="0"/>
              <w:jc w:val="center"/>
              <w:rPr>
                <w:rFonts w:ascii="Times New Roman" w:hAnsi="Times New Roman" w:cs="Times New Roman" w:eastAsia="Times New Roman" w:hint="default"/>
                <w:sz w:val="18"/>
                <w:szCs w:val="18"/>
              </w:rPr>
            </w:pPr>
            <w:r>
              <w:rPr>
                <w:rFonts w:ascii="Times New Roman"/>
                <w:sz w:val="18"/>
              </w:rPr>
              <w:t>1,214,018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,282.42</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3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3"/>
              <w:ind w:left="18" w:right="0"/>
              <w:jc w:val="center"/>
              <w:rPr>
                <w:rFonts w:ascii="Times New Roman" w:hAnsi="Times New Roman" w:cs="Times New Roman" w:eastAsia="Times New Roman" w:hint="default"/>
                <w:sz w:val="18"/>
                <w:szCs w:val="18"/>
              </w:rPr>
            </w:pPr>
            <w:r>
              <w:rPr>
                <w:rFonts w:ascii="Times New Roman"/>
                <w:sz w:val="18"/>
              </w:rPr>
              <w:t>416,760,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300.00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451,330,2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01.35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153,236,7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09.00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60,545,74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7.44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438,618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,742.63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1,214,018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,282.42</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12,460,0</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151,055,8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45.48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71,366,96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16,727,24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127,942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,451.75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236,818,5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84.16</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8"/>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167,272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,480.94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167,272,4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80.94</w:t>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12,460,0</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151,055,8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45.48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71,966,73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91,549,10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9.02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12,484,0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90,259,32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102,743,3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61,084,02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-30,465,0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87.54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91,549,10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9.02</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-287,496.</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-311,496.</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-599,775.</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16,727,24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-37,982,</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022.54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-20,654,9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99.15</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16,727,24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8.09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-16,727,</w:t>
            </w:r>
          </w:p>
          <w:p>
            <w:pPr>
              <w:pStyle w:val="TableParagraph"/>
              <w:spacing w:line="240" w:lineRule="auto" w:before="102"/>
              <w:ind w:left="124" w:right="0"/>
              <w:jc w:val="center"/>
              <w:rPr>
                <w:rFonts w:ascii="Times New Roman" w:hAnsi="Times New Roman" w:cs="Times New Roman" w:eastAsia="Times New Roman" w:hint="default"/>
                <w:sz w:val="18"/>
                <w:szCs w:val="18"/>
              </w:rPr>
            </w:pPr>
            <w:r>
              <w:rPr>
                <w:rFonts w:ascii="Times New Roman"/>
                <w:sz w:val="18"/>
              </w:rPr>
              <w:t>248.09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-599,775.</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-21,254,</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774.45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-20,654,9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99.15</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-1,348,0</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06.65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-1,348,00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6.65</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429,220,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300.00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602,386,0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46.83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224,603,6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70.16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77,272,99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566,561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,194.38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1,450,836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,866.58</w:t>
            </w:r>
          </w:p>
        </w:tc>
      </w:tr>
    </w:tbl>
    <w:p>
      <w:pPr>
        <w:pStyle w:val="BodyText"/>
        <w:spacing w:line="240" w:lineRule="auto" w:before="49"/>
        <w:ind w:right="1129"/>
        <w:jc w:val="left"/>
      </w:pPr>
      <w:r>
        <w:rPr/>
        <w:t>上期金额</w:t>
      </w:r>
    </w:p>
    <w:p>
      <w:pPr>
        <w:pStyle w:val="BodyText"/>
        <w:spacing w:line="240" w:lineRule="auto" w:before="115"/>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812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7"/>
        <w:gridCol w:w="702"/>
        <w:gridCol w:w="665"/>
        <w:gridCol w:w="667"/>
        <w:gridCol w:w="665"/>
        <w:gridCol w:w="797"/>
        <w:gridCol w:w="797"/>
        <w:gridCol w:w="797"/>
        <w:gridCol w:w="799"/>
        <w:gridCol w:w="797"/>
        <w:gridCol w:w="677"/>
        <w:gridCol w:w="780"/>
      </w:tblGrid>
      <w:tr>
        <w:trPr>
          <w:trHeight w:val="206" w:hRule="exact"/>
        </w:trPr>
        <w:tc>
          <w:tcPr>
            <w:tcW w:w="1417" w:type="dxa"/>
            <w:vMerge w:val="restart"/>
            <w:tcBorders>
              <w:top w:val="single" w:sz="4" w:space="0" w:color="000000"/>
              <w:left w:val="single" w:sz="4" w:space="0" w:color="000000"/>
              <w:right w:val="single" w:sz="4" w:space="0" w:color="000000"/>
            </w:tcBorders>
            <w:shd w:val="clear" w:color="auto" w:fill="D4D4D4"/>
          </w:tcPr>
          <w:p>
            <w:pPr/>
          </w:p>
        </w:tc>
        <w:tc>
          <w:tcPr>
            <w:tcW w:w="7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6" w:hRule="exact"/>
        </w:trPr>
        <w:tc>
          <w:tcPr>
            <w:tcW w:w="1417" w:type="dxa"/>
            <w:vMerge/>
            <w:tcBorders>
              <w:left w:val="single" w:sz="4" w:space="0" w:color="000000"/>
              <w:right w:val="single" w:sz="4" w:space="0" w:color="000000"/>
            </w:tcBorders>
            <w:shd w:val="clear" w:color="auto" w:fill="D4D4D4"/>
          </w:tcPr>
          <w:p>
            <w:pPr/>
          </w:p>
        </w:tc>
        <w:tc>
          <w:tcPr>
            <w:tcW w:w="70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196" w:hRule="exact"/>
        </w:trPr>
        <w:tc>
          <w:tcPr>
            <w:tcW w:w="1417" w:type="dxa"/>
            <w:vMerge/>
            <w:tcBorders>
              <w:left w:val="single" w:sz="4" w:space="0" w:color="000000"/>
              <w:right w:val="single" w:sz="4" w:space="0" w:color="000000"/>
            </w:tcBorders>
            <w:shd w:val="clear" w:color="auto" w:fill="D4D4D4"/>
          </w:tcPr>
          <w:p>
            <w:pPr/>
          </w:p>
        </w:tc>
        <w:tc>
          <w:tcPr>
            <w:tcW w:w="702"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6" w:hRule="exact"/>
        </w:trPr>
        <w:tc>
          <w:tcPr>
            <w:tcW w:w="1417" w:type="dxa"/>
            <w:vMerge/>
            <w:tcBorders>
              <w:left w:val="single" w:sz="4" w:space="0" w:color="000000"/>
              <w:bottom w:val="single" w:sz="4" w:space="0" w:color="000000"/>
              <w:right w:val="single" w:sz="4" w:space="0" w:color="000000"/>
            </w:tcBorders>
            <w:shd w:val="clear" w:color="auto" w:fill="D4D4D4"/>
          </w:tcPr>
          <w:p>
            <w:pPr/>
          </w:p>
        </w:tc>
        <w:tc>
          <w:tcPr>
            <w:tcW w:w="70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146,209,0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29.40</w:t>
            </w:r>
          </w:p>
        </w:tc>
        <w:tc>
          <w:tcPr>
            <w:tcW w:w="797" w:type="dxa"/>
            <w:vMerge w:val="restart"/>
            <w:tcBorders>
              <w:top w:val="single" w:sz="22" w:space="0" w:color="D4D4D4"/>
              <w:left w:val="single" w:sz="4" w:space="0" w:color="000000"/>
              <w:right w:val="single" w:sz="4" w:space="0" w:color="000000"/>
            </w:tcBorders>
          </w:tcPr>
          <w:p>
            <w:pPr/>
          </w:p>
        </w:tc>
        <w:tc>
          <w:tcPr>
            <w:tcW w:w="797" w:type="dxa"/>
            <w:vMerge w:val="restart"/>
            <w:tcBorders>
              <w:top w:val="single" w:sz="22" w:space="0" w:color="D4D4D4"/>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46,264,00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8.94</w:t>
            </w:r>
          </w:p>
        </w:tc>
        <w:tc>
          <w:tcPr>
            <w:tcW w:w="677" w:type="dxa"/>
            <w:vMerge w:val="restart"/>
            <w:tcBorders>
              <w:top w:val="single" w:sz="22" w:space="0" w:color="D4D4D4"/>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310,083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,096.21</w:t>
            </w:r>
          </w:p>
        </w:tc>
        <w:tc>
          <w:tcPr>
            <w:tcW w:w="780" w:type="dxa"/>
            <w:vMerge w:val="restart"/>
            <w:tcBorders>
              <w:top w:val="single" w:sz="22" w:space="0" w:color="D4D4D4"/>
              <w:left w:val="single" w:sz="4" w:space="0" w:color="000000"/>
              <w:right w:val="single" w:sz="4" w:space="0" w:color="000000"/>
            </w:tcBorders>
          </w:tcPr>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862,556,1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34.55</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3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146,209,0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29.40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46,264,00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310,083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,096.21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862,556,1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34.55</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56,760,3</w:t>
            </w:r>
          </w:p>
          <w:p>
            <w:pPr>
              <w:pStyle w:val="TableParagraph"/>
              <w:spacing w:line="240" w:lineRule="auto" w:before="102"/>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305,121,1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71.95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153,236,7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14,281,73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8.50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128,535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,646.42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351,462,1</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47.87</w:t>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142,817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,384.92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142,817,3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84.92</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8"/>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56,760,3</w:t>
            </w:r>
          </w:p>
          <w:p>
            <w:pPr>
              <w:pStyle w:val="TableParagraph"/>
              <w:spacing w:line="240" w:lineRule="auto" w:before="102"/>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305,121,1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71.95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153,236,7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208,644,7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62.95</w:t>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7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56,760,3</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297,155,7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153,236,7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09.00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200,679,3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02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7,965,462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7,965,462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14,281,73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-14,281,</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738.50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3"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14,281,73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8.50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-14,281,</w:t>
            </w:r>
          </w:p>
          <w:p>
            <w:pPr>
              <w:pStyle w:val="TableParagraph"/>
              <w:spacing w:line="240" w:lineRule="auto" w:before="102"/>
              <w:ind w:left="124" w:right="0"/>
              <w:jc w:val="center"/>
              <w:rPr>
                <w:rFonts w:ascii="Times New Roman" w:hAnsi="Times New Roman" w:cs="Times New Roman" w:eastAsia="Times New Roman" w:hint="default"/>
                <w:sz w:val="18"/>
                <w:szCs w:val="18"/>
              </w:rPr>
            </w:pPr>
            <w:r>
              <w:rPr>
                <w:rFonts w:ascii="Times New Roman"/>
                <w:sz w:val="18"/>
              </w:rPr>
              <w:t>738.50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416,760,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300.00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451,330,2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01.35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153,236,7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60,545,74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7.44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438,618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,742.63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1,214,018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,282.42</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29"/>
        <w:jc w:val="left"/>
        <w:rPr>
          <w:b w:val="0"/>
          <w:bCs w:val="0"/>
        </w:rPr>
      </w:pPr>
      <w:bookmarkStart w:name="三、公司基本情况" w:id="165"/>
      <w:bookmarkEnd w:id="165"/>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1124" w:firstLine="419"/>
        <w:jc w:val="left"/>
      </w:pPr>
      <w:r>
        <w:rPr/>
        <w:t>朗新科技股份有限公司系经中华人民共和国江苏省无锡市国家高新技术产业开发区管理委员会发出的《关于同意朗新 科技（中国）有限公司整体变更为股份有限公司的批复》（锡高管项发</w:t>
      </w:r>
      <w:r>
        <w:rPr>
          <w:rFonts w:ascii="Times New Roman" w:hAnsi="Times New Roman" w:cs="Times New Roman" w:eastAsia="Times New Roman" w:hint="default"/>
        </w:rPr>
        <w:t>[2013]233</w:t>
      </w:r>
      <w:r>
        <w:rPr/>
        <w:t>号）批准，由朗新科技（中国）有限公司 整体变更设立的外商投资股份有限公司。本公司于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日取得国家工商行政管理总局核发的《企业名称变更核准通 知书》（</w:t>
      </w:r>
      <w:r>
        <w:rPr>
          <w:rFonts w:ascii="Times New Roman" w:hAnsi="Times New Roman" w:cs="Times New Roman" w:eastAsia="Times New Roman" w:hint="default"/>
        </w:rPr>
        <w:t>(</w:t>
      </w:r>
      <w:r>
        <w:rPr/>
        <w:t>国</w:t>
      </w:r>
      <w:r>
        <w:rPr>
          <w:rFonts w:ascii="Times New Roman" w:hAnsi="Times New Roman" w:cs="Times New Roman" w:eastAsia="Times New Roman" w:hint="default"/>
        </w:rPr>
        <w:t>)</w:t>
      </w:r>
      <w:r>
        <w:rPr/>
        <w:t>名称变核外字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161</w:t>
      </w:r>
      <w:r>
        <w:rPr/>
        <w:t>号），其后于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日获得了江苏省无锡工商行政管理局核发的注册号为 </w:t>
      </w:r>
      <w:r>
        <w:rPr>
          <w:rFonts w:ascii="Times New Roman" w:hAnsi="Times New Roman" w:cs="Times New Roman" w:eastAsia="Times New Roman" w:hint="default"/>
        </w:rPr>
        <w:t>330100400016254</w:t>
      </w:r>
      <w:r>
        <w:rPr/>
        <w:t>的《企业法人营业执照》。本公司现注册地为中国江苏省无锡市无锡新吴区净慧东道</w:t>
      </w:r>
      <w:r>
        <w:rPr>
          <w:rFonts w:ascii="Times New Roman" w:hAnsi="Times New Roman" w:cs="Times New Roman" w:eastAsia="Times New Roman" w:hint="default"/>
        </w:rPr>
        <w:t>90</w:t>
      </w:r>
      <w:r>
        <w:rPr/>
        <w:t>号无锡软件园天鹅 座</w:t>
      </w:r>
      <w:r>
        <w:rPr>
          <w:rFonts w:ascii="Times New Roman" w:hAnsi="Times New Roman" w:cs="Times New Roman" w:eastAsia="Times New Roman" w:hint="default"/>
        </w:rPr>
        <w:t>B</w:t>
      </w:r>
      <w:r>
        <w:rPr/>
        <w:t>栋</w:t>
      </w:r>
      <w:r>
        <w:rPr>
          <w:rFonts w:ascii="Times New Roman" w:hAnsi="Times New Roman" w:cs="Times New Roman" w:eastAsia="Times New Roman" w:hint="default"/>
        </w:rPr>
        <w:t>10</w:t>
      </w:r>
      <w:r>
        <w:rPr/>
        <w:t>、</w:t>
      </w:r>
      <w:r>
        <w:rPr>
          <w:rFonts w:ascii="Times New Roman" w:hAnsi="Times New Roman" w:cs="Times New Roman" w:eastAsia="Times New Roman" w:hint="default"/>
        </w:rPr>
        <w:t>11</w:t>
      </w:r>
      <w:r>
        <w:rPr/>
        <w:t>楼，法定代表人为郑新标，统一社会信用代码为</w:t>
      </w:r>
      <w:r>
        <w:rPr>
          <w:rFonts w:ascii="Times New Roman" w:hAnsi="Times New Roman" w:cs="Times New Roman" w:eastAsia="Times New Roman" w:hint="default"/>
        </w:rPr>
        <w:t>91320200747189665N</w:t>
      </w:r>
      <w:r>
        <w:rPr/>
        <w:t>。截止至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日，本公司的总股 本为</w:t>
      </w:r>
      <w:r>
        <w:rPr>
          <w:rFonts w:ascii="Times New Roman" w:hAnsi="Times New Roman" w:cs="Times New Roman" w:eastAsia="Times New Roman" w:hint="default"/>
        </w:rPr>
        <w:t>360,000,000.00</w:t>
      </w:r>
      <w:r>
        <w:rPr/>
        <w:t>股，每股面值</w:t>
      </w:r>
      <w:r>
        <w:rPr>
          <w:rFonts w:ascii="Times New Roman" w:hAnsi="Times New Roman" w:cs="Times New Roman" w:eastAsia="Times New Roman" w:hint="default"/>
        </w:rPr>
        <w:t>1.00</w:t>
      </w:r>
      <w:r>
        <w:rPr/>
        <w:t>元。</w:t>
      </w:r>
    </w:p>
    <w:p>
      <w:pPr>
        <w:spacing w:line="240" w:lineRule="auto" w:before="10"/>
        <w:rPr>
          <w:rFonts w:ascii="宋体" w:hAnsi="宋体" w:cs="宋体" w:eastAsia="宋体" w:hint="default"/>
          <w:sz w:val="12"/>
          <w:szCs w:val="12"/>
        </w:rPr>
      </w:pPr>
    </w:p>
    <w:p>
      <w:pPr>
        <w:pStyle w:val="BodyText"/>
        <w:spacing w:line="300" w:lineRule="auto"/>
        <w:ind w:left="153" w:right="1133" w:firstLine="30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日，经中国证券监督管理委员会《关于核准朗新科技股份有限公司首次公开发行股票的批复》（证监许可</w:t>
      </w:r>
      <w:r>
        <w:rPr>
          <w:spacing w:val="2"/>
        </w:rPr>
        <w:t> </w:t>
      </w:r>
      <w:r>
        <w:rPr>
          <w:rFonts w:ascii="Times New Roman" w:hAnsi="Times New Roman" w:cs="Times New Roman" w:eastAsia="Times New Roman" w:hint="default"/>
          <w:spacing w:val="-1"/>
        </w:rPr>
        <w:t>[2017]1101</w:t>
      </w:r>
      <w:r>
        <w:rPr>
          <w:spacing w:val="-1"/>
        </w:rPr>
        <w:t>号文）核准，经深圳证券交易所《关于朗新科技股份有限公司人民币普通股股票在创业板上市的通知》（深证上</w:t>
      </w:r>
      <w:r>
        <w:rPr>
          <w:spacing w:val="-60"/>
        </w:rPr>
        <w:t> </w:t>
      </w:r>
      <w:r>
        <w:rPr>
          <w:spacing w:val="-60"/>
        </w:rPr>
      </w:r>
      <w:r>
        <w:rPr>
          <w:rFonts w:ascii="Times New Roman" w:hAnsi="Times New Roman" w:cs="Times New Roman" w:eastAsia="Times New Roman" w:hint="default"/>
          <w:spacing w:val="-3"/>
        </w:rPr>
        <w:t>[2017]469</w:t>
      </w:r>
      <w:r>
        <w:rPr>
          <w:spacing w:val="-3"/>
        </w:rPr>
        <w:t>号）同意，公司首次公开发行的</w:t>
      </w:r>
      <w:r>
        <w:rPr>
          <w:rFonts w:ascii="Times New Roman" w:hAnsi="Times New Roman" w:cs="Times New Roman" w:eastAsia="Times New Roman" w:hint="default"/>
          <w:spacing w:val="-3"/>
        </w:rPr>
        <w:t>4,050</w:t>
      </w:r>
      <w:r>
        <w:rPr>
          <w:spacing w:val="-3"/>
        </w:rPr>
        <w:t>万股人民币普通股股票已于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w:t>
      </w:r>
      <w:r>
        <w:rPr>
          <w:spacing w:val="-3"/>
        </w:rPr>
        <w:t>日在深圳证券交易所创业板上市交易，</w:t>
      </w:r>
      <w:r>
        <w:rPr>
          <w:spacing w:val="-63"/>
        </w:rPr>
        <w:t> </w:t>
      </w:r>
      <w:r>
        <w:rPr>
          <w:spacing w:val="-63"/>
        </w:rPr>
      </w:r>
      <w:r>
        <w:rPr/>
        <w:t>公司总股本增至 </w:t>
      </w:r>
      <w:r>
        <w:rPr>
          <w:rFonts w:ascii="Times New Roman" w:hAnsi="Times New Roman" w:cs="Times New Roman" w:eastAsia="Times New Roman" w:hint="default"/>
        </w:rPr>
        <w:t>400,500,000</w:t>
      </w:r>
      <w:r>
        <w:rPr>
          <w:rFonts w:ascii="Times New Roman" w:hAnsi="Times New Roman" w:cs="Times New Roman" w:eastAsia="Times New Roman" w:hint="default"/>
          <w:spacing w:val="4"/>
        </w:rPr>
        <w:t> </w:t>
      </w:r>
      <w:r>
        <w:rPr/>
        <w:t>股。</w:t>
      </w:r>
    </w:p>
    <w:p>
      <w:pPr>
        <w:spacing w:line="240" w:lineRule="auto" w:before="12"/>
        <w:rPr>
          <w:rFonts w:ascii="宋体" w:hAnsi="宋体" w:cs="宋体" w:eastAsia="宋体" w:hint="default"/>
          <w:sz w:val="12"/>
          <w:szCs w:val="12"/>
        </w:rPr>
      </w:pPr>
    </w:p>
    <w:p>
      <w:pPr>
        <w:pStyle w:val="BodyText"/>
        <w:spacing w:line="300" w:lineRule="auto"/>
        <w:ind w:left="153" w:right="1127" w:firstLine="360"/>
        <w:jc w:val="both"/>
      </w:pPr>
      <w:r>
        <w:rPr>
          <w:spacing w:val="-2"/>
        </w:rPr>
        <w:t>根据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w:t>
      </w:r>
      <w:r>
        <w:rPr>
          <w:spacing w:val="-2"/>
        </w:rPr>
        <w:t>日本公司股东会决议及修改后的本公司章程，本公司向选定的限制性股票激励对象定向发行</w:t>
      </w:r>
      <w:r>
        <w:rPr>
          <w:rFonts w:ascii="Times New Roman" w:hAnsi="Times New Roman" w:cs="Times New Roman" w:eastAsia="Times New Roman" w:hint="default"/>
          <w:spacing w:val="-2"/>
        </w:rPr>
        <w:t>11,760,300</w:t>
      </w:r>
      <w:r>
        <w:rPr>
          <w:rFonts w:ascii="Times New Roman" w:hAnsi="Times New Roman" w:cs="Times New Roman" w:eastAsia="Times New Roman" w:hint="default"/>
          <w:spacing w:val="1"/>
        </w:rPr>
        <w:t> </w:t>
      </w:r>
      <w:r>
        <w:rPr/>
        <w:t>股限制性普通股</w:t>
      </w:r>
      <w:r>
        <w:rPr>
          <w:rFonts w:ascii="Times New Roman" w:hAnsi="Times New Roman" w:cs="Times New Roman" w:eastAsia="Times New Roman" w:hint="default"/>
        </w:rPr>
        <w:t>A</w:t>
      </w:r>
      <w:r>
        <w:rPr/>
        <w:t>股。截至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日止，本公司从限制性股票激励对象处收到全部募集股款人民币</w:t>
      </w:r>
      <w:r>
        <w:rPr>
          <w:rFonts w:ascii="Times New Roman" w:hAnsi="Times New Roman" w:cs="Times New Roman" w:eastAsia="Times New Roman" w:hint="default"/>
        </w:rPr>
        <w:t>153,236,709.00</w:t>
      </w:r>
      <w:r>
        <w:rPr/>
        <w:t>元，</w:t>
      </w:r>
      <w:r>
        <w:rPr>
          <w:spacing w:val="-3"/>
        </w:rPr>
        <w:t> </w:t>
      </w:r>
      <w:r>
        <w:rPr>
          <w:spacing w:val="-2"/>
        </w:rPr>
        <w:t>其中增加股本人民币</w:t>
      </w:r>
      <w:r>
        <w:rPr>
          <w:rFonts w:ascii="Times New Roman" w:hAnsi="Times New Roman" w:cs="Times New Roman" w:eastAsia="Times New Roman" w:hint="default"/>
          <w:spacing w:val="-2"/>
        </w:rPr>
        <w:t>11,760,300.00</w:t>
      </w:r>
      <w:r>
        <w:rPr>
          <w:spacing w:val="-2"/>
        </w:rPr>
        <w:t>元，增加资本公积人民币</w:t>
      </w:r>
      <w:r>
        <w:rPr>
          <w:rFonts w:ascii="Times New Roman" w:hAnsi="Times New Roman" w:cs="Times New Roman" w:eastAsia="Times New Roman" w:hint="default"/>
          <w:spacing w:val="-2"/>
        </w:rPr>
        <w:t>141,476,409.00</w:t>
      </w:r>
      <w:r>
        <w:rPr>
          <w:spacing w:val="-2"/>
        </w:rPr>
        <w:t>元，所有募集资金均以人民币现金形式投入。本次</w:t>
      </w:r>
      <w:r>
        <w:rPr>
          <w:spacing w:val="-47"/>
        </w:rPr>
        <w:t> </w:t>
      </w:r>
      <w:r>
        <w:rPr>
          <w:spacing w:val="-47"/>
        </w:rPr>
      </w:r>
      <w:r>
        <w:rPr>
          <w:spacing w:val="-1"/>
        </w:rPr>
        <w:t>增资经由普华永道中天会计师事务所（特殊普通合伙）验证并于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11</w:t>
      </w:r>
      <w:r>
        <w:rPr>
          <w:spacing w:val="-1"/>
        </w:rPr>
        <w:t>日出具了普华永道中天验字</w:t>
      </w:r>
      <w:r>
        <w:rPr>
          <w:rFonts w:ascii="Times New Roman" w:hAnsi="Times New Roman" w:cs="Times New Roman" w:eastAsia="Times New Roman" w:hint="default"/>
          <w:spacing w:val="-1"/>
        </w:rPr>
        <w:t>(2017)</w:t>
      </w:r>
      <w:r>
        <w:rPr>
          <w:spacing w:val="-1"/>
        </w:rPr>
        <w:t>第</w:t>
      </w:r>
      <w:r>
        <w:rPr>
          <w:rFonts w:ascii="Times New Roman" w:hAnsi="Times New Roman" w:cs="Times New Roman" w:eastAsia="Times New Roman" w:hint="default"/>
          <w:spacing w:val="-1"/>
        </w:rPr>
        <w:t>1082</w:t>
      </w:r>
      <w:r>
        <w:rPr>
          <w:spacing w:val="-1"/>
        </w:rPr>
        <w:t>号验</w:t>
      </w:r>
      <w:r>
        <w:rPr>
          <w:spacing w:val="-58"/>
        </w:rPr>
        <w:t> </w:t>
      </w:r>
      <w:r>
        <w:rPr/>
        <w:t>资报告。</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300" w:lineRule="auto"/>
        <w:ind w:left="153" w:right="1129" w:firstLine="216"/>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日，本公司从</w:t>
      </w:r>
      <w:r>
        <w:rPr>
          <w:rFonts w:ascii="Times New Roman" w:hAnsi="Times New Roman" w:cs="Times New Roman" w:eastAsia="Times New Roman" w:hint="default"/>
        </w:rPr>
        <w:t>2</w:t>
      </w:r>
      <w:r>
        <w:rPr/>
        <w:t>名已离职激励对象处回购了其已获授权但尚未解除限售的全部限制性股票</w:t>
      </w:r>
      <w:r>
        <w:rPr>
          <w:rFonts w:ascii="Times New Roman" w:hAnsi="Times New Roman" w:cs="Times New Roman" w:eastAsia="Times New Roman" w:hint="default"/>
        </w:rPr>
        <w:t>24,000.00</w:t>
      </w:r>
      <w:r>
        <w:rPr/>
        <w:t>股，回购 </w:t>
      </w:r>
      <w:r>
        <w:rPr>
          <w:spacing w:val="-2"/>
        </w:rPr>
        <w:t>价格为</w:t>
      </w:r>
      <w:r>
        <w:rPr>
          <w:rFonts w:ascii="Times New Roman" w:hAnsi="Times New Roman" w:cs="Times New Roman" w:eastAsia="Times New Roman" w:hint="default"/>
          <w:spacing w:val="-2"/>
        </w:rPr>
        <w:t>12.979</w:t>
      </w:r>
      <w:r>
        <w:rPr>
          <w:spacing w:val="-2"/>
        </w:rPr>
        <w:t>元</w:t>
      </w:r>
      <w:r>
        <w:rPr>
          <w:rFonts w:ascii="Times New Roman" w:hAnsi="Times New Roman" w:cs="Times New Roman" w:eastAsia="Times New Roman" w:hint="default"/>
          <w:spacing w:val="-2"/>
        </w:rPr>
        <w:t>/</w:t>
      </w:r>
      <w:r>
        <w:rPr>
          <w:spacing w:val="-2"/>
        </w:rPr>
        <w:t>股，股票回购款共计人民币</w:t>
      </w:r>
      <w:r>
        <w:rPr>
          <w:rFonts w:ascii="Times New Roman" w:hAnsi="Times New Roman" w:cs="Times New Roman" w:eastAsia="Times New Roman" w:hint="default"/>
          <w:spacing w:val="-2"/>
        </w:rPr>
        <w:t>311,496.00</w:t>
      </w:r>
      <w:r>
        <w:rPr>
          <w:spacing w:val="-2"/>
        </w:rPr>
        <w:t>元，其中减少股本人民币</w:t>
      </w:r>
      <w:r>
        <w:rPr>
          <w:rFonts w:ascii="Times New Roman" w:hAnsi="Times New Roman" w:cs="Times New Roman" w:eastAsia="Times New Roman" w:hint="default"/>
          <w:spacing w:val="-2"/>
        </w:rPr>
        <w:t>24,000.00</w:t>
      </w:r>
      <w:r>
        <w:rPr>
          <w:spacing w:val="-2"/>
        </w:rPr>
        <w:t>元，减少资本公积人民币</w:t>
      </w:r>
      <w:r>
        <w:rPr>
          <w:rFonts w:ascii="Times New Roman" w:hAnsi="Times New Roman" w:cs="Times New Roman" w:eastAsia="Times New Roman" w:hint="default"/>
          <w:spacing w:val="-2"/>
        </w:rPr>
        <w:t>287,496.00</w:t>
      </w:r>
      <w:r>
        <w:rPr>
          <w:rFonts w:ascii="Times New Roman" w:hAnsi="Times New Roman" w:cs="Times New Roman" w:eastAsia="Times New Roman" w:hint="default"/>
        </w:rPr>
        <w:t> </w:t>
      </w:r>
      <w:r>
        <w:rPr>
          <w:rFonts w:ascii="Times New Roman" w:hAnsi="Times New Roman" w:cs="Times New Roman" w:eastAsia="Times New Roman" w:hint="default"/>
        </w:rPr>
      </w:r>
      <w:r>
        <w:rPr/>
        <w:t>元。</w:t>
      </w:r>
    </w:p>
    <w:p>
      <w:pPr>
        <w:spacing w:line="240" w:lineRule="auto" w:before="3"/>
        <w:rPr>
          <w:rFonts w:ascii="宋体" w:hAnsi="宋体" w:cs="宋体" w:eastAsia="宋体" w:hint="default"/>
          <w:sz w:val="26"/>
          <w:szCs w:val="26"/>
        </w:rPr>
      </w:pPr>
    </w:p>
    <w:p>
      <w:pPr>
        <w:pStyle w:val="BodyText"/>
        <w:spacing w:line="300" w:lineRule="auto"/>
        <w:ind w:left="153" w:right="1130" w:firstLine="216"/>
        <w:jc w:val="both"/>
      </w:pPr>
      <w:r>
        <w:rPr>
          <w:spacing w:val="-1"/>
        </w:rPr>
        <w:t>根据</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16</w:t>
      </w:r>
      <w:r>
        <w:rPr>
          <w:spacing w:val="-1"/>
        </w:rPr>
        <w:t>日本公司股东会决议及修改后的本公司章程，本公司向选定的限制性股票激励对象定向发行</w:t>
      </w:r>
      <w:r>
        <w:rPr>
          <w:rFonts w:ascii="Times New Roman" w:hAnsi="Times New Roman" w:cs="Times New Roman" w:eastAsia="Times New Roman" w:hint="default"/>
          <w:spacing w:val="-1"/>
        </w:rPr>
        <w:t>12,484,000</w:t>
      </w:r>
      <w:r>
        <w:rPr>
          <w:rFonts w:ascii="Times New Roman" w:hAnsi="Times New Roman" w:cs="Times New Roman" w:eastAsia="Times New Roman" w:hint="default"/>
          <w:spacing w:val="1"/>
        </w:rPr>
        <w:t> </w:t>
      </w:r>
      <w:r>
        <w:rPr/>
        <w:t>股限制性普通股</w:t>
      </w:r>
      <w:r>
        <w:rPr>
          <w:rFonts w:ascii="Times New Roman" w:hAnsi="Times New Roman" w:cs="Times New Roman" w:eastAsia="Times New Roman" w:hint="default"/>
        </w:rPr>
        <w:t>A</w:t>
      </w:r>
      <w:r>
        <w:rPr/>
        <w:t>股。截至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日止，本公司从限制性股票激励对象处收到全部募集股款人民币</w:t>
      </w:r>
      <w:r>
        <w:rPr>
          <w:rFonts w:ascii="Times New Roman" w:hAnsi="Times New Roman" w:cs="Times New Roman" w:eastAsia="Times New Roman" w:hint="default"/>
        </w:rPr>
        <w:t>102,743,320.00</w:t>
      </w:r>
      <w:r>
        <w:rPr/>
        <w:t>元，</w:t>
      </w:r>
      <w:r>
        <w:rPr>
          <w:spacing w:val="-3"/>
        </w:rPr>
        <w:t> </w:t>
      </w:r>
      <w:r>
        <w:rPr/>
        <w:t>其中增加股本人民币</w:t>
      </w:r>
      <w:r>
        <w:rPr>
          <w:rFonts w:ascii="Times New Roman" w:hAnsi="Times New Roman" w:cs="Times New Roman" w:eastAsia="Times New Roman" w:hint="default"/>
        </w:rPr>
        <w:t>12,484,000.00</w:t>
      </w:r>
      <w:r>
        <w:rPr/>
        <w:t>元，增加资本公积人民币</w:t>
      </w:r>
      <w:r>
        <w:rPr>
          <w:rFonts w:ascii="Times New Roman" w:hAnsi="Times New Roman" w:cs="Times New Roman" w:eastAsia="Times New Roman" w:hint="default"/>
        </w:rPr>
        <w:t>90,259,320.00</w:t>
      </w:r>
      <w:r>
        <w:rPr/>
        <w:t>元，所有募集资金均以人民币现金形式投入。本次 </w:t>
      </w:r>
      <w:r>
        <w:rPr>
          <w:spacing w:val="-1"/>
        </w:rPr>
        <w:t>增资经由普华永道中天会计师事务所（特殊普通合伙）验证并于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13</w:t>
      </w:r>
      <w:r>
        <w:rPr>
          <w:spacing w:val="-1"/>
        </w:rPr>
        <w:t>日出具了普华永道中天验字</w:t>
      </w:r>
      <w:r>
        <w:rPr>
          <w:rFonts w:ascii="Times New Roman" w:hAnsi="Times New Roman" w:cs="Times New Roman" w:eastAsia="Times New Roman" w:hint="default"/>
          <w:spacing w:val="-1"/>
        </w:rPr>
        <w:t>(2018)</w:t>
      </w:r>
      <w:r>
        <w:rPr>
          <w:spacing w:val="-1"/>
        </w:rPr>
        <w:t>第</w:t>
      </w:r>
      <w:r>
        <w:rPr>
          <w:rFonts w:ascii="Times New Roman" w:hAnsi="Times New Roman" w:cs="Times New Roman" w:eastAsia="Times New Roman" w:hint="default"/>
          <w:spacing w:val="-1"/>
        </w:rPr>
        <w:t>0723</w:t>
      </w:r>
      <w:r>
        <w:rPr>
          <w:spacing w:val="-1"/>
        </w:rPr>
        <w:t>号验</w:t>
      </w:r>
    </w:p>
    <w:p>
      <w:pPr>
        <w:spacing w:after="0" w:line="300" w:lineRule="auto"/>
        <w:jc w:val="both"/>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212" w:right="745"/>
        <w:jc w:val="left"/>
      </w:pPr>
      <w:r>
        <w:rPr/>
        <w:t>资报告。</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BodyText"/>
        <w:spacing w:line="316" w:lineRule="auto"/>
        <w:ind w:left="212" w:right="1133" w:firstLine="420"/>
        <w:jc w:val="both"/>
      </w:pPr>
      <w:r>
        <w:rPr/>
        <w:t>本公司的经营范围主要包括：电子计算机软硬件技术开发，信息技术服务，信息技术咨询服务，信息系统集成服务， </w:t>
      </w:r>
      <w:r>
        <w:rPr>
          <w:spacing w:val="-2"/>
        </w:rPr>
        <w:t>数据处理和存储服务，数字内容服务，工程管理服务，软件产品的技术咨询、技术服务；承接计算机系统集成工程；其他土</w:t>
      </w:r>
      <w:r>
        <w:rPr>
          <w:spacing w:val="-67"/>
        </w:rPr>
        <w:t> </w:t>
      </w:r>
      <w:r>
        <w:rPr>
          <w:spacing w:val="-67"/>
        </w:rPr>
      </w:r>
      <w:r>
        <w:rPr/>
        <w:t>木工程建筑；电气安装；广告设计和制作；其他计算机制造；计算机软硬件、电子产品的研发、设计等。</w:t>
      </w:r>
    </w:p>
    <w:p>
      <w:pPr>
        <w:spacing w:line="240" w:lineRule="auto" w:before="5"/>
        <w:rPr>
          <w:rFonts w:ascii="宋体" w:hAnsi="宋体" w:cs="宋体" w:eastAsia="宋体" w:hint="default"/>
          <w:sz w:val="13"/>
          <w:szCs w:val="13"/>
        </w:rPr>
      </w:pPr>
    </w:p>
    <w:p>
      <w:pPr>
        <w:pStyle w:val="BodyText"/>
        <w:spacing w:line="451" w:lineRule="auto"/>
        <w:ind w:left="572" w:right="745" w:firstLine="59"/>
        <w:jc w:val="left"/>
        <w:rPr>
          <w:rFonts w:ascii="宋体" w:hAnsi="宋体" w:cs="宋体" w:eastAsia="宋体" w:hint="default"/>
        </w:rPr>
      </w:pPr>
      <w:r>
        <w:rPr/>
        <w:t>本财务报告于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日经公司董事会批准报出。 截止至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月，本公司合并财务报表范围内的子公司包括：</w:t>
      </w:r>
      <w:r>
        <w:rPr>
          <w:rFonts w:ascii="宋体" w:hAnsi="宋体" w:cs="宋体" w:eastAsia="宋体" w:hint="default"/>
        </w:rPr>
        <w:t> </w:t>
      </w:r>
    </w:p>
    <w:p>
      <w:pPr>
        <w:spacing w:line="240" w:lineRule="auto" w:before="8"/>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4260"/>
        <w:gridCol w:w="2719"/>
        <w:gridCol w:w="818"/>
        <w:gridCol w:w="1063"/>
        <w:gridCol w:w="994"/>
      </w:tblGrid>
      <w:tr>
        <w:trPr>
          <w:trHeight w:val="730"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95" w:right="0"/>
              <w:jc w:val="left"/>
              <w:rPr>
                <w:rFonts w:ascii="宋体" w:hAnsi="宋体" w:cs="宋体" w:eastAsia="宋体" w:hint="default"/>
                <w:sz w:val="18"/>
                <w:szCs w:val="18"/>
              </w:rPr>
            </w:pPr>
            <w:r>
              <w:rPr>
                <w:rFonts w:ascii="宋体" w:hAnsi="宋体" w:cs="宋体" w:eastAsia="宋体" w:hint="default"/>
                <w:b/>
                <w:bCs/>
                <w:sz w:val="18"/>
                <w:szCs w:val="18"/>
              </w:rPr>
              <w:t>公司类型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b/>
                <w:bCs/>
                <w:sz w:val="18"/>
                <w:szCs w:val="18"/>
              </w:rPr>
              <w:t>级次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345" w:right="163" w:hanging="180"/>
              <w:jc w:val="left"/>
              <w:rPr>
                <w:rFonts w:ascii="宋体" w:hAnsi="宋体" w:cs="宋体" w:eastAsia="宋体" w:hint="default"/>
                <w:sz w:val="18"/>
                <w:szCs w:val="18"/>
              </w:rPr>
            </w:pPr>
            <w:r>
              <w:rPr>
                <w:rFonts w:ascii="宋体" w:hAnsi="宋体" w:cs="宋体" w:eastAsia="宋体" w:hint="default"/>
                <w:b/>
                <w:bCs/>
                <w:sz w:val="18"/>
                <w:szCs w:val="18"/>
              </w:rPr>
              <w:t>直接持股</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311" w:right="127" w:hanging="180"/>
              <w:jc w:val="left"/>
              <w:rPr>
                <w:rFonts w:ascii="宋体" w:hAnsi="宋体" w:cs="宋体" w:eastAsia="宋体" w:hint="default"/>
                <w:sz w:val="18"/>
                <w:szCs w:val="18"/>
              </w:rPr>
            </w:pPr>
            <w:r>
              <w:rPr>
                <w:rFonts w:ascii="宋体" w:hAnsi="宋体" w:cs="宋体" w:eastAsia="宋体" w:hint="default"/>
                <w:b/>
                <w:bCs/>
                <w:sz w:val="18"/>
                <w:szCs w:val="18"/>
              </w:rPr>
              <w:t>间接持股</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22"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、母公司财务报表汇总范围</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sz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sz w:val="18"/>
              </w:rPr>
              <w:t>   </w:t>
            </w:r>
          </w:p>
        </w:tc>
      </w:tr>
      <w:tr>
        <w:trPr>
          <w:trHeight w:val="398"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z w:val="18"/>
                <w:szCs w:val="18"/>
              </w:rPr>
              <w:t> </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5" w:right="0"/>
              <w:jc w:val="left"/>
              <w:rPr>
                <w:rFonts w:ascii="宋体" w:hAnsi="宋体" w:cs="宋体" w:eastAsia="宋体" w:hint="default"/>
                <w:sz w:val="18"/>
                <w:szCs w:val="18"/>
              </w:rPr>
            </w:pPr>
            <w:r>
              <w:rPr>
                <w:rFonts w:ascii="宋体" w:hAnsi="宋体" w:cs="宋体" w:eastAsia="宋体" w:hint="default"/>
                <w:sz w:val="18"/>
                <w:szCs w:val="18"/>
              </w:rPr>
              <w:t>股份有限公</w:t>
            </w:r>
            <w:r>
              <w:rPr>
                <w:rFonts w:ascii="宋体" w:hAnsi="宋体" w:cs="宋体" w:eastAsia="宋体" w:hint="default"/>
                <w:spacing w:val="-56"/>
                <w:sz w:val="18"/>
                <w:szCs w:val="18"/>
              </w:rPr>
              <w:t>司</w:t>
            </w:r>
            <w:r>
              <w:rPr>
                <w:rFonts w:ascii="宋体" w:hAnsi="宋体" w:cs="宋体" w:eastAsia="宋体" w:hint="default"/>
                <w:sz w:val="18"/>
                <w:szCs w:val="18"/>
              </w:rPr>
              <w:t>（中外合资</w:t>
            </w:r>
            <w:r>
              <w:rPr>
                <w:rFonts w:ascii="宋体" w:hAnsi="宋体" w:cs="宋体" w:eastAsia="宋体" w:hint="default"/>
                <w:spacing w:val="-56"/>
                <w:sz w:val="18"/>
                <w:szCs w:val="18"/>
              </w:rPr>
              <w:t>、</w:t>
            </w:r>
            <w:r>
              <w:rPr>
                <w:rFonts w:ascii="宋体" w:hAnsi="宋体" w:cs="宋体" w:eastAsia="宋体" w:hint="default"/>
                <w:sz w:val="18"/>
                <w:szCs w:val="18"/>
              </w:rPr>
              <w:t>上</w:t>
            </w:r>
            <w:r>
              <w:rPr>
                <w:rFonts w:ascii="宋体" w:hAnsi="宋体" w:cs="宋体" w:eastAsia="宋体" w:hint="default"/>
                <w:spacing w:val="2"/>
                <w:sz w:val="18"/>
                <w:szCs w:val="18"/>
              </w:rPr>
              <w:t>市</w:t>
            </w:r>
            <w:r>
              <w:rPr>
                <w:rFonts w:ascii="宋体" w:hAnsi="宋体" w:cs="宋体" w:eastAsia="宋体" w:hint="default"/>
                <w:spacing w:val="-89"/>
                <w:sz w:val="18"/>
                <w:szCs w:val="18"/>
              </w:rPr>
              <w:t>）</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5" w:right="0"/>
              <w:jc w:val="left"/>
              <w:rPr>
                <w:rFonts w:ascii="宋体" w:hAnsi="宋体" w:cs="宋体" w:eastAsia="宋体" w:hint="default"/>
                <w:sz w:val="18"/>
                <w:szCs w:val="18"/>
              </w:rPr>
            </w:pPr>
            <w:r>
              <w:rPr>
                <w:rFonts w:ascii="宋体"/>
                <w:sz w:val="18"/>
              </w:rPr>
              <w:t>   </w:t>
            </w:r>
          </w:p>
        </w:tc>
      </w:tr>
      <w:tr>
        <w:trPr>
          <w:trHeight w:val="430"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朗新科技股份有限公司厦门分公司</w:t>
            </w:r>
            <w:r>
              <w:rPr>
                <w:rFonts w:ascii="宋体" w:hAnsi="宋体" w:cs="宋体" w:eastAsia="宋体" w:hint="default"/>
                <w:sz w:val="18"/>
                <w:szCs w:val="18"/>
              </w:rPr>
              <w:t> </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非独立核算分公司</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5" w:right="0"/>
              <w:jc w:val="left"/>
              <w:rPr>
                <w:rFonts w:ascii="宋体" w:hAnsi="宋体" w:cs="宋体" w:eastAsia="宋体" w:hint="default"/>
                <w:sz w:val="18"/>
                <w:szCs w:val="18"/>
              </w:rPr>
            </w:pPr>
            <w:r>
              <w:rPr>
                <w:rFonts w:ascii="宋体"/>
                <w:sz w:val="18"/>
              </w:rPr>
              <w:t>   </w:t>
            </w:r>
          </w:p>
        </w:tc>
      </w:tr>
      <w:tr>
        <w:trPr>
          <w:trHeight w:val="430"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朗新科技股份有限公司武汉分公司</w:t>
            </w:r>
            <w:r>
              <w:rPr>
                <w:rFonts w:ascii="宋体" w:hAnsi="宋体" w:cs="宋体" w:eastAsia="宋体" w:hint="default"/>
                <w:sz w:val="18"/>
                <w:szCs w:val="18"/>
              </w:rPr>
              <w:t> </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非独立核算分公司</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left"/>
              <w:rPr>
                <w:rFonts w:ascii="宋体" w:hAnsi="宋体" w:cs="宋体" w:eastAsia="宋体" w:hint="default"/>
                <w:sz w:val="18"/>
                <w:szCs w:val="18"/>
              </w:rPr>
            </w:pPr>
            <w:r>
              <w:rPr>
                <w:rFonts w:ascii="宋体"/>
                <w:sz w:val="18"/>
              </w:rPr>
              <w:t>   </w:t>
            </w:r>
          </w:p>
        </w:tc>
      </w:tr>
      <w:tr>
        <w:trPr>
          <w:trHeight w:val="430"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朗新科技股份有限公司杭州分公司</w:t>
            </w:r>
            <w:r>
              <w:rPr>
                <w:rFonts w:ascii="宋体" w:hAnsi="宋体" w:cs="宋体" w:eastAsia="宋体" w:hint="default"/>
                <w:sz w:val="18"/>
                <w:szCs w:val="18"/>
              </w:rPr>
              <w:t> </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非独立核算分公司</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left"/>
              <w:rPr>
                <w:rFonts w:ascii="宋体" w:hAnsi="宋体" w:cs="宋体" w:eastAsia="宋体" w:hint="default"/>
                <w:sz w:val="18"/>
                <w:szCs w:val="18"/>
              </w:rPr>
            </w:pPr>
            <w:r>
              <w:rPr>
                <w:rFonts w:ascii="宋体"/>
                <w:sz w:val="18"/>
              </w:rPr>
              <w:t>   </w:t>
            </w:r>
          </w:p>
        </w:tc>
      </w:tr>
      <w:tr>
        <w:trPr>
          <w:trHeight w:val="430"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朗新科技股份有限公司北京分公司</w:t>
            </w:r>
            <w:r>
              <w:rPr>
                <w:rFonts w:ascii="宋体" w:hAnsi="宋体" w:cs="宋体" w:eastAsia="宋体" w:hint="default"/>
                <w:sz w:val="18"/>
                <w:szCs w:val="18"/>
              </w:rPr>
              <w:t> </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非独立核算分公司</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left"/>
              <w:rPr>
                <w:rFonts w:ascii="宋体" w:hAnsi="宋体" w:cs="宋体" w:eastAsia="宋体" w:hint="default"/>
                <w:sz w:val="18"/>
                <w:szCs w:val="18"/>
              </w:rPr>
            </w:pPr>
            <w:r>
              <w:rPr>
                <w:rFonts w:ascii="宋体"/>
                <w:sz w:val="18"/>
              </w:rPr>
              <w:t>   </w:t>
            </w:r>
          </w:p>
        </w:tc>
      </w:tr>
      <w:tr>
        <w:trPr>
          <w:trHeight w:val="432"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朗新科技股份有限公司广州分公司</w:t>
            </w:r>
            <w:r>
              <w:rPr>
                <w:rFonts w:ascii="宋体" w:hAnsi="宋体" w:cs="宋体" w:eastAsia="宋体" w:hint="default"/>
                <w:sz w:val="18"/>
                <w:szCs w:val="18"/>
              </w:rPr>
              <w:t> </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非独立核算分公司</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left"/>
              <w:rPr>
                <w:rFonts w:ascii="宋体" w:hAnsi="宋体" w:cs="宋体" w:eastAsia="宋体" w:hint="default"/>
                <w:sz w:val="18"/>
                <w:szCs w:val="18"/>
              </w:rPr>
            </w:pPr>
            <w:r>
              <w:rPr>
                <w:rFonts w:ascii="宋体"/>
                <w:sz w:val="18"/>
              </w:rPr>
              <w:t>   </w:t>
            </w:r>
          </w:p>
        </w:tc>
      </w:tr>
      <w:tr>
        <w:trPr>
          <w:trHeight w:val="430"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朗新科技股份有限公司上海分公司</w:t>
            </w:r>
            <w:r>
              <w:rPr>
                <w:rFonts w:ascii="宋体" w:hAnsi="宋体" w:cs="宋体" w:eastAsia="宋体" w:hint="default"/>
                <w:sz w:val="18"/>
                <w:szCs w:val="18"/>
              </w:rPr>
              <w:t> </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非独立核算分公司</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5" w:right="0"/>
              <w:jc w:val="left"/>
              <w:rPr>
                <w:rFonts w:ascii="宋体" w:hAnsi="宋体" w:cs="宋体" w:eastAsia="宋体" w:hint="default"/>
                <w:sz w:val="18"/>
                <w:szCs w:val="18"/>
              </w:rPr>
            </w:pPr>
            <w:r>
              <w:rPr>
                <w:rFonts w:ascii="宋体"/>
                <w:sz w:val="18"/>
              </w:rPr>
              <w:t>   </w:t>
            </w:r>
          </w:p>
        </w:tc>
      </w:tr>
      <w:tr>
        <w:trPr>
          <w:trHeight w:val="430"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朗新科技股份有限公司广西分公司</w:t>
            </w:r>
            <w:r>
              <w:rPr>
                <w:rFonts w:ascii="宋体" w:hAnsi="宋体" w:cs="宋体" w:eastAsia="宋体" w:hint="default"/>
                <w:sz w:val="18"/>
                <w:szCs w:val="18"/>
              </w:rPr>
              <w:t> </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非独立核算分公司</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5" w:right="0"/>
              <w:jc w:val="left"/>
              <w:rPr>
                <w:rFonts w:ascii="宋体" w:hAnsi="宋体" w:cs="宋体" w:eastAsia="宋体" w:hint="default"/>
                <w:sz w:val="18"/>
                <w:szCs w:val="18"/>
              </w:rPr>
            </w:pPr>
            <w:r>
              <w:rPr>
                <w:rFonts w:ascii="宋体"/>
                <w:sz w:val="18"/>
              </w:rPr>
              <w:t>   </w:t>
            </w:r>
          </w:p>
        </w:tc>
      </w:tr>
      <w:tr>
        <w:trPr>
          <w:trHeight w:val="322"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、纳入合并范围的子公司</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sz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sz w:val="18"/>
              </w:rPr>
              <w:t>   </w:t>
            </w:r>
          </w:p>
        </w:tc>
      </w:tr>
      <w:tr>
        <w:trPr>
          <w:trHeight w:val="322"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北京朗新科技有限公司</w:t>
            </w:r>
            <w:r>
              <w:rPr>
                <w:rFonts w:ascii="宋体" w:hAnsi="宋体" w:cs="宋体" w:eastAsia="宋体" w:hint="default"/>
                <w:sz w:val="18"/>
                <w:szCs w:val="18"/>
              </w:rPr>
              <w:t> </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全资子公司</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sz w:val="18"/>
              </w:rPr>
              <w:t> </w:t>
            </w:r>
          </w:p>
        </w:tc>
      </w:tr>
      <w:tr>
        <w:trPr>
          <w:trHeight w:val="322"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杭州朗新智能技术有限公司</w:t>
            </w:r>
            <w:r>
              <w:rPr>
                <w:rFonts w:ascii="宋体" w:hAnsi="宋体" w:cs="宋体" w:eastAsia="宋体" w:hint="default"/>
                <w:sz w:val="18"/>
                <w:szCs w:val="18"/>
              </w:rPr>
              <w:t> </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全资子公司</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sz w:val="18"/>
              </w:rPr>
              <w:t> </w:t>
            </w:r>
          </w:p>
        </w:tc>
      </w:tr>
      <w:tr>
        <w:trPr>
          <w:trHeight w:val="32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朗新科技有限公司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厄瓜多尔</w:t>
            </w:r>
            <w:r>
              <w:rPr>
                <w:rFonts w:ascii="Times New Roman" w:hAnsi="Times New Roman" w:cs="Times New Roman" w:eastAsia="Times New Roman" w:hint="default"/>
                <w:sz w:val="18"/>
                <w:szCs w:val="18"/>
              </w:rPr>
              <w:t>)</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全资子公司</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sz w:val="18"/>
              </w:rPr>
              <w:t> </w:t>
            </w:r>
          </w:p>
        </w:tc>
      </w:tr>
      <w:tr>
        <w:trPr>
          <w:trHeight w:val="322"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新耀能源科技有限公司</w:t>
            </w:r>
            <w:r>
              <w:rPr>
                <w:rFonts w:ascii="宋体" w:hAnsi="宋体" w:cs="宋体" w:eastAsia="宋体" w:hint="default"/>
                <w:sz w:val="18"/>
                <w:szCs w:val="18"/>
              </w:rPr>
              <w:t> </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控股子公司</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3%</w:t>
            </w:r>
          </w:p>
        </w:tc>
      </w:tr>
      <w:tr>
        <w:trPr>
          <w:trHeight w:val="322"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合肥新耀科技有限公司</w:t>
            </w:r>
            <w:r>
              <w:rPr>
                <w:rFonts w:ascii="宋体" w:hAnsi="宋体" w:cs="宋体" w:eastAsia="宋体" w:hint="default"/>
                <w:sz w:val="18"/>
                <w:szCs w:val="18"/>
              </w:rPr>
              <w:t> </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控股孙公司</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63%</w:t>
            </w:r>
          </w:p>
        </w:tc>
      </w:tr>
      <w:tr>
        <w:trPr>
          <w:trHeight w:val="322"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瀚云科技有限公司</w:t>
            </w:r>
            <w:r>
              <w:rPr>
                <w:rFonts w:ascii="宋体" w:hAnsi="宋体" w:cs="宋体" w:eastAsia="宋体" w:hint="default"/>
                <w:sz w:val="18"/>
                <w:szCs w:val="18"/>
              </w:rPr>
              <w:t> </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控股子公司</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w:t>
            </w:r>
          </w:p>
        </w:tc>
      </w:tr>
      <w:tr>
        <w:trPr>
          <w:trHeight w:val="322"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朗新金关信息科技有限公司</w:t>
            </w:r>
            <w:r>
              <w:rPr>
                <w:rFonts w:ascii="宋体" w:hAnsi="宋体" w:cs="宋体" w:eastAsia="宋体" w:hint="default"/>
                <w:sz w:val="18"/>
                <w:szCs w:val="18"/>
              </w:rPr>
              <w:t> </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控股子公司</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sz w:val="18"/>
              </w:rPr>
              <w:t> </w:t>
            </w:r>
          </w:p>
        </w:tc>
      </w:tr>
      <w:tr>
        <w:trPr>
          <w:trHeight w:val="322"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朗新云商科技有限公司</w:t>
            </w:r>
            <w:r>
              <w:rPr>
                <w:rFonts w:ascii="宋体" w:hAnsi="宋体" w:cs="宋体" w:eastAsia="宋体" w:hint="default"/>
                <w:sz w:val="18"/>
                <w:szCs w:val="18"/>
              </w:rPr>
              <w:t> </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控股子公司</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2.8%</w:t>
            </w:r>
          </w:p>
        </w:tc>
      </w:tr>
      <w:tr>
        <w:trPr>
          <w:trHeight w:val="324"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朗新数据科技有限公司</w:t>
            </w:r>
            <w:r>
              <w:rPr>
                <w:rFonts w:ascii="宋体" w:hAnsi="宋体" w:cs="宋体" w:eastAsia="宋体" w:hint="default"/>
                <w:sz w:val="18"/>
                <w:szCs w:val="18"/>
              </w:rPr>
              <w:t> </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控股子公司</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3%</w:t>
            </w:r>
          </w:p>
        </w:tc>
      </w:tr>
      <w:tr>
        <w:trPr>
          <w:trHeight w:val="322"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朗新投资管理无锡有限公司</w:t>
            </w:r>
            <w:r>
              <w:rPr>
                <w:rFonts w:ascii="宋体" w:hAnsi="宋体" w:cs="宋体" w:eastAsia="宋体" w:hint="default"/>
                <w:sz w:val="18"/>
                <w:szCs w:val="18"/>
              </w:rPr>
              <w:t> </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全资子公司</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sz w:val="18"/>
              </w:rPr>
              <w:t> </w:t>
            </w:r>
          </w:p>
        </w:tc>
      </w:tr>
      <w:tr>
        <w:trPr>
          <w:trHeight w:val="449"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无锡智丰投资合伙企业（有限合伙）</w:t>
            </w:r>
            <w:r>
              <w:rPr>
                <w:rFonts w:ascii="宋体" w:hAnsi="宋体" w:cs="宋体" w:eastAsia="宋体" w:hint="default"/>
                <w:sz w:val="18"/>
                <w:szCs w:val="18"/>
              </w:rPr>
              <w:t> </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控股孙公司</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5" w:right="0"/>
              <w:jc w:val="left"/>
              <w:rPr>
                <w:rFonts w:ascii="Times New Roman" w:hAnsi="Times New Roman" w:cs="Times New Roman" w:eastAsia="Times New Roman" w:hint="default"/>
                <w:sz w:val="18"/>
                <w:szCs w:val="18"/>
              </w:rPr>
            </w:pPr>
            <w:r>
              <w:rPr>
                <w:rFonts w:ascii="Times New Roman"/>
                <w:sz w:val="18"/>
              </w:rPr>
              <w:t>20%</w:t>
            </w:r>
          </w:p>
        </w:tc>
      </w:tr>
      <w:tr>
        <w:trPr>
          <w:trHeight w:val="322"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朗新智元科技有限公司</w:t>
            </w:r>
            <w:r>
              <w:rPr>
                <w:rFonts w:ascii="宋体" w:hAnsi="宋体" w:cs="宋体" w:eastAsia="宋体" w:hint="default"/>
                <w:sz w:val="18"/>
                <w:szCs w:val="18"/>
              </w:rPr>
              <w:t> </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控股子公司</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2.8%</w:t>
            </w:r>
          </w:p>
        </w:tc>
      </w:tr>
      <w:tr>
        <w:trPr>
          <w:trHeight w:val="322" w:hRule="exact"/>
        </w:trPr>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云筑智联科技有限公司</w:t>
            </w:r>
            <w:r>
              <w:rPr>
                <w:rFonts w:ascii="宋体" w:hAnsi="宋体" w:cs="宋体" w:eastAsia="宋体" w:hint="default"/>
                <w:sz w:val="18"/>
                <w:szCs w:val="18"/>
              </w:rPr>
              <w:t> </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控股子公司</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2.8%</w:t>
            </w:r>
          </w:p>
        </w:tc>
      </w:tr>
    </w:tbl>
    <w:p>
      <w:pPr>
        <w:spacing w:line="240" w:lineRule="auto" w:before="1"/>
        <w:rPr>
          <w:rFonts w:ascii="宋体" w:hAnsi="宋体" w:cs="宋体" w:eastAsia="宋体" w:hint="default"/>
          <w:sz w:val="21"/>
          <w:szCs w:val="21"/>
        </w:rPr>
      </w:pPr>
    </w:p>
    <w:p>
      <w:pPr>
        <w:pStyle w:val="BodyText"/>
        <w:spacing w:line="307" w:lineRule="auto" w:before="44"/>
        <w:ind w:left="212" w:right="745"/>
        <w:jc w:val="left"/>
      </w:pPr>
      <w:r>
        <w:rPr/>
        <w:t>本年度纳入合并范围的重要子公司详见附注八。本年度新纳入合并范围的子公司主要有瀚云科技有限公司（</w:t>
      </w:r>
      <w:r>
        <w:rPr>
          <w:rFonts w:ascii="Times New Roman" w:hAnsi="Times New Roman" w:cs="Times New Roman" w:eastAsia="Times New Roman" w:hint="default"/>
        </w:rPr>
        <w:t>“</w:t>
      </w:r>
      <w:r>
        <w:rPr/>
        <w:t>瀚云科技</w:t>
      </w:r>
      <w:r>
        <w:rPr>
          <w:rFonts w:ascii="Times New Roman" w:hAnsi="Times New Roman" w:cs="Times New Roman" w:eastAsia="Times New Roman" w:hint="default"/>
        </w:rPr>
        <w:t>”</w:t>
      </w:r>
      <w:r>
        <w:rPr/>
        <w:t>）。</w:t>
      </w:r>
      <w:r>
        <w:rPr>
          <w:spacing w:val="-68"/>
        </w:rPr>
        <w:t> </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日，本公司与无锡智丰投资合伙企业（有限合伙）及无锡智哲投资合伙企业（有限合伙）共同发起设立瀚云 科技，分别持有</w:t>
      </w:r>
      <w:r>
        <w:rPr>
          <w:rFonts w:ascii="宋体" w:hAnsi="宋体" w:cs="宋体" w:eastAsia="宋体" w:hint="default"/>
        </w:rPr>
        <w:t>60%</w:t>
      </w:r>
      <w:r>
        <w:rPr/>
        <w:t>、</w:t>
      </w:r>
      <w:r>
        <w:rPr>
          <w:rFonts w:ascii="宋体" w:hAnsi="宋体" w:cs="宋体" w:eastAsia="宋体" w:hint="default"/>
        </w:rPr>
        <w:t>10%</w:t>
      </w:r>
      <w:r>
        <w:rPr/>
        <w:t>及</w:t>
      </w:r>
      <w:r>
        <w:rPr>
          <w:rFonts w:ascii="宋体" w:hAnsi="宋体" w:cs="宋体" w:eastAsia="宋体" w:hint="default"/>
        </w:rPr>
        <w:t>30%</w:t>
      </w:r>
      <w:r>
        <w:rPr/>
        <w:t>的股份，朗新科技取得控制权。报告期纳入本集团合并范围的其他主要子公司及报告期变化 情况，请详见附注八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after="0" w:line="307" w:lineRule="auto"/>
        <w:jc w:val="left"/>
        <w:sectPr>
          <w:footerReference w:type="default" r:id="rId17"/>
          <w:pgSz w:w="11910" w:h="16840"/>
          <w:pgMar w:footer="982" w:header="745" w:top="1060" w:bottom="1180" w:left="920" w:right="0"/>
        </w:sectPr>
      </w:pPr>
    </w:p>
    <w:p>
      <w:pPr>
        <w:spacing w:line="240" w:lineRule="auto" w:before="8"/>
        <w:rPr>
          <w:rFonts w:ascii="宋体" w:hAnsi="宋体" w:cs="宋体" w:eastAsia="宋体" w:hint="default"/>
          <w:sz w:val="23"/>
          <w:szCs w:val="23"/>
        </w:rPr>
      </w:pPr>
    </w:p>
    <w:p>
      <w:pPr>
        <w:pStyle w:val="Heading2"/>
        <w:spacing w:line="240" w:lineRule="auto" w:before="26"/>
        <w:ind w:right="1129"/>
        <w:jc w:val="left"/>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9"/>
        <w:jc w:val="left"/>
        <w:rPr>
          <w:b w:val="0"/>
          <w:bCs w:val="0"/>
        </w:rPr>
      </w:pPr>
      <w:bookmarkStart w:name="1、编制基础" w:id="167"/>
      <w:bookmarkEnd w:id="16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33"/>
        <w:jc w:val="both"/>
      </w:pPr>
      <w:r>
        <w:rPr>
          <w:spacing w:val="-4"/>
        </w:rPr>
        <w:t>本财务报表按照财政部于</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15</w:t>
      </w:r>
      <w:r>
        <w:rPr>
          <w:spacing w:val="-4"/>
        </w:rPr>
        <w:t>日及以后期间颁布的《企业会计准则</w:t>
      </w:r>
      <w:r>
        <w:rPr>
          <w:rFonts w:ascii="Times New Roman" w:hAnsi="Times New Roman" w:cs="Times New Roman" w:eastAsia="Times New Roman" w:hint="default"/>
          <w:spacing w:val="-4"/>
        </w:rPr>
        <w:t>—</w:t>
      </w:r>
      <w:r>
        <w:rPr>
          <w:spacing w:val="-4"/>
        </w:rPr>
        <w:t>基本准则》、各项具体会计准则及相关规定（以</w:t>
      </w:r>
      <w:r>
        <w:rPr>
          <w:spacing w:val="-36"/>
        </w:rPr>
        <w:t> </w:t>
      </w:r>
      <w:r>
        <w:rPr>
          <w:spacing w:val="-36"/>
        </w:rPr>
      </w:r>
      <w:r>
        <w:rPr>
          <w:spacing w:val="-2"/>
        </w:rPr>
        <w:t>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）、以及中国证券监督管理委员会《公开发行证券的的公司信息披露编报规则第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w:t>
      </w:r>
      <w:r>
        <w:rPr>
          <w:spacing w:val="-45"/>
        </w:rPr>
        <w:t> </w:t>
      </w:r>
      <w:r>
        <w:rPr>
          <w:spacing w:val="-45"/>
        </w:rPr>
      </w:r>
      <w:r>
        <w:rPr/>
        <w:t>般规定》的披露规定编制。</w:t>
      </w:r>
    </w:p>
    <w:p>
      <w:pPr>
        <w:spacing w:line="240" w:lineRule="auto" w:before="3"/>
        <w:rPr>
          <w:rFonts w:ascii="宋体" w:hAnsi="宋体" w:cs="宋体" w:eastAsia="宋体" w:hint="default"/>
          <w:sz w:val="26"/>
          <w:szCs w:val="26"/>
        </w:rPr>
      </w:pPr>
    </w:p>
    <w:p>
      <w:pPr>
        <w:pStyle w:val="BodyText"/>
        <w:spacing w:line="240" w:lineRule="auto"/>
        <w:ind w:right="1129"/>
        <w:jc w:val="left"/>
      </w:pPr>
      <w:r>
        <w:rPr/>
        <w:t>本财务报表以持续经营为基础编制。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1129"/>
        <w:jc w:val="left"/>
        <w:rPr>
          <w:b w:val="0"/>
          <w:bCs w:val="0"/>
        </w:rPr>
      </w:pPr>
      <w:bookmarkStart w:name="2、持续经营" w:id="168"/>
      <w:bookmarkEnd w:id="16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t>本公司自报告期末起</w:t>
      </w:r>
      <w:r>
        <w:rPr>
          <w:rFonts w:ascii="Times New Roman" w:hAnsi="Times New Roman" w:cs="Times New Roman" w:eastAsia="Times New Roman" w:hint="default"/>
        </w:rPr>
        <w:t>12</w:t>
      </w:r>
      <w:r>
        <w:rPr/>
        <w:t>个月的持续经营能力良好。</w:t>
      </w:r>
    </w:p>
    <w:p>
      <w:pPr>
        <w:spacing w:line="240" w:lineRule="auto" w:before="0"/>
        <w:rPr>
          <w:rFonts w:ascii="宋体" w:hAnsi="宋体" w:cs="宋体" w:eastAsia="宋体" w:hint="default"/>
          <w:sz w:val="24"/>
          <w:szCs w:val="24"/>
        </w:rPr>
      </w:pPr>
    </w:p>
    <w:p>
      <w:pPr>
        <w:pStyle w:val="Heading2"/>
        <w:spacing w:line="240" w:lineRule="auto"/>
        <w:ind w:right="1129"/>
        <w:jc w:val="left"/>
        <w:rPr>
          <w:b w:val="0"/>
          <w:bCs w:val="0"/>
        </w:rPr>
      </w:pPr>
      <w:bookmarkStart w:name="五、重要会计政策及会计估计" w:id="169"/>
      <w:bookmarkEnd w:id="169"/>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360" w:lineRule="auto" w:before="25"/>
        <w:ind w:right="8234"/>
        <w:jc w:val="left"/>
      </w:pPr>
      <w:r>
        <w:rPr/>
        <w:t>软件与信息技术服务业 具体会计政策和会计估计提示：</w:t>
      </w:r>
    </w:p>
    <w:p>
      <w:pPr>
        <w:pStyle w:val="BodyText"/>
        <w:spacing w:line="300" w:lineRule="auto" w:before="27"/>
        <w:ind w:right="1129"/>
        <w:jc w:val="left"/>
      </w:pPr>
      <w:r>
        <w:rPr>
          <w:spacing w:val="-1"/>
        </w:rPr>
        <w:t>本公司根据生产经营特点确定具体会计政策和会计估计，主要体现在应收款项坏账准备的计提方法（附注五</w:t>
      </w:r>
      <w:r>
        <w:rPr>
          <w:rFonts w:ascii="Times New Roman" w:hAnsi="Times New Roman" w:cs="Times New Roman" w:eastAsia="Times New Roman" w:hint="default"/>
          <w:spacing w:val="-1"/>
        </w:rPr>
        <w:t>(11)</w:t>
      </w:r>
      <w:r>
        <w:rPr>
          <w:spacing w:val="-1"/>
        </w:rPr>
        <w:t>）、存货的</w:t>
      </w:r>
      <w:r>
        <w:rPr>
          <w:spacing w:val="-58"/>
        </w:rPr>
        <w:t> </w:t>
      </w:r>
      <w:r>
        <w:rPr>
          <w:spacing w:val="-58"/>
        </w:rPr>
      </w:r>
      <w:r>
        <w:rPr/>
        <w:t>计价方法（附注五</w:t>
      </w:r>
      <w:r>
        <w:rPr>
          <w:rFonts w:ascii="Times New Roman" w:hAnsi="Times New Roman" w:cs="Times New Roman" w:eastAsia="Times New Roman" w:hint="default"/>
        </w:rPr>
        <w:t>(12)</w:t>
      </w:r>
      <w:r>
        <w:rPr/>
        <w:t>）、无形资产摊销（附注五</w:t>
      </w:r>
      <w:r>
        <w:rPr>
          <w:rFonts w:ascii="Times New Roman" w:hAnsi="Times New Roman" w:cs="Times New Roman" w:eastAsia="Times New Roman" w:hint="default"/>
        </w:rPr>
        <w:t>(21)</w:t>
      </w:r>
      <w:r>
        <w:rPr/>
        <w:t>）及收入的确认（附注五</w:t>
      </w:r>
      <w:r>
        <w:rPr>
          <w:rFonts w:ascii="Times New Roman" w:hAnsi="Times New Roman" w:cs="Times New Roman" w:eastAsia="Times New Roman" w:hint="default"/>
        </w:rPr>
        <w:t>(28)</w:t>
      </w:r>
      <w:r>
        <w:rPr/>
        <w:t>）等。</w:t>
      </w:r>
      <w:r>
        <w:rPr>
          <w:spacing w:val="-3"/>
        </w:rPr>
        <w:t> </w:t>
      </w:r>
      <w:r>
        <w:rPr/>
        <w:t>本公司在确定重要的会计政策时所运用的关键判断详见附注五</w:t>
      </w:r>
      <w:r>
        <w:rPr>
          <w:rFonts w:ascii="Times New Roman" w:hAnsi="Times New Roman" w:cs="Times New Roman" w:eastAsia="Times New Roman" w:hint="default"/>
        </w:rPr>
        <w:t>(32)</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1129"/>
        <w:jc w:val="left"/>
        <w:rPr>
          <w:b w:val="0"/>
          <w:bCs w:val="0"/>
        </w:rPr>
      </w:pPr>
      <w:bookmarkStart w:name="1、遵循企业会计准则的声明" w:id="170"/>
      <w:bookmarkEnd w:id="17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t>本公司</w:t>
      </w:r>
      <w:r>
        <w:rPr>
          <w:rFonts w:ascii="Times New Roman" w:hAnsi="Times New Roman" w:cs="Times New Roman" w:eastAsia="Times New Roman" w:hint="default"/>
        </w:rPr>
        <w:t>2018</w:t>
      </w:r>
      <w:r>
        <w:rPr/>
        <w:t>年度财务报表符合企业会计准则的要求，真实、完整地反映了本公司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p>
    <w:p>
      <w:pPr>
        <w:pStyle w:val="BodyText"/>
        <w:spacing w:line="240" w:lineRule="auto" w:before="62"/>
        <w:ind w:right="1129"/>
        <w:jc w:val="left"/>
      </w:pPr>
      <w:r>
        <w:rPr>
          <w:rFonts w:ascii="Times New Roman" w:hAnsi="Times New Roman" w:cs="Times New Roman" w:eastAsia="Times New Roman" w:hint="default"/>
        </w:rPr>
        <w:t>2018</w:t>
      </w:r>
      <w:r>
        <w:rPr/>
        <w:t>年度的合并及公司经营成果和现金流量等有关信息。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spacing w:line="547" w:lineRule="auto" w:before="0"/>
        <w:ind w:left="152" w:right="7514" w:firstLine="0"/>
        <w:jc w:val="left"/>
        <w:rPr>
          <w:rFonts w:ascii="宋体" w:hAnsi="宋体" w:cs="宋体" w:eastAsia="宋体" w:hint="default"/>
          <w:sz w:val="21"/>
          <w:szCs w:val="21"/>
        </w:rPr>
      </w:pPr>
      <w:bookmarkStart w:name="2、会计期间" w:id="171"/>
      <w:bookmarkEnd w:id="17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18"/>
          <w:szCs w:val="18"/>
        </w:rPr>
        <w:t>会计年度为公历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bookmarkStart w:name="3、营业周期" w:id="172"/>
      <w:bookmarkEnd w:id="172"/>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4"/>
        <w:ind w:right="1129"/>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Heading3"/>
        <w:spacing w:line="240" w:lineRule="auto"/>
        <w:ind w:right="1129"/>
        <w:jc w:val="left"/>
        <w:rPr>
          <w:b w:val="0"/>
          <w:bCs w:val="0"/>
        </w:rPr>
      </w:pPr>
      <w:bookmarkStart w:name="4、记账本位币" w:id="173"/>
      <w:bookmarkEnd w:id="17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t>记账本位币为人民币。</w:t>
      </w:r>
    </w:p>
    <w:p>
      <w:pPr>
        <w:spacing w:after="0" w:line="240" w:lineRule="auto"/>
        <w:jc w:val="left"/>
        <w:sectPr>
          <w:footerReference w:type="default" r:id="rId18"/>
          <w:pgSz w:w="11910" w:h="16840"/>
          <w:pgMar w:footer="982" w:header="745" w:top="1060" w:bottom="1180" w:left="980" w:right="0"/>
          <w:pgNumType w:start="101"/>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5、同一控制下和非同一控制下企业合并的会计处理方法" w:id="174"/>
      <w:bookmarkEnd w:id="17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21" w:lineRule="auto"/>
        <w:ind w:right="714"/>
        <w:jc w:val="left"/>
      </w:pPr>
      <w:r>
        <w:rPr/>
        <w:t>（</w:t>
      </w:r>
      <w:r>
        <w:rPr>
          <w:rFonts w:ascii="Times New Roman" w:hAnsi="Times New Roman" w:cs="Times New Roman" w:eastAsia="Times New Roman" w:hint="default"/>
        </w:rPr>
        <w:t>1</w:t>
      </w:r>
      <w:r>
        <w:rPr/>
        <w:t>）同一控制下的企业合并 </w:t>
      </w:r>
      <w:r>
        <w:rPr>
          <w:spacing w:val="-2"/>
        </w:rPr>
        <w:t>合并方支付的合并对价及取得的净资产均按账面价值计量。合并方取得的净资产账面价值与支付的合并对价账面价值的差额，</w:t>
      </w:r>
      <w:r>
        <w:rPr>
          <w:spacing w:val="-62"/>
        </w:rPr>
        <w:t> </w:t>
      </w:r>
      <w:r>
        <w:rPr>
          <w:spacing w:val="-62"/>
        </w:rPr>
      </w:r>
      <w:r>
        <w:rPr/>
        <w:t>调整资本公积（股本溢价）；资本公积（股本溢价）不足以冲减的，调整留存收益。为进行企业合并发生的直接相关费用于</w:t>
      </w:r>
      <w:r>
        <w:rPr/>
        <w:t> 发生时计入当期损益。为企业合并而发行权益性证券或债务性证券的交易费用，计入权益性证券或债务性证券的初始确认金 额。</w:t>
      </w:r>
    </w:p>
    <w:p>
      <w:pPr>
        <w:pStyle w:val="BodyText"/>
        <w:spacing w:line="324" w:lineRule="auto" w:before="56"/>
        <w:ind w:right="1129"/>
        <w:jc w:val="left"/>
      </w:pPr>
      <w:r>
        <w:rPr/>
        <w:t>（</w:t>
      </w:r>
      <w:r>
        <w:rPr>
          <w:rFonts w:ascii="Times New Roman" w:hAnsi="Times New Roman" w:cs="Times New Roman" w:eastAsia="Times New Roman" w:hint="default"/>
        </w:rPr>
        <w:t>2</w:t>
      </w:r>
      <w:r>
        <w:rPr/>
        <w:t>）非同一控制下的企业合并 </w:t>
      </w:r>
      <w:r>
        <w:rPr>
          <w:spacing w:val="-2"/>
        </w:rPr>
        <w:t>购买方发生的合并成本及在合并中取得的可辨认净资产按购买日的公允价值计量。合并成本大于合并中取得的被购买方于购</w:t>
      </w:r>
      <w:r>
        <w:rPr>
          <w:spacing w:val="-64"/>
        </w:rPr>
        <w:t> </w:t>
      </w:r>
      <w:r>
        <w:rPr>
          <w:spacing w:val="-64"/>
        </w:rPr>
      </w:r>
      <w:r>
        <w:rPr>
          <w:spacing w:val="-2"/>
        </w:rPr>
        <w:t>买日可辨认净资产公允价值份额的差额，确认为商誉；合并成本小于合并中取得的被购买方可辨认净资产公允价值份额的差</w:t>
      </w:r>
      <w:r>
        <w:rPr>
          <w:spacing w:val="-64"/>
        </w:rPr>
        <w:t> </w:t>
      </w:r>
      <w:r>
        <w:rPr>
          <w:spacing w:val="-64"/>
        </w:rPr>
      </w:r>
      <w:r>
        <w:rPr>
          <w:spacing w:val="-2"/>
        </w:rPr>
        <w:t>额，计入当期损益。为进行企业合并发生的直接相关费用于发生时计入当期损益。为企业合并而发行权益性证券或债务性证</w:t>
      </w:r>
      <w:r>
        <w:rPr>
          <w:spacing w:val="-66"/>
        </w:rPr>
        <w:t> </w:t>
      </w:r>
      <w:r>
        <w:rPr>
          <w:spacing w:val="-66"/>
        </w:rPr>
      </w:r>
      <w:r>
        <w:rPr/>
        <w:t>券的交易费用，计入权益性证券或债务性证券的初始确认金额。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1129"/>
        <w:jc w:val="left"/>
        <w:rPr>
          <w:b w:val="0"/>
          <w:bCs w:val="0"/>
        </w:rPr>
      </w:pPr>
      <w:bookmarkStart w:name="6、合并财务报表的编制方法" w:id="175"/>
      <w:bookmarkEnd w:id="17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t>编制合并财务报表时，合并范围包括本公司及全部子公司。</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16" w:lineRule="auto"/>
        <w:ind w:right="1130"/>
        <w:jc w:val="both"/>
      </w:pPr>
      <w:r>
        <w:rPr>
          <w:spacing w:val="-2"/>
        </w:rPr>
        <w:t>从取得子公司的实际控制权之日起，本集团开始将其纳入合并范围；从丧失实际控制权之日起停止纳入合并范围。对于同一</w:t>
      </w:r>
      <w:r>
        <w:rPr>
          <w:spacing w:val="-63"/>
        </w:rPr>
        <w:t> </w:t>
      </w:r>
      <w:r>
        <w:rPr>
          <w:spacing w:val="-63"/>
        </w:rPr>
      </w:r>
      <w:r>
        <w:rPr>
          <w:spacing w:val="-2"/>
        </w:rPr>
        <w:t>控制下企业合并取得的子公司，自其与本公司同受最终控制方控制之日起纳入本公司合并范围，并将其在合并日前实现的净</w:t>
      </w:r>
      <w:r>
        <w:rPr>
          <w:spacing w:val="-64"/>
        </w:rPr>
        <w:t> </w:t>
      </w:r>
      <w:r>
        <w:rPr>
          <w:spacing w:val="-64"/>
        </w:rPr>
      </w:r>
      <w:r>
        <w:rPr/>
        <w:t>利润在合并利润表中单列项目反映。</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16" w:lineRule="auto"/>
        <w:ind w:right="1130"/>
        <w:jc w:val="both"/>
      </w:pPr>
      <w:r>
        <w:rPr>
          <w:spacing w:val="-2"/>
        </w:rPr>
        <w:t>在编制合并财务报表时，子公司与本公司采用的会计政策或会计期间不一致的，按照本公司的会计政策和会计期间对子公司</w:t>
      </w:r>
      <w:r>
        <w:rPr>
          <w:spacing w:val="-64"/>
        </w:rPr>
        <w:t> </w:t>
      </w:r>
      <w:r>
        <w:rPr>
          <w:spacing w:val="-64"/>
        </w:rPr>
      </w:r>
      <w:r>
        <w:rPr>
          <w:spacing w:val="-2"/>
        </w:rPr>
        <w:t>财务报表进行必要的调整。对于非同一控制下企业合并取得的子公司，以购买日可辨认净资产公允价值为基础对其财务报表</w:t>
      </w:r>
      <w:r>
        <w:rPr>
          <w:spacing w:val="-64"/>
        </w:rPr>
        <w:t> </w:t>
      </w:r>
      <w:r>
        <w:rPr>
          <w:spacing w:val="-64"/>
        </w:rPr>
      </w:r>
      <w:r>
        <w:rPr/>
        <w:t>进行调整。</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316" w:lineRule="auto"/>
        <w:ind w:right="1130"/>
        <w:jc w:val="both"/>
      </w:pPr>
      <w:r>
        <w:rPr>
          <w:spacing w:val="-2"/>
        </w:rPr>
        <w:t>集团内所有重大往来余额、交易及未实现利润在合并财务报表编制时予以抵销。子公司的股东权益、当期净损益及综合收益</w:t>
      </w:r>
      <w:r>
        <w:rPr>
          <w:spacing w:val="-63"/>
        </w:rPr>
        <w:t> </w:t>
      </w:r>
      <w:r>
        <w:rPr>
          <w:spacing w:val="-63"/>
        </w:rPr>
      </w:r>
      <w:r>
        <w:rPr>
          <w:spacing w:val="-2"/>
        </w:rPr>
        <w:t>中不属于本公司所拥有的部分分别作为少数股东权益、少数股东损益及归属于少数股东的综合收益总额在合并财务报表中股</w:t>
      </w:r>
      <w:r>
        <w:rPr>
          <w:spacing w:val="-64"/>
        </w:rPr>
        <w:t> </w:t>
      </w:r>
      <w:r>
        <w:rPr>
          <w:spacing w:val="-64"/>
        </w:rPr>
      </w:r>
      <w:r>
        <w:rPr>
          <w:spacing w:val="-2"/>
        </w:rPr>
        <w:t>东权益、净利润及综合收益总额项下单独列示。本公司向子公司出售资产所发生的未实现内部交易损益，全额抵销归属于母</w:t>
      </w:r>
      <w:r>
        <w:rPr>
          <w:spacing w:val="-63"/>
        </w:rPr>
        <w:t> </w:t>
      </w:r>
      <w:r>
        <w:rPr>
          <w:spacing w:val="-63"/>
        </w:rPr>
      </w:r>
      <w:r>
        <w:rPr>
          <w:spacing w:val="-2"/>
        </w:rPr>
        <w:t>公司股东的净利润；子公司向本公司出售资产所发生的未实现内部交易损益，按本公司对该子公司的分配比例在归属于母公</w:t>
      </w:r>
      <w:r>
        <w:rPr>
          <w:spacing w:val="-64"/>
        </w:rPr>
        <w:t> </w:t>
      </w:r>
      <w:r>
        <w:rPr>
          <w:spacing w:val="-64"/>
        </w:rPr>
      </w:r>
      <w:r>
        <w:rPr>
          <w:spacing w:val="-2"/>
        </w:rPr>
        <w:t>司股东的净利润和少数股东损益之间分配抵销。子公司之间出售资产所发生的未实现内部交易损益，按照母公司对出售方子</w:t>
      </w:r>
      <w:r>
        <w:rPr>
          <w:spacing w:val="-64"/>
        </w:rPr>
        <w:t> </w:t>
      </w:r>
      <w:r>
        <w:rPr>
          <w:spacing w:val="-64"/>
        </w:rPr>
      </w:r>
      <w:r>
        <w:rPr/>
        <w:t>公司的分配比例在归属于母公司股东的净利润和少数股东损益之间分配抵销。</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1129"/>
        <w:jc w:val="left"/>
      </w:pPr>
      <w:r>
        <w:rPr/>
        <w:t>如果以本集团为会计主体与以本公司或子公司为会计主体对同一交易的认定不同时，从本集团的角度对该交易予以调整。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Heading3"/>
        <w:spacing w:line="240" w:lineRule="auto"/>
        <w:ind w:right="1129"/>
        <w:jc w:val="left"/>
        <w:rPr>
          <w:b w:val="0"/>
          <w:bCs w:val="0"/>
        </w:rPr>
      </w:pPr>
      <w:bookmarkStart w:name="7、合营安排分类及共同经营会计处理方法" w:id="176"/>
      <w:bookmarkEnd w:id="17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4" w:lineRule="auto"/>
        <w:ind w:left="512" w:right="1129" w:hanging="36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w:t>
      </w:r>
      <w:r>
        <w:rPr/>
        <w:t>合营安排的分类 </w:t>
      </w:r>
      <w:r>
        <w:rPr>
          <w:spacing w:val="-2"/>
        </w:rPr>
        <w:t>本公司根据合营安排的结构、法律形式以及合营安排中约定的条款、其他相关事实和情况等因素，将合营安排分为共同</w:t>
      </w:r>
      <w:r>
        <w:rPr/>
        <w:t> 经营和合营企业。 </w:t>
      </w:r>
      <w:r>
        <w:rPr>
          <w:spacing w:val="-2"/>
        </w:rPr>
        <w:t>未通过单独主体达成的合营安排，划分为共同经营；通过单独主体达成的合营安排，通常划分为合营企业；但有确凿证</w:t>
      </w:r>
      <w:r>
        <w:rPr/>
        <w:t> 据表明满足下列任一条件并且符合相关法律法规规定的合营安排划分为共同经营：</w:t>
      </w:r>
    </w:p>
    <w:p>
      <w:pPr>
        <w:spacing w:after="0" w:line="314"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9"/>
        <w:jc w:val="left"/>
      </w:pPr>
      <w:r>
        <w:rPr/>
        <w:t>（</w:t>
      </w:r>
      <w:r>
        <w:rPr>
          <w:rFonts w:ascii="Times New Roman" w:hAnsi="Times New Roman" w:cs="Times New Roman" w:eastAsia="Times New Roman" w:hint="default"/>
        </w:rPr>
        <w:t>a</w:t>
      </w:r>
      <w:r>
        <w:rPr/>
        <w:t>）合营安排的法律形式表明，合营方对该安排中的相关资产和负债分别享有权利和承担义务。</w:t>
      </w:r>
    </w:p>
    <w:p>
      <w:pPr>
        <w:pStyle w:val="BodyText"/>
        <w:spacing w:line="240" w:lineRule="auto" w:before="62"/>
        <w:ind w:right="1129"/>
        <w:jc w:val="left"/>
      </w:pPr>
      <w:r>
        <w:rPr/>
        <w:t>（</w:t>
      </w:r>
      <w:r>
        <w:rPr>
          <w:rFonts w:ascii="Times New Roman" w:hAnsi="Times New Roman" w:cs="Times New Roman" w:eastAsia="Times New Roman" w:hint="default"/>
        </w:rPr>
        <w:t>b</w:t>
      </w:r>
      <w:r>
        <w:rPr/>
        <w:t>）合营安排的合同条款约定，合营方对该安排中的相关资产和负债分别享有权利和承担义务。</w:t>
      </w:r>
    </w:p>
    <w:p>
      <w:pPr>
        <w:pStyle w:val="BodyText"/>
        <w:spacing w:line="300" w:lineRule="auto" w:before="103"/>
        <w:ind w:right="1129"/>
        <w:jc w:val="left"/>
      </w:pPr>
      <w:r>
        <w:rPr/>
        <w:t>（</w:t>
      </w:r>
      <w:r>
        <w:rPr>
          <w:rFonts w:ascii="Times New Roman" w:hAnsi="Times New Roman" w:cs="Times New Roman" w:eastAsia="Times New Roman" w:hint="default"/>
        </w:rPr>
        <w:t>c</w:t>
      </w:r>
      <w:r>
        <w:rPr/>
        <w:t>）其他相关事实和情况表明，合营方对该安排中的相关资产和负债分别享有权利和承担义务，如合营方享有与合营安排</w:t>
      </w:r>
      <w:r>
        <w:rPr>
          <w:spacing w:val="-76"/>
        </w:rPr>
        <w:t> </w:t>
      </w:r>
      <w:r>
        <w:rPr>
          <w:spacing w:val="-76"/>
        </w:rPr>
      </w:r>
      <w:r>
        <w:rPr/>
        <w:t>相关的几乎所有产出，并且该安排中负债的清偿持续依赖于合营方的支持。</w:t>
      </w:r>
    </w:p>
    <w:p>
      <w:pPr>
        <w:spacing w:line="300" w:lineRule="auto" w:before="70"/>
        <w:ind w:left="332" w:right="1934" w:hanging="18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共同经营会计处理方法</w:t>
      </w:r>
      <w:r>
        <w:rPr>
          <w:rFonts w:ascii="宋体" w:hAnsi="宋体" w:cs="宋体" w:eastAsia="宋体" w:hint="default"/>
          <w:b/>
          <w:bCs/>
          <w:w w:val="99"/>
          <w:sz w:val="18"/>
          <w:szCs w:val="18"/>
        </w:rPr>
        <w:t> </w:t>
      </w:r>
      <w:r>
        <w:rPr>
          <w:rFonts w:ascii="宋体" w:hAnsi="宋体" w:cs="宋体" w:eastAsia="宋体" w:hint="default"/>
          <w:sz w:val="18"/>
          <w:szCs w:val="18"/>
        </w:rPr>
        <w:t>本公司确认共同经营中利益份额中与本公司相关的下列项目，并按照相关企业会计准则的规定进行会计处理：</w:t>
      </w:r>
    </w:p>
    <w:p>
      <w:pPr>
        <w:pStyle w:val="BodyText"/>
        <w:spacing w:line="240" w:lineRule="auto" w:before="31"/>
        <w:ind w:right="1129"/>
        <w:jc w:val="left"/>
      </w:pPr>
      <w:r>
        <w:rPr/>
        <w:t>（</w:t>
      </w:r>
      <w:r>
        <w:rPr>
          <w:rFonts w:ascii="Times New Roman" w:hAnsi="Times New Roman" w:cs="Times New Roman" w:eastAsia="Times New Roman" w:hint="default"/>
        </w:rPr>
        <w:t>a</w:t>
      </w:r>
      <w:r>
        <w:rPr/>
        <w:t>）确认单独所持有的资产，以及按其份额确认共同持有的资产；</w:t>
      </w:r>
    </w:p>
    <w:p>
      <w:pPr>
        <w:pStyle w:val="BodyText"/>
        <w:spacing w:line="240" w:lineRule="auto" w:before="62"/>
        <w:ind w:right="1129"/>
        <w:jc w:val="left"/>
      </w:pPr>
      <w:r>
        <w:rPr/>
        <w:t>（</w:t>
      </w:r>
      <w:r>
        <w:rPr>
          <w:rFonts w:ascii="Times New Roman" w:hAnsi="Times New Roman" w:cs="Times New Roman" w:eastAsia="Times New Roman" w:hint="default"/>
        </w:rPr>
        <w:t>b</w:t>
      </w:r>
      <w:r>
        <w:rPr/>
        <w:t>）确认单独所承担的负债，以及按其份额确认共同承担的负债；</w:t>
      </w:r>
    </w:p>
    <w:p>
      <w:pPr>
        <w:pStyle w:val="BodyText"/>
        <w:spacing w:line="240" w:lineRule="auto" w:before="62"/>
        <w:ind w:right="1129"/>
        <w:jc w:val="left"/>
      </w:pPr>
      <w:r>
        <w:rPr/>
        <w:t>（</w:t>
      </w:r>
      <w:r>
        <w:rPr>
          <w:rFonts w:ascii="Times New Roman" w:hAnsi="Times New Roman" w:cs="Times New Roman" w:eastAsia="Times New Roman" w:hint="default"/>
        </w:rPr>
        <w:t>c</w:t>
      </w:r>
      <w:r>
        <w:rPr/>
        <w:t>）确认出售其享有的共同经营产出份额所产生的收入；</w:t>
      </w:r>
    </w:p>
    <w:p>
      <w:pPr>
        <w:pStyle w:val="BodyText"/>
        <w:spacing w:line="240" w:lineRule="auto" w:before="62"/>
        <w:ind w:right="1129"/>
        <w:jc w:val="left"/>
      </w:pPr>
      <w:r>
        <w:rPr/>
        <w:t>（</w:t>
      </w:r>
      <w:r>
        <w:rPr>
          <w:rFonts w:ascii="Times New Roman" w:hAnsi="Times New Roman" w:cs="Times New Roman" w:eastAsia="Times New Roman" w:hint="default"/>
        </w:rPr>
        <w:t>d</w:t>
      </w:r>
      <w:r>
        <w:rPr/>
        <w:t>）按其份额确认共同经营因出售产出所产生的收入；</w:t>
      </w:r>
    </w:p>
    <w:p>
      <w:pPr>
        <w:pStyle w:val="BodyText"/>
        <w:spacing w:line="309" w:lineRule="auto" w:before="62"/>
        <w:ind w:left="332" w:right="1124" w:hanging="180"/>
        <w:jc w:val="left"/>
      </w:pPr>
      <w:r>
        <w:rPr/>
        <w:t>（</w:t>
      </w:r>
      <w:r>
        <w:rPr>
          <w:rFonts w:ascii="Times New Roman" w:hAnsi="Times New Roman" w:cs="Times New Roman" w:eastAsia="Times New Roman" w:hint="default"/>
        </w:rPr>
        <w:t>e</w:t>
      </w:r>
      <w:r>
        <w:rPr/>
        <w:t>）确认单独所发生的费用，以及按其份额确认共同经营发生的费用。 </w:t>
      </w:r>
      <w:r>
        <w:rPr>
          <w:spacing w:val="-2"/>
        </w:rPr>
        <w:t>本公司向共同经营投出或出售资产等（该资产构成业务的除外），在该资产等由共同经营出售给第三方之前，仅确认因该</w:t>
      </w:r>
      <w:r>
        <w:rPr/>
        <w:t> 交易产生的损益中归属于共同经营其他参与方的部分。投出或出售的资产发生符合《企业会计准则第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 等规定的资产减值损失的，本公司全额确认该损失。 </w:t>
      </w:r>
      <w:r>
        <w:rPr>
          <w:spacing w:val="-2"/>
        </w:rPr>
        <w:t>本公司自共同经营购买资产等（该资产构成业务的除外），在将该资产等出售给第三方之前，仅确认因该交易产生的损益</w:t>
      </w:r>
      <w:r>
        <w:rPr/>
        <w:t> 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 的，本公司按承担的份额确认该部分损失。</w:t>
      </w:r>
    </w:p>
    <w:p>
      <w:pPr>
        <w:pStyle w:val="BodyText"/>
        <w:spacing w:line="316" w:lineRule="auto" w:before="65"/>
        <w:ind w:right="1129"/>
        <w:jc w:val="left"/>
      </w:pPr>
      <w:r>
        <w:rPr>
          <w:spacing w:val="-2"/>
        </w:rPr>
        <w:t>本公司对共同经营不享有共同控制，如果本公司享有该共同经营相关资产且承担该共同经营相关负债的，仍按上述原则进行</w:t>
      </w:r>
      <w:r>
        <w:rPr>
          <w:spacing w:val="-64"/>
        </w:rPr>
        <w:t> </w:t>
      </w:r>
      <w:r>
        <w:rPr>
          <w:spacing w:val="-64"/>
        </w:rPr>
      </w:r>
      <w:r>
        <w:rPr/>
        <w:t>会计处理，否则，应当按照相关企业会计准则的规定进行会计处理。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1129"/>
        <w:jc w:val="left"/>
        <w:rPr>
          <w:b w:val="0"/>
          <w:bCs w:val="0"/>
        </w:rPr>
      </w:pPr>
      <w:bookmarkStart w:name="8、现金及现金等价物的确定标准" w:id="177"/>
      <w:bookmarkEnd w:id="17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jc w:val="left"/>
      </w:pPr>
      <w:r>
        <w:rPr>
          <w:spacing w:val="-2"/>
        </w:rPr>
        <w:t>现金及现金等价物是指库存现金，可随时用于支付的存款，以及持有的期限短、流动性强、易于转换为已知金额现金、价值</w:t>
      </w:r>
      <w:r>
        <w:rPr>
          <w:spacing w:val="-67"/>
        </w:rPr>
        <w:t> </w:t>
      </w:r>
      <w:r>
        <w:rPr>
          <w:spacing w:val="-67"/>
        </w:rPr>
      </w:r>
      <w:r>
        <w:rPr/>
        <w:t>变动风险很小的投资。</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316" w:lineRule="auto"/>
        <w:ind w:right="1129"/>
        <w:jc w:val="left"/>
      </w:pPr>
      <w:r>
        <w:rPr>
          <w:spacing w:val="-2"/>
        </w:rPr>
        <w:t>在编制现金流量表时，将本公司库存现金以及可以随时用于支付的存款确认为现金。将同时具备期限短（从购买日起三个月</w:t>
      </w:r>
      <w:r>
        <w:rPr>
          <w:spacing w:val="-63"/>
        </w:rPr>
        <w:t> </w:t>
      </w:r>
      <w:r>
        <w:rPr>
          <w:spacing w:val="-63"/>
        </w:rPr>
      </w:r>
      <w:r>
        <w:rPr/>
        <w:t>内到期）、流动性强、易于转换为已知现金、价值变动风险很小四个条件的投资，确定为现金等价物。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1129"/>
        <w:jc w:val="left"/>
        <w:rPr>
          <w:b w:val="0"/>
          <w:bCs w:val="0"/>
        </w:rPr>
      </w:pPr>
      <w:bookmarkStart w:name="9、外币业务和外币报表折算" w:id="178"/>
      <w:bookmarkEnd w:id="17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5534"/>
        <w:jc w:val="left"/>
      </w:pPr>
      <w:r>
        <w:rPr/>
        <w:t>（</w:t>
      </w:r>
      <w:r>
        <w:rPr>
          <w:rFonts w:ascii="Times New Roman" w:hAnsi="Times New Roman" w:cs="Times New Roman" w:eastAsia="Times New Roman" w:hint="default"/>
        </w:rPr>
        <w:t>1</w:t>
      </w:r>
      <w:r>
        <w:rPr/>
        <w:t>）外币交易 外币交易按交易发生日的即期汇率将外币金额折算为人民币入账。</w:t>
      </w:r>
    </w:p>
    <w:p>
      <w:pPr>
        <w:pStyle w:val="BodyText"/>
        <w:spacing w:line="316" w:lineRule="auto" w:before="43"/>
        <w:ind w:right="1133"/>
        <w:jc w:val="both"/>
      </w:pPr>
      <w:r>
        <w:rPr>
          <w:spacing w:val="-2"/>
        </w:rPr>
        <w:t>于资产负债表日，外币货币性项目采用资产负债表日的即期汇率折算为人民币。为购建符合借款费用资本化条件的资产而借</w:t>
      </w:r>
      <w:r>
        <w:rPr>
          <w:spacing w:val="-64"/>
        </w:rPr>
        <w:t> </w:t>
      </w:r>
      <w:r>
        <w:rPr>
          <w:spacing w:val="-64"/>
        </w:rPr>
      </w:r>
      <w:r>
        <w:rPr>
          <w:spacing w:val="-2"/>
        </w:rPr>
        <w:t>入的外币专门借款产生的汇兑差额在资本化期间内予以资本化；其他汇兑差额直接计入当期损益。以历史成本计量的外币非</w:t>
      </w:r>
      <w:r>
        <w:rPr>
          <w:spacing w:val="-64"/>
        </w:rPr>
        <w:t> </w:t>
      </w:r>
      <w:r>
        <w:rPr>
          <w:spacing w:val="-64"/>
        </w:rPr>
      </w:r>
      <w:r>
        <w:rPr/>
        <w:t>货币性项目，于资产负债表日采用交易发生日的即期汇率折算。汇率变动对现金的影响额在现金流量表中单独列示。</w:t>
      </w:r>
    </w:p>
    <w:p>
      <w:pPr>
        <w:pStyle w:val="BodyText"/>
        <w:spacing w:line="321" w:lineRule="auto" w:before="59"/>
        <w:ind w:right="1129"/>
        <w:jc w:val="left"/>
      </w:pPr>
      <w:r>
        <w:rPr/>
        <w:t>（</w:t>
      </w:r>
      <w:r>
        <w:rPr>
          <w:rFonts w:ascii="Times New Roman" w:hAnsi="Times New Roman" w:cs="Times New Roman" w:eastAsia="Times New Roman" w:hint="default"/>
        </w:rPr>
        <w:t>2</w:t>
      </w:r>
      <w:r>
        <w:rPr/>
        <w:t>）外币财务报表的折算 </w:t>
      </w:r>
      <w:r>
        <w:rPr>
          <w:spacing w:val="-2"/>
        </w:rPr>
        <w:t>境外经营的资产负债表中的资产和负债项目，采用资产负债表日的即期汇率折算，股东权益中除未分配利润项目外，其他项</w:t>
      </w:r>
      <w:r>
        <w:rPr>
          <w:spacing w:val="-63"/>
        </w:rPr>
        <w:t> </w:t>
      </w:r>
      <w:r>
        <w:rPr>
          <w:spacing w:val="-63"/>
        </w:rPr>
      </w:r>
      <w:r>
        <w:rPr>
          <w:spacing w:val="-2"/>
        </w:rPr>
        <w:t>目采用发生时的即期汇率折算。境外经营的利润表中的收入与费用项目，采用交易发生日的即期汇率折算。上述折算产生的</w:t>
      </w:r>
      <w:r>
        <w:rPr>
          <w:spacing w:val="-63"/>
        </w:rPr>
        <w:t> </w:t>
      </w:r>
      <w:r>
        <w:rPr>
          <w:spacing w:val="-63"/>
        </w:rPr>
      </w:r>
      <w:r>
        <w:rPr>
          <w:spacing w:val="-2"/>
        </w:rPr>
        <w:t>外币报表折算差额，计入其他综合收益。境外经营的现金流量项目，采用现金流量发生日的即期汇率折算。汇率变动对现金</w:t>
      </w:r>
      <w:r>
        <w:rPr>
          <w:spacing w:val="-65"/>
        </w:rPr>
        <w:t> </w:t>
      </w:r>
      <w:r>
        <w:rPr>
          <w:spacing w:val="-65"/>
        </w:rPr>
      </w:r>
      <w:r>
        <w:rPr/>
        <w:t>的影响额，在现金流量表中单独列示。</w:t>
      </w:r>
    </w:p>
    <w:p>
      <w:pPr>
        <w:spacing w:after="0" w:line="321"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10、金融工具" w:id="179"/>
      <w:bookmarkEnd w:id="17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t>（</w:t>
      </w:r>
      <w:r>
        <w:rPr>
          <w:rFonts w:ascii="Times New Roman" w:hAnsi="Times New Roman" w:cs="Times New Roman" w:eastAsia="Times New Roman" w:hint="default"/>
        </w:rPr>
        <w:t>1</w:t>
      </w:r>
      <w:r>
        <w:rPr/>
        <w:t>）金融资产</w:t>
      </w:r>
    </w:p>
    <w:p>
      <w:pPr>
        <w:pStyle w:val="BodyText"/>
        <w:spacing w:line="328" w:lineRule="auto" w:before="101"/>
        <w:ind w:right="1129"/>
        <w:jc w:val="left"/>
      </w:pPr>
      <w:r>
        <w:rPr/>
        <w:t>（</w:t>
      </w:r>
      <w:r>
        <w:rPr>
          <w:rFonts w:ascii="Times New Roman" w:hAnsi="Times New Roman" w:cs="Times New Roman" w:eastAsia="Times New Roman" w:hint="default"/>
        </w:rPr>
        <w:t>a</w:t>
      </w:r>
      <w:r>
        <w:rPr/>
        <w:t>）金融资产分类 </w:t>
      </w:r>
      <w:r>
        <w:rPr>
          <w:spacing w:val="-2"/>
        </w:rPr>
        <w:t>金融资产于初始确认时分类为：以公允价值计量且其变动计入当期损益的金融资产、应收款项、可供出售金融资产和持有至</w:t>
      </w:r>
      <w:r>
        <w:rPr>
          <w:spacing w:val="-63"/>
        </w:rPr>
        <w:t> </w:t>
      </w:r>
      <w:r>
        <w:rPr>
          <w:spacing w:val="-63"/>
        </w:rPr>
      </w:r>
      <w:r>
        <w:rPr/>
        <w:t>到期投资。金融资产的分类取决于本集团对金融资产的持有意图和持有能力。</w:t>
      </w:r>
    </w:p>
    <w:p>
      <w:pPr>
        <w:pStyle w:val="BodyText"/>
        <w:tabs>
          <w:tab w:pos="572" w:val="left" w:leader="none"/>
        </w:tabs>
        <w:spacing w:line="338" w:lineRule="auto" w:before="50"/>
        <w:ind w:right="3571" w:hanging="1"/>
        <w:jc w:val="left"/>
      </w:pPr>
      <w:r>
        <w:rPr>
          <w:rFonts w:ascii="Times New Roman" w:hAnsi="Times New Roman" w:cs="Times New Roman" w:eastAsia="Times New Roman" w:hint="default"/>
        </w:rPr>
        <w:t>•</w:t>
        <w:tab/>
      </w:r>
      <w:r>
        <w:rPr/>
        <w:t>以公允价值计量且其变动计入当期损益的金融资产 以公允价值计量且其变动计入当期损益的金融资产包括持有目的为短期内出售的金融资产。</w:t>
      </w:r>
    </w:p>
    <w:p>
      <w:pPr>
        <w:pStyle w:val="BodyText"/>
        <w:tabs>
          <w:tab w:pos="573" w:val="left" w:leader="none"/>
        </w:tabs>
        <w:spacing w:line="340" w:lineRule="auto" w:before="43"/>
        <w:ind w:left="153" w:right="4291" w:hanging="1"/>
        <w:jc w:val="left"/>
      </w:pPr>
      <w:r>
        <w:rPr>
          <w:rFonts w:ascii="Times New Roman" w:hAnsi="Times New Roman" w:cs="Times New Roman" w:eastAsia="Times New Roman" w:hint="default"/>
        </w:rPr>
        <w:t>•</w:t>
        <w:tab/>
      </w:r>
      <w:r>
        <w:rPr/>
        <w:t>应收款项 应收款项是指在活跃市场中没有报价、回收金额固定或可确定的非衍生金融资产。</w:t>
      </w:r>
    </w:p>
    <w:p>
      <w:pPr>
        <w:pStyle w:val="BodyText"/>
        <w:tabs>
          <w:tab w:pos="573" w:val="left" w:leader="none"/>
        </w:tabs>
        <w:spacing w:line="328" w:lineRule="auto" w:before="39"/>
        <w:ind w:left="153" w:right="1132" w:hanging="1"/>
        <w:jc w:val="left"/>
      </w:pPr>
      <w:r>
        <w:rPr>
          <w:rFonts w:ascii="Times New Roman" w:hAnsi="Times New Roman" w:cs="Times New Roman" w:eastAsia="Times New Roman" w:hint="default"/>
        </w:rPr>
        <w:t>•</w:t>
        <w:tab/>
      </w:r>
      <w:r>
        <w:rPr/>
        <w:t>可供出售金融资产 </w:t>
      </w:r>
      <w:r>
        <w:rPr>
          <w:spacing w:val="-2"/>
        </w:rPr>
        <w:t>可供出售金融资产包括初始确认时即被指定为可供出售的非衍生金融资产及未被划分为其他类的金融资产。自资产负债表日</w:t>
      </w:r>
      <w:r>
        <w:rPr>
          <w:spacing w:val="-65"/>
        </w:rPr>
        <w:t> </w:t>
      </w:r>
      <w:r>
        <w:rPr>
          <w:spacing w:val="-65"/>
        </w:rPr>
      </w:r>
      <w:r>
        <w:rPr/>
        <w:t>起</w:t>
      </w:r>
      <w:r>
        <w:rPr>
          <w:rFonts w:ascii="Times New Roman" w:hAnsi="Times New Roman" w:cs="Times New Roman" w:eastAsia="Times New Roman" w:hint="default"/>
        </w:rPr>
        <w:t>12</w:t>
      </w:r>
      <w:r>
        <w:rPr/>
        <w:t>个月内将出售的可供出售金融资产在资产负债表中列示为其他流动资产。</w:t>
      </w:r>
    </w:p>
    <w:p>
      <w:pPr>
        <w:pStyle w:val="BodyText"/>
        <w:tabs>
          <w:tab w:pos="573" w:val="left" w:leader="none"/>
        </w:tabs>
        <w:spacing w:line="319" w:lineRule="auto" w:before="30"/>
        <w:ind w:left="153" w:right="1132" w:hanging="1"/>
        <w:jc w:val="left"/>
      </w:pPr>
      <w:r>
        <w:rPr>
          <w:rFonts w:ascii="Times New Roman" w:hAnsi="Times New Roman" w:cs="Times New Roman" w:eastAsia="Times New Roman" w:hint="default"/>
        </w:rPr>
        <w:t>•</w:t>
        <w:tab/>
      </w:r>
      <w:r>
        <w:rPr/>
        <w:t>持有至到期投资 </w:t>
      </w:r>
      <w:r>
        <w:rPr>
          <w:spacing w:val="-2"/>
        </w:rPr>
        <w:t>持有至到期投资是指到期日固定、回收金额固定或可确定，且管理层有明确意图和能力持有至到期的非衍生金融资产。取得</w:t>
      </w:r>
      <w:r>
        <w:rPr>
          <w:spacing w:val="-66"/>
        </w:rPr>
        <w:t> </w:t>
      </w:r>
      <w:r>
        <w:rPr>
          <w:spacing w:val="-66"/>
        </w:rPr>
      </w:r>
      <w:r>
        <w:rPr>
          <w:spacing w:val="-2"/>
        </w:rPr>
        <w:t>时期限超过</w:t>
      </w:r>
      <w:r>
        <w:rPr>
          <w:rFonts w:ascii="Times New Roman" w:hAnsi="Times New Roman" w:cs="Times New Roman" w:eastAsia="Times New Roman" w:hint="default"/>
          <w:spacing w:val="-2"/>
        </w:rPr>
        <w:t>12</w:t>
      </w:r>
      <w:r>
        <w:rPr>
          <w:spacing w:val="-2"/>
        </w:rPr>
        <w:t>个月但自资产负债表日起</w:t>
      </w:r>
      <w:r>
        <w:rPr>
          <w:rFonts w:ascii="Times New Roman" w:hAnsi="Times New Roman" w:cs="Times New Roman" w:eastAsia="Times New Roman" w:hint="default"/>
          <w:spacing w:val="-2"/>
        </w:rPr>
        <w:t>12</w:t>
      </w:r>
      <w:r>
        <w:rPr>
          <w:spacing w:val="-2"/>
        </w:rPr>
        <w:t>个月（含</w:t>
      </w:r>
      <w:r>
        <w:rPr>
          <w:rFonts w:ascii="Times New Roman" w:hAnsi="Times New Roman" w:cs="Times New Roman" w:eastAsia="Times New Roman" w:hint="default"/>
          <w:spacing w:val="-2"/>
        </w:rPr>
        <w:t>12</w:t>
      </w:r>
      <w:r>
        <w:rPr>
          <w:spacing w:val="-2"/>
        </w:rPr>
        <w:t>个月）内到期的持有至到期投资，列示为一年内到期的非流动资产；取</w:t>
      </w:r>
      <w:r>
        <w:rPr>
          <w:spacing w:val="-62"/>
        </w:rPr>
        <w:t> </w:t>
      </w:r>
      <w:r>
        <w:rPr>
          <w:spacing w:val="-62"/>
        </w:rPr>
      </w:r>
      <w:r>
        <w:rPr/>
        <w:t>得时期限在</w:t>
      </w:r>
      <w:r>
        <w:rPr>
          <w:rFonts w:ascii="Times New Roman" w:hAnsi="Times New Roman" w:cs="Times New Roman" w:eastAsia="Times New Roman" w:hint="default"/>
        </w:rPr>
        <w:t>12</w:t>
      </w:r>
      <w:r>
        <w:rPr/>
        <w:t>个月之内（含</w:t>
      </w:r>
      <w:r>
        <w:rPr>
          <w:rFonts w:ascii="Times New Roman" w:hAnsi="Times New Roman" w:cs="Times New Roman" w:eastAsia="Times New Roman" w:hint="default"/>
        </w:rPr>
        <w:t>12</w:t>
      </w:r>
      <w:r>
        <w:rPr/>
        <w:t>个月）的持有至到期投资，列示为其他流动资产。</w:t>
      </w:r>
    </w:p>
    <w:p>
      <w:pPr>
        <w:pStyle w:val="BodyText"/>
        <w:spacing w:line="338" w:lineRule="auto" w:before="38"/>
        <w:ind w:left="153" w:right="1129"/>
        <w:jc w:val="left"/>
      </w:pPr>
      <w:r>
        <w:rPr/>
        <w:t>（</w:t>
      </w:r>
      <w:r>
        <w:rPr>
          <w:rFonts w:ascii="Times New Roman" w:hAnsi="Times New Roman" w:cs="Times New Roman" w:eastAsia="Times New Roman" w:hint="default"/>
        </w:rPr>
        <w:t>b</w:t>
      </w:r>
      <w:r>
        <w:rPr/>
        <w:t>）确认和计量 </w:t>
      </w:r>
      <w:r>
        <w:rPr>
          <w:spacing w:val="-2"/>
        </w:rPr>
        <w:t>金融资产于本集团成为金融工具合同的一方时，按公允价值在资产负债表内确认。以公允价值计量且其变动计入当期损益的</w:t>
      </w:r>
      <w:r>
        <w:rPr>
          <w:spacing w:val="-64"/>
        </w:rPr>
        <w:t> </w:t>
      </w:r>
      <w:r>
        <w:rPr>
          <w:spacing w:val="-64"/>
        </w:rPr>
      </w:r>
      <w:r>
        <w:rPr/>
        <w:t>金融资产，取得时发生的相关交易费用计入当期损益；其他金融资产的相关交易费用计入初始确认金额。 </w:t>
      </w:r>
      <w:r>
        <w:rPr>
          <w:spacing w:val="-2"/>
        </w:rPr>
        <w:t>以公允价值计量且其变动计入当期损益的金融资产和可供出售金融资产按照公允价值进行后续计量，但在活跃市场中没有报</w:t>
      </w:r>
    </w:p>
    <w:p>
      <w:pPr>
        <w:pStyle w:val="BodyText"/>
        <w:spacing w:line="338" w:lineRule="auto" w:before="2"/>
        <w:ind w:left="153" w:right="1129"/>
        <w:jc w:val="left"/>
      </w:pPr>
      <w:r>
        <w:rPr>
          <w:spacing w:val="-2"/>
        </w:rPr>
        <w:t>价且其公允价值不能可靠计量的权益工具投资，按照成本计量；应收款项以及持有至到期投资采用实际利率法，以摊余成本</w:t>
      </w:r>
      <w:r>
        <w:rPr>
          <w:spacing w:val="-63"/>
        </w:rPr>
        <w:t> </w:t>
      </w:r>
      <w:r>
        <w:rPr>
          <w:spacing w:val="-63"/>
        </w:rPr>
      </w:r>
      <w:r>
        <w:rPr/>
        <w:t>计量。 </w:t>
      </w:r>
      <w:r>
        <w:rPr>
          <w:spacing w:val="-2"/>
        </w:rPr>
        <w:t>以公允价值计量且其变动计入当期损益的金融资产的公允价值变动作为公允价值变动损益计入当期损益；在资产持有期间所</w:t>
      </w:r>
    </w:p>
    <w:p>
      <w:pPr>
        <w:pStyle w:val="BodyText"/>
        <w:spacing w:line="338" w:lineRule="auto" w:before="2"/>
        <w:ind w:left="153" w:right="1129"/>
        <w:jc w:val="left"/>
      </w:pPr>
      <w:r>
        <w:rPr/>
        <w:t>取得的利息或现金股利以及处置时产生的处置损益计入当期损益。 </w:t>
      </w:r>
      <w:r>
        <w:rPr>
          <w:spacing w:val="-2"/>
        </w:rPr>
        <w:t>除减值损失及外币货币性金融资产形成的汇兑损益外，可供出售金融资产公允价值变动直接计入股东权益，待该金融资产终</w:t>
      </w:r>
      <w:r>
        <w:rPr>
          <w:spacing w:val="-64"/>
        </w:rPr>
        <w:t> </w:t>
      </w:r>
      <w:r>
        <w:rPr>
          <w:spacing w:val="-64"/>
        </w:rPr>
      </w:r>
      <w:r>
        <w:rPr>
          <w:spacing w:val="-2"/>
        </w:rPr>
        <w:t>止确认时，原直接计入权益的公允价值变动累计额转入当期损益。可供出售债务工具投资在持有期间按实际利率法计算的利</w:t>
      </w:r>
    </w:p>
    <w:p>
      <w:pPr>
        <w:pStyle w:val="BodyText"/>
        <w:spacing w:line="240" w:lineRule="auto" w:before="2"/>
        <w:ind w:left="153" w:right="1129"/>
        <w:jc w:val="left"/>
      </w:pPr>
      <w:r>
        <w:rPr/>
        <w:t>息，以及被投资单位已宣告发放的与可供出售权益工具投资相关的现金股利，作为投资收益计入当期损益。</w:t>
      </w:r>
    </w:p>
    <w:p>
      <w:pPr>
        <w:pStyle w:val="BodyText"/>
        <w:spacing w:line="328" w:lineRule="auto" w:before="115"/>
        <w:ind w:left="153" w:right="1129"/>
        <w:jc w:val="left"/>
      </w:pPr>
      <w:r>
        <w:rPr/>
        <w:t>（</w:t>
      </w:r>
      <w:r>
        <w:rPr>
          <w:rFonts w:ascii="Times New Roman" w:hAnsi="Times New Roman" w:cs="Times New Roman" w:eastAsia="Times New Roman" w:hint="default"/>
        </w:rPr>
        <w:t>c</w:t>
      </w:r>
      <w:r>
        <w:rPr/>
        <w:t>）金融资产减值 </w:t>
      </w:r>
      <w:r>
        <w:rPr>
          <w:spacing w:val="-2"/>
        </w:rPr>
        <w:t>除以公允价值计量且其变动计入当期损益的金融资产外，本集团于资产负债表日对金融资产的账面价值进行检查，如果有客</w:t>
      </w:r>
      <w:r>
        <w:rPr>
          <w:spacing w:val="-64"/>
        </w:rPr>
        <w:t> </w:t>
      </w:r>
      <w:r>
        <w:rPr>
          <w:spacing w:val="-64"/>
        </w:rPr>
      </w:r>
      <w:r>
        <w:rPr/>
        <w:t>观证据表明某项金融资产发生减值的，计提减值准备。</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316" w:lineRule="auto"/>
        <w:ind w:left="153" w:right="1129"/>
        <w:jc w:val="left"/>
      </w:pPr>
      <w:r>
        <w:rPr>
          <w:spacing w:val="-2"/>
        </w:rPr>
        <w:t>表明金融资产发生减值的客观证据，是指金融资产初始确认后实际发生的、对该金融资产的预计未来现金流量有影响，且本</w:t>
      </w:r>
      <w:r>
        <w:rPr>
          <w:spacing w:val="-63"/>
        </w:rPr>
        <w:t> </w:t>
      </w:r>
      <w:r>
        <w:rPr>
          <w:spacing w:val="-63"/>
        </w:rPr>
      </w:r>
      <w:r>
        <w:rPr/>
        <w:t>集团能够对该影响进行可靠计量的事项。</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16" w:lineRule="auto"/>
        <w:ind w:left="153" w:right="962"/>
        <w:jc w:val="left"/>
        <w:rPr>
          <w:rFonts w:ascii="Times New Roman" w:hAnsi="Times New Roman" w:cs="Times New Roman" w:eastAsia="Times New Roman" w:hint="default"/>
        </w:rPr>
      </w:pPr>
      <w:r>
        <w:rPr/>
        <w:t>表明可供出售权益工具投资发生减值的客观证据包括权益工具投资的公允价值发生严重或非暂时性下跌</w:t>
      </w:r>
      <w:r>
        <w:rPr>
          <w:spacing w:val="-82"/>
        </w:rPr>
        <w:t>。</w:t>
      </w:r>
      <w:r>
        <w:rPr/>
        <w:t>本集团于资产负债</w:t>
      </w:r>
      <w:r>
        <w:rPr/>
        <w:t> 表日对各项可供出售权益工具投资单独进行检查</w:t>
      </w:r>
      <w:r>
        <w:rPr>
          <w:spacing w:val="-82"/>
        </w:rPr>
        <w:t>，</w:t>
      </w:r>
      <w:r>
        <w:rPr/>
        <w:t>若该权益工具投资于资产负债表日的公允价值低于其初始投资成本超过</w:t>
      </w:r>
      <w:r>
        <w:rPr>
          <w:rFonts w:ascii="Times New Roman" w:hAnsi="Times New Roman" w:cs="Times New Roman" w:eastAsia="Times New Roman" w:hint="default"/>
          <w:spacing w:val="1"/>
        </w:rPr>
        <w:t>50%</w:t>
      </w:r>
      <w:r>
        <w:rPr>
          <w:rFonts w:ascii="Times New Roman" w:hAnsi="Times New Roman" w:cs="Times New Roman" w:eastAsia="Times New Roman" w:hint="default"/>
        </w:rPr>
      </w:r>
    </w:p>
    <w:p>
      <w:pPr>
        <w:pStyle w:val="BodyText"/>
        <w:spacing w:line="300" w:lineRule="auto"/>
        <w:ind w:left="153" w:right="1132"/>
        <w:jc w:val="both"/>
      </w:pPr>
      <w:r>
        <w:rPr>
          <w:spacing w:val="-1"/>
        </w:rPr>
        <w:t>（含</w:t>
      </w:r>
      <w:r>
        <w:rPr>
          <w:rFonts w:ascii="Times New Roman" w:hAnsi="Times New Roman" w:cs="Times New Roman" w:eastAsia="Times New Roman" w:hint="default"/>
          <w:spacing w:val="-1"/>
        </w:rPr>
        <w:t>50%</w:t>
      </w:r>
      <w:r>
        <w:rPr>
          <w:spacing w:val="-1"/>
        </w:rPr>
        <w:t>）或低于其初始投资成本持续时间超过一年（含一年）的，则表明其发生减值；若该权益工具投资于资产负债表日</w:t>
      </w:r>
      <w:r>
        <w:rPr/>
        <w:t> </w:t>
      </w:r>
      <w:r>
        <w:rPr>
          <w:spacing w:val="-4"/>
        </w:rPr>
        <w:t>的公允价值低于其初始投资成本超过</w:t>
      </w:r>
      <w:r>
        <w:rPr>
          <w:rFonts w:ascii="Times New Roman" w:hAnsi="Times New Roman" w:cs="Times New Roman" w:eastAsia="Times New Roman" w:hint="default"/>
          <w:spacing w:val="-4"/>
        </w:rPr>
        <w:t>20%</w:t>
      </w:r>
      <w:r>
        <w:rPr>
          <w:spacing w:val="-4"/>
        </w:rPr>
        <w:t>（含</w:t>
      </w:r>
      <w:r>
        <w:rPr>
          <w:rFonts w:ascii="Times New Roman" w:hAnsi="Times New Roman" w:cs="Times New Roman" w:eastAsia="Times New Roman" w:hint="default"/>
          <w:spacing w:val="-4"/>
        </w:rPr>
        <w:t>20%</w:t>
      </w:r>
      <w:r>
        <w:rPr>
          <w:spacing w:val="-4"/>
        </w:rPr>
        <w:t>）但尚未达到</w:t>
      </w:r>
      <w:r>
        <w:rPr>
          <w:rFonts w:ascii="Times New Roman" w:hAnsi="Times New Roman" w:cs="Times New Roman" w:eastAsia="Times New Roman" w:hint="default"/>
          <w:spacing w:val="-4"/>
        </w:rPr>
        <w:t>50%</w:t>
      </w:r>
      <w:r>
        <w:rPr>
          <w:spacing w:val="-4"/>
        </w:rPr>
        <w:t>的，本集团会综合考虑其他相关因素诸如价格波动率等，</w:t>
      </w:r>
      <w:r>
        <w:rPr>
          <w:spacing w:val="-34"/>
        </w:rPr>
        <w:t> </w:t>
      </w:r>
      <w:r>
        <w:rPr>
          <w:spacing w:val="-34"/>
        </w:rPr>
      </w:r>
      <w:r>
        <w:rPr/>
        <w:t>判断该权益工具投资是否发生减值。本集团以加权平均法计算可供出售权益工具投资的初始投资成本。</w:t>
      </w:r>
    </w:p>
    <w:p>
      <w:pPr>
        <w:spacing w:after="0" w:line="300" w:lineRule="auto"/>
        <w:jc w:val="both"/>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30"/>
        <w:jc w:val="both"/>
      </w:pPr>
      <w:r>
        <w:rPr>
          <w:spacing w:val="-5"/>
        </w:rPr>
        <w:t>以摊余成本计量的金融资产发生减值时，按预计未来现金流量（不包括尚未发生的未来信用损失）现值低于账面价值的差额，</w:t>
      </w:r>
      <w:r>
        <w:rPr>
          <w:spacing w:val="-76"/>
        </w:rPr>
        <w:t> </w:t>
      </w:r>
      <w:r>
        <w:rPr>
          <w:spacing w:val="-76"/>
        </w:rPr>
      </w:r>
      <w:r>
        <w:rPr>
          <w:spacing w:val="-2"/>
        </w:rPr>
        <w:t>计提减值准备。如果有客观证据表明该金融资产价值已恢复，且客观上与确认该损失后发生的事项有关，原确认的减值损失</w:t>
      </w:r>
      <w:r>
        <w:rPr>
          <w:spacing w:val="-63"/>
        </w:rPr>
        <w:t> </w:t>
      </w:r>
      <w:r>
        <w:rPr>
          <w:spacing w:val="-63"/>
        </w:rPr>
      </w:r>
      <w:r>
        <w:rPr/>
        <w:t>予以转回，计入当期损益。</w:t>
      </w:r>
    </w:p>
    <w:p>
      <w:pPr>
        <w:pStyle w:val="BodyText"/>
        <w:spacing w:line="316" w:lineRule="auto" w:before="59"/>
        <w:ind w:right="986"/>
        <w:jc w:val="left"/>
      </w:pPr>
      <w:r>
        <w:rPr>
          <w:spacing w:val="-2"/>
        </w:rPr>
        <w:t>以公允价值计量的可供出售金融资产发生减值时，原直接计入股东权益的因公允价值下降形成的累计损失予以转出并计入减</w:t>
      </w:r>
      <w:r>
        <w:rPr>
          <w:spacing w:val="-64"/>
        </w:rPr>
        <w:t> </w:t>
      </w:r>
      <w:r>
        <w:rPr>
          <w:spacing w:val="-64"/>
        </w:rPr>
      </w:r>
      <w:r>
        <w:rPr>
          <w:spacing w:val="-4"/>
        </w:rPr>
        <w:t>值损失。对已确认减值损失的可供出售债务工具投资，在期后公允价值上升且客观上与确认原减值损失后发生的事项有关的，</w:t>
      </w:r>
      <w:r>
        <w:rPr>
          <w:spacing w:val="-44"/>
        </w:rPr>
        <w:t> </w:t>
      </w:r>
      <w:r>
        <w:rPr>
          <w:spacing w:val="-44"/>
        </w:rPr>
      </w:r>
      <w:r>
        <w:rPr>
          <w:spacing w:val="-2"/>
        </w:rPr>
        <w:t>原确认的减值损失予以转回并计入当期损益。对已确认减值损失的可供出售权益工具投资，期后公允价值上升直接计入股东</w:t>
      </w:r>
      <w:r>
        <w:rPr>
          <w:spacing w:val="-64"/>
        </w:rPr>
        <w:t> </w:t>
      </w:r>
      <w:r>
        <w:rPr>
          <w:spacing w:val="-64"/>
        </w:rPr>
      </w:r>
      <w:r>
        <w:rPr/>
        <w:t>权益。</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16" w:lineRule="auto"/>
        <w:ind w:right="1129"/>
        <w:jc w:val="left"/>
      </w:pPr>
      <w:r>
        <w:rPr>
          <w:spacing w:val="-2"/>
        </w:rPr>
        <w:t>以成本计量的可供出售金融资产发生减值时，将其账面价值与按照类似金融资产当时市场收益率对未来现金流量折现确定的</w:t>
      </w:r>
      <w:r>
        <w:rPr>
          <w:spacing w:val="-64"/>
        </w:rPr>
        <w:t> </w:t>
      </w:r>
      <w:r>
        <w:rPr>
          <w:spacing w:val="-64"/>
        </w:rPr>
      </w:r>
      <w:r>
        <w:rPr/>
        <w:t>现值之间的差额，确认为减值损失，计入当期损益。已发生的减值损失以后期间不再转回。</w:t>
      </w:r>
    </w:p>
    <w:p>
      <w:pPr>
        <w:pStyle w:val="BodyText"/>
        <w:spacing w:line="319" w:lineRule="auto" w:before="59"/>
        <w:ind w:right="1154"/>
        <w:jc w:val="left"/>
      </w:pPr>
      <w:r>
        <w:rPr/>
        <w:t>（</w:t>
      </w:r>
      <w:r>
        <w:rPr>
          <w:rFonts w:ascii="Times New Roman" w:hAnsi="Times New Roman" w:cs="Times New Roman" w:eastAsia="Times New Roman" w:hint="default"/>
        </w:rPr>
        <w:t>d</w:t>
      </w:r>
      <w:r>
        <w:rPr/>
        <w:t>）金融资产的终止确认 金融资产满足下列条件之一的，予以终止确认：</w:t>
      </w:r>
      <w:r>
        <w:rPr>
          <w:rFonts w:ascii="Times New Roman" w:hAnsi="Times New Roman" w:cs="Times New Roman" w:eastAsia="Times New Roman" w:hint="default"/>
        </w:rPr>
        <w:t>(1)</w:t>
      </w:r>
      <w:r>
        <w:rPr/>
        <w:t>收取该金融资产现金流量的合同权利终止；</w:t>
      </w:r>
      <w:r>
        <w:rPr>
          <w:rFonts w:ascii="Times New Roman" w:hAnsi="Times New Roman" w:cs="Times New Roman" w:eastAsia="Times New Roman" w:hint="default"/>
        </w:rPr>
        <w:t>(2)</w:t>
      </w:r>
      <w:r>
        <w:rPr/>
        <w:t>该金融资产已转移，且本 集团将金融资产所有权上几乎所有的风险和报酬转移给转入方；或者</w:t>
      </w:r>
      <w:r>
        <w:rPr>
          <w:rFonts w:ascii="Times New Roman" w:hAnsi="Times New Roman" w:cs="Times New Roman" w:eastAsia="Times New Roman" w:hint="default"/>
        </w:rPr>
        <w:t>(3)</w:t>
      </w:r>
      <w:r>
        <w:rPr/>
        <w:t>该金融资产已转移，虽然本集团既没有转移也没有</w:t>
      </w:r>
    </w:p>
    <w:p>
      <w:pPr>
        <w:pStyle w:val="BodyText"/>
        <w:spacing w:line="233" w:lineRule="exact"/>
        <w:ind w:right="1129"/>
        <w:jc w:val="left"/>
      </w:pPr>
      <w:r>
        <w:rPr/>
        <w:t>保留金融资产所有权上几乎所有的风险和报酬，但是放弃了对该金融资产控制。</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ind w:right="986"/>
        <w:jc w:val="left"/>
      </w:pPr>
      <w:r>
        <w:rPr/>
        <w:t>金融资产终止确认时</w:t>
      </w:r>
      <w:r>
        <w:rPr>
          <w:spacing w:val="-87"/>
        </w:rPr>
        <w:t>，</w:t>
      </w:r>
      <w:r>
        <w:rPr/>
        <w:t>其账面价值与收到的对价以及原直接计入股东权益的公允价值变动累计额之和的差额</w:t>
      </w:r>
      <w:r>
        <w:rPr>
          <w:spacing w:val="-87"/>
        </w:rPr>
        <w:t>，</w:t>
      </w:r>
      <w:r>
        <w:rPr/>
        <w:t>计入当期损益。</w:t>
      </w:r>
    </w:p>
    <w:p>
      <w:pPr>
        <w:pStyle w:val="BodyText"/>
        <w:spacing w:line="328" w:lineRule="auto" w:before="115"/>
        <w:ind w:right="1129"/>
        <w:jc w:val="left"/>
      </w:pPr>
      <w:r>
        <w:rPr/>
        <w:t>（</w:t>
      </w:r>
      <w:r>
        <w:rPr>
          <w:rFonts w:ascii="Times New Roman" w:hAnsi="Times New Roman" w:cs="Times New Roman" w:eastAsia="Times New Roman" w:hint="default"/>
        </w:rPr>
        <w:t>2</w:t>
      </w:r>
      <w:r>
        <w:rPr/>
        <w:t>）金融负债 </w:t>
      </w:r>
      <w:r>
        <w:rPr>
          <w:spacing w:val="-2"/>
        </w:rPr>
        <w:t>金融负债于初始确认时分类为以公允价值计量且其变动计入当期损益的金融负债和其他金融负债。本集团的金融负债主要为</w:t>
      </w:r>
      <w:r>
        <w:rPr>
          <w:spacing w:val="-64"/>
        </w:rPr>
        <w:t> </w:t>
      </w:r>
      <w:r>
        <w:rPr>
          <w:spacing w:val="-64"/>
        </w:rPr>
      </w:r>
      <w:r>
        <w:rPr/>
        <w:t>应付款项、借款等其他金融负债。</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right="1129"/>
        <w:jc w:val="left"/>
      </w:pPr>
      <w:r>
        <w:rPr/>
        <w:t>应付款项包括应付账款、其他应付款等，以公允价值进行初始计量，并采用实际利率法按摊余成本进行后续计量。</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ind w:right="1129"/>
        <w:jc w:val="left"/>
      </w:pPr>
      <w:r>
        <w:rPr/>
        <w:t>借款及应付债券按其公允价值扣除交易费用后的金额进行初始计量，并采用实际利率法按摊余成本进行后续计量。</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38" w:lineRule="auto"/>
        <w:ind w:right="1129"/>
        <w:jc w:val="left"/>
      </w:pPr>
      <w:r>
        <w:rPr>
          <w:spacing w:val="-2"/>
        </w:rPr>
        <w:t>其他金融负债期限在一年以下（含一年）的，列示为流动负债；期限在一年以上但自资产负债表日起一年内（含一年）到期</w:t>
      </w:r>
      <w:r>
        <w:rPr>
          <w:spacing w:val="-67"/>
        </w:rPr>
        <w:t> </w:t>
      </w:r>
      <w:r>
        <w:rPr>
          <w:spacing w:val="-67"/>
        </w:rPr>
      </w:r>
      <w:r>
        <w:rPr/>
        <w:t>的，列示为一年内到期的非流动负债；其余列示为非流动负债。 </w:t>
      </w:r>
      <w:r>
        <w:rPr>
          <w:spacing w:val="-2"/>
        </w:rPr>
        <w:t>当金融负债的现时义务全部或部分已经解除时，终止确认该金融负债或义务已解除的部分。终止确认部分的账面价值与支付</w:t>
      </w:r>
    </w:p>
    <w:p>
      <w:pPr>
        <w:pStyle w:val="BodyText"/>
        <w:spacing w:line="240" w:lineRule="auto" w:before="2"/>
        <w:ind w:right="1129"/>
        <w:jc w:val="left"/>
      </w:pPr>
      <w:r>
        <w:rPr/>
        <w:t>的对价之间的差额，计入当期损益。</w:t>
      </w:r>
    </w:p>
    <w:p>
      <w:pPr>
        <w:pStyle w:val="BodyText"/>
        <w:spacing w:line="324" w:lineRule="auto" w:before="115"/>
        <w:ind w:right="1129"/>
        <w:jc w:val="left"/>
      </w:pPr>
      <w:r>
        <w:rPr/>
        <w:t>（</w:t>
      </w:r>
      <w:r>
        <w:rPr>
          <w:rFonts w:ascii="Times New Roman" w:hAnsi="Times New Roman" w:cs="Times New Roman" w:eastAsia="Times New Roman" w:hint="default"/>
        </w:rPr>
        <w:t>3</w:t>
      </w:r>
      <w:r>
        <w:rPr/>
        <w:t>）金融工具的公允价值确定 </w:t>
      </w:r>
      <w:r>
        <w:rPr>
          <w:spacing w:val="-2"/>
        </w:rPr>
        <w:t>存在活跃市场的金融工具，以活跃市场中的报价确定其公允价值。不存在活跃市场的金融工具，采用估值技术确定其公允价</w:t>
      </w:r>
      <w:r>
        <w:rPr>
          <w:spacing w:val="-63"/>
        </w:rPr>
        <w:t> </w:t>
      </w:r>
      <w:r>
        <w:rPr>
          <w:spacing w:val="-63"/>
        </w:rPr>
      </w:r>
      <w:r>
        <w:rPr>
          <w:spacing w:val="-2"/>
        </w:rPr>
        <w:t>值。在估值时，本集团采用在当前情况下适用并且有足够可利用数据和其他信息支持的估值技术，选择与市场参与者在相关</w:t>
      </w:r>
      <w:r>
        <w:rPr>
          <w:spacing w:val="-66"/>
        </w:rPr>
        <w:t> </w:t>
      </w:r>
      <w:r>
        <w:rPr>
          <w:spacing w:val="-66"/>
        </w:rPr>
      </w:r>
      <w:r>
        <w:rPr>
          <w:spacing w:val="-2"/>
        </w:rPr>
        <w:t>资产或负债的交易中所考虑的资产或负债特征相一致的输入值，并尽可能优先使用相关可观察输入值。在相关可观察输入值</w:t>
      </w:r>
      <w:r>
        <w:rPr>
          <w:spacing w:val="-64"/>
        </w:rPr>
        <w:t> </w:t>
      </w:r>
      <w:r>
        <w:rPr>
          <w:spacing w:val="-64"/>
        </w:rPr>
      </w:r>
      <w:r>
        <w:rPr/>
        <w:t>无法取得或取得不切实可行的情况下，使用不可观察输入值。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3"/>
        <w:spacing w:line="240" w:lineRule="auto"/>
        <w:ind w:right="1129"/>
        <w:jc w:val="left"/>
        <w:rPr>
          <w:b w:val="0"/>
          <w:bCs w:val="0"/>
        </w:rPr>
      </w:pPr>
      <w:bookmarkStart w:name="11、应收票据及应收账款" w:id="180"/>
      <w:bookmarkEnd w:id="180"/>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9"/>
        <w:jc w:val="left"/>
        <w:rPr>
          <w:b w:val="0"/>
          <w:bCs w:val="0"/>
        </w:rPr>
      </w:pPr>
      <w:bookmarkStart w:name="（1）单项金额重大并单独计提坏账准备的应收款项" w:id="181"/>
      <w:bookmarkEnd w:id="18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2"/>
        <w:rPr>
          <w:rFonts w:ascii="宋体" w:hAnsi="宋体" w:cs="宋体" w:eastAsia="宋体" w:hint="default"/>
          <w:b/>
          <w:bCs/>
          <w:sz w:val="28"/>
          <w:szCs w:val="28"/>
        </w:rPr>
      </w:pPr>
    </w:p>
    <w:p>
      <w:pPr>
        <w:spacing w:line="381"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2;top:14;width:4774;height:353" coordorigin="12,14" coordsize="4774,353">
              <v:shape style="position:absolute;left:12;top:14;width:4774;height:353" coordorigin="12,14" coordsize="4774,353" path="m12,367l4786,367,4786,14,12,14,12,367xe" filled="true" fillcolor="#d4d4d4"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1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1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774;height:2" coordorigin="10,372" coordsize="4774,2">
              <v:shape style="position:absolute;left:10;top:372;width:4774;height:2" coordorigin="10,372" coordsize="4774,0" path="m10,372l4783,372e" filled="false" stroked="true" strokeweight=".48pt" strokecolor="#000000">
                <v:path arrowok="t"/>
              </v:shape>
            </v:group>
            <v:group style="position:absolute;left:4788;top:5;width:2;height:372" coordorigin="4788,5" coordsize="2,372">
              <v:shape style="position:absolute;left:4788;top:5;width:2;height:372" coordorigin="4788,5" coordsize="0,372" path="m4788,5l4788,377e" filled="false" stroked="true" strokeweight=".48pt" strokecolor="#000000">
                <v:path arrowok="t"/>
              </v:shape>
            </v:group>
            <v:group style="position:absolute;left:4793;top:372;width:4776;height:2" coordorigin="4793,372" coordsize="4776,2">
              <v:shape style="position:absolute;left:4793;top:372;width:4776;height:2" coordorigin="4793,372" coordsize="4776,0" path="m4793,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4788;top:10;width:4786;height:363" type="#_x0000_t202" filled="false" stroked="false">
                <v:textbox inset="0,0,0,0">
                  <w:txbxContent>
                    <w:p>
                      <w:pPr>
                        <w:spacing w:before="13"/>
                        <w:ind w:left="28" w:right="0" w:firstLine="0"/>
                        <w:jc w:val="left"/>
                        <w:rPr>
                          <w:rFonts w:ascii="宋体" w:hAnsi="宋体" w:cs="宋体" w:eastAsia="宋体" w:hint="default"/>
                          <w:sz w:val="18"/>
                          <w:szCs w:val="18"/>
                        </w:rPr>
                      </w:pPr>
                      <w:r>
                        <w:rPr>
                          <w:rFonts w:ascii="宋体" w:hAnsi="宋体" w:cs="宋体" w:eastAsia="宋体" w:hint="default"/>
                          <w:sz w:val="18"/>
                          <w:szCs w:val="18"/>
                        </w:rPr>
                        <w:t>额进行计提。</w:t>
                      </w:r>
                    </w:p>
                  </w:txbxContent>
                </v:textbox>
                <w10:wrap type="none"/>
              </v:shape>
            </v:group>
          </v:group>
        </w:pict>
      </w:r>
      <w:r>
        <w:rPr>
          <w:rFonts w:ascii="宋体" w:hAnsi="宋体" w:cs="宋体" w:eastAsia="宋体" w:hint="default"/>
          <w:position w:val="-7"/>
          <w:sz w:val="20"/>
          <w:szCs w:val="20"/>
        </w:rPr>
      </w:r>
    </w:p>
    <w:p>
      <w:pPr>
        <w:spacing w:line="240" w:lineRule="auto" w:before="12"/>
        <w:rPr>
          <w:rFonts w:ascii="宋体" w:hAnsi="宋体" w:cs="宋体" w:eastAsia="宋体" w:hint="default"/>
          <w:b/>
          <w:bCs/>
          <w:sz w:val="18"/>
          <w:szCs w:val="18"/>
        </w:rPr>
      </w:pPr>
    </w:p>
    <w:p>
      <w:pPr>
        <w:pStyle w:val="Heading3"/>
        <w:spacing w:line="240" w:lineRule="auto" w:before="36"/>
        <w:ind w:right="1129"/>
        <w:jc w:val="left"/>
        <w:rPr>
          <w:b w:val="0"/>
          <w:bCs w:val="0"/>
        </w:rPr>
      </w:pPr>
      <w:bookmarkStart w:name="（2）按信用风险特征组合计提坏账准备的应收款项" w:id="182"/>
      <w:bookmarkEnd w:id="18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2275"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对于单项金额不重大的应收款项，与经单独测试后未减值的 应收款项一起按信用风险特征划分为若干组合，根据以前年 度与之具有类似信用风险特征的应收款项组合的实际损失率 为基础，结合现时情况确定应计提的坏账准备。本集团对集 团内关联公司间应收款项视为无风险组合， 一般不计提坏账准备，对非集团内其他应收款视为一般组合 采用账龄分析法计提坏账准备。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1129"/>
        <w:jc w:val="left"/>
      </w:pPr>
      <w:r>
        <w:rPr/>
        <w:pict>
          <v:shape style="position:absolute;margin-left:226.920013pt;margin-top:-47.278297pt;width:307.95pt;height:46.8pt;mso-position-horizontal-relative:page;mso-position-vertical-relative:paragraph;z-index:-1107136" type="#_x0000_t202" filled="false" stroked="false">
            <v:textbox inset="0,0,0,0">
              <w:txbxContent>
                <w:p>
                  <w:pPr>
                    <w:pStyle w:val="BodyText"/>
                    <w:spacing w:line="203" w:lineRule="exact"/>
                    <w:ind w:left="0" w:right="0"/>
                    <w:jc w:val="left"/>
                  </w:pPr>
                  <w:r>
                    <w:rPr/>
                    <w:t>除非有确凿证据，</w:t>
                  </w:r>
                </w:p>
              </w:txbxContent>
            </v:textbox>
            <w10:wrap type="none"/>
          </v:shape>
        </w:pict>
      </w:r>
      <w:r>
        <w:rPr/>
        <w:pict>
          <v:group style="position:absolute;margin-left:296.160004pt;margin-top:-47.278297pt;width:238.7pt;height:46.8pt;mso-position-horizontal-relative:page;mso-position-vertical-relative:paragraph;z-index:-1107112" coordorigin="5923,-946" coordsize="4774,936">
            <v:shape style="position:absolute;left:5923;top:-946;width:4774;height:936" coordorigin="5923,-946" coordsize="4774,936" path="m5923,-10l10697,-10,10697,-946,5923,-946,5923,-10xe" filled="true" fillcolor="#ffffff" stroked="false">
              <v:path arrowok="t"/>
              <v:fill type="solid"/>
            </v:shape>
            <w10:wrap type="none"/>
          </v:group>
        </w:pict>
      </w:r>
      <w:r>
        <w:rPr/>
        <w:t>组合中，采用账龄分析法计提坏账准备的：</w:t>
      </w:r>
    </w:p>
    <w:p>
      <w:pPr>
        <w:pStyle w:val="BodyText"/>
        <w:spacing w:line="240" w:lineRule="auto" w:before="115"/>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8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0-1%</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70.00%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1129"/>
        <w:jc w:val="left"/>
      </w:pPr>
      <w:r>
        <w:rPr/>
        <w:t>组合中，采用余额百分比法计提坏账准备的：</w:t>
      </w:r>
    </w:p>
    <w:p>
      <w:pPr>
        <w:pStyle w:val="BodyText"/>
        <w:spacing w:line="338" w:lineRule="auto" w:before="117"/>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3"/>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9"/>
        <w:jc w:val="left"/>
        <w:rPr>
          <w:b w:val="0"/>
          <w:bCs w:val="0"/>
        </w:rPr>
      </w:pPr>
      <w:bookmarkStart w:name="（3）单项金额不重大但单独计提坏账准备的应收款项" w:id="183"/>
      <w:bookmarkEnd w:id="18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71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存在客观证据表明本集团将无法按应收款项的原有条款收回 款项。</w:t>
            </w:r>
          </w:p>
        </w:tc>
      </w:tr>
      <w:tr>
        <w:trPr>
          <w:trHeight w:val="715"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3"/>
        <w:rPr>
          <w:rFonts w:ascii="宋体" w:hAnsi="宋体" w:cs="宋体" w:eastAsia="宋体" w:hint="default"/>
          <w:b/>
          <w:bCs/>
          <w:sz w:val="19"/>
          <w:szCs w:val="19"/>
        </w:rPr>
      </w:pPr>
    </w:p>
    <w:p>
      <w:pPr>
        <w:pStyle w:val="Heading3"/>
        <w:spacing w:line="240" w:lineRule="auto" w:before="36"/>
        <w:ind w:right="1129"/>
        <w:jc w:val="left"/>
        <w:rPr>
          <w:b w:val="0"/>
          <w:bCs w:val="0"/>
        </w:rPr>
      </w:pPr>
      <w:bookmarkStart w:name="12、存货" w:id="184"/>
      <w:bookmarkEnd w:id="184"/>
      <w:r>
        <w:rPr>
          <w:b w:val="0"/>
          <w:bCs w:val="0"/>
        </w:rPr>
      </w: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7"/>
        <w:ind w:right="1129"/>
        <w:jc w:val="left"/>
      </w:pPr>
      <w:r>
        <w:rPr/>
        <w:t>软件与信息技术服务业</w:t>
      </w:r>
    </w:p>
    <w:p>
      <w:pPr>
        <w:pStyle w:val="BodyText"/>
        <w:spacing w:line="340" w:lineRule="auto" w:before="115"/>
        <w:ind w:right="1129"/>
        <w:jc w:val="left"/>
      </w:pPr>
      <w:r>
        <w:rPr/>
        <w:t>（</w:t>
      </w:r>
      <w:r>
        <w:rPr>
          <w:rFonts w:ascii="Times New Roman" w:hAnsi="Times New Roman" w:cs="Times New Roman" w:eastAsia="Times New Roman" w:hint="default"/>
        </w:rPr>
        <w:t>1</w:t>
      </w:r>
      <w:r>
        <w:rPr/>
        <w:t>）分类 </w:t>
      </w:r>
      <w:r>
        <w:rPr>
          <w:spacing w:val="-2"/>
        </w:rPr>
        <w:t>本公司的存货分类为软件开发成本、第三方软硬件及系统集成成本等，按成本与可变现净值孰低计量。软件开发成本主要核</w:t>
      </w:r>
    </w:p>
    <w:p>
      <w:pPr>
        <w:spacing w:after="0" w:line="34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29"/>
        <w:jc w:val="left"/>
      </w:pPr>
      <w:r>
        <w:rPr>
          <w:spacing w:val="-2"/>
        </w:rPr>
        <w:t>算已签合同定制软件开发项目在软件主要功能通过测试并且取得客户确认的上线报告时点之前所发生的各项成本。第三方软</w:t>
      </w:r>
      <w:r>
        <w:rPr>
          <w:spacing w:val="-64"/>
        </w:rPr>
        <w:t> </w:t>
      </w:r>
      <w:r>
        <w:rPr>
          <w:spacing w:val="-64"/>
        </w:rPr>
      </w:r>
      <w:r>
        <w:rPr/>
        <w:t>硬件及系统集成成本主要核算第三方软硬件采购及系统集成项目在产品经客户最终验收前所发生的软硬件产品采购成本及 其他各项成本。</w:t>
      </w:r>
    </w:p>
    <w:p>
      <w:pPr>
        <w:pStyle w:val="BodyText"/>
        <w:spacing w:line="338" w:lineRule="auto" w:before="59"/>
        <w:ind w:right="7694"/>
        <w:jc w:val="left"/>
      </w:pPr>
      <w:r>
        <w:rPr/>
        <w:t>（</w:t>
      </w:r>
      <w:r>
        <w:rPr>
          <w:rFonts w:ascii="Times New Roman" w:hAnsi="Times New Roman" w:cs="Times New Roman" w:eastAsia="Times New Roman" w:hint="default"/>
        </w:rPr>
        <w:t>2</w:t>
      </w:r>
      <w:r>
        <w:rPr/>
        <w:t>）发出存货的计价方法 存货发出时的成本按个别计价法核算。</w:t>
      </w:r>
    </w:p>
    <w:p>
      <w:pPr>
        <w:pStyle w:val="BodyText"/>
        <w:spacing w:line="324" w:lineRule="auto" w:before="43"/>
        <w:ind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）存货可变现净值的确定依据及存货跌价准备的计提方法 </w:t>
      </w:r>
      <w:r>
        <w:rPr>
          <w:spacing w:val="-2"/>
        </w:rPr>
        <w:t>存货跌价准备按存货成本高于其可变现净值的差额计提。为执行已签署的定制软件开发劳务合同、第三方软硬件及系统集成</w:t>
      </w:r>
      <w:r>
        <w:rPr>
          <w:spacing w:val="-64"/>
        </w:rPr>
        <w:t> </w:t>
      </w:r>
      <w:r>
        <w:rPr>
          <w:spacing w:val="-64"/>
        </w:rPr>
      </w:r>
      <w:r>
        <w:rPr>
          <w:spacing w:val="-2"/>
        </w:rPr>
        <w:t>销售或者劳务合同而形成或持有的存货，以合同价格减去至完工时估计将要发生的成本、估计的销售费用以及相关税费后的</w:t>
      </w:r>
      <w:r>
        <w:rPr>
          <w:spacing w:val="-64"/>
        </w:rPr>
        <w:t> </w:t>
      </w:r>
      <w:r>
        <w:rPr>
          <w:spacing w:val="-64"/>
        </w:rPr>
      </w:r>
      <w:r>
        <w:rPr/>
        <w:t>金额确定可变现净值。若合同为亏损合同，亏损合同仍需确认相关预计负债（见五</w:t>
      </w:r>
      <w:r>
        <w:rPr>
          <w:rFonts w:ascii="Times New Roman" w:hAnsi="Times New Roman" w:cs="Times New Roman" w:eastAsia="Times New Roman" w:hint="default"/>
        </w:rPr>
        <w:t>(22)</w:t>
      </w:r>
      <w:r>
        <w:rPr/>
        <w:t>）</w:t>
      </w:r>
      <w:r>
        <w:rPr>
          <w:rFonts w:ascii="Times New Roman" w:hAnsi="Times New Roman" w:cs="Times New Roman" w:eastAsia="Times New Roman" w:hint="default"/>
        </w:rPr>
        <w:t>.</w:t>
      </w:r>
    </w:p>
    <w:p>
      <w:pPr>
        <w:pStyle w:val="BodyText"/>
        <w:spacing w:line="240" w:lineRule="auto" w:before="31"/>
        <w:ind w:right="1129"/>
        <w:jc w:val="left"/>
      </w:pPr>
      <w:r>
        <w:rPr/>
        <w:t>（</w:t>
      </w:r>
      <w:r>
        <w:rPr>
          <w:rFonts w:ascii="Times New Roman" w:hAnsi="Times New Roman" w:cs="Times New Roman" w:eastAsia="Times New Roman" w:hint="default"/>
        </w:rPr>
        <w:t>4</w:t>
      </w:r>
      <w:r>
        <w:rPr/>
        <w:t>）本集团的存货盘存制度采用永续盘存制。</w:t>
      </w:r>
    </w:p>
    <w:p>
      <w:pPr>
        <w:pStyle w:val="BodyText"/>
        <w:spacing w:line="340" w:lineRule="auto" w:before="103"/>
        <w:ind w:right="5354"/>
        <w:jc w:val="left"/>
      </w:pPr>
      <w:r>
        <w:rPr/>
        <w:t>（</w:t>
      </w:r>
      <w:r>
        <w:rPr>
          <w:rFonts w:ascii="Times New Roman" w:hAnsi="Times New Roman" w:cs="Times New Roman" w:eastAsia="Times New Roman" w:hint="default"/>
        </w:rPr>
        <w:t>5</w:t>
      </w:r>
      <w:r>
        <w:rPr/>
        <w:t>）低值易耗品的摊销方法 低值易耗品（主要为办公用品）在领用时采用一次转销法进行摊销。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9"/>
        <w:ind w:right="1129"/>
        <w:jc w:val="left"/>
        <w:rPr>
          <w:b w:val="0"/>
          <w:bCs w:val="0"/>
        </w:rPr>
      </w:pPr>
      <w:bookmarkStart w:name="13、持有待售资产" w:id="185"/>
      <w:bookmarkEnd w:id="185"/>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14、长期股权投资" w:id="186"/>
      <w:bookmarkEnd w:id="18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338" w:lineRule="auto"/>
        <w:ind w:right="1129"/>
        <w:jc w:val="left"/>
      </w:pPr>
      <w:r>
        <w:rPr/>
        <w:t>长期股权投资包括：本公司对子公司的长期股权投资；本集团对合营企业的长期股权投资。 </w:t>
      </w:r>
      <w:r>
        <w:rPr>
          <w:spacing w:val="-2"/>
        </w:rPr>
        <w:t>子公司为本公司能够对其实施控制的被投资单位。合营企业为本集团通过单独主体达成，能够与其他方实施共同控制，且基</w:t>
      </w:r>
      <w:r>
        <w:rPr>
          <w:spacing w:val="-63"/>
        </w:rPr>
        <w:t> </w:t>
      </w:r>
      <w:r>
        <w:rPr>
          <w:spacing w:val="-63"/>
        </w:rPr>
      </w:r>
      <w:r>
        <w:rPr/>
        <w:t>于法律形式、合同条款及其他事实与情况仅对其净资产享有权利的合营安排。</w:t>
      </w:r>
    </w:p>
    <w:p>
      <w:pPr>
        <w:pStyle w:val="BodyText"/>
        <w:spacing w:line="316" w:lineRule="auto" w:before="43"/>
        <w:ind w:right="1129"/>
        <w:jc w:val="left"/>
      </w:pPr>
      <w:r>
        <w:rPr>
          <w:spacing w:val="-2"/>
        </w:rPr>
        <w:t>对子公司的投资，在公司财务报表中按照成本法确定的金额列示，在编制合并财务报表时按权益法调整后进行合并；对合营</w:t>
      </w:r>
      <w:r>
        <w:rPr>
          <w:spacing w:val="-63"/>
        </w:rPr>
        <w:t> </w:t>
      </w:r>
      <w:r>
        <w:rPr>
          <w:spacing w:val="-63"/>
        </w:rPr>
      </w:r>
      <w:r>
        <w:rPr/>
        <w:t>企业投资采用权益法核算。</w:t>
      </w:r>
    </w:p>
    <w:p>
      <w:pPr>
        <w:pStyle w:val="BodyText"/>
        <w:spacing w:line="324" w:lineRule="auto" w:before="57"/>
        <w:ind w:right="1129"/>
        <w:jc w:val="left"/>
      </w:pPr>
      <w:r>
        <w:rPr/>
        <w:t>（</w:t>
      </w:r>
      <w:r>
        <w:rPr>
          <w:rFonts w:ascii="Times New Roman" w:hAnsi="Times New Roman" w:cs="Times New Roman" w:eastAsia="Times New Roman" w:hint="default"/>
        </w:rPr>
        <w:t>1</w:t>
      </w:r>
      <w:r>
        <w:rPr/>
        <w:t>）投资成本确定 </w:t>
      </w:r>
      <w:r>
        <w:rPr>
          <w:spacing w:val="-2"/>
        </w:rPr>
        <w:t>对于企业合并形成的长期股权投资：同一控制下企业合并取得的长期股权投资，在合并日按照取得被合并方所有者权益在最</w:t>
      </w:r>
      <w:r>
        <w:rPr>
          <w:spacing w:val="-64"/>
        </w:rPr>
        <w:t> </w:t>
      </w:r>
      <w:r>
        <w:rPr>
          <w:spacing w:val="-64"/>
        </w:rPr>
      </w:r>
      <w:r>
        <w:rPr>
          <w:spacing w:val="-2"/>
        </w:rPr>
        <w:t>终控制方合并财务报表中的账面价值的份额作为投资成本；非同一控制下企业合并取得的长期股权投资，按照合并成本作为</w:t>
      </w:r>
      <w:r>
        <w:rPr>
          <w:spacing w:val="-64"/>
        </w:rPr>
        <w:t> </w:t>
      </w:r>
      <w:r>
        <w:rPr>
          <w:spacing w:val="-64"/>
        </w:rPr>
      </w:r>
      <w:r>
        <w:rPr/>
        <w:t>长期股权投资的投资成本。</w:t>
      </w:r>
    </w:p>
    <w:p>
      <w:pPr>
        <w:pStyle w:val="BodyText"/>
        <w:spacing w:line="316" w:lineRule="auto" w:before="54"/>
        <w:ind w:right="1129"/>
        <w:jc w:val="left"/>
      </w:pPr>
      <w:r>
        <w:rPr>
          <w:spacing w:val="-2"/>
        </w:rPr>
        <w:t>对于以企业合并以外的其他方式取得的长期股权投资：支付现金取得的长期股权投资，按照实际支付的购买价款作为初始投</w:t>
      </w:r>
      <w:r>
        <w:rPr>
          <w:spacing w:val="-64"/>
        </w:rPr>
        <w:t> </w:t>
      </w:r>
      <w:r>
        <w:rPr>
          <w:spacing w:val="-64"/>
        </w:rPr>
      </w:r>
      <w:r>
        <w:rPr/>
        <w:t>资成本；发行权益性证券取得的长期股权投资，以发行权益性证券的公允价值作为初始投资成本</w:t>
      </w:r>
    </w:p>
    <w:p>
      <w:pPr>
        <w:pStyle w:val="BodyText"/>
        <w:spacing w:line="328" w:lineRule="auto" w:before="57"/>
        <w:ind w:right="986"/>
        <w:jc w:val="left"/>
      </w:pPr>
      <w:r>
        <w:rPr/>
        <w:t>（</w:t>
      </w:r>
      <w:r>
        <w:rPr>
          <w:rFonts w:ascii="Times New Roman" w:hAnsi="Times New Roman" w:cs="Times New Roman" w:eastAsia="Times New Roman" w:hint="default"/>
        </w:rPr>
        <w:t>2</w:t>
      </w:r>
      <w:r>
        <w:rPr/>
        <w:t>）后续计量及损益确认方法 </w:t>
      </w:r>
      <w:r>
        <w:rPr>
          <w:spacing w:val="-2"/>
        </w:rPr>
        <w:t>采用成本法核算的长期股权投资，按照初始投资成本计量，被投资单位宣告分派的现金股利或利润，确认为投资收益计入当</w:t>
      </w:r>
      <w:r>
        <w:rPr>
          <w:spacing w:val="-65"/>
        </w:rPr>
        <w:t> </w:t>
      </w:r>
      <w:r>
        <w:rPr>
          <w:spacing w:val="-65"/>
        </w:rPr>
      </w:r>
      <w:r>
        <w:rPr/>
        <w:t>期损益。</w:t>
      </w:r>
    </w:p>
    <w:p>
      <w:pPr>
        <w:pStyle w:val="BodyText"/>
        <w:spacing w:line="316" w:lineRule="auto" w:before="50"/>
        <w:ind w:right="986"/>
        <w:jc w:val="left"/>
      </w:pPr>
      <w:r>
        <w:rPr>
          <w:spacing w:val="-2"/>
        </w:rPr>
        <w:t>采用权益法核算的长期股权投资，初始投资成本大于投资时应享有被投资单位可辨认净资产公允价值份额的，以初始投资成</w:t>
      </w:r>
      <w:r>
        <w:rPr>
          <w:spacing w:val="-64"/>
        </w:rPr>
        <w:t> </w:t>
      </w:r>
      <w:r>
        <w:rPr>
          <w:spacing w:val="-64"/>
        </w:rPr>
      </w:r>
      <w:r>
        <w:rPr>
          <w:spacing w:val="-4"/>
        </w:rPr>
        <w:t>本作为长期股权投资成本；初始投资成本小于投资时应享有被投资单位可辨认净资产公允价值份额的，其差额计入当期损益，</w:t>
      </w:r>
      <w:r>
        <w:rPr>
          <w:spacing w:val="-44"/>
        </w:rPr>
        <w:t> </w:t>
      </w:r>
      <w:r>
        <w:rPr>
          <w:spacing w:val="-44"/>
        </w:rPr>
      </w:r>
      <w:r>
        <w:rPr/>
        <w:t>并相应调增长期股权投资成本。</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16" w:lineRule="auto"/>
        <w:ind w:right="1130"/>
        <w:jc w:val="both"/>
      </w:pPr>
      <w:r>
        <w:rPr>
          <w:spacing w:val="-2"/>
        </w:rPr>
        <w:t>采用权益法核算的长期股权投资，本集团按应享有或应分担的被投资单位的净损益份额确认当期投资损益。确认被投资单位</w:t>
      </w:r>
      <w:r>
        <w:rPr>
          <w:spacing w:val="-64"/>
        </w:rPr>
        <w:t> </w:t>
      </w:r>
      <w:r>
        <w:rPr>
          <w:spacing w:val="-64"/>
        </w:rPr>
      </w:r>
      <w:r>
        <w:rPr>
          <w:spacing w:val="-2"/>
        </w:rPr>
        <w:t>发生的净亏损，以长期股权投资的账面价值以及其他实质上构成对被投资单位净投资的长期权益减记至零为限，但本集团负</w:t>
      </w:r>
      <w:r>
        <w:rPr>
          <w:spacing w:val="-64"/>
        </w:rPr>
        <w:t> </w:t>
      </w:r>
      <w:r>
        <w:rPr>
          <w:spacing w:val="-64"/>
        </w:rPr>
      </w:r>
      <w:r>
        <w:rPr>
          <w:spacing w:val="-2"/>
        </w:rPr>
        <w:t>有承担额外损失义务且符合或有事项准则所规定的预计负债确认条件的，继续确认投资损失并作为预计负债核算。被投资单</w:t>
      </w:r>
      <w:r>
        <w:rPr>
          <w:spacing w:val="-64"/>
        </w:rPr>
        <w:t> </w:t>
      </w:r>
      <w:r>
        <w:rPr>
          <w:spacing w:val="-64"/>
        </w:rPr>
      </w:r>
      <w:r>
        <w:rPr>
          <w:spacing w:val="-2"/>
        </w:rPr>
        <w:t>位除净损益、其他综合收益和利润分配以外所有者权益的其他变动，调整长期股权投资的账面价值并计入资本公积。被投资</w:t>
      </w:r>
    </w:p>
    <w:p>
      <w:pPr>
        <w:spacing w:after="0" w:line="316" w:lineRule="auto"/>
        <w:jc w:val="both"/>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33"/>
        <w:jc w:val="both"/>
      </w:pPr>
      <w:r>
        <w:rPr>
          <w:spacing w:val="-2"/>
        </w:rPr>
        <w:t>单位分派的利润或现金股利于宣告分派时按照本集团应分得的部分，相应减少长期股权投资的账面价值。本集团与被投资单</w:t>
      </w:r>
      <w:r>
        <w:rPr>
          <w:spacing w:val="-64"/>
        </w:rPr>
        <w:t> </w:t>
      </w:r>
      <w:r>
        <w:rPr>
          <w:spacing w:val="-64"/>
        </w:rPr>
      </w:r>
      <w:r>
        <w:rPr>
          <w:spacing w:val="-2"/>
        </w:rPr>
        <w:t>位之间未实现的内部交易损益按照持股比例计算归属于本集团的部分，予以抵销，在此基础上确认投资损益。本集团与被投</w:t>
      </w:r>
      <w:r>
        <w:rPr>
          <w:spacing w:val="-66"/>
        </w:rPr>
        <w:t> </w:t>
      </w:r>
      <w:r>
        <w:rPr>
          <w:spacing w:val="-66"/>
        </w:rPr>
      </w:r>
      <w:r>
        <w:rPr/>
        <w:t>资单位发生的内部交易损失，其中属于资产减值损失的部分，相应的未实现损失不予抵销。</w:t>
      </w:r>
    </w:p>
    <w:p>
      <w:pPr>
        <w:pStyle w:val="BodyText"/>
        <w:spacing w:line="328" w:lineRule="auto" w:before="59"/>
        <w:ind w:right="1129"/>
        <w:jc w:val="left"/>
      </w:pPr>
      <w:r>
        <w:rPr/>
        <w:t>（</w:t>
      </w:r>
      <w:r>
        <w:rPr>
          <w:rFonts w:ascii="Times New Roman" w:hAnsi="Times New Roman" w:cs="Times New Roman" w:eastAsia="Times New Roman" w:hint="default"/>
        </w:rPr>
        <w:t>3</w:t>
      </w:r>
      <w:r>
        <w:rPr/>
        <w:t>）确定对被投资单位具有控制、共同控制的依据 </w:t>
      </w:r>
      <w:r>
        <w:rPr>
          <w:spacing w:val="-2"/>
        </w:rPr>
        <w:t>控制是指拥有对被投资单位的权力，通过参与被投资单位的相关活动而享有可变回报，并且有能力运用对被投资单位的权力</w:t>
      </w:r>
      <w:r>
        <w:rPr>
          <w:spacing w:val="-64"/>
        </w:rPr>
        <w:t> </w:t>
      </w:r>
      <w:r>
        <w:rPr>
          <w:spacing w:val="-64"/>
        </w:rPr>
      </w:r>
      <w:r>
        <w:rPr/>
        <w:t>影响其回报金额。</w:t>
      </w:r>
    </w:p>
    <w:p>
      <w:pPr>
        <w:pStyle w:val="BodyText"/>
        <w:spacing w:line="316" w:lineRule="auto" w:before="50"/>
        <w:ind w:right="1129"/>
        <w:jc w:val="left"/>
      </w:pPr>
      <w:r>
        <w:rPr>
          <w:spacing w:val="-2"/>
        </w:rPr>
        <w:t>共同控制是指按照相关约定对某项安排所共有的控制，并且该安排的相关活动必须经过本集团及分享控制权的其他参与方一</w:t>
      </w:r>
      <w:r>
        <w:rPr>
          <w:spacing w:val="-64"/>
        </w:rPr>
        <w:t> </w:t>
      </w:r>
      <w:r>
        <w:rPr>
          <w:spacing w:val="-64"/>
        </w:rPr>
      </w:r>
      <w:r>
        <w:rPr/>
        <w:t>致同意后才能决策。</w:t>
      </w:r>
    </w:p>
    <w:p>
      <w:pPr>
        <w:pStyle w:val="BodyText"/>
        <w:spacing w:line="338" w:lineRule="auto" w:before="59"/>
        <w:ind w:right="1154"/>
        <w:jc w:val="left"/>
      </w:pPr>
      <w:r>
        <w:rPr/>
        <w:t>（</w:t>
      </w:r>
      <w:r>
        <w:rPr>
          <w:rFonts w:ascii="Times New Roman" w:hAnsi="Times New Roman" w:cs="Times New Roman" w:eastAsia="Times New Roman" w:hint="default"/>
        </w:rPr>
        <w:t>4</w:t>
      </w:r>
      <w:r>
        <w:rPr/>
        <w:t>）长期股权投资减值 对子公司、合营企业、联营企业的长期股权投资，当其可收回金额低于其账面价值时，账面价值减记至可收回金额</w:t>
      </w:r>
      <w:r>
        <w:rPr>
          <w:rFonts w:ascii="Times New Roman" w:hAnsi="Times New Roman" w:cs="Times New Roman" w:eastAsia="Times New Roman" w:hint="default"/>
        </w:rPr>
        <w:t>(</w:t>
      </w:r>
      <w:r>
        <w:rPr/>
        <w:t>附注五</w:t>
      </w:r>
    </w:p>
    <w:p>
      <w:pPr>
        <w:pStyle w:val="BodyText"/>
        <w:spacing w:line="230" w:lineRule="exact"/>
        <w:ind w:right="0"/>
        <w:jc w:val="both"/>
      </w:pPr>
      <w:r>
        <w:rPr/>
        <w:t>（</w:t>
      </w:r>
      <w:r>
        <w:rPr>
          <w:rFonts w:ascii="Times New Roman" w:hAnsi="Times New Roman" w:cs="Times New Roman" w:eastAsia="Times New Roman" w:hint="default"/>
        </w:rPr>
        <w:t>22)</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pStyle w:val="Heading3"/>
        <w:spacing w:line="240" w:lineRule="auto"/>
        <w:ind w:right="0"/>
        <w:jc w:val="both"/>
        <w:rPr>
          <w:b w:val="0"/>
          <w:bCs w:val="0"/>
        </w:rPr>
      </w:pPr>
      <w:bookmarkStart w:name="15、投资性房地产" w:id="187"/>
      <w:bookmarkEnd w:id="187"/>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954"/>
        <w:jc w:val="left"/>
      </w:pPr>
      <w:r>
        <w:rPr/>
        <w:t>投资性房地产计量模式 不适用</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bookmarkStart w:name="16、固定资产" w:id="188"/>
      <w:bookmarkEnd w:id="18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确认条件" w:id="189"/>
      <w:bookmarkEnd w:id="18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jc w:val="both"/>
      </w:pPr>
      <w:r>
        <w:rPr>
          <w:spacing w:val="-2"/>
        </w:rPr>
        <w:t>固定资产主要包括运输工具、计算机及电子设备以及办公设备等。固定资产在与其有关的经济利益很可能流入本集团、且其</w:t>
      </w:r>
      <w:r>
        <w:rPr>
          <w:spacing w:val="-63"/>
        </w:rPr>
        <w:t> </w:t>
      </w:r>
      <w:r>
        <w:rPr>
          <w:spacing w:val="-63"/>
        </w:rPr>
      </w:r>
      <w:r>
        <w:rPr>
          <w:spacing w:val="-2"/>
        </w:rPr>
        <w:t>成本能够可靠计量时予以确认。购置或新建的固定资产按取得时的成本进行初始计量。与固定资产有关的后续支出，在与其</w:t>
      </w:r>
      <w:r>
        <w:rPr>
          <w:spacing w:val="-63"/>
        </w:rPr>
        <w:t> </w:t>
      </w:r>
      <w:r>
        <w:rPr>
          <w:spacing w:val="-63"/>
        </w:rPr>
      </w:r>
      <w:r>
        <w:rPr>
          <w:spacing w:val="-5"/>
        </w:rPr>
        <w:t>有关的经济利益很可能流入本集团且其成本能够可靠计量时，计入固定资产成本；对于被替换的部分，终止确认其账面价值；</w:t>
      </w:r>
      <w:r>
        <w:rPr>
          <w:spacing w:val="-76"/>
        </w:rPr>
        <w:t> </w:t>
      </w:r>
      <w:r>
        <w:rPr>
          <w:spacing w:val="-76"/>
        </w:rPr>
      </w:r>
      <w:r>
        <w:rPr/>
        <w:t>所有其他后续支出于发生时计入当期损益。</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bookmarkStart w:name="（2）折旧方法" w:id="190"/>
      <w:bookmarkEnd w:id="19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计算机及电子设备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33.33%</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33.33%</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光伏发电设备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1129"/>
        <w:jc w:val="left"/>
      </w:pPr>
      <w:r>
        <w:rPr/>
        <w:t>对固定资产的预计使用寿命、预计净残值和折旧方法于每年年度终了进行复核并作适当调整。</w:t>
      </w:r>
    </w:p>
    <w:p>
      <w:pPr>
        <w:pStyle w:val="BodyText"/>
        <w:spacing w:line="240" w:lineRule="auto" w:before="117"/>
        <w:ind w:right="1129"/>
        <w:jc w:val="left"/>
      </w:pPr>
      <w:r>
        <w:rPr/>
        <w:t>（</w:t>
      </w:r>
      <w:r>
        <w:rPr>
          <w:rFonts w:ascii="Times New Roman" w:hAnsi="Times New Roman" w:cs="Times New Roman" w:eastAsia="Times New Roman" w:hint="default"/>
        </w:rPr>
        <w:t>3</w:t>
      </w:r>
      <w:r>
        <w:rPr/>
        <w:t>）当固定资产的可收回金额低于其账面价值时，账面价值减记至可收回金额（附注五</w:t>
      </w:r>
      <w:r>
        <w:rPr>
          <w:rFonts w:ascii="Times New Roman" w:hAnsi="Times New Roman" w:cs="Times New Roman" w:eastAsia="Times New Roman" w:hint="default"/>
        </w:rPr>
        <w:t>(22)</w:t>
      </w:r>
      <w:r>
        <w:rPr/>
        <w:t>）。</w:t>
      </w:r>
    </w:p>
    <w:p>
      <w:pPr>
        <w:pStyle w:val="BodyText"/>
        <w:spacing w:line="328" w:lineRule="auto" w:before="101"/>
        <w:ind w:right="1129"/>
        <w:jc w:val="left"/>
      </w:pPr>
      <w:r>
        <w:rPr/>
        <w:t>（</w:t>
      </w:r>
      <w:r>
        <w:rPr>
          <w:rFonts w:ascii="Times New Roman" w:hAnsi="Times New Roman" w:cs="Times New Roman" w:eastAsia="Times New Roman" w:hint="default"/>
        </w:rPr>
        <w:t>4</w:t>
      </w:r>
      <w:r>
        <w:rPr/>
        <w:t>）固定资产的处置 </w:t>
      </w:r>
      <w:r>
        <w:rPr>
          <w:spacing w:val="-2"/>
        </w:rPr>
        <w:t>当固定资产被处置、或者预期通过使用或处置不能产生经济利益时，终止确认该固定资产。固定资产出售、转让、报废或毁</w:t>
      </w:r>
      <w:r>
        <w:rPr>
          <w:spacing w:val="-65"/>
        </w:rPr>
        <w:t> </w:t>
      </w:r>
      <w:r>
        <w:rPr>
          <w:spacing w:val="-65"/>
        </w:rPr>
      </w:r>
      <w:r>
        <w:rPr/>
        <w:t>损的处置收入扣除其账面价值和相关税费后的金额计入当期损益。</w:t>
      </w:r>
    </w:p>
    <w:p>
      <w:pPr>
        <w:spacing w:after="0" w:line="328"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3）融资租入固定资产的认定依据、计价和折旧方法" w:id="191"/>
      <w:bookmarkEnd w:id="19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0"/>
        <w:jc w:val="both"/>
      </w:pPr>
      <w:r>
        <w:rPr>
          <w:spacing w:val="-4"/>
        </w:rPr>
        <w:t>当本公司租入的固定资产符合下列一项或数标准时，确认为融资租入固定资产：（</w:t>
      </w:r>
      <w:r>
        <w:rPr>
          <w:rFonts w:ascii="Times New Roman" w:hAnsi="Times New Roman" w:cs="Times New Roman" w:eastAsia="Times New Roman" w:hint="default"/>
          <w:spacing w:val="-4"/>
        </w:rPr>
        <w:t>1</w:t>
      </w:r>
      <w:r>
        <w:rPr>
          <w:spacing w:val="-4"/>
        </w:rPr>
        <w:t>）在租赁期届满时，资产的所有权转移给</w:t>
      </w:r>
      <w:r>
        <w:rPr>
          <w:spacing w:val="-42"/>
        </w:rPr>
        <w:t> </w:t>
      </w:r>
      <w:r>
        <w:rPr>
          <w:spacing w:val="-42"/>
        </w:rPr>
      </w:r>
      <w:r>
        <w:rPr>
          <w:spacing w:val="-3"/>
        </w:rPr>
        <w:t>本公司。（</w:t>
      </w:r>
      <w:r>
        <w:rPr>
          <w:rFonts w:ascii="Times New Roman" w:hAnsi="Times New Roman" w:cs="Times New Roman" w:eastAsia="Times New Roman" w:hint="default"/>
          <w:spacing w:val="-3"/>
        </w:rPr>
        <w:t>2</w:t>
      </w:r>
      <w:r>
        <w:rPr>
          <w:spacing w:val="-3"/>
        </w:rPr>
        <w:t>）本公司有购买租赁资产的选择权，所订立价款预计将远低于行使时允值因而在开</w:t>
      </w:r>
      <w:r>
        <w:rPr>
          <w:spacing w:val="30"/>
        </w:rPr>
        <w:t> </w:t>
      </w:r>
      <w:r>
        <w:rPr/>
        <w:t>始日就可以合理确定本公司</w:t>
      </w:r>
      <w:r>
        <w:rPr>
          <w:spacing w:val="-85"/>
        </w:rPr>
        <w:t> </w:t>
      </w:r>
      <w:r>
        <w:rPr>
          <w:spacing w:val="-85"/>
        </w:rPr>
      </w:r>
      <w:r>
        <w:rPr>
          <w:spacing w:val="-5"/>
        </w:rPr>
        <w:t>将会行使这种选择权。（</w:t>
      </w:r>
      <w:r>
        <w:rPr>
          <w:rFonts w:ascii="Times New Roman" w:hAnsi="Times New Roman" w:cs="Times New Roman" w:eastAsia="Times New Roman" w:hint="default"/>
          <w:spacing w:val="-5"/>
        </w:rPr>
        <w:t>3</w:t>
      </w:r>
      <w:r>
        <w:rPr>
          <w:spacing w:val="-5"/>
        </w:rPr>
        <w:t>）即使资产的所有权不转移，但租赁期占用寿命大部分。（</w:t>
      </w:r>
      <w:r>
        <w:rPr>
          <w:rFonts w:ascii="Times New Roman" w:hAnsi="Times New Roman" w:cs="Times New Roman" w:eastAsia="Times New Roman" w:hint="default"/>
          <w:spacing w:val="-5"/>
        </w:rPr>
        <w:t>4</w:t>
      </w:r>
      <w:r>
        <w:rPr>
          <w:spacing w:val="-5"/>
        </w:rPr>
        <w:t>）本公司在租赁开始日的最低付款额现</w:t>
      </w:r>
      <w:r>
        <w:rPr>
          <w:spacing w:val="-75"/>
        </w:rPr>
        <w:t> </w:t>
      </w:r>
      <w:r>
        <w:rPr>
          <w:spacing w:val="-75"/>
        </w:rPr>
      </w:r>
      <w:r>
        <w:rPr/>
        <w:t>值，</w:t>
      </w:r>
      <w:r>
        <w:rPr>
          <w:spacing w:val="11"/>
        </w:rPr>
        <w:t> </w:t>
      </w:r>
      <w:r>
        <w:rPr>
          <w:spacing w:val="-2"/>
        </w:rPr>
        <w:t>几乎相当于租赁开始日资产公允价值。（</w:t>
      </w:r>
      <w:r>
        <w:rPr>
          <w:rFonts w:ascii="Times New Roman" w:hAnsi="Times New Roman" w:cs="Times New Roman" w:eastAsia="Times New Roman" w:hint="default"/>
          <w:spacing w:val="-2"/>
        </w:rPr>
        <w:t>5</w:t>
      </w:r>
      <w:r>
        <w:rPr>
          <w:spacing w:val="-2"/>
        </w:rPr>
        <w:t>）租赁资产性质特殊，如果不作较大改造只有本公司才能使用。融资租赁租</w:t>
      </w:r>
      <w:r>
        <w:rPr>
          <w:spacing w:val="-88"/>
        </w:rPr>
        <w:t> </w:t>
      </w:r>
      <w:r>
        <w:rPr>
          <w:spacing w:val="-2"/>
        </w:rPr>
        <w:t>入的固定资产，按开始日公允价值与最低付款额现值两者中较低者作为入账价值。最低租赁付款额作为长期应付款的入账价</w:t>
      </w:r>
      <w:r>
        <w:rPr>
          <w:spacing w:val="-64"/>
        </w:rPr>
        <w:t> </w:t>
      </w:r>
      <w:r>
        <w:rPr>
          <w:spacing w:val="-64"/>
        </w:rPr>
      </w:r>
      <w:r>
        <w:rPr>
          <w:spacing w:val="-2"/>
        </w:rPr>
        <w:t>值，其差额作为未确认融资费用。在租赁谈判和签订合同过程中发生的，可归属于租赁项目的手续费、律师费、差旅费、印</w:t>
      </w:r>
      <w:r>
        <w:rPr>
          <w:spacing w:val="-70"/>
        </w:rPr>
        <w:t> </w:t>
      </w:r>
      <w:r>
        <w:rPr>
          <w:spacing w:val="-70"/>
        </w:rPr>
      </w:r>
      <w:r>
        <w:rPr/>
        <w:t>花税等初始直接费用</w:t>
      </w:r>
      <w:r>
        <w:rPr>
          <w:spacing w:val="1"/>
        </w:rPr>
        <w:t> </w:t>
      </w:r>
      <w:r>
        <w:rPr/>
        <w:t>，计入租入资产价值。未确认融资费用在租赁期内各个期间采用实际利率法进行分摊。本公司采用与</w:t>
      </w:r>
      <w:r>
        <w:rPr/>
        <w:t> </w:t>
      </w:r>
      <w:r>
        <w:rPr>
          <w:spacing w:val="-2"/>
        </w:rPr>
        <w:t>自有固定资产相一致的折旧政策计提融资租入固定资产折旧。能够合理确定租赁期届满时取得资产所有权的，在租赁资产使</w:t>
      </w:r>
      <w:r>
        <w:rPr>
          <w:spacing w:val="-64"/>
        </w:rPr>
        <w:t> </w:t>
      </w:r>
      <w:r>
        <w:rPr>
          <w:spacing w:val="-64"/>
        </w:rPr>
      </w:r>
      <w:r>
        <w:rPr>
          <w:spacing w:val="-2"/>
        </w:rPr>
        <w:t>用寿命内计提折旧。无法合理确定租赁期届满时能够取得租赁资产所有权的，在租赁期与租赁资产使用寿命两者中较短的期</w:t>
      </w:r>
      <w:r>
        <w:rPr>
          <w:spacing w:val="-64"/>
        </w:rPr>
        <w:t> </w:t>
      </w:r>
      <w:r>
        <w:rPr>
          <w:spacing w:val="-64"/>
        </w:rPr>
      </w:r>
      <w:r>
        <w:rPr/>
        <w:t>间内计提折旧。</w:t>
      </w:r>
    </w:p>
    <w:p>
      <w:pPr>
        <w:spacing w:line="240" w:lineRule="auto" w:before="1"/>
        <w:rPr>
          <w:rFonts w:ascii="宋体" w:hAnsi="宋体" w:cs="宋体" w:eastAsia="宋体" w:hint="default"/>
          <w:sz w:val="23"/>
          <w:szCs w:val="23"/>
        </w:rPr>
      </w:pPr>
    </w:p>
    <w:p>
      <w:pPr>
        <w:pStyle w:val="Heading3"/>
        <w:spacing w:line="240" w:lineRule="auto"/>
        <w:ind w:right="1129"/>
        <w:jc w:val="left"/>
        <w:rPr>
          <w:b w:val="0"/>
          <w:bCs w:val="0"/>
        </w:rPr>
      </w:pPr>
      <w:bookmarkStart w:name="17、在建工程" w:id="192"/>
      <w:bookmarkEnd w:id="19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338" w:lineRule="auto" w:before="25"/>
        <w:ind w:right="1129"/>
        <w:jc w:val="left"/>
      </w:pPr>
      <w:r>
        <w:rPr/>
        <w:t>软件与信息技术服务业 </w:t>
      </w:r>
      <w:r>
        <w:rPr>
          <w:spacing w:val="-2"/>
        </w:rPr>
        <w:t>在建工程按实际发生的成本计量。实际成本包括建筑成本、安装成本、符合资本化条件的借款费用以及其他为使在建工程达</w:t>
      </w:r>
      <w:r>
        <w:rPr>
          <w:spacing w:val="-65"/>
        </w:rPr>
        <w:t> </w:t>
      </w:r>
      <w:r>
        <w:rPr>
          <w:spacing w:val="-65"/>
        </w:rPr>
      </w:r>
      <w:r>
        <w:rPr>
          <w:spacing w:val="-2"/>
        </w:rPr>
        <w:t>到预定可使用状态所发生的必要支出。在建工程在达到预定可使用状态时，根据工程预算、造价或者工程实际成本等，按估</w:t>
      </w:r>
    </w:p>
    <w:p>
      <w:pPr>
        <w:pStyle w:val="BodyText"/>
        <w:spacing w:line="240" w:lineRule="auto" w:before="2"/>
        <w:ind w:right="986"/>
        <w:jc w:val="left"/>
      </w:pPr>
      <w:r>
        <w:rPr/>
        <w:t>计的价值转入固定资产并自次月起开始计提折旧。当在建工程的可收回金额低于其账面价值时，账面价值减记至可收回金额</w:t>
      </w:r>
    </w:p>
    <w:p>
      <w:pPr>
        <w:spacing w:line="547" w:lineRule="auto" w:before="76"/>
        <w:ind w:left="152" w:right="9374" w:firstLine="0"/>
        <w:jc w:val="left"/>
        <w:rPr>
          <w:rFonts w:ascii="宋体" w:hAnsi="宋体" w:cs="宋体" w:eastAsia="宋体" w:hint="default"/>
          <w:sz w:val="18"/>
          <w:szCs w:val="18"/>
        </w:rPr>
      </w:pPr>
      <w:r>
        <w:rPr>
          <w:rFonts w:ascii="宋体" w:hAnsi="宋体" w:cs="宋体" w:eastAsia="宋体" w:hint="default"/>
          <w:sz w:val="18"/>
          <w:szCs w:val="18"/>
        </w:rPr>
        <w:t>（附注五</w:t>
      </w:r>
      <w:r>
        <w:rPr>
          <w:rFonts w:ascii="Times New Roman" w:hAnsi="Times New Roman" w:cs="Times New Roman" w:eastAsia="Times New Roman" w:hint="default"/>
          <w:sz w:val="18"/>
          <w:szCs w:val="18"/>
        </w:rPr>
        <w:t>(22)</w:t>
      </w:r>
      <w:r>
        <w:rPr>
          <w:rFonts w:ascii="宋体" w:hAnsi="宋体" w:cs="宋体" w:eastAsia="宋体" w:hint="default"/>
          <w:sz w:val="18"/>
          <w:szCs w:val="18"/>
        </w:rPr>
        <w:t>）。 </w:t>
      </w:r>
      <w:bookmarkStart w:name="18、借款费用" w:id="193"/>
      <w:bookmarkEnd w:id="193"/>
      <w:r>
        <w:rPr>
          <w:rFonts w:ascii="宋体" w:hAnsi="宋体" w:cs="宋体" w:eastAsia="宋体" w:hint="default"/>
          <w:sz w:val="18"/>
          <w:szCs w:val="18"/>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、借款费用</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3"/>
        <w:spacing w:line="240" w:lineRule="auto" w:before="125"/>
        <w:ind w:right="1129"/>
        <w:jc w:val="left"/>
        <w:rPr>
          <w:b w:val="0"/>
          <w:bCs w:val="0"/>
        </w:rPr>
      </w:pPr>
      <w:bookmarkStart w:name="19、生物资产" w:id="194"/>
      <w:bookmarkEnd w:id="194"/>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9"/>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20、油气资产" w:id="195"/>
      <w:bookmarkEnd w:id="195"/>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21、无形资产" w:id="196"/>
      <w:bookmarkEnd w:id="196"/>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9"/>
        <w:jc w:val="left"/>
        <w:rPr>
          <w:b w:val="0"/>
          <w:bCs w:val="0"/>
        </w:rPr>
      </w:pPr>
      <w:bookmarkStart w:name="（1）计价方法、使用寿命、减值测试" w:id="197"/>
      <w:bookmarkEnd w:id="19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360" w:lineRule="auto" w:before="29"/>
        <w:ind w:right="1034"/>
        <w:jc w:val="left"/>
      </w:pPr>
      <w:r>
        <w:rPr/>
        <w:t>软件与信息技术服务业 无形资产主要包括客户关系及软件等。软件以成本计量，客户关系以收购第三方业务时所识别的客户关系之公允价值确认。</w:t>
      </w:r>
    </w:p>
    <w:p>
      <w:pPr>
        <w:spacing w:after="0" w:line="36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29"/>
        <w:jc w:val="left"/>
      </w:pPr>
      <w:r>
        <w:rPr>
          <w:spacing w:val="-2"/>
        </w:rPr>
        <w:t>对于使用寿命有限的无形资产，本集团将无形资产的成本扣除累计摊销及减值后按直线法在预计使用寿命内摊销，除非该无</w:t>
      </w:r>
      <w:r>
        <w:rPr>
          <w:spacing w:val="-64"/>
        </w:rPr>
        <w:t> </w:t>
      </w:r>
      <w:r>
        <w:rPr>
          <w:spacing w:val="-64"/>
        </w:rPr>
      </w:r>
      <w:r>
        <w:rPr/>
        <w:t>形资产符合持有待售的条件。</w:t>
      </w:r>
    </w:p>
    <w:p>
      <w:pPr>
        <w:spacing w:line="240" w:lineRule="auto" w:before="12"/>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462"/>
        <w:gridCol w:w="2465"/>
        <w:gridCol w:w="2462"/>
        <w:gridCol w:w="2465"/>
      </w:tblGrid>
      <w:tr>
        <w:trPr>
          <w:trHeight w:val="427" w:hRule="exact"/>
        </w:trPr>
        <w:tc>
          <w:tcPr>
            <w:tcW w:w="2462" w:type="dxa"/>
            <w:tcBorders>
              <w:top w:val="single" w:sz="6" w:space="0" w:color="000000"/>
              <w:left w:val="single" w:sz="6" w:space="0" w:color="000000"/>
              <w:bottom w:val="single" w:sz="6" w:space="0" w:color="000000"/>
              <w:right w:val="single" w:sz="6" w:space="0" w:color="000000"/>
            </w:tcBorders>
          </w:tcPr>
          <w:p>
            <w:pP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7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83" w:right="0"/>
              <w:jc w:val="left"/>
              <w:rPr>
                <w:rFonts w:ascii="宋体" w:hAnsi="宋体" w:cs="宋体" w:eastAsia="宋体" w:hint="default"/>
                <w:sz w:val="18"/>
                <w:szCs w:val="18"/>
              </w:rPr>
            </w:pPr>
            <w:r>
              <w:rPr>
                <w:rFonts w:ascii="宋体" w:hAnsi="宋体" w:cs="宋体" w:eastAsia="宋体" w:hint="default"/>
                <w:sz w:val="18"/>
                <w:szCs w:val="18"/>
              </w:rPr>
              <w:t>预计净残值率</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年摊销率</w:t>
            </w:r>
          </w:p>
        </w:tc>
      </w:tr>
      <w:tr>
        <w:trPr>
          <w:trHeight w:val="425" w:hRule="exact"/>
        </w:trPr>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564"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6"/>
              <w:jc w:val="righ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年</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0%</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12.50%</w:t>
            </w:r>
          </w:p>
        </w:tc>
      </w:tr>
      <w:tr>
        <w:trPr>
          <w:trHeight w:val="430" w:hRule="exact"/>
        </w:trPr>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hAnsi="宋体" w:cs="宋体" w:eastAsia="宋体" w:hint="default"/>
                <w:sz w:val="18"/>
                <w:szCs w:val="18"/>
              </w:rPr>
              <w:t>软件</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0%</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z w:val="18"/>
              </w:rPr>
              <w:t>20.00%</w:t>
            </w:r>
          </w:p>
        </w:tc>
      </w:tr>
    </w:tbl>
    <w:p>
      <w:pPr>
        <w:pStyle w:val="BodyText"/>
        <w:spacing w:line="717" w:lineRule="auto" w:before="49"/>
        <w:ind w:right="3194"/>
        <w:jc w:val="left"/>
      </w:pPr>
      <w:r>
        <w:rPr/>
        <w:t>对使用寿命有限的无形资产的预计使用寿命及摊销方法于每年年度终了进行复核并作适当调整。 当无形资产的可收回金额低于其账面价值时，账面价值减记至可收回金额（附注五</w:t>
      </w:r>
      <w:r>
        <w:rPr>
          <w:rFonts w:ascii="Times New Roman" w:hAnsi="Times New Roman" w:cs="Times New Roman" w:eastAsia="Times New Roman" w:hint="default"/>
        </w:rPr>
        <w:t>(22)</w:t>
      </w:r>
      <w:r>
        <w:rPr/>
        <w:t>）。</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2）内部研究开发支出会计政策" w:id="198"/>
      <w:bookmarkEnd w:id="19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jc w:val="left"/>
      </w:pPr>
      <w:r>
        <w:rPr>
          <w:spacing w:val="-2"/>
        </w:rPr>
        <w:t>内部研究开发项目支出根据其性质以及研发活动最终形成无形资产是否具有较大不确定性，被分为研究阶段支出和开发阶段</w:t>
      </w:r>
      <w:r>
        <w:rPr>
          <w:spacing w:val="-64"/>
        </w:rPr>
        <w:t> </w:t>
      </w:r>
      <w:r>
        <w:rPr>
          <w:spacing w:val="-64"/>
        </w:rPr>
      </w:r>
      <w:r>
        <w:rPr/>
        <w:t>支出。</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left="572" w:right="1129"/>
        <w:jc w:val="left"/>
      </w:pPr>
      <w:r>
        <w:rPr/>
        <w:t>研究阶段的支出，于发生时计入当期损益；开发阶段的支出，同时满足下列条件的，予以资本化：</w:t>
      </w:r>
    </w:p>
    <w:p>
      <w:pPr>
        <w:pStyle w:val="BodyText"/>
        <w:spacing w:line="240" w:lineRule="auto" w:before="117"/>
        <w:ind w:right="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42"/>
        </w:rPr>
        <w:t> </w:t>
      </w:r>
      <w:r>
        <w:rPr/>
        <w:t>完成该无形资产以使其能够使用或出售在技术上具有可行性；</w:t>
      </w:r>
    </w:p>
    <w:p>
      <w:pPr>
        <w:pStyle w:val="BodyText"/>
        <w:spacing w:line="240" w:lineRule="auto" w:before="103"/>
        <w:ind w:right="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42"/>
        </w:rPr>
        <w:t> </w:t>
      </w:r>
      <w:r>
        <w:rPr/>
        <w:t>管理层具有完成该无形资产并使用或出售的意图；</w:t>
      </w:r>
    </w:p>
    <w:p>
      <w:pPr>
        <w:pStyle w:val="BodyText"/>
        <w:spacing w:line="240" w:lineRule="auto" w:before="101"/>
        <w:ind w:left="153" w:right="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42"/>
        </w:rPr>
        <w:t> </w:t>
      </w:r>
      <w:r>
        <w:rPr/>
        <w:t>能够证明该无形资产将如何产生经济利益；</w:t>
      </w:r>
    </w:p>
    <w:p>
      <w:pPr>
        <w:pStyle w:val="BodyText"/>
        <w:spacing w:line="240" w:lineRule="auto" w:before="103"/>
        <w:ind w:left="153" w:right="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42"/>
        </w:rPr>
        <w:t> </w:t>
      </w:r>
      <w:r>
        <w:rPr/>
        <w:t>有足够的技术、财务资源和其他资源支持，以完成该无形资产的开发，并有能力使用或出售该无形资产；以及</w:t>
      </w:r>
    </w:p>
    <w:p>
      <w:pPr>
        <w:pStyle w:val="BodyText"/>
        <w:tabs>
          <w:tab w:pos="573" w:val="left" w:leader="none"/>
        </w:tabs>
        <w:spacing w:line="324" w:lineRule="auto" w:before="103"/>
        <w:ind w:left="153" w:right="1045" w:hanging="1"/>
        <w:jc w:val="left"/>
      </w:pPr>
      <w:r>
        <w:rPr>
          <w:rFonts w:ascii="Times New Roman" w:hAnsi="Times New Roman" w:cs="Times New Roman" w:eastAsia="Times New Roman" w:hint="default"/>
        </w:rPr>
        <w:t>•</w:t>
        <w:tab/>
      </w:r>
      <w:r>
        <w:rPr/>
        <w:t>归属于该无形资产开发阶段的支出能够可靠地计量。 </w:t>
      </w:r>
      <w:r>
        <w:rPr>
          <w:spacing w:val="-4"/>
        </w:rPr>
        <w:t>不满足上述条件的开发阶段的支出，于发生时计入当期损益。以前期间已计入损益的开发支出不在以后期间重新确认为资产。</w:t>
      </w:r>
      <w:r>
        <w:rPr>
          <w:spacing w:val="-45"/>
        </w:rPr>
        <w:t> </w:t>
      </w:r>
      <w:r>
        <w:rPr>
          <w:spacing w:val="-45"/>
        </w:rPr>
      </w:r>
      <w:r>
        <w:rPr>
          <w:spacing w:val="-2"/>
        </w:rPr>
        <w:t>已资本化的开发阶段的支出在资产负债表上列示为开发支出，自该项目达到预定用途之日起转为无形资产并按照前述软件的</w:t>
      </w:r>
      <w:r>
        <w:rPr>
          <w:spacing w:val="-65"/>
        </w:rPr>
        <w:t> </w:t>
      </w:r>
      <w:r>
        <w:rPr>
          <w:spacing w:val="-65"/>
        </w:rPr>
      </w:r>
      <w:r>
        <w:rPr/>
        <w:t>预计使用寿命进行摊销。</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bookmarkStart w:name="22、长期资产减值" w:id="199"/>
      <w:bookmarkEnd w:id="199"/>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jc w:val="both"/>
      </w:pPr>
      <w:r>
        <w:rPr>
          <w:spacing w:val="-5"/>
        </w:rPr>
        <w:t>固定资产、在建工程、使用寿命有限的无形资产及对子公司、合营企业的长期股权投资等，于资产负债表日存在减值迹象的，</w:t>
      </w:r>
      <w:r>
        <w:rPr>
          <w:spacing w:val="-78"/>
        </w:rPr>
        <w:t> </w:t>
      </w:r>
      <w:r>
        <w:rPr>
          <w:spacing w:val="-78"/>
        </w:rPr>
      </w:r>
      <w:r>
        <w:rPr>
          <w:spacing w:val="-2"/>
        </w:rPr>
        <w:t>进行减值测试；尚未达到可使用状态的无形资产，无论是否存在减值迹象，至少每年进行减值测试。减值测试结果表明资产</w:t>
      </w:r>
      <w:r>
        <w:rPr>
          <w:spacing w:val="-65"/>
        </w:rPr>
        <w:t> </w:t>
      </w:r>
      <w:r>
        <w:rPr>
          <w:spacing w:val="-65"/>
        </w:rPr>
      </w:r>
      <w:r>
        <w:rPr>
          <w:spacing w:val="-2"/>
        </w:rPr>
        <w:t>的可收回金额低于其账面价值的，按其差额计提减值准备并计入减值损失。可收回金额为资产的公允价值减去处置费用后的</w:t>
      </w:r>
      <w:r>
        <w:rPr>
          <w:spacing w:val="-64"/>
        </w:rPr>
        <w:t> </w:t>
      </w:r>
      <w:r>
        <w:rPr>
          <w:spacing w:val="-64"/>
        </w:rPr>
      </w:r>
      <w:r>
        <w:rPr>
          <w:spacing w:val="-2"/>
        </w:rPr>
        <w:t>净额与资产预计未来现金流量的现值两者之间的较高者。资产减值准备按单项资产为基础计算并确认，如果难以对单项资产</w:t>
      </w:r>
      <w:r>
        <w:rPr>
          <w:spacing w:val="-64"/>
        </w:rPr>
        <w:t> </w:t>
      </w:r>
      <w:r>
        <w:rPr>
          <w:spacing w:val="-64"/>
        </w:rPr>
      </w:r>
      <w:r>
        <w:rPr>
          <w:spacing w:val="-2"/>
        </w:rPr>
        <w:t>的可收回金额进行估计的，以该资产所属的资产组确定资产组的可收回金额。资产组是能够独立产生现金流入的最小资产组</w:t>
      </w:r>
      <w:r>
        <w:rPr>
          <w:spacing w:val="-64"/>
        </w:rPr>
        <w:t> </w:t>
      </w:r>
      <w:r>
        <w:rPr>
          <w:spacing w:val="-64"/>
        </w:rPr>
      </w:r>
      <w:r>
        <w:rPr/>
        <w:t>合。</w:t>
      </w:r>
    </w:p>
    <w:p>
      <w:pPr>
        <w:pStyle w:val="BodyText"/>
        <w:spacing w:line="316" w:lineRule="auto" w:before="57"/>
        <w:ind w:right="1130"/>
        <w:jc w:val="both"/>
      </w:pPr>
      <w:r>
        <w:rPr>
          <w:spacing w:val="-2"/>
        </w:rPr>
        <w:t>在财务报表中单独列示的商誉，无论是否存在减值迹象，至少每年进行减值测试。减值测试时，商誉的账面价值分摊至预期</w:t>
      </w:r>
      <w:r>
        <w:rPr>
          <w:spacing w:val="-64"/>
        </w:rPr>
        <w:t> </w:t>
      </w:r>
      <w:r>
        <w:rPr>
          <w:spacing w:val="-64"/>
        </w:rPr>
      </w:r>
      <w:r>
        <w:rPr>
          <w:spacing w:val="-2"/>
        </w:rPr>
        <w:t>从企业合并的协同效应中受益的资产组或资产组组合。测试结果表明包含分摊的商誉的资产组或资产组组合的可收回金额低</w:t>
      </w:r>
      <w:r>
        <w:rPr>
          <w:spacing w:val="-64"/>
        </w:rPr>
        <w:t> </w:t>
      </w:r>
      <w:r>
        <w:rPr>
          <w:spacing w:val="-64"/>
        </w:rPr>
      </w:r>
      <w:r>
        <w:rPr>
          <w:spacing w:val="-2"/>
        </w:rPr>
        <w:t>于其账面价值的，确认相应的减值损失。减值损失金额先抵减分摊至该资产组或资产组组合的商誉的账面价值，再根据资产</w:t>
      </w:r>
      <w:r>
        <w:rPr>
          <w:spacing w:val="-63"/>
        </w:rPr>
        <w:t> </w:t>
      </w:r>
      <w:r>
        <w:rPr>
          <w:spacing w:val="-63"/>
        </w:rPr>
      </w:r>
      <w:r>
        <w:rPr/>
        <w:t>组或资产组组合中除商誉以外的其他各项资产的账面价值所占比重，按比例抵减其他各项资产的账面价值。</w:t>
      </w:r>
    </w:p>
    <w:p>
      <w:pPr>
        <w:pStyle w:val="BodyText"/>
        <w:spacing w:line="240" w:lineRule="auto" w:before="59"/>
        <w:ind w:right="0"/>
        <w:jc w:val="both"/>
      </w:pPr>
      <w:r>
        <w:rPr/>
        <w:t>上述资产减值损失一经确认，以后期间不予转回价值得以恢复的部分。</w:t>
      </w:r>
    </w:p>
    <w:p>
      <w:pPr>
        <w:spacing w:after="0" w:line="240" w:lineRule="auto"/>
        <w:jc w:val="both"/>
        <w:sectPr>
          <w:footerReference w:type="default" r:id="rId19"/>
          <w:pgSz w:w="11910" w:h="16840"/>
          <w:pgMar w:footer="982" w:header="745" w:top="1060" w:bottom="1180" w:left="980" w:right="0"/>
          <w:pgNumType w:start="11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bookmarkStart w:name="23、长期待摊费用" w:id="200"/>
      <w:bookmarkEnd w:id="200"/>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46"/>
        <w:jc w:val="both"/>
      </w:pPr>
      <w:r>
        <w:rPr/>
        <w:t>长期待摊费用包括经营租入固定资产改良及其他已经发生但应由本期和以后各期负担的、分摊期限在一年以上的各项费用，</w:t>
      </w:r>
      <w:r>
        <w:rPr>
          <w:spacing w:val="-86"/>
        </w:rPr>
        <w:t> </w:t>
      </w:r>
      <w:r>
        <w:rPr>
          <w:spacing w:val="-86"/>
        </w:rPr>
      </w:r>
      <w:r>
        <w:rPr/>
        <w:t>按预计受益期间分期平均摊销，并以实际支出减去累计摊销后的净额列示。</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24、职工薪酬" w:id="201"/>
      <w:bookmarkEnd w:id="201"/>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短期薪酬的会计处理方法" w:id="202"/>
      <w:bookmarkEnd w:id="202"/>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jc w:val="both"/>
      </w:pPr>
      <w:r>
        <w:rPr>
          <w:spacing w:val="-2"/>
        </w:rPr>
        <w:t>短期薪酬包括工资、奖金、津贴和补贴、职工福利费、医疗保险费、工伤保险费、生育保险费、住房公积金、工会和教育经</w:t>
      </w:r>
      <w:r>
        <w:rPr>
          <w:spacing w:val="-65"/>
        </w:rPr>
        <w:t> </w:t>
      </w:r>
      <w:r>
        <w:rPr>
          <w:spacing w:val="-65"/>
        </w:rPr>
      </w:r>
      <w:r>
        <w:rPr>
          <w:spacing w:val="-2"/>
        </w:rPr>
        <w:t>费、短期带薪缺勤等。本集团在职工提供服务的会计期间，将实际发生的短期薪酬确认为负债，并计入当期损益或相关资产</w:t>
      </w:r>
      <w:r>
        <w:rPr>
          <w:spacing w:val="-64"/>
        </w:rPr>
        <w:t> </w:t>
      </w:r>
      <w:r>
        <w:rPr>
          <w:spacing w:val="-64"/>
        </w:rPr>
      </w:r>
      <w:r>
        <w:rPr/>
        <w:t>成本。其中，非货币性福利按照公允价值计量。</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2）离职后福利的会计处理方法" w:id="203"/>
      <w:bookmarkEnd w:id="203"/>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jc w:val="both"/>
      </w:pPr>
      <w:r>
        <w:rPr>
          <w:spacing w:val="-2"/>
        </w:rPr>
        <w:t>离职后福利计划分类为设定提存计划和设定受益计划。设定提存计划是本集团向独立的基金缴存固定费用后，不再承担进一</w:t>
      </w:r>
      <w:r>
        <w:rPr>
          <w:spacing w:val="-64"/>
        </w:rPr>
        <w:t> </w:t>
      </w:r>
      <w:r>
        <w:rPr>
          <w:spacing w:val="-64"/>
        </w:rPr>
      </w:r>
      <w:r>
        <w:rPr>
          <w:spacing w:val="-2"/>
        </w:rPr>
        <w:t>步支付义务的离职后福利计划；设定受益计划是除设定提存计划以外的离职后福利计划。于报告期内，本集团的离职后福利</w:t>
      </w:r>
      <w:r>
        <w:rPr>
          <w:spacing w:val="-63"/>
        </w:rPr>
        <w:t> </w:t>
      </w:r>
      <w:r>
        <w:rPr>
          <w:spacing w:val="-63"/>
        </w:rPr>
      </w:r>
      <w:r>
        <w:rPr/>
        <w:t>主要是为员工缴纳的基本养老保险和失业保险，均属于设定提存计划。</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0"/>
        <w:jc w:val="both"/>
      </w:pPr>
      <w:r>
        <w:rPr/>
        <w:t>基本养老保险</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316" w:lineRule="auto"/>
        <w:ind w:right="1130"/>
        <w:jc w:val="both"/>
      </w:pPr>
      <w:r>
        <w:rPr>
          <w:spacing w:val="-2"/>
        </w:rPr>
        <w:t>本集团职工参加了由当地劳动和社会保障部门组织实施的社会基本养老保险。本集团以当地规定的社会基本养老保险缴纳基</w:t>
      </w:r>
      <w:r>
        <w:rPr>
          <w:spacing w:val="-64"/>
        </w:rPr>
        <w:t> </w:t>
      </w:r>
      <w:r>
        <w:rPr>
          <w:spacing w:val="-64"/>
        </w:rPr>
      </w:r>
      <w:r>
        <w:rPr>
          <w:spacing w:val="-2"/>
        </w:rPr>
        <w:t>数和比例，按月向当地社会基本养老保险经办机构缴纳养老保险费。职工退休后，当地劳动及社会保障部门有责任向已退休</w:t>
      </w:r>
      <w:r>
        <w:rPr>
          <w:spacing w:val="-66"/>
        </w:rPr>
        <w:t> </w:t>
      </w:r>
      <w:r>
        <w:rPr>
          <w:spacing w:val="-66"/>
        </w:rPr>
      </w:r>
      <w:r>
        <w:rPr>
          <w:spacing w:val="-2"/>
        </w:rPr>
        <w:t>员工支付社会基本养老金。本集团在职工提供服务的会计期间，将根据上述社保规定计算应缴纳的金额确认为负债，并计入</w:t>
      </w:r>
      <w:r>
        <w:rPr>
          <w:spacing w:val="-63"/>
        </w:rPr>
        <w:t> </w:t>
      </w:r>
      <w:r>
        <w:rPr>
          <w:spacing w:val="-63"/>
        </w:rPr>
      </w:r>
      <w:r>
        <w:rPr/>
        <w:t>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0"/>
        <w:jc w:val="both"/>
        <w:rPr>
          <w:b w:val="0"/>
          <w:bCs w:val="0"/>
        </w:rPr>
      </w:pPr>
      <w:bookmarkStart w:name="（3）辞退福利的会计处理方法" w:id="204"/>
      <w:bookmarkEnd w:id="204"/>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jc w:val="both"/>
      </w:pPr>
      <w:r>
        <w:rPr>
          <w:spacing w:val="-2"/>
        </w:rPr>
        <w:t>本集团在职工劳动合同到期之前解除与职工的劳动关系、或者为鼓励职工自愿接受裁减而提出给予补偿，在本集团不能单方</w:t>
      </w:r>
      <w:r>
        <w:rPr>
          <w:spacing w:val="-64"/>
        </w:rPr>
        <w:t> </w:t>
      </w:r>
      <w:r>
        <w:rPr>
          <w:spacing w:val="-64"/>
        </w:rPr>
      </w:r>
      <w:r>
        <w:rPr>
          <w:spacing w:val="-2"/>
        </w:rPr>
        <w:t>面撤回解除劳动关系计划或裁减建议时和确认与涉及支付辞退福利的重组相关的成本费用时两者孰早日，确认因解除与职工</w:t>
      </w:r>
      <w:r>
        <w:rPr>
          <w:spacing w:val="-64"/>
        </w:rPr>
        <w:t> </w:t>
      </w:r>
      <w:r>
        <w:rPr>
          <w:spacing w:val="-64"/>
        </w:rPr>
      </w:r>
      <w:r>
        <w:rPr/>
        <w:t>的劳动关系给予补偿而产生的负债，同时计入当期损益。</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0"/>
        <w:jc w:val="both"/>
      </w:pPr>
      <w:r>
        <w:rPr/>
        <w:t>预期在资产负债表日起一年内需支付的辞退福利，列示为流动负债。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Heading3"/>
        <w:spacing w:line="240" w:lineRule="auto"/>
        <w:ind w:right="0"/>
        <w:jc w:val="both"/>
        <w:rPr>
          <w:b w:val="0"/>
          <w:bCs w:val="0"/>
        </w:rPr>
      </w:pPr>
      <w:bookmarkStart w:name="（4）其他长期职工福利的会计处理方法" w:id="205"/>
      <w:bookmarkEnd w:id="205"/>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25、预计负债" w:id="206"/>
      <w:bookmarkEnd w:id="206"/>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因亏损合同等形成的现时义务，当履行该义务很可能导致经济利益的流出，且其金额能够可靠计量时，确认为预计负债。</w:t>
      </w:r>
    </w:p>
    <w:p>
      <w:pPr>
        <w:spacing w:after="0" w:line="240" w:lineRule="auto"/>
        <w:jc w:val="both"/>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30"/>
        <w:jc w:val="both"/>
      </w:pPr>
      <w:r>
        <w:rPr>
          <w:spacing w:val="-2"/>
        </w:rPr>
        <w:t>预计负债按照履行相关现时义务所需支出的最佳估计数进行初始计量，并综合考虑与或有事项有关的风险、不确定性和货币</w:t>
      </w:r>
      <w:r>
        <w:rPr>
          <w:spacing w:val="-64"/>
        </w:rPr>
        <w:t> </w:t>
      </w:r>
      <w:r>
        <w:rPr>
          <w:spacing w:val="-64"/>
        </w:rPr>
      </w:r>
      <w:r>
        <w:rPr>
          <w:spacing w:val="-2"/>
        </w:rPr>
        <w:t>时间价值等因素。货币时间价值影响重大的，通过对相关未来现金流出进行折现后确定最佳估计数；因随着时间推移所进行</w:t>
      </w:r>
      <w:r>
        <w:rPr>
          <w:spacing w:val="-63"/>
        </w:rPr>
        <w:t> </w:t>
      </w:r>
      <w:r>
        <w:rPr>
          <w:spacing w:val="-63"/>
        </w:rPr>
      </w:r>
      <w:r>
        <w:rPr/>
        <w:t>的折现还原而导致的预计负债账面价值的增加金额，确认为利息费用。</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720" w:lineRule="auto"/>
        <w:ind w:right="3374"/>
        <w:jc w:val="left"/>
      </w:pPr>
      <w:r>
        <w:rPr/>
        <w:t>于资产负债表日，对预计负债的账面价值进行复核并作适当调整，以反映当前的最佳估计数。 预期在资产负债表日起一年内需支付的预计负债，列示为流动负债。</w:t>
      </w:r>
    </w:p>
    <w:p>
      <w:pPr>
        <w:spacing w:line="240" w:lineRule="auto" w:before="6"/>
        <w:rPr>
          <w:rFonts w:ascii="宋体" w:hAnsi="宋体" w:cs="宋体" w:eastAsia="宋体" w:hint="default"/>
          <w:sz w:val="26"/>
          <w:szCs w:val="26"/>
        </w:rPr>
      </w:pPr>
    </w:p>
    <w:p>
      <w:pPr>
        <w:pStyle w:val="Heading3"/>
        <w:spacing w:line="240" w:lineRule="auto"/>
        <w:ind w:right="1129"/>
        <w:jc w:val="left"/>
        <w:rPr>
          <w:b w:val="0"/>
          <w:bCs w:val="0"/>
        </w:rPr>
      </w:pPr>
      <w:bookmarkStart w:name="26、股份支付" w:id="207"/>
      <w:bookmarkEnd w:id="207"/>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2654"/>
        <w:jc w:val="left"/>
        <w:rPr>
          <w:rFonts w:ascii="宋体" w:hAnsi="宋体" w:cs="宋体" w:eastAsia="宋体" w:hint="default"/>
        </w:rPr>
      </w:pPr>
      <w:r>
        <w:rPr/>
        <w:t>本公司的股份支付是为了获取高级管理人员及核心员工的服务而授予的权益工具的交易。</w:t>
      </w:r>
      <w:r>
        <w:rPr>
          <w:rFonts w:ascii="宋体" w:hAnsi="宋体" w:cs="宋体" w:eastAsia="宋体" w:hint="default"/>
        </w:rPr>
        <w:t> (1)</w:t>
      </w:r>
      <w:r>
        <w:rPr/>
        <w:t>限制性股票</w:t>
      </w:r>
      <w:r>
        <w:rPr>
          <w:rFonts w:ascii="宋体" w:hAnsi="宋体" w:cs="宋体" w:eastAsia="宋体" w:hint="default"/>
        </w:rPr>
        <w:t> </w:t>
      </w:r>
    </w:p>
    <w:p>
      <w:pPr>
        <w:pStyle w:val="BodyText"/>
        <w:spacing w:line="316" w:lineRule="auto" w:before="18"/>
        <w:ind w:right="1034"/>
        <w:jc w:val="left"/>
        <w:rPr>
          <w:rFonts w:ascii="宋体" w:hAnsi="宋体" w:cs="宋体" w:eastAsia="宋体" w:hint="default"/>
        </w:rPr>
      </w:pPr>
      <w:r>
        <w:rPr>
          <w:rFonts w:ascii="宋体" w:hAnsi="宋体" w:cs="宋体" w:eastAsia="宋体" w:hint="default"/>
        </w:rPr>
        <w:t>  </w:t>
      </w:r>
      <w:r>
        <w:rPr>
          <w:spacing w:val="-2"/>
        </w:rPr>
        <w:t>就本公司为获取员工服务而定向发行的限制性人民币普通股</w:t>
      </w:r>
      <w:r>
        <w:rPr>
          <w:rFonts w:ascii="宋体" w:hAnsi="宋体" w:cs="宋体" w:eastAsia="宋体" w:hint="default"/>
          <w:spacing w:val="-2"/>
        </w:rPr>
        <w:t>A</w:t>
      </w:r>
      <w:r>
        <w:rPr>
          <w:spacing w:val="-2"/>
        </w:rPr>
        <w:t>股，本公司在相关限制性股票按有关规定履行完注册登记等增</w:t>
      </w:r>
      <w:r>
        <w:rPr>
          <w:spacing w:val="-71"/>
        </w:rPr>
        <w:t> </w:t>
      </w:r>
      <w:r>
        <w:rPr/>
        <w:t>资手续时，根据收到员工缴纳的认股款确认股本和资本公积（股本溢价）；同时就回购义务确认负债并确认库存股，按照发</w:t>
      </w:r>
      <w:r>
        <w:rPr/>
        <w:t> 行限制性股票的数量以及相应的回购价格计算确定的金额借记“库存股”科目，贷记“其他应付款</w:t>
      </w:r>
      <w:r>
        <w:rPr>
          <w:rFonts w:ascii="宋体" w:hAnsi="宋体" w:cs="宋体" w:eastAsia="宋体" w:hint="default"/>
        </w:rPr>
        <w:t>—</w:t>
      </w:r>
      <w:r>
        <w:rPr/>
        <w:t>限制性股票回购义务”                                                                                                 </w:t>
      </w:r>
      <w:r>
        <w:rPr>
          <w:spacing w:val="4"/>
        </w:rPr>
        <w:t> </w:t>
      </w:r>
      <w:r>
        <w:rPr>
          <w:spacing w:val="4"/>
        </w:rPr>
      </w:r>
      <w:r>
        <w:rPr>
          <w:spacing w:val="-2"/>
        </w:rPr>
        <w:t>科目。</w:t>
      </w:r>
      <w:r>
        <w:rPr>
          <w:rFonts w:ascii="宋体" w:hAnsi="宋体" w:cs="宋体" w:eastAsia="宋体" w:hint="default"/>
        </w:rPr>
        <w:t> </w:t>
      </w:r>
      <w:r>
        <w:rPr>
          <w:spacing w:val="-2"/>
        </w:rPr>
        <w:t>本公司将该上述股份支付交易作为权益结算的股份支付处理，以授予日权益工具的公允价值计量。在等待期内的每个资产负</w:t>
      </w:r>
      <w:r>
        <w:rPr>
          <w:spacing w:val="-64"/>
        </w:rPr>
        <w:t> </w:t>
      </w:r>
      <w:r>
        <w:rPr>
          <w:spacing w:val="-64"/>
        </w:rPr>
      </w:r>
      <w:r>
        <w:rPr/>
        <w:t>债表日，以对可达到解锁条件权益工具数量的最佳估计为基础，按照权益工具授予日的公允价值，将当期取得的本公司员工                   </w:t>
      </w:r>
      <w:r>
        <w:rPr>
          <w:spacing w:val="9"/>
        </w:rPr>
        <w:t> </w:t>
      </w:r>
      <w:r>
        <w:rPr>
          <w:spacing w:val="9"/>
        </w:rPr>
      </w:r>
      <w:r>
        <w:rPr/>
        <w:t>的服务计入相关成本和费用，相应增加资本公积。</w:t>
      </w:r>
      <w:r>
        <w:rPr>
          <w:rFonts w:ascii="宋体" w:hAnsi="宋体" w:cs="宋体" w:eastAsia="宋体" w:hint="default"/>
        </w:rPr>
        <w:t> </w:t>
      </w:r>
    </w:p>
    <w:p>
      <w:pPr>
        <w:pStyle w:val="BodyText"/>
        <w:spacing w:line="316" w:lineRule="auto" w:before="18"/>
        <w:ind w:right="1034"/>
        <w:jc w:val="left"/>
        <w:rPr>
          <w:rFonts w:ascii="宋体" w:hAnsi="宋体" w:cs="宋体" w:eastAsia="宋体" w:hint="default"/>
        </w:rPr>
      </w:pPr>
      <w:r>
        <w:rPr>
          <w:rFonts w:ascii="宋体" w:hAnsi="宋体" w:cs="宋体" w:eastAsia="宋体" w:hint="default"/>
        </w:rPr>
        <w:t> </w:t>
      </w:r>
      <w:r>
        <w:rPr>
          <w:spacing w:val="-2"/>
        </w:rPr>
        <w:t>对于授予员工的股票的公允价值，应当按照本公司股票的市场价格计量，同时考虑授予股份所依据的条款和条件（不包括市</w:t>
      </w:r>
      <w:r>
        <w:rPr>
          <w:spacing w:val="-63"/>
        </w:rPr>
        <w:t> </w:t>
      </w:r>
      <w:r>
        <w:rPr>
          <w:spacing w:val="-63"/>
        </w:rPr>
      </w:r>
      <w:r>
        <w:rPr>
          <w:spacing w:val="-2"/>
        </w:rPr>
        <w:t>场条件之外的可行权条件）进行调整。授予条款和条件规定股份的转让在解锁日后受到限制，则在估计所授予股份的公允价</w:t>
      </w:r>
      <w:r>
        <w:rPr>
          <w:spacing w:val="-63"/>
        </w:rPr>
        <w:t> </w:t>
      </w:r>
      <w:r>
        <w:rPr>
          <w:spacing w:val="-63"/>
        </w:rPr>
      </w:r>
      <w:r>
        <w:rPr>
          <w:spacing w:val="-2"/>
        </w:rPr>
        <w:t>值时予以考虑。非市场条件的影响包括在对预计可行权数量的估计中，在资产负债表日，后续信息表明可行权权益工具的数</w:t>
      </w:r>
      <w:r>
        <w:rPr>
          <w:spacing w:val="-65"/>
        </w:rPr>
        <w:t> </w:t>
      </w:r>
      <w:r>
        <w:rPr>
          <w:spacing w:val="-65"/>
        </w:rPr>
      </w:r>
      <w:r>
        <w:rPr/>
        <w:t>量与以前估计不同的，则对其进行调整，并在可行权日，调整至实际可行权的权益工具数量。在可行权日之后，不再对已确                   </w:t>
      </w:r>
      <w:r>
        <w:rPr>
          <w:spacing w:val="5"/>
        </w:rPr>
        <w:t> </w:t>
      </w:r>
      <w:r>
        <w:rPr>
          <w:spacing w:val="5"/>
        </w:rPr>
      </w:r>
      <w:r>
        <w:rPr/>
        <w:t>认的相关成本或费用和所有者权益总额进行调整。</w:t>
      </w:r>
      <w:r>
        <w:rPr>
          <w:rFonts w:ascii="宋体" w:hAnsi="宋体" w:cs="宋体" w:eastAsia="宋体" w:hint="default"/>
        </w:rPr>
        <w:t> </w:t>
      </w:r>
    </w:p>
    <w:p>
      <w:pPr>
        <w:pStyle w:val="BodyText"/>
        <w:spacing w:line="316" w:lineRule="auto" w:before="18"/>
        <w:ind w:right="1129"/>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(2)</w:t>
      </w:r>
      <w:r>
        <w:rPr/>
        <w:t>股票期</w:t>
      </w:r>
      <w:r>
        <w:rPr>
          <w:spacing w:val="-3"/>
        </w:rPr>
        <w:t>权</w:t>
      </w:r>
      <w:r>
        <w:rPr>
          <w:rFonts w:ascii="宋体" w:hAnsi="宋体" w:cs="宋体" w:eastAsia="宋体" w:hint="default"/>
        </w:rPr>
        <w:t> </w:t>
      </w:r>
    </w:p>
    <w:p>
      <w:pPr>
        <w:pStyle w:val="BodyText"/>
        <w:spacing w:line="316" w:lineRule="auto" w:before="18"/>
        <w:ind w:right="1034"/>
        <w:jc w:val="left"/>
        <w:rPr>
          <w:rFonts w:ascii="宋体" w:hAnsi="宋体" w:cs="宋体" w:eastAsia="宋体" w:hint="default"/>
        </w:rPr>
      </w:pPr>
      <w:r>
        <w:rPr>
          <w:spacing w:val="-2"/>
        </w:rPr>
        <w:t>本公司的股票期权计划为换取职工提供的服务的权益结算的股份支付，以授予职工的权益工具在授予日的公允价值计量。在</w:t>
      </w:r>
      <w:r>
        <w:rPr>
          <w:spacing w:val="-64"/>
        </w:rPr>
        <w:t> </w:t>
      </w:r>
      <w:r>
        <w:rPr>
          <w:spacing w:val="-64"/>
        </w:rPr>
      </w:r>
      <w:r>
        <w:rPr>
          <w:spacing w:val="-2"/>
        </w:rPr>
        <w:t>完成等待期内的服务或达到规定业绩条件才可行权，在等待期内以对可行权权益工具数量的最佳估计为基础，按照权益工具</w:t>
      </w:r>
      <w:r>
        <w:rPr>
          <w:spacing w:val="-64"/>
        </w:rPr>
        <w:t> </w:t>
      </w:r>
      <w:r>
        <w:rPr>
          <w:spacing w:val="-64"/>
        </w:rPr>
      </w:r>
      <w:r>
        <w:rPr>
          <w:spacing w:val="-2"/>
        </w:rPr>
        <w:t>授予日的公允价值，将当期取得的服务计入相关成本或费用，相应增加资本公积。后续信息表明可行权权益工具的数量与以</w:t>
      </w:r>
      <w:r>
        <w:rPr>
          <w:spacing w:val="-66"/>
        </w:rPr>
        <w:t> </w:t>
      </w:r>
      <w:r>
        <w:rPr>
          <w:spacing w:val="-66"/>
        </w:rPr>
      </w:r>
      <w:r>
        <w:rPr/>
        <w:t>前估计不同的，将进行调整，并在可行权日调整至实际可行权的权益工具数量。在行权日，根据实际行权的权益工具数量，</w:t>
      </w:r>
      <w:r>
        <w:rPr>
          <w:spacing w:val="-86"/>
        </w:rPr>
        <w:t> </w:t>
      </w:r>
      <w:r>
        <w:rPr>
          <w:spacing w:val="-86"/>
        </w:rPr>
      </w:r>
      <w:r>
        <w:rPr/>
        <w:t>计算确定应转入股本的金额，将其转入股本。</w:t>
      </w:r>
      <w:r>
        <w:rPr>
          <w:rFonts w:ascii="宋体" w:hAnsi="宋体" w:cs="宋体" w:eastAsia="宋体" w:hint="default"/>
        </w:rPr>
        <w:t> </w:t>
      </w:r>
    </w:p>
    <w:p>
      <w:pPr>
        <w:pStyle w:val="BodyText"/>
        <w:spacing w:line="240" w:lineRule="auto" w:before="18"/>
        <w:ind w:right="0"/>
        <w:jc w:val="left"/>
        <w:rPr>
          <w:rFonts w:ascii="宋体" w:hAnsi="宋体" w:cs="宋体" w:eastAsia="宋体" w:hint="default"/>
        </w:rPr>
      </w:pPr>
      <w:r>
        <w:rPr>
          <w:rFonts w:ascii="宋体"/>
        </w:rPr>
        <w:t> </w:t>
      </w:r>
    </w:p>
    <w:p>
      <w:pPr>
        <w:pStyle w:val="BodyText"/>
        <w:spacing w:line="316" w:lineRule="auto" w:before="76"/>
        <w:ind w:right="1130" w:hanging="1"/>
        <w:jc w:val="both"/>
      </w:pPr>
      <w:r>
        <w:rPr/>
        <w:t>本公司采用期权定价模型确定股票期权的公允价值，以</w:t>
      </w:r>
      <w:r>
        <w:rPr>
          <w:rFonts w:ascii="宋体" w:hAnsi="宋体" w:cs="宋体" w:eastAsia="宋体" w:hint="default"/>
        </w:rPr>
        <w:t>Black-Scholes</w:t>
      </w:r>
      <w:r>
        <w:rPr/>
        <w:t>估价模型确定股票增值权的公允价值。于等待期的每 </w:t>
      </w:r>
      <w:r>
        <w:rPr>
          <w:spacing w:val="-2"/>
        </w:rPr>
        <w:t>个资产负债表日，本公司根据最新取的可行权职工人数变动等后续信息作出最佳工具，修正预计可行权的权益工具数量。在</w:t>
      </w:r>
      <w:r>
        <w:rPr>
          <w:spacing w:val="-64"/>
        </w:rPr>
        <w:t> </w:t>
      </w:r>
      <w:r>
        <w:rPr>
          <w:spacing w:val="-64"/>
        </w:rPr>
      </w:r>
      <w:r>
        <w:rPr>
          <w:spacing w:val="-2"/>
        </w:rPr>
        <w:t>可行权日，最终预计可行权权益工具的数量与实际可行权数量一致。股票期权的行权日，本公司根据行权情况，确认股本和</w:t>
      </w:r>
      <w:r>
        <w:rPr>
          <w:spacing w:val="-65"/>
        </w:rPr>
        <w:t> </w:t>
      </w:r>
      <w:r>
        <w:rPr>
          <w:spacing w:val="-65"/>
        </w:rPr>
      </w:r>
      <w:r>
        <w:rPr/>
        <w:t>股本溢价，同时结转等待期内确认的资本公积。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0"/>
        <w:ind w:right="1129"/>
        <w:jc w:val="left"/>
        <w:rPr>
          <w:b w:val="0"/>
          <w:bCs w:val="0"/>
        </w:rPr>
      </w:pPr>
      <w:bookmarkStart w:name="27、优先股、永续债等其他金融工具" w:id="208"/>
      <w:bookmarkEnd w:id="208"/>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9"/>
        <w:jc w:val="left"/>
      </w:pPr>
      <w:r>
        <w:rPr/>
        <w:t>无。</w:t>
      </w:r>
    </w:p>
    <w:p>
      <w:pPr>
        <w:spacing w:after="0" w:line="240"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28、收入" w:id="209"/>
      <w:bookmarkEnd w:id="209"/>
      <w:r>
        <w:rPr>
          <w:b w:val="0"/>
          <w:bCs w:val="0"/>
        </w:rPr>
      </w:r>
      <w:r>
        <w:rPr>
          <w:rFonts w:ascii="Times New Roman" w:hAnsi="Times New Roman" w:cs="Times New Roman" w:eastAsia="Times New Roman" w:hint="default"/>
        </w:rPr>
        <w:t>28</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240" w:lineRule="auto" w:before="29"/>
        <w:ind w:right="1129"/>
        <w:jc w:val="left"/>
      </w:pPr>
      <w:r>
        <w:rPr/>
        <w:t>软件与信息技术服务业</w:t>
      </w:r>
    </w:p>
    <w:p>
      <w:pPr>
        <w:pStyle w:val="BodyText"/>
        <w:spacing w:line="328" w:lineRule="auto" w:before="117"/>
        <w:ind w:right="1129"/>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spacing w:val="-2"/>
        </w:rPr>
        <w:t>收入的金额按照本集团在日常经营活动中销售商品和提供劳务时，已收或应收合同或协议价款的公允价值确定。收入按扣除</w:t>
      </w:r>
      <w:r>
        <w:rPr>
          <w:spacing w:val="-64"/>
        </w:rPr>
        <w:t> </w:t>
      </w:r>
      <w:r>
        <w:rPr>
          <w:spacing w:val="-64"/>
        </w:rPr>
      </w:r>
      <w:r>
        <w:rPr/>
        <w:t>销售折让及销售退回的净额列示。</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316" w:lineRule="auto"/>
        <w:ind w:right="1129"/>
        <w:jc w:val="left"/>
      </w:pPr>
      <w:r>
        <w:rPr>
          <w:spacing w:val="-2"/>
        </w:rPr>
        <w:t>与交易相关的经济利益能够流入本集团，相关的收入能够可靠计量且满足下列各项经营活动的特定收入确认标准时，确认相</w:t>
      </w:r>
      <w:r>
        <w:rPr>
          <w:spacing w:val="-64"/>
        </w:rPr>
        <w:t> </w:t>
      </w:r>
      <w:r>
        <w:rPr>
          <w:spacing w:val="-64"/>
        </w:rPr>
      </w:r>
      <w:r>
        <w:rPr/>
        <w:t>关的收入：</w:t>
      </w:r>
    </w:p>
    <w:p>
      <w:pPr>
        <w:pStyle w:val="BodyText"/>
        <w:spacing w:line="319" w:lineRule="auto" w:before="57"/>
        <w:ind w:right="1034"/>
        <w:jc w:val="left"/>
      </w:pPr>
      <w:r>
        <w:rPr/>
        <w:t>（</w:t>
      </w:r>
      <w:r>
        <w:rPr>
          <w:rFonts w:ascii="Times New Roman" w:hAnsi="Times New Roman" w:cs="Times New Roman" w:eastAsia="Times New Roman" w:hint="default"/>
        </w:rPr>
        <w:t>1</w:t>
      </w:r>
      <w:r>
        <w:rPr/>
        <w:t>）软件开发收入 软件开发主要为定制软件开发业务，包括软件的设计、开发、测试和实施，主要包含四个关键阶段，分别是需求调研阶段、</w:t>
      </w:r>
      <w:r>
        <w:rPr>
          <w:spacing w:val="-86"/>
        </w:rPr>
        <w:t> </w:t>
      </w:r>
      <w:r>
        <w:rPr>
          <w:spacing w:val="-86"/>
        </w:rPr>
      </w:r>
      <w:r>
        <w:rPr/>
        <w:t>开发与测试阶段、系统上线运行阶段、客户验收阶段。定制软件开发合同约定的收款方式一般为签订合同后收取约</w:t>
      </w:r>
      <w:r>
        <w:rPr>
          <w:rFonts w:ascii="Times New Roman" w:hAnsi="Times New Roman" w:cs="Times New Roman" w:eastAsia="Times New Roman" w:hint="default"/>
        </w:rPr>
        <w:t>30%</w:t>
      </w:r>
      <w:r>
        <w:rPr/>
        <w:t>合同 款，出具上线报告后收取约</w:t>
      </w:r>
      <w:r>
        <w:rPr>
          <w:rFonts w:ascii="Times New Roman" w:hAnsi="Times New Roman" w:cs="Times New Roman" w:eastAsia="Times New Roman" w:hint="default"/>
        </w:rPr>
        <w:t>30%</w:t>
      </w:r>
      <w:r>
        <w:rPr/>
        <w:t>合同款，出具验收报告后收取约</w:t>
      </w:r>
      <w:r>
        <w:rPr>
          <w:rFonts w:ascii="Times New Roman" w:hAnsi="Times New Roman" w:cs="Times New Roman" w:eastAsia="Times New Roman" w:hint="default"/>
        </w:rPr>
        <w:t>30%</w:t>
      </w:r>
      <w:r>
        <w:rPr/>
        <w:t>合同款，质保期结束后收取剩余约</w:t>
      </w:r>
      <w:r>
        <w:rPr>
          <w:rFonts w:ascii="Times New Roman" w:hAnsi="Times New Roman" w:cs="Times New Roman" w:eastAsia="Times New Roman" w:hint="default"/>
        </w:rPr>
        <w:t>10%</w:t>
      </w:r>
      <w:r>
        <w:rPr/>
        <w:t>合同款。</w:t>
      </w:r>
    </w:p>
    <w:p>
      <w:pPr>
        <w:pStyle w:val="BodyText"/>
        <w:spacing w:line="316" w:lineRule="auto" w:before="38"/>
        <w:ind w:right="1130"/>
        <w:jc w:val="both"/>
      </w:pPr>
      <w:r>
        <w:rPr>
          <w:spacing w:val="-2"/>
        </w:rPr>
        <w:t>定制软件开发收入在软件主要功能通过测试并且取得客户确认的上线报告时点开始按照完工百分比法确认收入，完工进度按</w:t>
      </w:r>
      <w:r>
        <w:rPr>
          <w:spacing w:val="-64"/>
        </w:rPr>
        <w:t> </w:t>
      </w:r>
      <w:r>
        <w:rPr>
          <w:spacing w:val="-64"/>
        </w:rPr>
      </w:r>
      <w:r>
        <w:rPr>
          <w:spacing w:val="-2"/>
        </w:rPr>
        <w:t>已经发生的成本占预计总成本的比例确定。对于没有上线报告的软件开发项目，公司在项目完成并取得客户最终确认时，按</w:t>
      </w:r>
      <w:r>
        <w:rPr>
          <w:spacing w:val="-63"/>
        </w:rPr>
        <w:t> </w:t>
      </w:r>
      <w:r>
        <w:rPr>
          <w:spacing w:val="-63"/>
        </w:rPr>
      </w:r>
      <w:r>
        <w:rPr/>
        <w:t>合同金额确认收入。</w:t>
      </w:r>
    </w:p>
    <w:p>
      <w:pPr>
        <w:pStyle w:val="BodyText"/>
        <w:spacing w:line="328" w:lineRule="auto" w:before="57"/>
        <w:ind w:right="1129"/>
        <w:jc w:val="left"/>
      </w:pPr>
      <w:r>
        <w:rPr/>
        <w:t>（</w:t>
      </w:r>
      <w:r>
        <w:rPr>
          <w:rFonts w:ascii="Times New Roman" w:hAnsi="Times New Roman" w:cs="Times New Roman" w:eastAsia="Times New Roman" w:hint="default"/>
        </w:rPr>
        <w:t>2</w:t>
      </w:r>
      <w:r>
        <w:rPr/>
        <w:t>）维护服务收入 </w:t>
      </w:r>
      <w:r>
        <w:rPr>
          <w:spacing w:val="-2"/>
        </w:rPr>
        <w:t>维护服务业务是指公司对已销售的软件开发服务、系统集成等，为客户提供的后续技术支持或维护服务。公司在合同约定的</w:t>
      </w:r>
      <w:r>
        <w:rPr>
          <w:spacing w:val="-63"/>
        </w:rPr>
        <w:t> </w:t>
      </w:r>
      <w:r>
        <w:rPr>
          <w:spacing w:val="-63"/>
        </w:rPr>
      </w:r>
      <w:r>
        <w:rPr/>
        <w:t>服务期内，对维护费按月平均分摊确认收入。</w:t>
      </w:r>
    </w:p>
    <w:p>
      <w:pPr>
        <w:pStyle w:val="BodyText"/>
        <w:spacing w:line="328" w:lineRule="auto" w:before="50"/>
        <w:ind w:right="1129"/>
        <w:jc w:val="left"/>
      </w:pPr>
      <w:r>
        <w:rPr/>
        <w:t>（</w:t>
      </w:r>
      <w:r>
        <w:rPr>
          <w:rFonts w:ascii="Times New Roman" w:hAnsi="Times New Roman" w:cs="Times New Roman" w:eastAsia="Times New Roman" w:hint="default"/>
        </w:rPr>
        <w:t>3</w:t>
      </w:r>
      <w:r>
        <w:rPr/>
        <w:t>）第三方软硬件及系统集成收入 第三方软硬件产品收入是指公司根据合同约定外购指定的软硬件产品并按客户要求安装集成后向客户提交工作成果所获得 的收入。本公司在完成软硬件安装集成调试且经客户确认后确认收入。</w:t>
      </w:r>
    </w:p>
    <w:p>
      <w:pPr>
        <w:pStyle w:val="BodyText"/>
        <w:spacing w:line="316" w:lineRule="auto" w:before="50"/>
        <w:ind w:right="1129"/>
        <w:jc w:val="left"/>
      </w:pPr>
      <w:r>
        <w:rPr>
          <w:spacing w:val="-2"/>
        </w:rPr>
        <w:t>系统集成是指本公司外购通用设备后自行或委外加工成定制产品，再辅以操作系统配套后进行安装调试。本公司在定制系统</w:t>
      </w:r>
      <w:r>
        <w:rPr>
          <w:spacing w:val="-64"/>
        </w:rPr>
        <w:t> </w:t>
      </w:r>
      <w:r>
        <w:rPr>
          <w:spacing w:val="-64"/>
        </w:rPr>
      </w:r>
      <w:r>
        <w:rPr/>
        <w:t>集成产品交付客户并安装调试经客户验收确认后确认收入。</w:t>
      </w:r>
    </w:p>
    <w:p>
      <w:pPr>
        <w:pStyle w:val="BodyText"/>
        <w:spacing w:line="338" w:lineRule="auto" w:before="59"/>
        <w:ind w:right="5894"/>
        <w:jc w:val="left"/>
      </w:pPr>
      <w:r>
        <w:rPr/>
        <w:t>（</w:t>
      </w:r>
      <w:r>
        <w:rPr>
          <w:rFonts w:ascii="Times New Roman" w:hAnsi="Times New Roman" w:cs="Times New Roman" w:eastAsia="Times New Roman" w:hint="default"/>
        </w:rPr>
        <w:t>4</w:t>
      </w:r>
      <w:r>
        <w:rPr/>
        <w:t>）利息收入 利息收入按借出或存入货币资金的时间和实际利率计算确定。</w:t>
      </w:r>
    </w:p>
    <w:p>
      <w:pPr>
        <w:spacing w:line="240" w:lineRule="auto" w:before="7"/>
        <w:rPr>
          <w:rFonts w:ascii="宋体" w:hAnsi="宋体" w:cs="宋体" w:eastAsia="宋体" w:hint="default"/>
          <w:sz w:val="21"/>
          <w:szCs w:val="21"/>
        </w:rPr>
      </w:pPr>
    </w:p>
    <w:p>
      <w:pPr>
        <w:pStyle w:val="Heading3"/>
        <w:spacing w:line="240" w:lineRule="auto"/>
        <w:ind w:right="1129"/>
        <w:jc w:val="left"/>
        <w:rPr>
          <w:b w:val="0"/>
          <w:bCs w:val="0"/>
        </w:rPr>
      </w:pPr>
      <w:bookmarkStart w:name="29、政府补助" w:id="210"/>
      <w:bookmarkEnd w:id="210"/>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t>政府补助为本集团从政府无偿取得的货币性资产或非货币性资产，包括税费返还、财政补贴等。</w:t>
      </w:r>
    </w:p>
    <w:p>
      <w:pPr>
        <w:spacing w:line="240" w:lineRule="auto" w:before="0"/>
        <w:rPr>
          <w:rFonts w:ascii="宋体" w:hAnsi="宋体" w:cs="宋体" w:eastAsia="宋体" w:hint="default"/>
          <w:sz w:val="18"/>
          <w:szCs w:val="18"/>
        </w:rPr>
      </w:pPr>
    </w:p>
    <w:p>
      <w:pPr>
        <w:pStyle w:val="BodyText"/>
        <w:spacing w:line="316" w:lineRule="auto" w:before="152"/>
        <w:ind w:right="1129"/>
        <w:jc w:val="left"/>
      </w:pPr>
      <w:r>
        <w:rPr>
          <w:spacing w:val="-2"/>
        </w:rPr>
        <w:t>政府补助在本集团能够满足其所附的条件并且能够收到时，予以确认。政府补助为货币性资产的，按照收到或应收的金额计</w:t>
      </w:r>
      <w:r>
        <w:rPr>
          <w:spacing w:val="-63"/>
        </w:rPr>
        <w:t> </w:t>
      </w:r>
      <w:r>
        <w:rPr>
          <w:spacing w:val="-63"/>
        </w:rPr>
      </w:r>
      <w:r>
        <w:rPr/>
        <w:t>量。政府补助为非货币性资产的，按照公允价值计量；公允价值不能可靠取得的，按照名义金额计量。</w:t>
      </w:r>
    </w:p>
    <w:p>
      <w:pPr>
        <w:spacing w:line="240" w:lineRule="auto" w:before="4"/>
        <w:rPr>
          <w:rFonts w:ascii="宋体" w:hAnsi="宋体" w:cs="宋体" w:eastAsia="宋体" w:hint="default"/>
          <w:sz w:val="25"/>
          <w:szCs w:val="25"/>
        </w:rPr>
      </w:pPr>
    </w:p>
    <w:p>
      <w:pPr>
        <w:pStyle w:val="BodyText"/>
        <w:spacing w:line="316" w:lineRule="auto"/>
        <w:ind w:right="1129"/>
        <w:jc w:val="left"/>
      </w:pPr>
      <w:r>
        <w:rPr>
          <w:spacing w:val="-2"/>
        </w:rPr>
        <w:t>与资产相关的政府补助，是指本集团取得的、用于购建或以其他方式形成长期资产的政府补助。与收益相关的政府补助，是</w:t>
      </w:r>
      <w:r>
        <w:rPr>
          <w:spacing w:val="-64"/>
        </w:rPr>
        <w:t> </w:t>
      </w:r>
      <w:r>
        <w:rPr>
          <w:spacing w:val="-64"/>
        </w:rPr>
      </w:r>
      <w:r>
        <w:rPr/>
        <w:t>指除与资产相关的政府补助之外的政府补助。</w:t>
      </w:r>
    </w:p>
    <w:p>
      <w:pPr>
        <w:spacing w:line="240" w:lineRule="auto" w:before="4"/>
        <w:rPr>
          <w:rFonts w:ascii="宋体" w:hAnsi="宋体" w:cs="宋体" w:eastAsia="宋体" w:hint="default"/>
          <w:sz w:val="25"/>
          <w:szCs w:val="25"/>
        </w:rPr>
      </w:pPr>
    </w:p>
    <w:p>
      <w:pPr>
        <w:pStyle w:val="BodyText"/>
        <w:spacing w:line="316" w:lineRule="auto"/>
        <w:ind w:right="1129"/>
        <w:jc w:val="left"/>
      </w:pPr>
      <w:r>
        <w:rPr>
          <w:spacing w:val="-2"/>
        </w:rPr>
        <w:t>与资产相关的政府补助，冲减相关资产的账面价值，或确认为递延收益并在相关资产使用寿命内按照合理、系统的方法分摊</w:t>
      </w:r>
      <w:r>
        <w:rPr>
          <w:spacing w:val="-63"/>
        </w:rPr>
        <w:t> </w:t>
      </w:r>
      <w:r>
        <w:rPr>
          <w:spacing w:val="-63"/>
        </w:rPr>
      </w:r>
      <w:r>
        <w:rPr/>
        <w:t>计入损益。</w:t>
      </w:r>
    </w:p>
    <w:p>
      <w:pPr>
        <w:spacing w:after="0" w:line="316"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034"/>
        <w:jc w:val="left"/>
      </w:pPr>
      <w:r>
        <w:rPr>
          <w:spacing w:val="-2"/>
        </w:rPr>
        <w:t>与收益相关的政府补助，若用于补偿以后期间的相关成本费用或损失的，确认为递延收益，并在确认相关成本费用或损失的</w:t>
      </w:r>
      <w:r>
        <w:rPr>
          <w:spacing w:val="-63"/>
        </w:rPr>
        <w:t> </w:t>
      </w:r>
      <w:r>
        <w:rPr>
          <w:spacing w:val="-63"/>
        </w:rPr>
      </w:r>
      <w:r>
        <w:rPr/>
        <w:t>期间，计入当期损益；若用于补偿已发生的相关成本费用或损失的，直接计入当期损益。对于其他与收益相关的政府补助，</w:t>
      </w:r>
      <w:r>
        <w:rPr>
          <w:spacing w:val="-86"/>
        </w:rPr>
        <w:t> </w:t>
      </w:r>
      <w:r>
        <w:rPr>
          <w:spacing w:val="-86"/>
        </w:rPr>
      </w:r>
      <w:r>
        <w:rPr>
          <w:spacing w:val="-2"/>
        </w:rPr>
        <w:t>若用于补偿以后期间的相关成本费用或损失的，确认为递延收益，并在确认相关成本费用或损失的期间，冲减相关成本；若</w:t>
      </w:r>
      <w:r>
        <w:rPr>
          <w:spacing w:val="-64"/>
        </w:rPr>
        <w:t> </w:t>
      </w:r>
      <w:r>
        <w:rPr>
          <w:spacing w:val="-64"/>
        </w:rPr>
      </w:r>
      <w:r>
        <w:rPr/>
        <w:t>用于补偿已发生的相关成本费用或损失的，直接冲减相关成本。</w:t>
      </w:r>
    </w:p>
    <w:p>
      <w:pPr>
        <w:spacing w:line="240" w:lineRule="auto" w:before="4"/>
        <w:rPr>
          <w:rFonts w:ascii="宋体" w:hAnsi="宋体" w:cs="宋体" w:eastAsia="宋体" w:hint="default"/>
          <w:sz w:val="25"/>
          <w:szCs w:val="25"/>
        </w:rPr>
      </w:pPr>
    </w:p>
    <w:p>
      <w:pPr>
        <w:pStyle w:val="BodyText"/>
        <w:spacing w:line="636" w:lineRule="auto"/>
        <w:ind w:right="3734"/>
        <w:jc w:val="left"/>
      </w:pPr>
      <w:r>
        <w:rPr/>
        <w:t>本集团对同类政府补助采用相同的列报方式。 与日常活动相关的政府补助纳入营业利润，与日常活动无关的政府补助计入营业外收支。</w:t>
      </w:r>
    </w:p>
    <w:p>
      <w:pPr>
        <w:pStyle w:val="Heading3"/>
        <w:spacing w:line="240" w:lineRule="auto" w:before="59"/>
        <w:ind w:right="1129"/>
        <w:jc w:val="left"/>
        <w:rPr>
          <w:b w:val="0"/>
          <w:bCs w:val="0"/>
        </w:rPr>
      </w:pPr>
      <w:bookmarkStart w:name="30、递延所得税资产/递延所得税负债" w:id="211"/>
      <w:bookmarkEnd w:id="211"/>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6"/>
        <w:jc w:val="left"/>
      </w:pPr>
      <w:r>
        <w:rPr>
          <w:spacing w:val="-2"/>
        </w:rPr>
        <w:t>递延所得税资产和递延所得税负债根据资产和负债的计税基础与其账面价值的差额（暂时性差异）计算确认。对于按照税法</w:t>
      </w:r>
      <w:r>
        <w:rPr>
          <w:spacing w:val="-66"/>
        </w:rPr>
        <w:t> </w:t>
      </w:r>
      <w:r>
        <w:rPr>
          <w:spacing w:val="-66"/>
        </w:rPr>
      </w:r>
      <w:r>
        <w:rPr>
          <w:spacing w:val="-4"/>
        </w:rPr>
        <w:t>规定能够于以后年度抵减应纳税所得额的可抵扣亏损，确认相应的递延所得税资产。对于商誉的初始确认产生的暂时性差异，</w:t>
      </w:r>
      <w:r>
        <w:rPr>
          <w:spacing w:val="-44"/>
        </w:rPr>
        <w:t> </w:t>
      </w:r>
      <w:r>
        <w:rPr>
          <w:spacing w:val="-44"/>
        </w:rPr>
      </w:r>
      <w:r>
        <w:rPr>
          <w:spacing w:val="-2"/>
        </w:rPr>
        <w:t>不确认相应的递延所得税负债。对于既不影响会计利润也不影响应纳税所得额（或可抵扣亏损）的非企业合并的交易中产生</w:t>
      </w:r>
      <w:r>
        <w:rPr>
          <w:spacing w:val="-63"/>
        </w:rPr>
        <w:t> </w:t>
      </w:r>
      <w:r>
        <w:rPr>
          <w:spacing w:val="-63"/>
        </w:rPr>
      </w:r>
      <w:r>
        <w:rPr>
          <w:spacing w:val="-2"/>
        </w:rPr>
        <w:t>的资产或负债的初始确认形成的暂时性差异，不确认相应的递延所得税资产和递延所得税负债。于资产负债表日，递延所得</w:t>
      </w:r>
      <w:r>
        <w:rPr>
          <w:spacing w:val="-66"/>
        </w:rPr>
        <w:t> </w:t>
      </w:r>
      <w:r>
        <w:rPr>
          <w:spacing w:val="-66"/>
        </w:rPr>
      </w:r>
      <w:r>
        <w:rPr/>
        <w:t>税资产和递延所得税负债，按照预期收回该资产或清偿该负债期间的适用税率计量。 递延所得税资产的确认以很可能取得用来抵扣可抵扣暂时性差异、可抵扣亏损和税款抵减的应纳税所得额为限。</w:t>
      </w:r>
    </w:p>
    <w:p>
      <w:pPr>
        <w:spacing w:line="240" w:lineRule="auto" w:before="4"/>
        <w:rPr>
          <w:rFonts w:ascii="宋体" w:hAnsi="宋体" w:cs="宋体" w:eastAsia="宋体" w:hint="default"/>
          <w:sz w:val="25"/>
          <w:szCs w:val="25"/>
        </w:rPr>
      </w:pPr>
    </w:p>
    <w:p>
      <w:pPr>
        <w:pStyle w:val="BodyText"/>
        <w:spacing w:line="316" w:lineRule="auto"/>
        <w:ind w:right="1133"/>
        <w:jc w:val="both"/>
      </w:pPr>
      <w:r>
        <w:rPr>
          <w:spacing w:val="-2"/>
        </w:rPr>
        <w:t>对与子公司、联营企业及合营企业投资相关的应纳税暂时性差异，确认递延所得税负债，除非本集团能够控制该暂时性差异</w:t>
      </w:r>
      <w:r>
        <w:rPr>
          <w:spacing w:val="-65"/>
        </w:rPr>
        <w:t> </w:t>
      </w:r>
      <w:r>
        <w:rPr>
          <w:spacing w:val="-65"/>
        </w:rPr>
      </w:r>
      <w:r>
        <w:rPr>
          <w:spacing w:val="-2"/>
        </w:rPr>
        <w:t>转回的时间且该暂时性差异在可预见的未来很可能不会转回。对与子公司、联营企业及合营企业投资相关的可抵扣暂时性差</w:t>
      </w:r>
      <w:r>
        <w:rPr>
          <w:spacing w:val="-64"/>
        </w:rPr>
        <w:t> </w:t>
      </w:r>
      <w:r>
        <w:rPr>
          <w:spacing w:val="-64"/>
        </w:rPr>
      </w:r>
      <w:r>
        <w:rPr>
          <w:spacing w:val="-2"/>
        </w:rPr>
        <w:t>异，当该暂时性差异在可预见的未来很可能转回且未来很可能获得用来抵扣可抵扣暂时性差异的应纳税所得额时，确认递延</w:t>
      </w:r>
      <w:r>
        <w:rPr>
          <w:spacing w:val="-64"/>
        </w:rPr>
        <w:t> </w:t>
      </w:r>
      <w:r>
        <w:rPr>
          <w:spacing w:val="-64"/>
        </w:rPr>
      </w:r>
      <w:r>
        <w:rPr/>
        <w:t>所得税资产。</w:t>
      </w:r>
    </w:p>
    <w:p>
      <w:pPr>
        <w:spacing w:line="240" w:lineRule="auto" w:before="4"/>
        <w:rPr>
          <w:rFonts w:ascii="宋体" w:hAnsi="宋体" w:cs="宋体" w:eastAsia="宋体" w:hint="default"/>
          <w:sz w:val="25"/>
          <w:szCs w:val="25"/>
        </w:rPr>
      </w:pPr>
    </w:p>
    <w:p>
      <w:pPr>
        <w:pStyle w:val="BodyText"/>
        <w:spacing w:line="240" w:lineRule="auto"/>
        <w:ind w:right="1129"/>
        <w:jc w:val="left"/>
      </w:pPr>
      <w:r>
        <w:rPr/>
        <w:t>同时满足下列条件的递延所得税资产和递延所得税负债以抵销后的净额列示：</w:t>
      </w:r>
    </w:p>
    <w:p>
      <w:pPr>
        <w:spacing w:line="240" w:lineRule="auto" w:before="0"/>
        <w:rPr>
          <w:rFonts w:ascii="宋体" w:hAnsi="宋体" w:cs="宋体" w:eastAsia="宋体" w:hint="default"/>
          <w:sz w:val="18"/>
          <w:szCs w:val="18"/>
        </w:rPr>
      </w:pPr>
    </w:p>
    <w:p>
      <w:pPr>
        <w:pStyle w:val="BodyText"/>
        <w:spacing w:line="240" w:lineRule="auto" w:before="152"/>
        <w:ind w:right="1129"/>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6"/>
        </w:rPr>
        <w:t> </w:t>
      </w:r>
      <w:r>
        <w:rPr/>
        <w:t>递延所得税资产和递延所得税负债与同一税收征管部门对本集团内同一纳税主体征收的所得税相关；</w:t>
      </w:r>
    </w:p>
    <w:p>
      <w:pPr>
        <w:spacing w:line="240" w:lineRule="auto" w:before="0"/>
        <w:rPr>
          <w:rFonts w:ascii="宋体" w:hAnsi="宋体" w:cs="宋体" w:eastAsia="宋体" w:hint="default"/>
          <w:sz w:val="18"/>
          <w:szCs w:val="18"/>
        </w:rPr>
      </w:pPr>
    </w:p>
    <w:p>
      <w:pPr>
        <w:pStyle w:val="BodyText"/>
        <w:spacing w:line="240" w:lineRule="auto" w:before="139"/>
        <w:ind w:right="1129"/>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6"/>
        </w:rPr>
        <w:t> </w:t>
      </w:r>
      <w:r>
        <w:rPr/>
        <w:t>本集团内该纳税主体拥有以净额结算当期所得税资产及当期所得税负债的法定权利。</w:t>
      </w:r>
    </w:p>
    <w:p>
      <w:pPr>
        <w:spacing w:line="240" w:lineRule="auto" w:before="3"/>
        <w:rPr>
          <w:rFonts w:ascii="宋体" w:hAnsi="宋体" w:cs="宋体" w:eastAsia="宋体" w:hint="default"/>
          <w:sz w:val="26"/>
          <w:szCs w:val="26"/>
        </w:rPr>
      </w:pPr>
    </w:p>
    <w:p>
      <w:pPr>
        <w:pStyle w:val="Heading3"/>
        <w:spacing w:line="240" w:lineRule="auto"/>
        <w:ind w:right="1129"/>
        <w:jc w:val="left"/>
        <w:rPr>
          <w:b w:val="0"/>
          <w:bCs w:val="0"/>
        </w:rPr>
      </w:pPr>
      <w:bookmarkStart w:name="31、租赁" w:id="212"/>
      <w:bookmarkEnd w:id="212"/>
      <w:r>
        <w:rPr>
          <w:b w:val="0"/>
          <w:bCs w:val="0"/>
        </w:rPr>
      </w:r>
      <w:r>
        <w:rPr>
          <w:rFonts w:ascii="Times New Roman" w:hAnsi="Times New Roman" w:cs="Times New Roman" w:eastAsia="Times New Roman" w:hint="default"/>
        </w:rPr>
        <w:t>31</w:t>
      </w:r>
      <w:r>
        <w:rPr/>
        <w:t>、租赁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9"/>
        <w:jc w:val="left"/>
        <w:rPr>
          <w:b w:val="0"/>
          <w:bCs w:val="0"/>
        </w:rPr>
      </w:pPr>
      <w:bookmarkStart w:name="（1）经营租赁的会计处理方法" w:id="213"/>
      <w:bookmarkEnd w:id="213"/>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4814"/>
        <w:jc w:val="left"/>
      </w:pPr>
      <w:r>
        <w:rPr/>
        <w:t>经营租赁的租金支出在租赁期内按照直线法计入相关资产成本或当期损益。 经营租赁的租金收入在租赁期内按照直线法确认。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9"/>
        <w:ind w:right="1129"/>
        <w:jc w:val="left"/>
        <w:rPr>
          <w:b w:val="0"/>
          <w:bCs w:val="0"/>
        </w:rPr>
      </w:pPr>
      <w:bookmarkStart w:name="（2）融资租赁的会计处理方法" w:id="214"/>
      <w:bookmarkEnd w:id="214"/>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9"/>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32、其他重要的会计政策和会计估计" w:id="215"/>
      <w:bookmarkEnd w:id="215"/>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t>本集团根据历史经验和其他因素，包括对未来事项的合理预期，对所采用的重要会计估计和关键判断进行持续的评价。</w:t>
      </w:r>
    </w:p>
    <w:p>
      <w:pPr>
        <w:spacing w:after="0" w:line="240" w:lineRule="auto"/>
        <w:jc w:val="left"/>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1129"/>
        <w:jc w:val="left"/>
      </w:pPr>
      <w:r>
        <w:rPr/>
        <w:t>下列重要会计估计及关键假设存在会导致下一会计年度资产和负债的账面价值出现重大调整的重要风险：</w:t>
      </w:r>
    </w:p>
    <w:p>
      <w:pPr>
        <w:pStyle w:val="BodyText"/>
        <w:spacing w:line="324" w:lineRule="auto" w:before="115"/>
        <w:ind w:right="1129"/>
        <w:jc w:val="left"/>
      </w:pPr>
      <w:r>
        <w:rPr/>
        <w:t>（</w:t>
      </w:r>
      <w:r>
        <w:rPr>
          <w:rFonts w:ascii="Times New Roman" w:hAnsi="Times New Roman" w:cs="Times New Roman" w:eastAsia="Times New Roman" w:hint="default"/>
        </w:rPr>
        <w:t>1</w:t>
      </w:r>
      <w:r>
        <w:rPr/>
        <w:t>）应收款项的减值 </w:t>
      </w:r>
      <w:r>
        <w:rPr>
          <w:spacing w:val="-2"/>
        </w:rPr>
        <w:t>本集团在资产负债表日复核摊余成本计量的应收款项，以评估是否出现减值情况，并在出现减值情况时评估减值损失的具体</w:t>
      </w:r>
      <w:r>
        <w:rPr>
          <w:spacing w:val="-64"/>
        </w:rPr>
        <w:t> </w:t>
      </w:r>
      <w:r>
        <w:rPr>
          <w:spacing w:val="-64"/>
        </w:rPr>
      </w:r>
      <w:r>
        <w:rPr>
          <w:spacing w:val="-2"/>
        </w:rPr>
        <w:t>金额。减值的客观证据包括显示单项或组合应收款项预计未来现金流量出现大幅下降的可观察数据、显示单项或组合应收款</w:t>
      </w:r>
      <w:r>
        <w:rPr>
          <w:spacing w:val="-64"/>
        </w:rPr>
        <w:t> </w:t>
      </w:r>
      <w:r>
        <w:rPr>
          <w:spacing w:val="-64"/>
        </w:rPr>
      </w:r>
      <w:r>
        <w:rPr>
          <w:spacing w:val="-2"/>
        </w:rPr>
        <w:t>项中债务人的财务状况出现重大负面变动的可观察数据等事项。如果有证据表明该应收款项价值已恢复，且客观上与确认该</w:t>
      </w:r>
      <w:r>
        <w:rPr>
          <w:spacing w:val="-64"/>
        </w:rPr>
        <w:t> </w:t>
      </w:r>
      <w:r>
        <w:rPr>
          <w:spacing w:val="-64"/>
        </w:rPr>
      </w:r>
      <w:r>
        <w:rPr/>
        <w:t>损失后发生的事项有关，则将原确认的减值损失予以转回。</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321" w:lineRule="auto"/>
        <w:ind w:right="1034"/>
        <w:jc w:val="left"/>
      </w:pPr>
      <w:r>
        <w:rPr/>
        <w:t>（</w:t>
      </w:r>
      <w:r>
        <w:rPr>
          <w:rFonts w:ascii="Times New Roman" w:hAnsi="Times New Roman" w:cs="Times New Roman" w:eastAsia="Times New Roman" w:hint="default"/>
        </w:rPr>
        <w:t>2</w:t>
      </w:r>
      <w:r>
        <w:rPr/>
        <w:t>）亏损合同计提的预计负债 本集团主要从事软件开发业务及第三方软硬件及系统集成业务，管理层会对待执行合约的预计将发生的合约成本进行估计，</w:t>
      </w:r>
      <w:r>
        <w:rPr>
          <w:spacing w:val="-86"/>
        </w:rPr>
        <w:t> </w:t>
      </w:r>
      <w:r>
        <w:rPr>
          <w:spacing w:val="-86"/>
        </w:rPr>
      </w:r>
      <w:r>
        <w:rPr>
          <w:spacing w:val="-2"/>
        </w:rPr>
        <w:t>合约成本包括开发人员人工成本、为项目发生的差旅费用等。如果管理层预计在履行合同义务过程中将发生的合约成本预期</w:t>
      </w:r>
      <w:r>
        <w:rPr>
          <w:spacing w:val="-64"/>
        </w:rPr>
        <w:t> </w:t>
      </w:r>
      <w:r>
        <w:rPr>
          <w:spacing w:val="-64"/>
        </w:rPr>
      </w:r>
      <w:r>
        <w:rPr>
          <w:spacing w:val="-2"/>
        </w:rPr>
        <w:t>将超过与合同相关的未来流入经济利益的，则该待执行合同即变成了亏损合同。待执行合同变成亏损合同时，有合同标的资</w:t>
      </w:r>
      <w:r>
        <w:rPr>
          <w:spacing w:val="-63"/>
        </w:rPr>
        <w:t> </w:t>
      </w:r>
      <w:r>
        <w:rPr>
          <w:spacing w:val="-63"/>
        </w:rPr>
      </w:r>
      <w:r>
        <w:rPr>
          <w:spacing w:val="-2"/>
        </w:rPr>
        <w:t>产的，应当先对标的资产进行减值测试并按规定确认减值损失，如预计亏损超过该减值损失，管理层将超过部分确认为预计</w:t>
      </w:r>
      <w:r>
        <w:rPr>
          <w:spacing w:val="-63"/>
        </w:rPr>
        <w:t> </w:t>
      </w:r>
      <w:r>
        <w:rPr>
          <w:spacing w:val="-63"/>
        </w:rPr>
      </w:r>
      <w:r>
        <w:rPr>
          <w:spacing w:val="-2"/>
        </w:rPr>
        <w:t>负债；无合同标的资产的，亏损合同相关义务满足预计负债确认条件时确认相关预计负债。于资产负债表日，管理层对亏损</w:t>
      </w:r>
      <w:r>
        <w:rPr>
          <w:spacing w:val="-66"/>
        </w:rPr>
        <w:t> </w:t>
      </w:r>
      <w:r>
        <w:rPr>
          <w:spacing w:val="-66"/>
        </w:rPr>
      </w:r>
      <w:r>
        <w:rPr/>
        <w:t>合同形成的预计负债进行复核并作适当调整，以反映当前的最佳估计数。</w:t>
      </w:r>
    </w:p>
    <w:p>
      <w:pPr>
        <w:pStyle w:val="BodyText"/>
        <w:spacing w:line="338" w:lineRule="auto" w:before="56"/>
        <w:ind w:right="3914"/>
        <w:jc w:val="left"/>
      </w:pPr>
      <w:r>
        <w:rPr/>
        <w:t>（</w:t>
      </w:r>
      <w:r>
        <w:rPr>
          <w:rFonts w:ascii="Times New Roman" w:hAnsi="Times New Roman" w:cs="Times New Roman" w:eastAsia="Times New Roman" w:hint="default"/>
        </w:rPr>
        <w:t>3</w:t>
      </w:r>
      <w:r>
        <w:rPr/>
        <w:t>）商誉的减值 在资产负债表日对于商誉无论是否出现减值迹象，本集团每年均会估计其可收回金额。</w:t>
      </w:r>
    </w:p>
    <w:p>
      <w:pPr>
        <w:pStyle w:val="BodyText"/>
        <w:spacing w:line="316" w:lineRule="auto" w:before="43"/>
        <w:ind w:right="1046"/>
        <w:jc w:val="both"/>
      </w:pPr>
      <w:r>
        <w:rPr>
          <w:spacing w:val="-2"/>
        </w:rPr>
        <w:t>可收回金额是资产（或资产组）的公允价值减去处置费用后的净额与资产（或资产组）预计未来现金流量的现值两者之间的</w:t>
      </w:r>
      <w:r>
        <w:rPr>
          <w:spacing w:val="-64"/>
        </w:rPr>
        <w:t> </w:t>
      </w:r>
      <w:r>
        <w:rPr>
          <w:spacing w:val="-64"/>
        </w:rPr>
      </w:r>
      <w:r>
        <w:rPr>
          <w:spacing w:val="-2"/>
        </w:rPr>
        <w:t>较高者。由于本集团不能可靠获得资产（或资产组）的公开市价，因此不能可靠准确估计资产的公允价值。在预计未来现金</w:t>
      </w:r>
      <w:r>
        <w:rPr>
          <w:spacing w:val="-67"/>
        </w:rPr>
        <w:t> </w:t>
      </w:r>
      <w:r>
        <w:rPr>
          <w:spacing w:val="-67"/>
        </w:rPr>
      </w:r>
      <w:r>
        <w:rPr>
          <w:spacing w:val="-2"/>
        </w:rPr>
        <w:t>流量现值时，需要对该资产（或资产组）产品的销售增长、毛利以及计算现值时使用的折现率等作出重大判断。本集团在估</w:t>
      </w:r>
      <w:r>
        <w:rPr>
          <w:spacing w:val="-67"/>
        </w:rPr>
        <w:t> </w:t>
      </w:r>
      <w:r>
        <w:rPr>
          <w:spacing w:val="-67"/>
        </w:rPr>
      </w:r>
      <w:r>
        <w:rPr/>
        <w:t>计可收回金额时会采用所有能够获得的相关资料，包括根据合理和可支持的假设所作出有关销售增长和毛利等数据的预测。</w:t>
      </w:r>
    </w:p>
    <w:p>
      <w:pPr>
        <w:pStyle w:val="BodyText"/>
        <w:spacing w:line="316" w:lineRule="auto" w:before="59"/>
        <w:ind w:right="1133"/>
        <w:jc w:val="both"/>
      </w:pPr>
      <w:r>
        <w:rPr>
          <w:spacing w:val="-2"/>
        </w:rPr>
        <w:t>为进行商誉减值测试，商誉会分配至一组现金产生单位。这些现金产生单位组合亦即本集团为内部管理目的监察商誉的最低</w:t>
      </w:r>
      <w:r>
        <w:rPr>
          <w:spacing w:val="-64"/>
        </w:rPr>
        <w:t> </w:t>
      </w:r>
      <w:r>
        <w:rPr>
          <w:spacing w:val="-64"/>
        </w:rPr>
      </w:r>
      <w:r>
        <w:rPr>
          <w:spacing w:val="-2"/>
        </w:rPr>
        <w:t>层次。现金产生单位的可收回金额根据折现现金流量法厘定的使用价值确定。该方法考虑了现金产生单位最近可合理估计的</w:t>
      </w:r>
      <w:r>
        <w:rPr>
          <w:spacing w:val="-64"/>
        </w:rPr>
        <w:t> </w:t>
      </w:r>
      <w:r>
        <w:rPr>
          <w:spacing w:val="-64"/>
        </w:rPr>
      </w:r>
      <w:r>
        <w:rPr/>
        <w:t>未来现金流量以及合理的折现率，计算上述资产组的未来现金流量现值。</w:t>
      </w:r>
    </w:p>
    <w:p>
      <w:pPr>
        <w:pStyle w:val="BodyText"/>
        <w:spacing w:line="324" w:lineRule="auto" w:before="57"/>
        <w:ind w:right="1129"/>
        <w:jc w:val="left"/>
      </w:pPr>
      <w:r>
        <w:rPr/>
        <w:t>（</w:t>
      </w:r>
      <w:r>
        <w:rPr>
          <w:rFonts w:ascii="Times New Roman" w:hAnsi="Times New Roman" w:cs="Times New Roman" w:eastAsia="Times New Roman" w:hint="default"/>
        </w:rPr>
        <w:t>4</w:t>
      </w:r>
      <w:r>
        <w:rPr/>
        <w:t>）所得税 </w:t>
      </w:r>
      <w:r>
        <w:rPr>
          <w:spacing w:val="-2"/>
        </w:rPr>
        <w:t>本集团在多个地区缴纳企业所得税。在正常的经营活动中，部分交易和事项的最终税务处理存在不确定性。在计提各个地区</w:t>
      </w:r>
      <w:r>
        <w:rPr>
          <w:spacing w:val="-65"/>
        </w:rPr>
        <w:t> </w:t>
      </w:r>
      <w:r>
        <w:rPr>
          <w:spacing w:val="-65"/>
        </w:rPr>
      </w:r>
      <w:r>
        <w:rPr>
          <w:spacing w:val="-2"/>
        </w:rPr>
        <w:t>的所得税费用时，本集团需要作出重大判断。如果这些税务事项的最终认定结果与最初入账的金额存在差异，该差异将对作</w:t>
      </w:r>
      <w:r>
        <w:rPr>
          <w:spacing w:val="-63"/>
        </w:rPr>
        <w:t> </w:t>
      </w:r>
      <w:r>
        <w:rPr>
          <w:spacing w:val="-63"/>
        </w:rPr>
      </w:r>
      <w:r>
        <w:rPr/>
        <w:t>出上述最终认定期间的所得税费用和递延所得税的金额产生影响。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3"/>
        <w:spacing w:line="240" w:lineRule="auto"/>
        <w:ind w:right="1129"/>
        <w:jc w:val="left"/>
        <w:rPr>
          <w:b w:val="0"/>
          <w:bCs w:val="0"/>
        </w:rPr>
      </w:pPr>
      <w:bookmarkStart w:name="33、重要会计政策和会计估计变更" w:id="216"/>
      <w:bookmarkEnd w:id="216"/>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9"/>
        <w:jc w:val="left"/>
        <w:rPr>
          <w:b w:val="0"/>
          <w:bCs w:val="0"/>
        </w:rPr>
      </w:pPr>
      <w:bookmarkStart w:name="（1）重要会计政策变更" w:id="217"/>
      <w:bookmarkEnd w:id="217"/>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2"/>
        <w:gridCol w:w="3187"/>
        <w:gridCol w:w="3190"/>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409"/>
              <w:jc w:val="right"/>
              <w:rPr>
                <w:rFonts w:ascii="宋体" w:hAnsi="宋体" w:cs="宋体" w:eastAsia="宋体" w:hint="default"/>
                <w:sz w:val="18"/>
                <w:szCs w:val="18"/>
              </w:rPr>
            </w:pPr>
            <w:r>
              <w:rPr>
                <w:rFonts w:ascii="宋体" w:hAnsi="宋体" w:cs="宋体" w:eastAsia="宋体" w:hint="default"/>
                <w:sz w:val="18"/>
                <w:szCs w:val="18"/>
              </w:rPr>
              <w:t>备注</w:t>
            </w:r>
          </w:p>
        </w:tc>
      </w:tr>
      <w:tr>
        <w:trPr>
          <w:trHeight w:val="1963"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年颁布了《财政部关于修</w:t>
            </w:r>
          </w:p>
          <w:p>
            <w:pPr>
              <w:pStyle w:val="TableParagraph"/>
              <w:spacing w:line="304"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订印发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年度一般企业财务报表格式 </w:t>
            </w:r>
            <w:r>
              <w:rPr>
                <w:rFonts w:ascii="宋体" w:hAnsi="宋体" w:cs="宋体" w:eastAsia="宋体" w:hint="default"/>
                <w:spacing w:val="-7"/>
                <w:sz w:val="18"/>
                <w:szCs w:val="18"/>
              </w:rPr>
              <w:t>的通知》（财会</w:t>
            </w:r>
            <w:r>
              <w:rPr>
                <w:rFonts w:ascii="Times New Roman" w:hAnsi="Times New Roman" w:cs="Times New Roman" w:eastAsia="Times New Roman" w:hint="default"/>
                <w:spacing w:val="-7"/>
                <w:sz w:val="18"/>
                <w:szCs w:val="18"/>
              </w:rPr>
              <w:t>[2018]15</w:t>
            </w:r>
            <w:r>
              <w:rPr>
                <w:rFonts w:ascii="Times New Roman" w:hAnsi="Times New Roman" w:cs="Times New Roman" w:eastAsia="Times New Roman" w:hint="default"/>
                <w:spacing w:val="12"/>
                <w:sz w:val="18"/>
                <w:szCs w:val="18"/>
              </w:rPr>
              <w:t> </w:t>
            </w:r>
            <w:r>
              <w:rPr>
                <w:rFonts w:ascii="宋体" w:hAnsi="宋体" w:cs="宋体" w:eastAsia="宋体" w:hint="default"/>
                <w:spacing w:val="-1"/>
                <w:sz w:val="18"/>
                <w:szCs w:val="18"/>
              </w:rPr>
              <w:t>号）及其解读，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本集团已按照上述通知编制</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年度的 财务报表，比较财务报表已相应调整， 对财务报表的影响列示如下。</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日召开了第二届 董事会第十九次会议及第二届监事会第 十六次会议，审议通过了《关于会计政 </w:t>
            </w:r>
            <w:r>
              <w:rPr>
                <w:rFonts w:ascii="宋体" w:hAnsi="宋体" w:cs="宋体" w:eastAsia="宋体" w:hint="default"/>
                <w:spacing w:val="-7"/>
                <w:sz w:val="18"/>
                <w:szCs w:val="18"/>
              </w:rPr>
              <w:t>策变更的议案》，该事项无需提交股东大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会审议。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355"/>
              <w:jc w:val="right"/>
              <w:rPr>
                <w:rFonts w:ascii="宋体" w:hAnsi="宋体" w:cs="宋体" w:eastAsia="宋体" w:hint="default"/>
                <w:sz w:val="18"/>
                <w:szCs w:val="18"/>
              </w:rPr>
            </w:pPr>
            <w:r>
              <w:rPr>
                <w:rFonts w:ascii="宋体" w:hAnsi="宋体" w:cs="宋体" w:eastAsia="宋体" w:hint="default"/>
                <w:sz w:val="18"/>
                <w:szCs w:val="18"/>
              </w:rPr>
              <w:t>具体内容详见以下说明</w:t>
            </w:r>
          </w:p>
        </w:tc>
      </w:tr>
    </w:tbl>
    <w:p>
      <w:pPr>
        <w:spacing w:after="0" w:line="240" w:lineRule="auto"/>
        <w:jc w:val="right"/>
        <w:rPr>
          <w:rFonts w:ascii="宋体" w:hAnsi="宋体" w:cs="宋体" w:eastAsia="宋体" w:hint="default"/>
          <w:sz w:val="18"/>
          <w:szCs w:val="18"/>
        </w:rPr>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9"/>
        <w:jc w:val="left"/>
      </w:pPr>
      <w:r>
        <w:rPr>
          <w:rFonts w:ascii="Times New Roman" w:hAnsi="Times New Roman" w:cs="Times New Roman" w:eastAsia="Times New Roman" w:hint="default"/>
        </w:rPr>
        <w:t>(a)</w:t>
      </w:r>
      <w:r>
        <w:rPr/>
        <w:t>对合并资产负债表及利润表的影响列示如下：</w:t>
      </w:r>
    </w:p>
    <w:p>
      <w:pPr>
        <w:spacing w:line="240" w:lineRule="auto" w:before="2"/>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3686"/>
        <w:gridCol w:w="2899"/>
        <w:gridCol w:w="3072"/>
      </w:tblGrid>
      <w:tr>
        <w:trPr>
          <w:trHeight w:val="341" w:hRule="exact"/>
        </w:trPr>
        <w:tc>
          <w:tcPr>
            <w:tcW w:w="3686" w:type="dxa"/>
            <w:vMerge w:val="restart"/>
            <w:tcBorders>
              <w:top w:val="single" w:sz="4" w:space="0" w:color="000000"/>
              <w:left w:val="single" w:sz="4" w:space="0" w:color="000000"/>
              <w:right w:val="single" w:sz="4" w:space="0" w:color="000000"/>
            </w:tcBorders>
          </w:tcPr>
          <w:p>
            <w:pPr>
              <w:pStyle w:val="TableParagraph"/>
              <w:spacing w:line="240" w:lineRule="auto" w:before="18"/>
              <w:ind w:left="75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899" w:type="dxa"/>
            <w:vMerge w:val="restart"/>
            <w:tcBorders>
              <w:top w:val="single" w:sz="4" w:space="0" w:color="000000"/>
              <w:left w:val="single" w:sz="4" w:space="0" w:color="000000"/>
              <w:right w:val="single" w:sz="4" w:space="0" w:color="000000"/>
            </w:tcBorders>
          </w:tcPr>
          <w:p>
            <w:pPr>
              <w:pStyle w:val="TableParagraph"/>
              <w:spacing w:line="240" w:lineRule="auto" w:before="18"/>
              <w:ind w:left="544"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影响金额</w:t>
            </w:r>
          </w:p>
        </w:tc>
      </w:tr>
      <w:tr>
        <w:trPr>
          <w:trHeight w:val="343" w:hRule="exact"/>
        </w:trPr>
        <w:tc>
          <w:tcPr>
            <w:tcW w:w="3686" w:type="dxa"/>
            <w:vMerge/>
            <w:tcBorders>
              <w:left w:val="single" w:sz="4" w:space="0" w:color="000000"/>
              <w:bottom w:val="single" w:sz="4" w:space="0" w:color="000000"/>
              <w:right w:val="single" w:sz="4" w:space="0" w:color="000000"/>
            </w:tcBorders>
          </w:tcPr>
          <w:p>
            <w:pPr/>
          </w:p>
        </w:tc>
        <w:tc>
          <w:tcPr>
            <w:tcW w:w="2899" w:type="dxa"/>
            <w:vMerge/>
            <w:tcBorders>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3" w:hRule="exact"/>
        </w:trPr>
        <w:tc>
          <w:tcPr>
            <w:tcW w:w="3686" w:type="dxa"/>
            <w:vMerge w:val="restart"/>
            <w:tcBorders>
              <w:top w:val="single" w:sz="4" w:space="0" w:color="000000"/>
              <w:left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pacing w:val="2"/>
                <w:sz w:val="18"/>
                <w:szCs w:val="18"/>
              </w:rPr>
              <w:t>本集团将应收票据和应收账款合并计入应收票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据及应收账款项目。</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-646,980,421.72</w:t>
            </w:r>
            <w:r>
              <w:rPr>
                <w:rFonts w:ascii="Times New Roman"/>
                <w:sz w:val="18"/>
              </w:rPr>
            </w:r>
          </w:p>
        </w:tc>
      </w:tr>
      <w:tr>
        <w:trPr>
          <w:trHeight w:val="341" w:hRule="exact"/>
        </w:trPr>
        <w:tc>
          <w:tcPr>
            <w:tcW w:w="3686" w:type="dxa"/>
            <w:vMerge/>
            <w:tcBorders>
              <w:left w:val="single" w:sz="4" w:space="0" w:color="000000"/>
              <w:right w:val="single" w:sz="4" w:space="0" w:color="000000"/>
            </w:tcBorders>
          </w:tcPr>
          <w:p>
            <w:pP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-24,632,467.47</w:t>
            </w:r>
          </w:p>
        </w:tc>
      </w:tr>
      <w:tr>
        <w:trPr>
          <w:trHeight w:val="343" w:hRule="exact"/>
        </w:trPr>
        <w:tc>
          <w:tcPr>
            <w:tcW w:w="3686" w:type="dxa"/>
            <w:vMerge/>
            <w:tcBorders>
              <w:left w:val="single" w:sz="4" w:space="0" w:color="000000"/>
              <w:bottom w:val="single" w:sz="4" w:space="0" w:color="000000"/>
              <w:right w:val="single" w:sz="4" w:space="0" w:color="000000"/>
            </w:tcBorders>
          </w:tcPr>
          <w:p>
            <w:pP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671,612,889.19</w:t>
            </w:r>
            <w:r>
              <w:rPr>
                <w:rFonts w:ascii="Times New Roman"/>
                <w:sz w:val="18"/>
              </w:rPr>
            </w:r>
          </w:p>
        </w:tc>
      </w:tr>
    </w:tbl>
    <w:p>
      <w:pPr>
        <w:spacing w:line="240" w:lineRule="auto" w:before="11"/>
        <w:rPr>
          <w:rFonts w:ascii="宋体" w:hAnsi="宋体" w:cs="宋体" w:eastAsia="宋体" w:hint="default"/>
          <w:sz w:val="23"/>
          <w:szCs w:val="23"/>
        </w:rPr>
      </w:pPr>
    </w:p>
    <w:tbl>
      <w:tblPr>
        <w:tblW w:w="0" w:type="auto"/>
        <w:jc w:val="left"/>
        <w:tblInd w:w="138" w:type="dxa"/>
        <w:tblLayout w:type="fixed"/>
        <w:tblCellMar>
          <w:top w:w="0" w:type="dxa"/>
          <w:left w:w="0" w:type="dxa"/>
          <w:bottom w:w="0" w:type="dxa"/>
          <w:right w:w="0" w:type="dxa"/>
        </w:tblCellMar>
        <w:tblLook w:val="01E0"/>
      </w:tblPr>
      <w:tblGrid>
        <w:gridCol w:w="3686"/>
        <w:gridCol w:w="2899"/>
        <w:gridCol w:w="3072"/>
      </w:tblGrid>
      <w:tr>
        <w:trPr>
          <w:trHeight w:val="341" w:hRule="exact"/>
        </w:trPr>
        <w:tc>
          <w:tcPr>
            <w:tcW w:w="3686" w:type="dxa"/>
            <w:vMerge w:val="restart"/>
            <w:tcBorders>
              <w:top w:val="single" w:sz="4" w:space="0" w:color="000000"/>
              <w:left w:val="single" w:sz="4" w:space="0" w:color="000000"/>
              <w:right w:val="single" w:sz="4" w:space="0" w:color="000000"/>
            </w:tcBorders>
          </w:tcPr>
          <w:p>
            <w:pPr>
              <w:pStyle w:val="TableParagraph"/>
              <w:spacing w:line="240" w:lineRule="auto" w:before="17"/>
              <w:ind w:left="75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899" w:type="dxa"/>
            <w:vMerge w:val="restart"/>
            <w:tcBorders>
              <w:top w:val="single" w:sz="4" w:space="0" w:color="000000"/>
              <w:left w:val="single" w:sz="4" w:space="0" w:color="000000"/>
              <w:right w:val="single" w:sz="4" w:space="0" w:color="000000"/>
            </w:tcBorders>
          </w:tcPr>
          <w:p>
            <w:pPr>
              <w:pStyle w:val="TableParagraph"/>
              <w:spacing w:line="240" w:lineRule="auto" w:before="17"/>
              <w:ind w:left="544"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71" w:right="0"/>
              <w:jc w:val="left"/>
              <w:rPr>
                <w:rFonts w:ascii="宋体" w:hAnsi="宋体" w:cs="宋体" w:eastAsia="宋体" w:hint="default"/>
                <w:sz w:val="18"/>
                <w:szCs w:val="18"/>
              </w:rPr>
            </w:pPr>
            <w:r>
              <w:rPr>
                <w:rFonts w:ascii="宋体" w:hAnsi="宋体" w:cs="宋体" w:eastAsia="宋体" w:hint="default"/>
                <w:sz w:val="18"/>
                <w:szCs w:val="18"/>
              </w:rPr>
              <w:t>影响金额</w:t>
            </w:r>
          </w:p>
        </w:tc>
      </w:tr>
      <w:tr>
        <w:trPr>
          <w:trHeight w:val="343" w:hRule="exact"/>
        </w:trPr>
        <w:tc>
          <w:tcPr>
            <w:tcW w:w="3686" w:type="dxa"/>
            <w:vMerge/>
            <w:tcBorders>
              <w:left w:val="single" w:sz="4" w:space="0" w:color="000000"/>
              <w:bottom w:val="single" w:sz="4" w:space="0" w:color="000000"/>
              <w:right w:val="single" w:sz="4" w:space="0" w:color="000000"/>
            </w:tcBorders>
          </w:tcPr>
          <w:p>
            <w:pPr/>
          </w:p>
        </w:tc>
        <w:tc>
          <w:tcPr>
            <w:tcW w:w="2899" w:type="dxa"/>
            <w:vMerge/>
            <w:tcBorders>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r>
      <w:tr>
        <w:trPr>
          <w:trHeight w:val="341" w:hRule="exact"/>
        </w:trPr>
        <w:tc>
          <w:tcPr>
            <w:tcW w:w="3686" w:type="dxa"/>
            <w:vMerge w:val="restart"/>
            <w:tcBorders>
              <w:top w:val="single" w:sz="4" w:space="0" w:color="000000"/>
              <w:left w:val="single" w:sz="4" w:space="0" w:color="000000"/>
              <w:right w:val="single" w:sz="4" w:space="0" w:color="000000"/>
            </w:tcBorders>
          </w:tcPr>
          <w:p>
            <w:pPr>
              <w:pStyle w:val="TableParagraph"/>
              <w:spacing w:line="316" w:lineRule="auto" w:before="17"/>
              <w:ind w:left="4" w:right="71"/>
              <w:jc w:val="left"/>
              <w:rPr>
                <w:rFonts w:ascii="宋体" w:hAnsi="宋体" w:cs="宋体" w:eastAsia="宋体" w:hint="default"/>
                <w:sz w:val="18"/>
                <w:szCs w:val="18"/>
              </w:rPr>
            </w:pPr>
            <w:r>
              <w:rPr>
                <w:rFonts w:ascii="宋体" w:hAnsi="宋体" w:cs="宋体" w:eastAsia="宋体" w:hint="default"/>
                <w:sz w:val="18"/>
                <w:szCs w:val="18"/>
              </w:rPr>
              <w:t>本集团将原计入管理费用项目的研发费用单独 列示为研发费用项目。</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96,167,843.83</w:t>
            </w:r>
          </w:p>
        </w:tc>
      </w:tr>
      <w:tr>
        <w:trPr>
          <w:trHeight w:val="343" w:hRule="exact"/>
        </w:trPr>
        <w:tc>
          <w:tcPr>
            <w:tcW w:w="3686" w:type="dxa"/>
            <w:vMerge/>
            <w:tcBorders>
              <w:left w:val="single" w:sz="4" w:space="0" w:color="000000"/>
              <w:bottom w:val="single" w:sz="4" w:space="0" w:color="000000"/>
              <w:right w:val="single" w:sz="4" w:space="0" w:color="000000"/>
            </w:tcBorders>
          </w:tcPr>
          <w:p>
            <w:pP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-96,167,843.83</w:t>
            </w:r>
          </w:p>
        </w:tc>
      </w:tr>
    </w:tbl>
    <w:p>
      <w:pPr>
        <w:pStyle w:val="BodyText"/>
        <w:spacing w:line="240" w:lineRule="auto" w:before="8"/>
        <w:ind w:right="1129"/>
        <w:jc w:val="left"/>
        <w:rPr>
          <w:rFonts w:ascii="宋体" w:hAnsi="宋体" w:cs="宋体" w:eastAsia="宋体" w:hint="default"/>
        </w:rPr>
      </w:pPr>
      <w:r>
        <w:rPr>
          <w:rFonts w:ascii="Times New Roman" w:hAnsi="Times New Roman" w:cs="Times New Roman" w:eastAsia="Times New Roman" w:hint="default"/>
        </w:rPr>
        <w:t>(b)</w:t>
      </w:r>
      <w:r>
        <w:rPr/>
        <w:t>对公司资产负债表及利润表的影响列示如下：</w:t>
      </w:r>
      <w:r>
        <w:rPr>
          <w:rFonts w:ascii="宋体" w:hAnsi="宋体" w:cs="宋体" w:eastAsia="宋体" w:hint="default"/>
        </w:rPr>
        <w:t> </w:t>
      </w:r>
    </w:p>
    <w:p>
      <w:pPr>
        <w:spacing w:line="240" w:lineRule="auto" w:before="0"/>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3686"/>
        <w:gridCol w:w="2899"/>
        <w:gridCol w:w="3072"/>
      </w:tblGrid>
      <w:tr>
        <w:trPr>
          <w:trHeight w:val="341" w:hRule="exact"/>
        </w:trPr>
        <w:tc>
          <w:tcPr>
            <w:tcW w:w="3686" w:type="dxa"/>
            <w:vMerge w:val="restart"/>
            <w:tcBorders>
              <w:top w:val="single" w:sz="4" w:space="0" w:color="000000"/>
              <w:left w:val="single" w:sz="4" w:space="0" w:color="000000"/>
              <w:right w:val="single" w:sz="4" w:space="0" w:color="000000"/>
            </w:tcBorders>
          </w:tcPr>
          <w:p>
            <w:pPr>
              <w:pStyle w:val="TableParagraph"/>
              <w:spacing w:line="240" w:lineRule="auto" w:before="17"/>
              <w:ind w:left="75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899" w:type="dxa"/>
            <w:vMerge w:val="restart"/>
            <w:tcBorders>
              <w:top w:val="single" w:sz="4" w:space="0" w:color="000000"/>
              <w:left w:val="single" w:sz="4" w:space="0" w:color="000000"/>
              <w:right w:val="single" w:sz="4" w:space="0" w:color="000000"/>
            </w:tcBorders>
          </w:tcPr>
          <w:p>
            <w:pPr>
              <w:pStyle w:val="TableParagraph"/>
              <w:spacing w:line="240" w:lineRule="auto" w:before="17"/>
              <w:ind w:left="544"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影响金额</w:t>
            </w:r>
          </w:p>
        </w:tc>
      </w:tr>
      <w:tr>
        <w:trPr>
          <w:trHeight w:val="343" w:hRule="exact"/>
        </w:trPr>
        <w:tc>
          <w:tcPr>
            <w:tcW w:w="3686" w:type="dxa"/>
            <w:vMerge/>
            <w:tcBorders>
              <w:left w:val="single" w:sz="4" w:space="0" w:color="000000"/>
              <w:bottom w:val="single" w:sz="4" w:space="0" w:color="000000"/>
              <w:right w:val="single" w:sz="4" w:space="0" w:color="000000"/>
            </w:tcBorders>
          </w:tcPr>
          <w:p>
            <w:pPr/>
          </w:p>
        </w:tc>
        <w:tc>
          <w:tcPr>
            <w:tcW w:w="2899" w:type="dxa"/>
            <w:vMerge/>
            <w:tcBorders>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r>
      <w:tr>
        <w:trPr>
          <w:trHeight w:val="341" w:hRule="exact"/>
        </w:trPr>
        <w:tc>
          <w:tcPr>
            <w:tcW w:w="3686" w:type="dxa"/>
            <w:vMerge w:val="restart"/>
            <w:tcBorders>
              <w:top w:val="single" w:sz="4" w:space="0" w:color="000000"/>
              <w:left w:val="single" w:sz="4" w:space="0" w:color="000000"/>
              <w:right w:val="single" w:sz="4" w:space="0" w:color="000000"/>
            </w:tcBorders>
          </w:tcPr>
          <w:p>
            <w:pPr>
              <w:pStyle w:val="TableParagraph"/>
              <w:spacing w:line="316" w:lineRule="auto" w:before="17"/>
              <w:ind w:left="4" w:right="71"/>
              <w:jc w:val="left"/>
              <w:rPr>
                <w:rFonts w:ascii="宋体" w:hAnsi="宋体" w:cs="宋体" w:eastAsia="宋体" w:hint="default"/>
                <w:sz w:val="18"/>
                <w:szCs w:val="18"/>
              </w:rPr>
            </w:pPr>
            <w:r>
              <w:rPr>
                <w:rFonts w:ascii="宋体" w:hAnsi="宋体" w:cs="宋体" w:eastAsia="宋体" w:hint="default"/>
                <w:sz w:val="18"/>
                <w:szCs w:val="18"/>
              </w:rPr>
              <w:t>本公司将应收票据和应收账款合并计入应收票 据及应收账款项目。</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-638,945,288.60</w:t>
            </w:r>
            <w:r>
              <w:rPr>
                <w:rFonts w:ascii="Times New Roman"/>
                <w:sz w:val="18"/>
              </w:rPr>
            </w:r>
          </w:p>
        </w:tc>
      </w:tr>
      <w:tr>
        <w:trPr>
          <w:trHeight w:val="343" w:hRule="exact"/>
        </w:trPr>
        <w:tc>
          <w:tcPr>
            <w:tcW w:w="3686" w:type="dxa"/>
            <w:vMerge/>
            <w:tcBorders>
              <w:left w:val="single" w:sz="4" w:space="0" w:color="000000"/>
              <w:right w:val="single" w:sz="4" w:space="0" w:color="000000"/>
            </w:tcBorders>
          </w:tcPr>
          <w:p>
            <w:pP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-24,280,467.47</w:t>
            </w:r>
          </w:p>
        </w:tc>
      </w:tr>
      <w:tr>
        <w:trPr>
          <w:trHeight w:val="343" w:hRule="exact"/>
        </w:trPr>
        <w:tc>
          <w:tcPr>
            <w:tcW w:w="3686" w:type="dxa"/>
            <w:vMerge/>
            <w:tcBorders>
              <w:left w:val="single" w:sz="4" w:space="0" w:color="000000"/>
              <w:bottom w:val="single" w:sz="4" w:space="0" w:color="000000"/>
              <w:right w:val="single" w:sz="4" w:space="0" w:color="000000"/>
            </w:tcBorders>
          </w:tcPr>
          <w:p>
            <w:pP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663,225,756.07</w:t>
            </w:r>
            <w:r>
              <w:rPr>
                <w:rFonts w:ascii="Times New Roman"/>
                <w:sz w:val="18"/>
              </w:rPr>
            </w:r>
          </w:p>
        </w:tc>
      </w:tr>
    </w:tbl>
    <w:p>
      <w:pPr>
        <w:spacing w:line="240" w:lineRule="auto" w:before="11"/>
        <w:rPr>
          <w:rFonts w:ascii="宋体" w:hAnsi="宋体" w:cs="宋体" w:eastAsia="宋体" w:hint="default"/>
          <w:sz w:val="23"/>
          <w:szCs w:val="23"/>
        </w:rPr>
      </w:pPr>
    </w:p>
    <w:tbl>
      <w:tblPr>
        <w:tblW w:w="0" w:type="auto"/>
        <w:jc w:val="left"/>
        <w:tblInd w:w="138" w:type="dxa"/>
        <w:tblLayout w:type="fixed"/>
        <w:tblCellMar>
          <w:top w:w="0" w:type="dxa"/>
          <w:left w:w="0" w:type="dxa"/>
          <w:bottom w:w="0" w:type="dxa"/>
          <w:right w:w="0" w:type="dxa"/>
        </w:tblCellMar>
        <w:tblLook w:val="01E0"/>
      </w:tblPr>
      <w:tblGrid>
        <w:gridCol w:w="3686"/>
        <w:gridCol w:w="2899"/>
        <w:gridCol w:w="3072"/>
      </w:tblGrid>
      <w:tr>
        <w:trPr>
          <w:trHeight w:val="341" w:hRule="exact"/>
        </w:trPr>
        <w:tc>
          <w:tcPr>
            <w:tcW w:w="3686" w:type="dxa"/>
            <w:vMerge w:val="restart"/>
            <w:tcBorders>
              <w:top w:val="single" w:sz="4" w:space="0" w:color="000000"/>
              <w:left w:val="single" w:sz="4" w:space="0" w:color="000000"/>
              <w:right w:val="single" w:sz="4" w:space="0" w:color="000000"/>
            </w:tcBorders>
          </w:tcPr>
          <w:p>
            <w:pPr>
              <w:pStyle w:val="TableParagraph"/>
              <w:spacing w:line="240" w:lineRule="auto" w:before="17"/>
              <w:ind w:left="75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899" w:type="dxa"/>
            <w:vMerge w:val="restart"/>
            <w:tcBorders>
              <w:top w:val="single" w:sz="4" w:space="0" w:color="000000"/>
              <w:left w:val="single" w:sz="4" w:space="0" w:color="000000"/>
              <w:right w:val="single" w:sz="4" w:space="0" w:color="000000"/>
            </w:tcBorders>
          </w:tcPr>
          <w:p>
            <w:pPr>
              <w:pStyle w:val="TableParagraph"/>
              <w:spacing w:line="240" w:lineRule="auto" w:before="17"/>
              <w:ind w:left="544"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71" w:right="0"/>
              <w:jc w:val="left"/>
              <w:rPr>
                <w:rFonts w:ascii="宋体" w:hAnsi="宋体" w:cs="宋体" w:eastAsia="宋体" w:hint="default"/>
                <w:sz w:val="18"/>
                <w:szCs w:val="18"/>
              </w:rPr>
            </w:pPr>
            <w:r>
              <w:rPr>
                <w:rFonts w:ascii="宋体" w:hAnsi="宋体" w:cs="宋体" w:eastAsia="宋体" w:hint="default"/>
                <w:sz w:val="18"/>
                <w:szCs w:val="18"/>
              </w:rPr>
              <w:t>影响金额</w:t>
            </w:r>
          </w:p>
        </w:tc>
      </w:tr>
      <w:tr>
        <w:trPr>
          <w:trHeight w:val="343" w:hRule="exact"/>
        </w:trPr>
        <w:tc>
          <w:tcPr>
            <w:tcW w:w="3686" w:type="dxa"/>
            <w:vMerge/>
            <w:tcBorders>
              <w:left w:val="single" w:sz="4" w:space="0" w:color="000000"/>
              <w:bottom w:val="single" w:sz="4" w:space="0" w:color="000000"/>
              <w:right w:val="single" w:sz="4" w:space="0" w:color="000000"/>
            </w:tcBorders>
          </w:tcPr>
          <w:p>
            <w:pPr/>
          </w:p>
        </w:tc>
        <w:tc>
          <w:tcPr>
            <w:tcW w:w="2899" w:type="dxa"/>
            <w:vMerge/>
            <w:tcBorders>
              <w:left w:val="single" w:sz="4" w:space="0" w:color="000000"/>
              <w:bottom w:val="single" w:sz="4" w:space="0" w:color="000000"/>
              <w:right w:val="single" w:sz="4" w:space="0" w:color="000000"/>
            </w:tcBorders>
          </w:tcPr>
          <w:p>
            <w:pP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r>
      <w:tr>
        <w:trPr>
          <w:trHeight w:val="341" w:hRule="exact"/>
        </w:trPr>
        <w:tc>
          <w:tcPr>
            <w:tcW w:w="3686" w:type="dxa"/>
            <w:vMerge w:val="restart"/>
            <w:tcBorders>
              <w:top w:val="single" w:sz="4" w:space="0" w:color="000000"/>
              <w:left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pacing w:val="2"/>
                <w:sz w:val="18"/>
                <w:szCs w:val="18"/>
              </w:rPr>
              <w:t>本公司将原计入管理费用项目的研发费用单独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列示为研发费用项目。</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82"/>
              <w:jc w:val="right"/>
              <w:rPr>
                <w:rFonts w:ascii="宋体" w:hAnsi="宋体" w:cs="宋体" w:eastAsia="宋体" w:hint="default"/>
                <w:sz w:val="18"/>
                <w:szCs w:val="18"/>
              </w:rPr>
            </w:pPr>
            <w:r>
              <w:rPr>
                <w:rFonts w:ascii="宋体" w:hAnsi="宋体" w:cs="宋体" w:eastAsia="宋体" w:hint="default"/>
                <w:sz w:val="18"/>
                <w:szCs w:val="18"/>
              </w:rPr>
              <w:t>研发费用</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92,850,278.36</w:t>
            </w:r>
          </w:p>
        </w:tc>
      </w:tr>
      <w:tr>
        <w:trPr>
          <w:trHeight w:val="343" w:hRule="exact"/>
        </w:trPr>
        <w:tc>
          <w:tcPr>
            <w:tcW w:w="3686" w:type="dxa"/>
            <w:vMerge/>
            <w:tcBorders>
              <w:left w:val="single" w:sz="4" w:space="0" w:color="000000"/>
              <w:bottom w:val="single" w:sz="4" w:space="0" w:color="000000"/>
              <w:right w:val="single" w:sz="4" w:space="0" w:color="000000"/>
            </w:tcBorders>
          </w:tcPr>
          <w:p>
            <w:pP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82"/>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-92,850,278.36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29"/>
        <w:jc w:val="left"/>
        <w:rPr>
          <w:b w:val="0"/>
          <w:bCs w:val="0"/>
        </w:rPr>
      </w:pPr>
      <w:bookmarkStart w:name="（2）重要会计估计变更" w:id="218"/>
      <w:bookmarkEnd w:id="21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9"/>
        <w:jc w:val="left"/>
        <w:rPr>
          <w:b w:val="0"/>
          <w:bCs w:val="0"/>
        </w:rPr>
      </w:pPr>
      <w:bookmarkStart w:name="34、其他" w:id="219"/>
      <w:bookmarkEnd w:id="219"/>
      <w:r>
        <w:rPr>
          <w:b w:val="0"/>
          <w:bCs w:val="0"/>
        </w:rPr>
      </w:r>
      <w:r>
        <w:rPr>
          <w:rFonts w:ascii="Times New Roman" w:hAnsi="Times New Roman" w:cs="Times New Roman" w:eastAsia="Times New Roman" w:hint="default"/>
        </w:rPr>
        <w:t>34</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9"/>
        <w:jc w:val="left"/>
        <w:rPr>
          <w:b w:val="0"/>
          <w:bCs w:val="0"/>
        </w:rPr>
      </w:pPr>
      <w:bookmarkStart w:name="六、税项" w:id="220"/>
      <w:bookmarkEnd w:id="220"/>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9"/>
        <w:jc w:val="left"/>
        <w:rPr>
          <w:b w:val="0"/>
          <w:bCs w:val="0"/>
        </w:rPr>
      </w:pPr>
      <w:bookmarkStart w:name="1、主要税种及税率" w:id="221"/>
      <w:bookmarkEnd w:id="221"/>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78" w:type="dxa"/>
            <w:tcBorders>
              <w:top w:val="single" w:sz="4" w:space="0" w:color="000000"/>
              <w:left w:val="single" w:sz="4" w:space="0" w:color="000000"/>
              <w:bottom w:val="nil" w:sz="6" w:space="0" w:color="auto"/>
              <w:right w:val="single" w:sz="4" w:space="0" w:color="000000"/>
            </w:tcBorders>
            <w:shd w:val="clear" w:color="auto" w:fill="D4D4D4"/>
          </w:tcPr>
          <w:p>
            <w:pPr/>
          </w:p>
        </w:tc>
        <w:tc>
          <w:tcPr>
            <w:tcW w:w="3190" w:type="dxa"/>
            <w:vMerge w:val="restart"/>
            <w:tcBorders>
              <w:top w:val="single" w:sz="4" w:space="0" w:color="000000"/>
              <w:left w:val="single" w:sz="9" w:space="0" w:color="D4D4D4"/>
              <w:right w:val="single" w:sz="4" w:space="0" w:color="000000"/>
            </w:tcBorders>
          </w:tcPr>
          <w:p>
            <w:pPr>
              <w:pStyle w:val="TableParagraph"/>
              <w:spacing w:line="316" w:lineRule="auto" w:before="49"/>
              <w:ind w:left="17" w:right="95"/>
              <w:jc w:val="both"/>
              <w:rPr>
                <w:rFonts w:ascii="宋体" w:hAnsi="宋体" w:cs="宋体" w:eastAsia="宋体" w:hint="default"/>
                <w:sz w:val="18"/>
                <w:szCs w:val="18"/>
              </w:rPr>
            </w:pPr>
            <w:r>
              <w:rPr>
                <w:rFonts w:ascii="宋体" w:hAnsi="宋体" w:cs="宋体" w:eastAsia="宋体" w:hint="default"/>
                <w:sz w:val="18"/>
                <w:szCs w:val="18"/>
              </w:rPr>
              <w:t>应纳税增值额（应纳税额按应纳税销售 额乘以适用税率扣除当期允许抵扣进项 税后的余额计算）</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r>
      <w:tr>
        <w:trPr>
          <w:trHeight w:val="394" w:hRule="exact"/>
        </w:trPr>
        <w:tc>
          <w:tcPr>
            <w:tcW w:w="317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4D4D4"/>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78"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0" w:type="dxa"/>
            <w:vMerge/>
            <w:tcBorders>
              <w:left w:val="single" w:sz="9" w:space="0" w:color="D4D4D4"/>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应缴纳的增值税等税额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应缴纳的增值税等税额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应缴纳的增值税等税额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129"/>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朗新科技股份有限公司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子公司合肥新耀能源科技有限公司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2、税收优惠" w:id="222"/>
      <w:bookmarkEnd w:id="22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right="1129"/>
        <w:jc w:val="left"/>
      </w:pPr>
      <w:r>
        <w:rPr>
          <w:rFonts w:ascii="Times New Roman" w:hAnsi="Times New Roman" w:cs="Times New Roman" w:eastAsia="Times New Roman" w:hint="default"/>
          <w:spacing w:val="-8"/>
          <w:w w:val="99"/>
        </w:rPr>
        <w:t>(a)</w:t>
      </w:r>
      <w:r>
        <w:rPr>
          <w:spacing w:val="-8"/>
          <w:w w:val="99"/>
        </w:rPr>
        <w:t>根据财政部《关于软件和集成电路产业企业所得税优惠政策有关问题的通知》（财税</w:t>
      </w:r>
      <w:r>
        <w:rPr>
          <w:rFonts w:ascii="Times New Roman" w:hAnsi="Times New Roman" w:cs="Times New Roman" w:eastAsia="Times New Roman" w:hint="default"/>
          <w:spacing w:val="-8"/>
          <w:w w:val="99"/>
        </w:rPr>
        <w:t>[2016]49</w:t>
      </w:r>
      <w:r>
        <w:rPr>
          <w:spacing w:val="-8"/>
          <w:w w:val="99"/>
        </w:rPr>
        <w:t>号）（以下简称</w:t>
      </w:r>
      <w:r>
        <w:rPr>
          <w:rFonts w:ascii="Times New Roman" w:hAnsi="Times New Roman" w:cs="Times New Roman" w:eastAsia="Times New Roman" w:hint="default"/>
          <w:spacing w:val="-8"/>
          <w:w w:val="99"/>
        </w:rPr>
        <w:t>“49</w:t>
      </w:r>
      <w:r>
        <w:rPr>
          <w:spacing w:val="-8"/>
          <w:w w:val="99"/>
        </w:rPr>
        <w:t>号通知</w:t>
      </w:r>
      <w:r>
        <w:rPr>
          <w:rFonts w:ascii="Times New Roman" w:hAnsi="Times New Roman" w:cs="Times New Roman" w:eastAsia="Times New Roman" w:hint="default"/>
          <w:spacing w:val="-8"/>
          <w:w w:val="99"/>
        </w:rPr>
        <w:t>”</w:t>
      </w:r>
      <w:r>
        <w:rPr>
          <w:spacing w:val="-8"/>
          <w:w w:val="99"/>
        </w:rPr>
        <w:t>），</w:t>
      </w:r>
      <w:r>
        <w:rPr>
          <w:spacing w:val="-57"/>
          <w:w w:val="99"/>
        </w:rPr>
        <w:t> </w:t>
      </w:r>
      <w:r>
        <w:rPr>
          <w:spacing w:val="-2"/>
        </w:rPr>
        <w:t>原享受财税〔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27</w:t>
      </w:r>
      <w:r>
        <w:rPr>
          <w:spacing w:val="-2"/>
        </w:rPr>
        <w:t>号文件规定的税收优惠政策的软件、集成电路企业如继续享受原税收优惠政策可按照《国家税务总局</w:t>
      </w:r>
      <w:r>
        <w:rPr>
          <w:spacing w:val="-61"/>
        </w:rPr>
        <w:t> </w:t>
      </w:r>
      <w:r>
        <w:rPr>
          <w:spacing w:val="-61"/>
        </w:rPr>
      </w:r>
      <w:r>
        <w:rPr>
          <w:spacing w:val="-2"/>
        </w:rPr>
        <w:t>关于发布〈企业所得税优惠政策事项办理办法〉的公告》（国家税务总局公告</w:t>
      </w:r>
      <w:r>
        <w:rPr>
          <w:rFonts w:ascii="Times New Roman" w:hAnsi="Times New Roman" w:cs="Times New Roman" w:eastAsia="Times New Roman" w:hint="default"/>
          <w:spacing w:val="-2"/>
        </w:rPr>
        <w:t>2015</w:t>
      </w:r>
      <w:r>
        <w:rPr>
          <w:spacing w:val="-2"/>
        </w:rPr>
        <w:t>年第</w:t>
      </w:r>
      <w:r>
        <w:rPr>
          <w:rFonts w:ascii="Times New Roman" w:hAnsi="Times New Roman" w:cs="Times New Roman" w:eastAsia="Times New Roman" w:hint="default"/>
          <w:spacing w:val="-2"/>
        </w:rPr>
        <w:t>76</w:t>
      </w:r>
      <w:r>
        <w:rPr>
          <w:spacing w:val="-2"/>
        </w:rPr>
        <w:t>号）的规定在每年所得税汇算清缴</w:t>
      </w:r>
      <w:r>
        <w:rPr>
          <w:spacing w:val="-63"/>
        </w:rPr>
        <w:t> </w:t>
      </w:r>
      <w:r>
        <w:rPr>
          <w:spacing w:val="-63"/>
        </w:rPr>
      </w:r>
      <w:r>
        <w:rPr>
          <w:spacing w:val="-2"/>
        </w:rPr>
        <w:t>时向税务机关备案并同时提交《享受企业所得税优惠政策的软件和集成电路企业备案资料明细表》等备案资料以便后期税务</w:t>
      </w:r>
      <w:r>
        <w:rPr>
          <w:spacing w:val="-65"/>
        </w:rPr>
        <w:t> </w:t>
      </w:r>
      <w:r>
        <w:rPr>
          <w:spacing w:val="-65"/>
        </w:rPr>
      </w:r>
      <w:r>
        <w:rPr>
          <w:spacing w:val="-2"/>
        </w:rPr>
        <w:t>机关核查。于</w:t>
      </w:r>
      <w:r>
        <w:rPr>
          <w:rFonts w:ascii="Times New Roman" w:hAnsi="Times New Roman" w:cs="Times New Roman" w:eastAsia="Times New Roman" w:hint="default"/>
          <w:spacing w:val="-2"/>
        </w:rPr>
        <w:t>2018</w:t>
      </w:r>
      <w:r>
        <w:rPr>
          <w:spacing w:val="-2"/>
        </w:rPr>
        <w:t>年度，本公司经评估判断自身符合上述</w:t>
      </w:r>
      <w:r>
        <w:rPr>
          <w:rFonts w:ascii="Times New Roman" w:hAnsi="Times New Roman" w:cs="Times New Roman" w:eastAsia="Times New Roman" w:hint="default"/>
          <w:spacing w:val="-2"/>
        </w:rPr>
        <w:t>49</w:t>
      </w:r>
      <w:r>
        <w:rPr>
          <w:spacing w:val="-2"/>
        </w:rPr>
        <w:t>号通知列明的相关条件并将按照规定于汇算清缴时向税务机关进</w:t>
      </w:r>
      <w:r>
        <w:rPr>
          <w:spacing w:val="-62"/>
        </w:rPr>
        <w:t> </w:t>
      </w:r>
      <w:r>
        <w:rPr>
          <w:spacing w:val="-62"/>
        </w:rPr>
      </w:r>
      <w:r>
        <w:rPr/>
        <w:t>行备案，故采用</w:t>
      </w:r>
      <w:r>
        <w:rPr>
          <w:rFonts w:ascii="Times New Roman" w:hAnsi="Times New Roman" w:cs="Times New Roman" w:eastAsia="Times New Roman" w:hint="default"/>
        </w:rPr>
        <w:t>10%</w:t>
      </w:r>
      <w:r>
        <w:rPr/>
        <w:t>的所得税优惠税率计算</w:t>
      </w:r>
      <w:r>
        <w:rPr>
          <w:rFonts w:ascii="Times New Roman" w:hAnsi="Times New Roman" w:cs="Times New Roman" w:eastAsia="Times New Roman" w:hint="default"/>
        </w:rPr>
        <w:t>2018</w:t>
      </w:r>
      <w:r>
        <w:rPr/>
        <w:t>年度应缴纳的所得税。对应所得税税收优惠</w:t>
      </w:r>
      <w:r>
        <w:rPr>
          <w:rFonts w:ascii="Times New Roman" w:hAnsi="Times New Roman" w:cs="Times New Roman" w:eastAsia="Times New Roman" w:hint="default"/>
        </w:rPr>
        <w:t>22,309,964.27</w:t>
      </w:r>
      <w:r>
        <w:rPr/>
        <w:t>元。</w:t>
      </w:r>
    </w:p>
    <w:p>
      <w:pPr>
        <w:spacing w:line="240" w:lineRule="auto" w:before="7"/>
        <w:rPr>
          <w:rFonts w:ascii="宋体" w:hAnsi="宋体" w:cs="宋体" w:eastAsia="宋体" w:hint="default"/>
          <w:sz w:val="24"/>
          <w:szCs w:val="24"/>
        </w:rPr>
      </w:pPr>
    </w:p>
    <w:p>
      <w:pPr>
        <w:pStyle w:val="BodyText"/>
        <w:spacing w:line="300" w:lineRule="auto"/>
        <w:ind w:right="1124"/>
        <w:jc w:val="left"/>
      </w:pPr>
      <w:r>
        <w:rPr>
          <w:rFonts w:ascii="Times New Roman" w:hAnsi="Times New Roman" w:cs="Times New Roman" w:eastAsia="Times New Roman" w:hint="default"/>
        </w:rPr>
        <w:t>(b)</w:t>
      </w:r>
      <w:r>
        <w:rPr/>
        <w:t>本公司的子公司合肥新耀能源科技有限公司（</w:t>
      </w:r>
      <w:r>
        <w:rPr>
          <w:rFonts w:ascii="Times New Roman" w:hAnsi="Times New Roman" w:cs="Times New Roman" w:eastAsia="Times New Roman" w:hint="default"/>
        </w:rPr>
        <w:t>“</w:t>
      </w:r>
      <w:r>
        <w:rPr/>
        <w:t>合肥新耀</w:t>
      </w:r>
      <w:r>
        <w:rPr>
          <w:rFonts w:ascii="Times New Roman" w:hAnsi="Times New Roman" w:cs="Times New Roman" w:eastAsia="Times New Roman" w:hint="default"/>
        </w:rPr>
        <w:t>”</w:t>
      </w:r>
      <w:r>
        <w:rPr/>
        <w:t>）经过安徽省合肥市高新技术产业开发区国家税务局认定符合</w:t>
      </w:r>
      <w:r>
        <w:rPr>
          <w:w w:val="99"/>
        </w:rPr>
        <w:t> </w:t>
      </w:r>
      <w:r>
        <w:rPr>
          <w:spacing w:val="-1"/>
        </w:rPr>
        <w:t>小型微利企业条件（年应纳税所得额低于</w:t>
      </w:r>
      <w:r>
        <w:rPr>
          <w:rFonts w:ascii="Times New Roman" w:hAnsi="Times New Roman" w:cs="Times New Roman" w:eastAsia="Times New Roman" w:hint="default"/>
          <w:spacing w:val="-1"/>
        </w:rPr>
        <w:t>100</w:t>
      </w:r>
      <w:r>
        <w:rPr>
          <w:spacing w:val="-1"/>
        </w:rPr>
        <w:t>万元（含</w:t>
      </w:r>
      <w:r>
        <w:rPr>
          <w:rFonts w:ascii="Times New Roman" w:hAnsi="Times New Roman" w:cs="Times New Roman" w:eastAsia="Times New Roman" w:hint="default"/>
          <w:spacing w:val="-1"/>
        </w:rPr>
        <w:t>100</w:t>
      </w:r>
      <w:r>
        <w:rPr>
          <w:spacing w:val="-1"/>
        </w:rPr>
        <w:t>万元）的小型微利企业），</w:t>
      </w:r>
      <w:r>
        <w:rPr>
          <w:rFonts w:ascii="Times New Roman" w:hAnsi="Times New Roman" w:cs="Times New Roman" w:eastAsia="Times New Roman" w:hint="default"/>
          <w:spacing w:val="-1"/>
        </w:rPr>
        <w:t>2018</w:t>
      </w:r>
      <w:r>
        <w:rPr>
          <w:spacing w:val="-1"/>
        </w:rPr>
        <w:t>年度其所得减按</w:t>
      </w:r>
      <w:r>
        <w:rPr>
          <w:rFonts w:ascii="Times New Roman" w:hAnsi="Times New Roman" w:cs="Times New Roman" w:eastAsia="Times New Roman" w:hint="default"/>
          <w:spacing w:val="-1"/>
        </w:rPr>
        <w:t>50%</w:t>
      </w:r>
      <w:r>
        <w:rPr>
          <w:spacing w:val="-1"/>
        </w:rPr>
        <w:t>计入应纳税所</w:t>
      </w:r>
      <w:r>
        <w:rPr>
          <w:spacing w:val="-88"/>
        </w:rPr>
        <w:t> </w:t>
      </w:r>
      <w:r>
        <w:rPr/>
        <w:t>得额，按</w:t>
      </w:r>
      <w:r>
        <w:rPr>
          <w:rFonts w:ascii="Times New Roman" w:hAnsi="Times New Roman" w:cs="Times New Roman" w:eastAsia="Times New Roman" w:hint="default"/>
        </w:rPr>
        <w:t>20%</w:t>
      </w:r>
      <w:r>
        <w:rPr/>
        <w:t>的税率缴纳企业所得税。</w:t>
      </w:r>
    </w:p>
    <w:p>
      <w:pPr>
        <w:spacing w:line="240" w:lineRule="auto" w:before="11"/>
        <w:rPr>
          <w:rFonts w:ascii="宋体" w:hAnsi="宋体" w:cs="宋体" w:eastAsia="宋体" w:hint="default"/>
          <w:sz w:val="24"/>
          <w:szCs w:val="24"/>
        </w:rPr>
      </w:pPr>
    </w:p>
    <w:p>
      <w:pPr>
        <w:pStyle w:val="BodyText"/>
        <w:spacing w:line="300" w:lineRule="auto"/>
        <w:ind w:right="1115"/>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4"/>
        </w:rPr>
        <w:t> </w:t>
      </w:r>
      <w:r>
        <w:rPr/>
        <w:t>本集团归属于技术开发、技术咨询服务的销售按</w:t>
      </w:r>
      <w:r>
        <w:rPr>
          <w:rFonts w:ascii="Times New Roman" w:hAnsi="Times New Roman" w:cs="Times New Roman" w:eastAsia="Times New Roman" w:hint="default"/>
        </w:rPr>
        <w:t>6%</w:t>
      </w:r>
      <w:r>
        <w:rPr/>
        <w:t>的销项税税率计算缴纳增值税，归属于自行开发软件的销售按</w:t>
      </w:r>
      <w:r>
        <w:rPr>
          <w:rFonts w:ascii="Times New Roman" w:hAnsi="Times New Roman" w:cs="Times New Roman" w:eastAsia="Times New Roman" w:hint="default"/>
        </w:rPr>
        <w:t>17%</w:t>
      </w:r>
      <w:r>
        <w:rPr/>
        <w:t>的</w:t>
      </w:r>
      <w:r>
        <w:rPr>
          <w:w w:val="99"/>
        </w:rPr>
        <w:t> </w:t>
      </w:r>
      <w:r>
        <w:rPr/>
        <w:t>销项税税率计算缴纳增值税。根据财政部和国家税务总局</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日发出《关于软件产品增值税政策的通知》（财税</w:t>
      </w:r>
      <w:r>
        <w:rPr>
          <w:w w:val="99"/>
        </w:rPr>
        <w:t> </w:t>
      </w:r>
      <w:r>
        <w:rPr>
          <w:rFonts w:ascii="Times New Roman" w:hAnsi="Times New Roman" w:cs="Times New Roman" w:eastAsia="Times New Roman" w:hint="default"/>
          <w:spacing w:val="-2"/>
        </w:rPr>
        <w:t>[2011]100</w:t>
      </w:r>
      <w:r>
        <w:rPr>
          <w:spacing w:val="-2"/>
        </w:rPr>
        <w:t>号），本集团销售的经认证的自行开发软件在获得主管税务机关审批并按</w:t>
      </w:r>
      <w:r>
        <w:rPr>
          <w:rFonts w:ascii="Times New Roman" w:hAnsi="Times New Roman" w:cs="Times New Roman" w:eastAsia="Times New Roman" w:hint="default"/>
          <w:spacing w:val="-2"/>
        </w:rPr>
        <w:t>17%</w:t>
      </w:r>
      <w:r>
        <w:rPr>
          <w:spacing w:val="-2"/>
        </w:rPr>
        <w:t>税率征收增值税后，对增值税实际税</w:t>
      </w:r>
      <w:r>
        <w:rPr>
          <w:spacing w:val="-57"/>
        </w:rPr>
        <w:t> </w:t>
      </w:r>
      <w:r>
        <w:rPr>
          <w:spacing w:val="-57"/>
        </w:rPr>
      </w:r>
      <w:r>
        <w:rPr/>
        <w:t>负超过</w:t>
      </w:r>
      <w:r>
        <w:rPr>
          <w:rFonts w:ascii="Times New Roman" w:hAnsi="Times New Roman" w:cs="Times New Roman" w:eastAsia="Times New Roman" w:hint="default"/>
        </w:rPr>
        <w:t>3%</w:t>
      </w:r>
      <w:r>
        <w:rPr/>
        <w:t>的部分实行即征即退政策。本年度对应政府补助收入</w:t>
      </w:r>
      <w:r>
        <w:rPr>
          <w:rFonts w:ascii="Times New Roman" w:hAnsi="Times New Roman" w:cs="Times New Roman" w:eastAsia="Times New Roman" w:hint="default"/>
        </w:rPr>
        <w:t>6,764,101.02</w:t>
      </w:r>
      <w:r>
        <w:rPr/>
        <w:t>元。</w:t>
      </w:r>
    </w:p>
    <w:p>
      <w:pPr>
        <w:spacing w:line="240" w:lineRule="auto" w:before="0"/>
        <w:rPr>
          <w:rFonts w:ascii="宋体" w:hAnsi="宋体" w:cs="宋体" w:eastAsia="宋体" w:hint="default"/>
          <w:sz w:val="18"/>
          <w:szCs w:val="18"/>
        </w:rPr>
      </w:pPr>
    </w:p>
    <w:p>
      <w:pPr>
        <w:pStyle w:val="BodyText"/>
        <w:spacing w:line="240" w:lineRule="auto" w:before="130"/>
        <w:ind w:right="1129"/>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3"/>
        <w:rPr>
          <w:rFonts w:ascii="宋体" w:hAnsi="宋体" w:cs="宋体" w:eastAsia="宋体" w:hint="default"/>
          <w:sz w:val="25"/>
          <w:szCs w:val="25"/>
        </w:rPr>
      </w:pPr>
    </w:p>
    <w:p>
      <w:pPr>
        <w:pStyle w:val="Heading3"/>
        <w:spacing w:line="240" w:lineRule="auto"/>
        <w:ind w:right="1129"/>
        <w:jc w:val="left"/>
        <w:rPr>
          <w:b w:val="0"/>
          <w:bCs w:val="0"/>
        </w:rPr>
      </w:pPr>
      <w:bookmarkStart w:name="3、其他" w:id="223"/>
      <w:bookmarkEnd w:id="223"/>
      <w:r>
        <w:rPr>
          <w:b w:val="0"/>
          <w:bCs w:val="0"/>
        </w:rPr>
      </w:r>
      <w:r>
        <w:rPr>
          <w:rFonts w:ascii="Times New Roman" w:hAnsi="Times New Roman" w:cs="Times New Roman" w:eastAsia="Times New Roman" w:hint="default"/>
        </w:rPr>
        <w:t>3</w:t>
      </w:r>
      <w:r>
        <w:rPr/>
        <w:t>、其他</w:t>
      </w:r>
      <w:r>
        <w:rPr>
          <w:b w:val="0"/>
          <w:bCs w:val="0"/>
        </w:rPr>
      </w:r>
    </w:p>
    <w:p>
      <w:pPr>
        <w:spacing w:line="240" w:lineRule="auto" w:before="10"/>
        <w:rPr>
          <w:rFonts w:ascii="宋体" w:hAnsi="宋体" w:cs="宋体" w:eastAsia="宋体" w:hint="default"/>
          <w:b/>
          <w:bCs/>
          <w:sz w:val="27"/>
          <w:szCs w:val="27"/>
        </w:rPr>
      </w:pPr>
    </w:p>
    <w:p>
      <w:pPr>
        <w:spacing w:line="338" w:lineRule="auto" w:before="0"/>
        <w:ind w:left="152" w:right="1129" w:firstLine="0"/>
        <w:jc w:val="left"/>
        <w:rPr>
          <w:rFonts w:ascii="宋体" w:hAnsi="宋体" w:cs="宋体" w:eastAsia="宋体" w:hint="default"/>
          <w:sz w:val="16"/>
          <w:szCs w:val="16"/>
        </w:rPr>
      </w:pPr>
      <w:r>
        <w:rPr>
          <w:rFonts w:ascii="宋体" w:hAnsi="宋体" w:cs="宋体" w:eastAsia="宋体" w:hint="default"/>
          <w:sz w:val="16"/>
          <w:szCs w:val="16"/>
        </w:rPr>
        <w:t>根据财政部、国家税务总局颁布的《财政部、国家税务总局关于调整增值税税率的通知》（财税</w:t>
      </w:r>
      <w:r>
        <w:rPr>
          <w:rFonts w:ascii="Times New Roman" w:hAnsi="Times New Roman" w:cs="Times New Roman" w:eastAsia="Times New Roman" w:hint="default"/>
          <w:sz w:val="16"/>
          <w:szCs w:val="16"/>
        </w:rPr>
        <w:t>[2018]32</w:t>
      </w:r>
      <w:r>
        <w:rPr>
          <w:rFonts w:ascii="宋体" w:hAnsi="宋体" w:cs="宋体" w:eastAsia="宋体" w:hint="default"/>
          <w:sz w:val="16"/>
          <w:szCs w:val="16"/>
        </w:rPr>
        <w:t>号）及相关规定，自</w:t>
      </w: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5</w:t>
      </w:r>
      <w:r>
        <w:rPr>
          <w:rFonts w:ascii="宋体" w:hAnsi="宋体" w:cs="宋体" w:eastAsia="宋体" w:hint="default"/>
          <w:sz w:val="16"/>
          <w:szCs w:val="16"/>
        </w:rPr>
        <w:t>月</w:t>
      </w:r>
      <w:r>
        <w:rPr>
          <w:rFonts w:ascii="Times New Roman" w:hAnsi="Times New Roman" w:cs="Times New Roman" w:eastAsia="Times New Roman" w:hint="default"/>
          <w:sz w:val="16"/>
          <w:szCs w:val="16"/>
        </w:rPr>
        <w:t>1</w:t>
      </w:r>
      <w:r>
        <w:rPr>
          <w:rFonts w:ascii="Times New Roman" w:hAnsi="Times New Roman" w:cs="Times New Roman" w:eastAsia="Times New Roman" w:hint="default"/>
          <w:w w:val="100"/>
          <w:sz w:val="16"/>
          <w:szCs w:val="16"/>
        </w:rPr>
        <w:t> </w:t>
      </w:r>
      <w:r>
        <w:rPr>
          <w:rFonts w:ascii="宋体" w:hAnsi="宋体" w:cs="宋体" w:eastAsia="宋体" w:hint="default"/>
          <w:spacing w:val="-2"/>
          <w:sz w:val="16"/>
          <w:szCs w:val="16"/>
        </w:rPr>
        <w:t>日起，纳税人发生增值税应税销售行为、进口货物或视同销售商品的，原适用</w:t>
      </w:r>
      <w:r>
        <w:rPr>
          <w:rFonts w:ascii="Times New Roman" w:hAnsi="Times New Roman" w:cs="Times New Roman" w:eastAsia="Times New Roman" w:hint="default"/>
          <w:spacing w:val="-2"/>
          <w:sz w:val="16"/>
          <w:szCs w:val="16"/>
        </w:rPr>
        <w:t>17%</w:t>
      </w:r>
      <w:r>
        <w:rPr>
          <w:rFonts w:ascii="宋体" w:hAnsi="宋体" w:cs="宋体" w:eastAsia="宋体" w:hint="default"/>
          <w:spacing w:val="-2"/>
          <w:sz w:val="16"/>
          <w:szCs w:val="16"/>
        </w:rPr>
        <w:t>税率的，税率变更为</w:t>
      </w:r>
      <w:r>
        <w:rPr>
          <w:rFonts w:ascii="Times New Roman" w:hAnsi="Times New Roman" w:cs="Times New Roman" w:eastAsia="Times New Roman" w:hint="default"/>
          <w:spacing w:val="-2"/>
          <w:sz w:val="16"/>
          <w:szCs w:val="16"/>
        </w:rPr>
        <w:t>16%</w:t>
      </w:r>
      <w:r>
        <w:rPr>
          <w:rFonts w:ascii="宋体" w:hAnsi="宋体" w:cs="宋体" w:eastAsia="宋体" w:hint="default"/>
          <w:spacing w:val="-2"/>
          <w:sz w:val="16"/>
          <w:szCs w:val="16"/>
        </w:rPr>
        <w:t>。故</w:t>
      </w:r>
      <w:r>
        <w:rPr>
          <w:rFonts w:ascii="Times New Roman" w:hAnsi="Times New Roman" w:cs="Times New Roman" w:eastAsia="Times New Roman" w:hint="default"/>
          <w:spacing w:val="-2"/>
          <w:sz w:val="16"/>
          <w:szCs w:val="16"/>
        </w:rPr>
        <w:t>2018</w:t>
      </w:r>
      <w:r>
        <w:rPr>
          <w:rFonts w:ascii="宋体" w:hAnsi="宋体" w:cs="宋体" w:eastAsia="宋体" w:hint="default"/>
          <w:spacing w:val="-2"/>
          <w:sz w:val="16"/>
          <w:szCs w:val="16"/>
        </w:rPr>
        <w:t>年</w:t>
      </w:r>
      <w:r>
        <w:rPr>
          <w:rFonts w:ascii="Times New Roman" w:hAnsi="Times New Roman" w:cs="Times New Roman" w:eastAsia="Times New Roman" w:hint="default"/>
          <w:spacing w:val="-2"/>
          <w:sz w:val="16"/>
          <w:szCs w:val="16"/>
        </w:rPr>
        <w:t>5</w:t>
      </w:r>
      <w:r>
        <w:rPr>
          <w:rFonts w:ascii="宋体" w:hAnsi="宋体" w:cs="宋体" w:eastAsia="宋体" w:hint="default"/>
          <w:spacing w:val="-2"/>
          <w:sz w:val="16"/>
          <w:szCs w:val="16"/>
        </w:rPr>
        <w:t>月</w:t>
      </w:r>
      <w:r>
        <w:rPr>
          <w:rFonts w:ascii="Times New Roman" w:hAnsi="Times New Roman" w:cs="Times New Roman" w:eastAsia="Times New Roman" w:hint="default"/>
          <w:spacing w:val="-2"/>
          <w:sz w:val="16"/>
          <w:szCs w:val="16"/>
        </w:rPr>
        <w:t>1</w:t>
      </w:r>
      <w:r>
        <w:rPr>
          <w:rFonts w:ascii="宋体" w:hAnsi="宋体" w:cs="宋体" w:eastAsia="宋体" w:hint="default"/>
          <w:spacing w:val="-2"/>
          <w:sz w:val="16"/>
          <w:szCs w:val="16"/>
        </w:rPr>
        <w:t>日起，本集团适</w:t>
      </w:r>
      <w:r>
        <w:rPr>
          <w:rFonts w:ascii="宋体" w:hAnsi="宋体" w:cs="宋体" w:eastAsia="宋体" w:hint="default"/>
          <w:spacing w:val="-31"/>
          <w:sz w:val="16"/>
          <w:szCs w:val="16"/>
        </w:rPr>
        <w:t> </w:t>
      </w:r>
      <w:r>
        <w:rPr>
          <w:rFonts w:ascii="宋体" w:hAnsi="宋体" w:cs="宋体" w:eastAsia="宋体" w:hint="default"/>
          <w:spacing w:val="-31"/>
          <w:sz w:val="16"/>
          <w:szCs w:val="16"/>
        </w:rPr>
      </w:r>
      <w:r>
        <w:rPr>
          <w:rFonts w:ascii="宋体" w:hAnsi="宋体" w:cs="宋体" w:eastAsia="宋体" w:hint="default"/>
          <w:sz w:val="16"/>
          <w:szCs w:val="16"/>
        </w:rPr>
        <w:t>用于</w:t>
      </w:r>
      <w:r>
        <w:rPr>
          <w:rFonts w:ascii="Times New Roman" w:hAnsi="Times New Roman" w:cs="Times New Roman" w:eastAsia="Times New Roman" w:hint="default"/>
          <w:sz w:val="16"/>
          <w:szCs w:val="16"/>
        </w:rPr>
        <w:t>17%</w:t>
      </w:r>
      <w:r>
        <w:rPr>
          <w:rFonts w:ascii="宋体" w:hAnsi="宋体" w:cs="宋体" w:eastAsia="宋体" w:hint="default"/>
          <w:sz w:val="16"/>
          <w:szCs w:val="16"/>
        </w:rPr>
        <w:t>销项税率的业务销项税率变更为</w:t>
      </w:r>
      <w:r>
        <w:rPr>
          <w:rFonts w:ascii="Times New Roman" w:hAnsi="Times New Roman" w:cs="Times New Roman" w:eastAsia="Times New Roman" w:hint="default"/>
          <w:sz w:val="16"/>
          <w:szCs w:val="16"/>
        </w:rPr>
        <w:t>16%</w:t>
      </w:r>
      <w:r>
        <w:rPr>
          <w:rFonts w:ascii="宋体" w:hAnsi="宋体" w:cs="宋体" w:eastAsia="宋体" w:hint="default"/>
          <w:sz w:val="16"/>
          <w:szCs w:val="16"/>
        </w:rPr>
        <w:t>。</w:t>
      </w:r>
    </w:p>
    <w:p>
      <w:pPr>
        <w:spacing w:line="240" w:lineRule="auto" w:before="5"/>
        <w:rPr>
          <w:rFonts w:ascii="宋体" w:hAnsi="宋体" w:cs="宋体" w:eastAsia="宋体" w:hint="default"/>
          <w:sz w:val="19"/>
          <w:szCs w:val="19"/>
        </w:rPr>
      </w:pPr>
    </w:p>
    <w:p>
      <w:pPr>
        <w:pStyle w:val="Heading2"/>
        <w:spacing w:line="240" w:lineRule="auto"/>
        <w:ind w:right="1129"/>
        <w:jc w:val="left"/>
        <w:rPr>
          <w:b w:val="0"/>
          <w:bCs w:val="0"/>
        </w:rPr>
      </w:pPr>
      <w:bookmarkStart w:name="七、合并财务报表项目注释" w:id="224"/>
      <w:bookmarkEnd w:id="224"/>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9"/>
        <w:jc w:val="left"/>
        <w:rPr>
          <w:b w:val="0"/>
          <w:bCs w:val="0"/>
        </w:rPr>
      </w:pPr>
      <w:bookmarkStart w:name="1、货币资金" w:id="225"/>
      <w:bookmarkEnd w:id="225"/>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129.57</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852,302,383.99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712,401,641.14</w:t>
            </w:r>
            <w:r>
              <w:rPr>
                <w:rFonts w:ascii="Times New Roman"/>
                <w:sz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3,962,158.40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4,013,739.00</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856,264,678.49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716,415,509.71</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129.57</w:t>
            </w:r>
            <w:r>
              <w:rPr>
                <w:rFonts w:ascii="Times New Roman"/>
                <w:sz w:val="18"/>
              </w:rPr>
            </w:r>
          </w:p>
        </w:tc>
      </w:tr>
    </w:tbl>
    <w:p>
      <w:pPr>
        <w:pStyle w:val="BodyText"/>
        <w:spacing w:line="240" w:lineRule="auto" w:before="49"/>
        <w:ind w:right="1129"/>
        <w:jc w:val="left"/>
      </w:pPr>
      <w:r>
        <w:rPr/>
        <w:t>其他说明</w:t>
      </w:r>
    </w:p>
    <w:p>
      <w:pPr>
        <w:pStyle w:val="BodyText"/>
        <w:spacing w:line="300" w:lineRule="auto" w:before="115"/>
        <w:ind w:right="1169"/>
        <w:jc w:val="left"/>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w:t>
      </w:r>
      <w:r>
        <w:rPr>
          <w:rFonts w:ascii="Times New Roman" w:hAnsi="Times New Roman" w:cs="Times New Roman" w:eastAsia="Times New Roman" w:hint="default"/>
        </w:rPr>
        <w:t>3,962,158.40</w:t>
      </w:r>
      <w:r>
        <w:rPr/>
        <w:t>元为本集团向银行申请开具无条件、不可撤销的履约保函所存入的保证金存 款（</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4,013,739.00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1129"/>
        <w:jc w:val="left"/>
        <w:rPr>
          <w:b w:val="0"/>
          <w:bCs w:val="0"/>
        </w:rPr>
      </w:pPr>
      <w:bookmarkStart w:name="2、以公允价值计量且其变动计入当期损益的金融资产" w:id="226"/>
      <w:bookmarkEnd w:id="226"/>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3、衍生金融资产" w:id="227"/>
      <w:bookmarkEnd w:id="227"/>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9"/>
        <w:jc w:val="left"/>
        <w:rPr>
          <w:b w:val="0"/>
          <w:bCs w:val="0"/>
        </w:rPr>
      </w:pPr>
      <w:bookmarkStart w:name="4、应收票据及应收账款" w:id="228"/>
      <w:bookmarkEnd w:id="228"/>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42,344,473.53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24,632,467.47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850,174,265.39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646,980,421.72</w:t>
            </w:r>
            <w:r>
              <w:rPr>
                <w:rFonts w:ascii="Times New Roman"/>
                <w:sz w:val="18"/>
              </w:rPr>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892,518,738.92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671,612,889.19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1）应收票据" w:id="229"/>
      <w:bookmarkEnd w:id="229"/>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9"/>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42,344,473.53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24,632,467.47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42,344,473.53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24,632,467.47</w:t>
            </w:r>
          </w:p>
        </w:tc>
      </w:tr>
    </w:tbl>
    <w:p>
      <w:pPr>
        <w:pStyle w:val="BodyText"/>
        <w:spacing w:line="240" w:lineRule="auto" w:before="49"/>
        <w:ind w:right="1129"/>
        <w:jc w:val="left"/>
      </w:pPr>
      <w:r>
        <w:rPr>
          <w:rFonts w:ascii="Times New Roman" w:hAnsi="Times New Roman" w:cs="Times New Roman" w:eastAsia="Times New Roman" w:hint="default"/>
        </w:rPr>
        <w:t>2)</w:t>
      </w:r>
      <w:r>
        <w:rPr/>
        <w:t>期末公司已质押的应收票据</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0"/>
        <w:ind w:right="1129"/>
        <w:jc w:val="left"/>
      </w:pPr>
      <w:r>
        <w:rPr>
          <w:rFonts w:ascii="Times New Roman" w:hAnsi="Times New Roman" w:cs="Times New Roman" w:eastAsia="Times New Roman" w:hint="default"/>
        </w:rPr>
        <w:t>3)</w:t>
      </w:r>
      <w:r>
        <w:rPr/>
        <w:t>期末公司已背书或贴现且在资产负债表日尚未到期的应收票据</w:t>
      </w:r>
    </w:p>
    <w:p>
      <w:pPr>
        <w:spacing w:after="0" w:line="24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pStyle w:val="BodyText"/>
        <w:spacing w:line="240" w:lineRule="auto" w:before="49"/>
        <w:ind w:right="1129"/>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2）应收账款" w:id="230"/>
      <w:bookmarkEnd w:id="230"/>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9"/>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889,942,</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065.35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39,767,7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99.96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4.47%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850,174,2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65.39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676,167</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,527.69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29,187,10</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5.97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4.32%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646,980,42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1.72</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889,942,</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065.35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39,767,7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99.96</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4.47%</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850,174,2</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65.39</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676,167</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,527.69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29,187,10</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5.97</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4.32%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646,980,42</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1.72</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pStyle w:val="BodyText"/>
        <w:spacing w:line="240" w:lineRule="auto" w:before="49"/>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293" w:space="4534"/>
            <w:col w:w="2103"/>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1"/>
        <w:gridCol w:w="2393"/>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4D4D4"/>
          </w:tcPr>
          <w:p>
            <w:pPr/>
          </w:p>
        </w:tc>
        <w:tc>
          <w:tcPr>
            <w:tcW w:w="7176"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8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2381" w:type="dxa"/>
            <w:vMerge/>
            <w:tcBorders>
              <w:left w:val="single" w:sz="4" w:space="0" w:color="000000"/>
              <w:bottom w:val="nil" w:sz="6" w:space="0" w:color="auto"/>
              <w:right w:val="single" w:sz="4" w:space="0" w:color="000000"/>
            </w:tcBorders>
            <w:shd w:val="clear" w:color="auto" w:fill="D4D4D4"/>
          </w:tcPr>
          <w:p>
            <w:pPr/>
          </w:p>
        </w:tc>
        <w:tc>
          <w:tcPr>
            <w:tcW w:w="23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1" w:type="dxa"/>
            <w:vMerge/>
            <w:tcBorders>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92" w:type="dxa"/>
            <w:vMerge/>
            <w:tcBorders>
              <w:left w:val="single" w:sz="4" w:space="0" w:color="000000"/>
              <w:bottom w:val="single" w:sz="4" w:space="0" w:color="000000"/>
              <w:right w:val="single" w:sz="4" w:space="0" w:color="000000"/>
            </w:tcBorders>
            <w:shd w:val="clear" w:color="auto" w:fill="D4D4D4"/>
          </w:tcPr>
          <w:p>
            <w:pPr/>
          </w:p>
        </w:tc>
      </w:tr>
      <w:tr>
        <w:trPr>
          <w:trHeight w:val="39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710,836,437.97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5,714,814.46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125,944,078.20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12,594,407.82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22,433,733.68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4,486,746.74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23,854,481.78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11,927,240.89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6,095,812.25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4,267,068.58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777,521.47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777,521.47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889,942,065.35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39,767,799.96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3374"/>
        <w:jc w:val="left"/>
      </w:pPr>
      <w:r>
        <w:rPr/>
        <w:t>确定该组合依据的说明： 本集团根据历史经验及对客户组合信用评价持续评价按组合所计提坏账准备的依据及合理性。</w:t>
      </w:r>
    </w:p>
    <w:p>
      <w:pPr>
        <w:spacing w:after="0" w:line="360" w:lineRule="auto"/>
        <w:jc w:val="left"/>
        <w:sectPr>
          <w:type w:val="continuous"/>
          <w:pgSz w:w="11910" w:h="16840"/>
          <w:pgMar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212" w:right="745"/>
        <w:jc w:val="left"/>
      </w:pPr>
      <w:r>
        <w:rPr/>
        <w:t>组合中，采用余额百分比法计提坏账准备的应收账款：</w:t>
      </w:r>
    </w:p>
    <w:p>
      <w:pPr>
        <w:pStyle w:val="BodyText"/>
        <w:spacing w:line="338" w:lineRule="auto" w:before="117"/>
        <w:ind w:left="212"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43"/>
        <w:ind w:left="212" w:right="745"/>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left="212" w:right="745"/>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left="212" w:right="4595"/>
        <w:jc w:val="left"/>
      </w:pPr>
      <w:r>
        <w:rPr/>
        <w:t>本期计提坏账准备金额</w:t>
      </w:r>
      <w:r>
        <w:rPr>
          <w:spacing w:val="-47"/>
        </w:rPr>
        <w:t> </w:t>
      </w:r>
      <w:r>
        <w:rPr>
          <w:rFonts w:ascii="Times New Roman" w:hAnsi="Times New Roman" w:cs="Times New Roman" w:eastAsia="Times New Roman" w:hint="default"/>
        </w:rPr>
        <w:t>13,403,013.99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 其中本期坏账准备收回或转回金额重要的：</w:t>
      </w:r>
    </w:p>
    <w:p>
      <w:pPr>
        <w:pStyle w:val="BodyText"/>
        <w:spacing w:line="240" w:lineRule="auto" w:before="41"/>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left="212" w:right="745"/>
        <w:jc w:val="left"/>
      </w:pPr>
      <w:r>
        <w:rPr>
          <w:rFonts w:ascii="Times New Roman" w:hAnsi="Times New Roman" w:cs="Times New Roman" w:eastAsia="Times New Roman" w:hint="default"/>
        </w:rPr>
        <w:t>3)</w:t>
      </w:r>
      <w:r>
        <w:rPr/>
        <w:t>本期实际核销的应收账款情况</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实际核销的应收项目款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2,822,320.00</w:t>
            </w:r>
            <w:r>
              <w:rPr>
                <w:rFonts w:ascii="Times New Roman"/>
                <w:sz w:val="18"/>
              </w:rPr>
            </w:r>
          </w:p>
        </w:tc>
      </w:tr>
    </w:tbl>
    <w:p>
      <w:pPr>
        <w:pStyle w:val="BodyText"/>
        <w:spacing w:line="240" w:lineRule="auto" w:before="49"/>
        <w:ind w:left="212" w:right="745"/>
        <w:jc w:val="left"/>
      </w:pPr>
      <w:r>
        <w:rPr/>
        <w:t>其中重要的应收账款核销情况：</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3" w:right="59"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48" w:lineRule="auto" w:before="49"/>
        <w:ind w:left="212" w:right="6824"/>
        <w:jc w:val="left"/>
      </w:pPr>
      <w:r>
        <w:rPr/>
        <w:t>应收账款核销说明： </w:t>
      </w:r>
      <w:r>
        <w:rPr>
          <w:rFonts w:ascii="Times New Roman" w:hAnsi="Times New Roman" w:cs="Times New Roman" w:eastAsia="Times New Roman" w:hint="default"/>
        </w:rPr>
        <w:t>4)</w:t>
      </w:r>
      <w:r>
        <w:rPr/>
        <w:t>按欠款方归集的期末余额前五名的应收账款情况 公司是否需要遵守特殊行业的披露要求</w:t>
      </w:r>
    </w:p>
    <w:p>
      <w:pPr>
        <w:pStyle w:val="BodyText"/>
        <w:spacing w:line="360" w:lineRule="auto" w:before="34"/>
        <w:ind w:left="212" w:right="8954"/>
        <w:jc w:val="left"/>
      </w:pPr>
      <w:r>
        <w:rPr/>
        <w:t>是 软件与信息技术服务业</w:t>
      </w:r>
    </w:p>
    <w:tbl>
      <w:tblPr>
        <w:tblW w:w="0" w:type="auto"/>
        <w:jc w:val="left"/>
        <w:tblInd w:w="100" w:type="dxa"/>
        <w:tblLayout w:type="fixed"/>
        <w:tblCellMar>
          <w:top w:w="0" w:type="dxa"/>
          <w:left w:w="0" w:type="dxa"/>
          <w:bottom w:w="0" w:type="dxa"/>
          <w:right w:w="0" w:type="dxa"/>
        </w:tblCellMar>
        <w:tblLook w:val="01E0"/>
      </w:tblPr>
      <w:tblGrid>
        <w:gridCol w:w="2774"/>
        <w:gridCol w:w="2393"/>
        <w:gridCol w:w="2297"/>
        <w:gridCol w:w="2390"/>
      </w:tblGrid>
      <w:tr>
        <w:trPr>
          <w:trHeight w:val="322" w:hRule="exact"/>
        </w:trPr>
        <w:tc>
          <w:tcPr>
            <w:tcW w:w="27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0"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3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c>
          <w:tcPr>
            <w:tcW w:w="22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坏账准备金额</w:t>
            </w:r>
            <w:r>
              <w:rPr>
                <w:rFonts w:ascii="宋体" w:hAnsi="宋体" w:cs="宋体" w:eastAsia="宋体"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0" w:right="0"/>
              <w:jc w:val="left"/>
              <w:rPr>
                <w:rFonts w:ascii="宋体" w:hAnsi="宋体" w:cs="宋体" w:eastAsia="宋体" w:hint="default"/>
                <w:sz w:val="18"/>
                <w:szCs w:val="18"/>
              </w:rPr>
            </w:pPr>
            <w:r>
              <w:rPr>
                <w:rFonts w:ascii="宋体" w:hAnsi="宋体" w:cs="宋体" w:eastAsia="宋体" w:hint="default"/>
                <w:sz w:val="18"/>
                <w:szCs w:val="18"/>
              </w:rPr>
              <w:t>占应收账款余</w:t>
            </w:r>
            <w:r>
              <w:rPr>
                <w:rFonts w:ascii="宋体" w:hAnsi="宋体" w:cs="宋体" w:eastAsia="宋体" w:hint="default"/>
                <w:sz w:val="18"/>
                <w:szCs w:val="18"/>
              </w:rPr>
              <w:t> </w:t>
            </w:r>
          </w:p>
        </w:tc>
      </w:tr>
      <w:tr>
        <w:trPr>
          <w:trHeight w:val="322" w:hRule="exact"/>
        </w:trPr>
        <w:tc>
          <w:tcPr>
            <w:tcW w:w="2774"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c>
          <w:tcPr>
            <w:tcW w:w="2297" w:type="dxa"/>
            <w:vMerge/>
            <w:tcBorders>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额总额比例</w:t>
            </w:r>
            <w:r>
              <w:rPr>
                <w:rFonts w:ascii="宋体" w:hAnsi="宋体" w:cs="宋体" w:eastAsia="宋体" w:hint="default"/>
                <w:sz w:val="18"/>
                <w:szCs w:val="18"/>
              </w:rPr>
              <w:t> </w:t>
            </w:r>
          </w:p>
        </w:tc>
      </w:tr>
      <w:tr>
        <w:trPr>
          <w:trHeight w:val="461"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余额前五名的应收账款总额</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29" w:right="0"/>
              <w:jc w:val="left"/>
              <w:rPr>
                <w:rFonts w:ascii="Arial" w:hAnsi="Arial" w:cs="Arial" w:eastAsia="Arial" w:hint="default"/>
                <w:sz w:val="18"/>
                <w:szCs w:val="18"/>
              </w:rPr>
            </w:pPr>
            <w:r>
              <w:rPr>
                <w:rFonts w:ascii="Arial"/>
                <w:sz w:val="18"/>
              </w:rPr>
              <w:t>215,415,222.94</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2" w:right="0"/>
              <w:jc w:val="left"/>
              <w:rPr>
                <w:rFonts w:ascii="Arial" w:hAnsi="Arial" w:cs="Arial" w:eastAsia="Arial" w:hint="default"/>
                <w:sz w:val="18"/>
                <w:szCs w:val="18"/>
              </w:rPr>
            </w:pPr>
            <w:r>
              <w:rPr>
                <w:rFonts w:ascii="Arial"/>
                <w:sz w:val="18"/>
              </w:rPr>
              <w:t>11,483,691.35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Arial" w:hAnsi="Arial" w:cs="Arial" w:eastAsia="Arial" w:hint="default"/>
                <w:sz w:val="18"/>
                <w:szCs w:val="18"/>
              </w:rPr>
            </w:pPr>
            <w:r>
              <w:rPr>
                <w:rFonts w:ascii="Arial"/>
                <w:spacing w:val="-1"/>
                <w:sz w:val="18"/>
              </w:rPr>
              <w:t>24.21%</w:t>
            </w:r>
          </w:p>
        </w:tc>
      </w:tr>
    </w:tbl>
    <w:p>
      <w:pPr>
        <w:pStyle w:val="BodyText"/>
        <w:spacing w:line="338" w:lineRule="auto" w:before="68"/>
        <w:ind w:left="212" w:right="7544"/>
        <w:jc w:val="left"/>
      </w:pPr>
      <w:r>
        <w:rPr>
          <w:rFonts w:ascii="Times New Roman" w:hAnsi="Times New Roman" w:cs="Times New Roman" w:eastAsia="Times New Roman" w:hint="default"/>
        </w:rPr>
        <w:t>5)</w:t>
      </w:r>
      <w:r>
        <w:rPr/>
        <w:t>因金融资产转移而终止确认的应收账款</w:t>
      </w:r>
      <w:r>
        <w:rPr>
          <w:w w:val="99"/>
        </w:rPr>
        <w:t> </w:t>
      </w:r>
      <w:r>
        <w:rPr/>
        <w:t>无。</w:t>
      </w:r>
    </w:p>
    <w:p>
      <w:pPr>
        <w:pStyle w:val="BodyText"/>
        <w:spacing w:line="340" w:lineRule="auto" w:before="43"/>
        <w:ind w:left="212" w:right="6824"/>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3"/>
        <w:rPr>
          <w:rFonts w:ascii="宋体" w:hAnsi="宋体" w:cs="宋体" w:eastAsia="宋体" w:hint="default"/>
          <w:sz w:val="21"/>
          <w:szCs w:val="21"/>
        </w:rPr>
      </w:pPr>
    </w:p>
    <w:p>
      <w:pPr>
        <w:pStyle w:val="Heading3"/>
        <w:spacing w:line="240" w:lineRule="auto"/>
        <w:ind w:left="212" w:right="745"/>
        <w:jc w:val="left"/>
        <w:rPr>
          <w:b w:val="0"/>
          <w:bCs w:val="0"/>
        </w:rPr>
      </w:pPr>
      <w:bookmarkStart w:name="5、预付款项" w:id="231"/>
      <w:bookmarkEnd w:id="231"/>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2" w:right="745"/>
        <w:jc w:val="left"/>
        <w:rPr>
          <w:b w:val="0"/>
          <w:bCs w:val="0"/>
        </w:rPr>
      </w:pPr>
      <w:bookmarkStart w:name="（1）预付款项按账龄列示" w:id="232"/>
      <w:bookmarkEnd w:id="23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1901"/>
        <w:gridCol w:w="1915"/>
        <w:gridCol w:w="1914"/>
        <w:gridCol w:w="1914"/>
        <w:gridCol w:w="1903"/>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4D4D4"/>
          </w:tcPr>
          <w:p>
            <w:pPr/>
          </w:p>
        </w:tc>
        <w:tc>
          <w:tcPr>
            <w:tcW w:w="382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vMerge/>
            <w:tcBorders>
              <w:left w:val="single" w:sz="4" w:space="0" w:color="000000"/>
              <w:bottom w:val="single" w:sz="4" w:space="0" w:color="000000"/>
              <w:right w:val="single" w:sz="4" w:space="0" w:color="000000"/>
            </w:tcBorders>
            <w:shd w:val="clear" w:color="auto" w:fill="D4D4D4"/>
          </w:tcPr>
          <w:p>
            <w:pPr/>
          </w:p>
        </w:tc>
        <w:tc>
          <w:tcPr>
            <w:tcW w:w="3817"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0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0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left="837" w:right="0"/>
              <w:jc w:val="left"/>
              <w:rPr>
                <w:rFonts w:ascii="Times New Roman" w:hAnsi="Times New Roman" w:cs="Times New Roman" w:eastAsia="Times New Roman" w:hint="default"/>
                <w:sz w:val="18"/>
                <w:szCs w:val="18"/>
              </w:rPr>
            </w:pPr>
            <w:r>
              <w:rPr>
                <w:rFonts w:ascii="Times New Roman"/>
                <w:sz w:val="18"/>
              </w:rPr>
              <w:t>17,830,474.46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84.93%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5" w:right="0"/>
              <w:jc w:val="left"/>
              <w:rPr>
                <w:rFonts w:ascii="Times New Roman" w:hAnsi="Times New Roman" w:cs="Times New Roman" w:eastAsia="Times New Roman" w:hint="default"/>
                <w:sz w:val="18"/>
                <w:szCs w:val="18"/>
              </w:rPr>
            </w:pPr>
            <w:r>
              <w:rPr>
                <w:rFonts w:ascii="Times New Roman"/>
                <w:sz w:val="18"/>
              </w:rPr>
              <w:t>21,198,242.04</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8" w:right="0"/>
              <w:jc w:val="lef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left"/>
        <w:rPr>
          <w:rFonts w:ascii="Times New Roman" w:hAnsi="Times New Roman" w:cs="Times New Roman" w:eastAsia="Times New Roman" w:hint="default"/>
          <w:sz w:val="18"/>
          <w:szCs w:val="18"/>
        </w:rPr>
        <w:sectPr>
          <w:footerReference w:type="default" r:id="rId20"/>
          <w:pgSz w:w="11910" w:h="16840"/>
          <w:pgMar w:footer="982" w:header="745" w:top="1060" w:bottom="1180" w:left="920" w:right="0"/>
          <w:pgNumType w:start="12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1912"/>
        <w:gridCol w:w="1915"/>
        <w:gridCol w:w="1913"/>
        <w:gridCol w:w="1915"/>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3,163,014.01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15.07%</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20,993,488.47</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21,198,242.04</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9" w:lineRule="auto" w:before="49"/>
        <w:ind w:left="212" w:right="745"/>
        <w:jc w:val="left"/>
      </w:pPr>
      <w:r>
        <w:rPr/>
        <w:t>账龄超过</w:t>
      </w:r>
      <w:r>
        <w:rPr>
          <w:spacing w:val="-46"/>
        </w:rPr>
        <w:t> </w:t>
      </w:r>
      <w:r>
        <w:rPr>
          <w:rFonts w:ascii="Times New Roman" w:hAnsi="Times New Roman" w:cs="Times New Roman" w:eastAsia="Times New Roman" w:hint="default"/>
        </w:rPr>
        <w:t>1 </w:t>
      </w:r>
      <w:r>
        <w:rPr/>
        <w:t>年且金额重要的预付款项未及时结算原因的说明： </w:t>
      </w:r>
      <w:r>
        <w:rPr>
          <w:spacing w:val="-4"/>
        </w:rPr>
        <w:t>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日，账龄超过一年的预付款项为</w:t>
      </w:r>
      <w:r>
        <w:rPr>
          <w:rFonts w:ascii="Times New Roman" w:hAnsi="Times New Roman" w:cs="Times New Roman" w:eastAsia="Times New Roman" w:hint="default"/>
          <w:spacing w:val="-4"/>
        </w:rPr>
        <w:t>3,807,634.31</w:t>
      </w:r>
      <w:r>
        <w:rPr>
          <w:spacing w:val="-4"/>
        </w:rPr>
        <w:t>元（</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w:t>
      </w:r>
      <w:r>
        <w:rPr>
          <w:rFonts w:ascii="Times New Roman" w:hAnsi="Times New Roman" w:cs="Times New Roman" w:eastAsia="Times New Roman" w:hint="default"/>
          <w:spacing w:val="-4"/>
        </w:rPr>
        <w:t>0.00</w:t>
      </w:r>
      <w:r>
        <w:rPr>
          <w:spacing w:val="-4"/>
        </w:rPr>
        <w:t>元），主要为预付项目外包服务款项，</w:t>
      </w:r>
      <w:r>
        <w:rPr>
          <w:spacing w:val="-78"/>
        </w:rPr>
        <w:t> </w:t>
      </w:r>
      <w:r>
        <w:rPr>
          <w:spacing w:val="-78"/>
        </w:rPr>
      </w:r>
      <w:r>
        <w:rPr/>
        <w:t>因为项目尚未结束，该款项尚未结清。</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left="212" w:right="745"/>
        <w:jc w:val="left"/>
        <w:rPr>
          <w:b w:val="0"/>
          <w:bCs w:val="0"/>
        </w:rPr>
      </w:pPr>
      <w:bookmarkStart w:name="（2）按预付对象归集的期末余额前五名的预付款情况" w:id="233"/>
      <w:bookmarkEnd w:id="23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3665"/>
        <w:gridCol w:w="3158"/>
        <w:gridCol w:w="3031"/>
      </w:tblGrid>
      <w:tr>
        <w:trPr>
          <w:trHeight w:val="643" w:hRule="exact"/>
        </w:trPr>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957" w:right="0"/>
              <w:jc w:val="left"/>
              <w:rPr>
                <w:rFonts w:ascii="宋体" w:hAnsi="宋体" w:cs="宋体" w:eastAsia="宋体" w:hint="default"/>
                <w:sz w:val="20"/>
                <w:szCs w:val="20"/>
              </w:rPr>
            </w:pPr>
            <w:r>
              <w:rPr>
                <w:rFonts w:ascii="Arial" w:hAnsi="Arial" w:cs="Arial" w:eastAsia="Arial" w:hint="default"/>
                <w:sz w:val="20"/>
                <w:szCs w:val="20"/>
              </w:rPr>
              <w:t>2018</w:t>
            </w:r>
            <w:r>
              <w:rPr>
                <w:rFonts w:ascii="Arial" w:hAnsi="Arial" w:cs="Arial" w:eastAsia="Arial"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31</w:t>
            </w:r>
            <w:r>
              <w:rPr>
                <w:rFonts w:ascii="Arial" w:hAnsi="Arial" w:cs="Arial" w:eastAsia="Arial" w:hint="default"/>
                <w:spacing w:val="-8"/>
                <w:sz w:val="20"/>
                <w:szCs w:val="20"/>
              </w:rPr>
              <w:t> </w:t>
            </w:r>
            <w:r>
              <w:rPr>
                <w:rFonts w:ascii="宋体" w:hAnsi="宋体" w:cs="宋体" w:eastAsia="宋体" w:hint="default"/>
                <w:sz w:val="20"/>
                <w:szCs w:val="20"/>
              </w:rPr>
              <w:t>日</w:t>
            </w:r>
          </w:p>
        </w:tc>
        <w:tc>
          <w:tcPr>
            <w:tcW w:w="315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96" w:right="0"/>
              <w:jc w:val="center"/>
              <w:rPr>
                <w:rFonts w:ascii="宋体" w:hAnsi="宋体" w:cs="宋体" w:eastAsia="宋体" w:hint="default"/>
                <w:sz w:val="20"/>
                <w:szCs w:val="20"/>
              </w:rPr>
            </w:pPr>
            <w:r>
              <w:rPr>
                <w:rFonts w:ascii="宋体" w:hAnsi="宋体" w:cs="宋体" w:eastAsia="宋体" w:hint="default"/>
                <w:sz w:val="20"/>
                <w:szCs w:val="20"/>
              </w:rPr>
              <w:t>金额</w:t>
            </w:r>
            <w:r>
              <w:rPr>
                <w:rFonts w:ascii="宋体" w:hAnsi="宋体" w:cs="宋体" w:eastAsia="宋体" w:hint="default"/>
                <w:sz w:val="20"/>
                <w:szCs w:val="20"/>
              </w:rPr>
              <w:t> </w:t>
            </w:r>
          </w:p>
        </w:tc>
        <w:tc>
          <w:tcPr>
            <w:tcW w:w="303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110" w:right="909" w:hanging="101"/>
              <w:jc w:val="left"/>
              <w:rPr>
                <w:rFonts w:ascii="宋体" w:hAnsi="宋体" w:cs="宋体" w:eastAsia="宋体" w:hint="default"/>
                <w:sz w:val="20"/>
                <w:szCs w:val="20"/>
              </w:rPr>
            </w:pPr>
            <w:r>
              <w:rPr>
                <w:rFonts w:ascii="宋体" w:hAnsi="宋体" w:cs="宋体" w:eastAsia="宋体" w:hint="default"/>
                <w:sz w:val="20"/>
                <w:szCs w:val="20"/>
              </w:rPr>
              <w:t>占预付账款</w:t>
            </w:r>
            <w:r>
              <w:rPr>
                <w:rFonts w:ascii="宋体" w:hAnsi="宋体" w:cs="宋体" w:eastAsia="宋体" w:hint="default"/>
                <w:w w:val="99"/>
                <w:sz w:val="20"/>
                <w:szCs w:val="20"/>
              </w:rPr>
              <w:t> </w:t>
            </w:r>
            <w:r>
              <w:rPr>
                <w:rFonts w:ascii="宋体" w:hAnsi="宋体" w:cs="宋体" w:eastAsia="宋体" w:hint="default"/>
                <w:sz w:val="20"/>
                <w:szCs w:val="20"/>
              </w:rPr>
              <w:t>总额比例</w:t>
            </w:r>
            <w:r>
              <w:rPr>
                <w:rFonts w:ascii="宋体" w:hAnsi="宋体" w:cs="宋体" w:eastAsia="宋体" w:hint="default"/>
                <w:sz w:val="20"/>
                <w:szCs w:val="20"/>
              </w:rPr>
              <w:t> </w:t>
            </w:r>
          </w:p>
        </w:tc>
      </w:tr>
      <w:tr>
        <w:trPr>
          <w:trHeight w:val="492" w:hRule="exact"/>
        </w:trPr>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余额前五名的预付款项总额</w:t>
            </w:r>
            <w:r>
              <w:rPr>
                <w:rFonts w:ascii="宋体" w:hAnsi="宋体" w:cs="宋体" w:eastAsia="宋体" w:hint="default"/>
                <w:sz w:val="20"/>
                <w:szCs w:val="20"/>
              </w:rPr>
              <w:t> </w:t>
            </w:r>
          </w:p>
        </w:tc>
        <w:tc>
          <w:tcPr>
            <w:tcW w:w="3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876" w:right="0"/>
              <w:jc w:val="left"/>
              <w:rPr>
                <w:rFonts w:ascii="Arial" w:hAnsi="Arial" w:cs="Arial" w:eastAsia="Arial" w:hint="default"/>
                <w:sz w:val="20"/>
                <w:szCs w:val="20"/>
              </w:rPr>
            </w:pPr>
            <w:r>
              <w:rPr>
                <w:rFonts w:ascii="Arial"/>
                <w:sz w:val="20"/>
              </w:rPr>
              <w:t>6,150,589.50</w:t>
            </w:r>
          </w:p>
        </w:tc>
        <w:tc>
          <w:tcPr>
            <w:tcW w:w="3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Arial" w:hAnsi="Arial" w:cs="Arial" w:eastAsia="Arial" w:hint="default"/>
                <w:sz w:val="20"/>
                <w:szCs w:val="20"/>
              </w:rPr>
            </w:pPr>
            <w:r>
              <w:rPr>
                <w:rFonts w:ascii="Arial"/>
                <w:spacing w:val="-1"/>
                <w:sz w:val="20"/>
              </w:rPr>
              <w:t>29.30%</w:t>
            </w:r>
            <w:r>
              <w:rPr>
                <w:rFonts w:ascii="Arial"/>
                <w:sz w:val="20"/>
              </w:rPr>
            </w:r>
          </w:p>
        </w:tc>
      </w:tr>
    </w:tbl>
    <w:p>
      <w:pPr>
        <w:pStyle w:val="BodyText"/>
        <w:spacing w:line="240" w:lineRule="auto" w:before="49"/>
        <w:ind w:left="212" w:right="74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left="212" w:right="745"/>
        <w:jc w:val="left"/>
        <w:rPr>
          <w:b w:val="0"/>
          <w:bCs w:val="0"/>
        </w:rPr>
      </w:pPr>
      <w:bookmarkStart w:name="6、其他应收款" w:id="234"/>
      <w:bookmarkEnd w:id="234"/>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37,105,278.47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36,763,629.45</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37,105,278.47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36,763,629.45</w:t>
            </w:r>
          </w:p>
        </w:tc>
      </w:tr>
    </w:tbl>
    <w:p>
      <w:pPr>
        <w:spacing w:line="240" w:lineRule="auto" w:before="3"/>
        <w:rPr>
          <w:rFonts w:ascii="宋体" w:hAnsi="宋体" w:cs="宋体" w:eastAsia="宋体" w:hint="default"/>
          <w:sz w:val="19"/>
          <w:szCs w:val="19"/>
        </w:rPr>
      </w:pPr>
    </w:p>
    <w:p>
      <w:pPr>
        <w:pStyle w:val="Heading3"/>
        <w:spacing w:line="240" w:lineRule="auto" w:before="36"/>
        <w:ind w:left="212" w:right="745"/>
        <w:jc w:val="left"/>
        <w:rPr>
          <w:b w:val="0"/>
          <w:bCs w:val="0"/>
        </w:rPr>
      </w:pPr>
      <w:bookmarkStart w:name="（1）应收利息" w:id="235"/>
      <w:bookmarkEnd w:id="235"/>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212" w:right="745"/>
        <w:jc w:val="left"/>
      </w:pPr>
      <w:r>
        <w:rPr>
          <w:rFonts w:ascii="Times New Roman" w:hAnsi="Times New Roman" w:cs="Times New Roman" w:eastAsia="Times New Roman" w:hint="default"/>
        </w:rPr>
        <w:t>1)</w:t>
      </w:r>
      <w:r>
        <w:rPr/>
        <w:t>应收利息分类</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left="212" w:right="745"/>
        <w:jc w:val="left"/>
      </w:pPr>
      <w:r>
        <w:rPr>
          <w:rFonts w:ascii="Times New Roman" w:hAnsi="Times New Roman" w:cs="Times New Roman" w:eastAsia="Times New Roman" w:hint="default"/>
        </w:rPr>
        <w:t>2)</w:t>
      </w:r>
      <w:r>
        <w:rPr/>
        <w:t>重要逾期利息</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left="212" w:right="74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left="212" w:right="745"/>
        <w:jc w:val="left"/>
        <w:rPr>
          <w:b w:val="0"/>
          <w:bCs w:val="0"/>
        </w:rPr>
      </w:pPr>
      <w:bookmarkStart w:name="（2）应收股利" w:id="236"/>
      <w:bookmarkEnd w:id="236"/>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212" w:right="745"/>
        <w:jc w:val="left"/>
      </w:pPr>
      <w:r>
        <w:rPr>
          <w:rFonts w:ascii="Times New Roman" w:hAnsi="Times New Roman" w:cs="Times New Roman" w:eastAsia="Times New Roman" w:hint="default"/>
        </w:rPr>
        <w:t>1)</w:t>
      </w:r>
      <w:r>
        <w:rPr/>
        <w:t>应收股利</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left="212" w:right="745"/>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1"/>
        <w:ind w:left="0" w:right="1133"/>
        <w:jc w:val="right"/>
      </w:pPr>
      <w:r>
        <w:rPr/>
        <w:t>单位：</w:t>
      </w:r>
      <w:r>
        <w:rPr>
          <w:spacing w:val="1"/>
        </w:rPr>
        <w:t> </w:t>
      </w:r>
      <w:r>
        <w:rPr/>
        <w:t>元</w:t>
      </w:r>
    </w:p>
    <w:p>
      <w:pPr>
        <w:spacing w:after="0" w:line="240" w:lineRule="auto"/>
        <w:jc w:val="right"/>
        <w:sectPr>
          <w:pgSz w:w="11910" w:h="16840"/>
          <w:pgMar w:header="745" w:footer="982" w:top="1060" w:bottom="118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0"/>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3）其他应收款" w:id="237"/>
      <w:bookmarkEnd w:id="237"/>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9"/>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7"/>
        <w:gridCol w:w="655"/>
        <w:gridCol w:w="761"/>
        <w:gridCol w:w="814"/>
        <w:gridCol w:w="934"/>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24"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37,538,2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56.55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432,978.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1.15%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37,105,27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8.47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38,992,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998.86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2,229,369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36,763,629.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37,538,2</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56.55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432,978.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1.15%</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37,105,27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8.47</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38,992,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998.86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2,229,369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5.72%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36,763,629.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r>
      <w:tr>
        <w:trPr>
          <w:trHeight w:val="394" w:hRule="exact"/>
        </w:trPr>
        <w:tc>
          <w:tcPr>
            <w:tcW w:w="16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473" w:space="4354"/>
            <w:col w:w="2103"/>
          </w:cols>
        </w:sectPr>
      </w:pPr>
    </w:p>
    <w:p>
      <w:pPr>
        <w:spacing w:line="240" w:lineRule="auto" w:before="4"/>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2368"/>
        <w:gridCol w:w="2398"/>
        <w:gridCol w:w="2393"/>
        <w:gridCol w:w="2392"/>
      </w:tblGrid>
      <w:tr>
        <w:trPr>
          <w:trHeight w:val="206" w:hRule="exact"/>
        </w:trPr>
        <w:tc>
          <w:tcPr>
            <w:tcW w:w="2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3"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2368" w:type="dxa"/>
            <w:vMerge/>
            <w:tcBorders>
              <w:left w:val="single" w:sz="4" w:space="0" w:color="000000"/>
              <w:bottom w:val="nil" w:sz="6" w:space="0" w:color="auto"/>
              <w:right w:val="single" w:sz="4" w:space="0" w:color="000000"/>
            </w:tcBorders>
            <w:shd w:val="clear" w:color="auto" w:fill="D4D4D4"/>
          </w:tcPr>
          <w:p>
            <w:pPr/>
          </w:p>
        </w:tc>
        <w:tc>
          <w:tcPr>
            <w:tcW w:w="23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74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8" w:type="dxa"/>
            <w:vMerge/>
            <w:tcBorders>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92" w:type="dxa"/>
            <w:vMerge/>
            <w:tcBorders>
              <w:left w:val="single" w:sz="4" w:space="0" w:color="000000"/>
              <w:bottom w:val="single" w:sz="4" w:space="0" w:color="000000"/>
              <w:right w:val="single" w:sz="4" w:space="0" w:color="000000"/>
            </w:tcBorders>
            <w:shd w:val="clear" w:color="auto" w:fill="D4D4D4"/>
          </w:tcPr>
          <w:p>
            <w:pPr/>
          </w:p>
        </w:tc>
      </w:tr>
      <w:tr>
        <w:trPr>
          <w:trHeight w:val="396" w:hRule="exact"/>
        </w:trPr>
        <w:tc>
          <w:tcPr>
            <w:tcW w:w="9551"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37,307,501.76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359,385.53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0.96%</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38,584.16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3,858.42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137,170.63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27,434.13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70.00%</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37,538,256.55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432,978.08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3374"/>
        <w:jc w:val="left"/>
      </w:pPr>
      <w:r>
        <w:rPr/>
        <w:t>确定该组合依据的说明： 本集团根据历史经验及对客户组合信用评价持续评价按组合所计提坏账准备的依据及合理性。</w:t>
      </w:r>
    </w:p>
    <w:p>
      <w:pPr>
        <w:spacing w:line="240" w:lineRule="auto" w:before="1"/>
        <w:rPr>
          <w:rFonts w:ascii="宋体" w:hAnsi="宋体" w:cs="宋体" w:eastAsia="宋体" w:hint="default"/>
          <w:sz w:val="26"/>
          <w:szCs w:val="26"/>
        </w:rPr>
      </w:pPr>
    </w:p>
    <w:p>
      <w:pPr>
        <w:pStyle w:val="BodyText"/>
        <w:spacing w:line="240" w:lineRule="auto"/>
        <w:ind w:right="1129"/>
        <w:jc w:val="left"/>
      </w:pPr>
      <w:r>
        <w:rPr/>
        <w:t>组合中，采用余额百分比法计提坏账准备的其他应收款：</w:t>
      </w:r>
    </w:p>
    <w:p>
      <w:pPr>
        <w:pStyle w:val="BodyText"/>
        <w:spacing w:line="338" w:lineRule="auto" w:before="117"/>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spacing w:after="0" w:line="338" w:lineRule="auto"/>
        <w:jc w:val="left"/>
        <w:sectPr>
          <w:type w:val="continuous"/>
          <w:pgSz w:w="11910" w:h="16840"/>
          <w:pgMar w:top="1060" w:bottom="118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2" w:top="1060" w:bottom="1180" w:left="980" w:right="0"/>
        </w:sectPr>
      </w:pPr>
    </w:p>
    <w:p>
      <w:pPr>
        <w:pStyle w:val="BodyText"/>
        <w:spacing w:line="240" w:lineRule="auto" w:before="44"/>
        <w:ind w:right="-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0"/>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10"/>
        <w:jc w:val="left"/>
      </w:pPr>
      <w:r>
        <w:rPr/>
        <w:t>本期计提坏账准备金额</w:t>
      </w:r>
      <w:r>
        <w:rPr>
          <w:spacing w:val="-47"/>
        </w:rPr>
        <w:t> </w:t>
      </w:r>
      <w:r>
        <w:rPr>
          <w:rFonts w:ascii="Times New Roman" w:hAnsi="Times New Roman" w:cs="Times New Roman" w:eastAsia="Times New Roman" w:hint="default"/>
        </w:rPr>
        <w:t>3,080,217.19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6232" w:space="2595"/>
            <w:col w:w="2103"/>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1129"/>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1"/>
        <w:gridCol w:w="4788"/>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4,876,608.52</w:t>
            </w:r>
            <w:r>
              <w:rPr>
                <w:rFonts w:ascii="Times New Roman"/>
                <w:sz w:val="18"/>
              </w:rPr>
            </w:r>
          </w:p>
        </w:tc>
      </w:tr>
    </w:tbl>
    <w:p>
      <w:pPr>
        <w:pStyle w:val="BodyText"/>
        <w:spacing w:line="240" w:lineRule="auto" w:before="49"/>
        <w:ind w:right="1129"/>
        <w:jc w:val="left"/>
      </w:pPr>
      <w:r>
        <w:rPr/>
        <w:t>其中重要的其他应收款核销情况：</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从兴技术有限公司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4,856,608.52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长账龄无法回收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9"/>
              <w:jc w:val="right"/>
              <w:rPr>
                <w:rFonts w:ascii="宋体" w:hAnsi="宋体" w:cs="宋体" w:eastAsia="宋体" w:hint="default"/>
                <w:sz w:val="18"/>
                <w:szCs w:val="18"/>
              </w:rPr>
            </w:pPr>
            <w:r>
              <w:rPr>
                <w:rFonts w:ascii="宋体" w:hAnsi="宋体" w:cs="宋体" w:eastAsia="宋体" w:hint="default"/>
                <w:sz w:val="18"/>
                <w:szCs w:val="18"/>
              </w:rPr>
              <w:t>坏账核销审批流程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4,856,608.52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0"/>
        </w:sectPr>
      </w:pPr>
    </w:p>
    <w:p>
      <w:pPr>
        <w:pStyle w:val="BodyText"/>
        <w:spacing w:line="240" w:lineRule="auto" w:before="49"/>
        <w:ind w:right="-18"/>
        <w:jc w:val="left"/>
      </w:pPr>
      <w:r>
        <w:rPr/>
        <w:t>其他应收款核销说明：</w:t>
      </w:r>
    </w:p>
    <w:p>
      <w:pPr>
        <w:pStyle w:val="BodyText"/>
        <w:spacing w:line="240" w:lineRule="auto" w:before="115"/>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2825" w:space="6003"/>
            <w:col w:w="2102"/>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应收押金及保证金款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32,499,984.53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31,128,646.24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转入从兴电力业务应收款及代垫款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132,800.00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4,989,408.52</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应收员工借款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2,425,002.94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1,457,837.42</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2,480,469.08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1,417,106.68</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37,538,256.55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38,992,998.86</w:t>
            </w:r>
          </w:p>
        </w:tc>
      </w:tr>
    </w:tbl>
    <w:p>
      <w:pPr>
        <w:pStyle w:val="BodyText"/>
        <w:spacing w:line="240" w:lineRule="auto" w:before="49"/>
        <w:ind w:right="1129"/>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海关总署物资装备 采购中心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应收押金及保证金 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3,793,320.00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10.11%</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37,933.20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center"/>
              <w:rPr>
                <w:rFonts w:ascii="宋体" w:hAnsi="宋体" w:cs="宋体" w:eastAsia="宋体" w:hint="default"/>
                <w:sz w:val="18"/>
                <w:szCs w:val="18"/>
              </w:rPr>
            </w:pPr>
            <w:r>
              <w:rPr>
                <w:rFonts w:ascii="宋体" w:hAnsi="宋体" w:cs="宋体" w:eastAsia="宋体" w:hint="default"/>
                <w:sz w:val="18"/>
                <w:szCs w:val="18"/>
              </w:rPr>
              <w:t>邦道科技有限公司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2,272,342.72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22,723.43</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both"/>
              <w:rPr>
                <w:rFonts w:ascii="宋体" w:hAnsi="宋体" w:cs="宋体" w:eastAsia="宋体" w:hint="default"/>
                <w:sz w:val="18"/>
                <w:szCs w:val="18"/>
              </w:rPr>
            </w:pPr>
            <w:r>
              <w:rPr>
                <w:rFonts w:ascii="宋体" w:hAnsi="宋体" w:cs="宋体" w:eastAsia="宋体" w:hint="default"/>
                <w:sz w:val="18"/>
                <w:szCs w:val="18"/>
              </w:rPr>
              <w:t>北京北辰实业股份 有限公司写字楼经 营管理分公司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应收押金及保证金 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1,639,519.20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16,395.19</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国网浙江浙电招标 咨询有限公司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应收押金及保证金 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both"/>
              <w:rPr>
                <w:rFonts w:ascii="宋体" w:hAnsi="宋体" w:cs="宋体" w:eastAsia="宋体" w:hint="default"/>
                <w:sz w:val="18"/>
                <w:szCs w:val="18"/>
              </w:rPr>
            </w:pPr>
            <w:r>
              <w:rPr>
                <w:rFonts w:ascii="宋体" w:hAnsi="宋体" w:cs="宋体" w:eastAsia="宋体" w:hint="default"/>
                <w:sz w:val="18"/>
                <w:szCs w:val="18"/>
              </w:rPr>
              <w:t>国信招标集团股份 有限公司内蒙古分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应收押金及保证金 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9,550.00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9,660,181.92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25.73%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96,601.82</w:t>
            </w:r>
          </w:p>
        </w:tc>
      </w:tr>
    </w:tbl>
    <w:p>
      <w:pPr>
        <w:pStyle w:val="BodyText"/>
        <w:spacing w:line="240" w:lineRule="auto" w:before="49"/>
        <w:ind w:right="1129"/>
        <w:jc w:val="left"/>
      </w:pPr>
      <w:r>
        <w:rPr>
          <w:rFonts w:ascii="Times New Roman" w:hAnsi="Times New Roman" w:cs="Times New Roman" w:eastAsia="Times New Roman" w:hint="default"/>
        </w:rPr>
        <w:t>6)</w:t>
      </w:r>
      <w:r>
        <w:rPr/>
        <w:t>涉及政府补助的应收款项</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49"/>
        <w:ind w:right="1129"/>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1"/>
        <w:ind w:right="6644"/>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3"/>
        <w:rPr>
          <w:rFonts w:ascii="宋体" w:hAnsi="宋体" w:cs="宋体" w:eastAsia="宋体" w:hint="default"/>
          <w:sz w:val="21"/>
          <w:szCs w:val="21"/>
        </w:rPr>
      </w:pPr>
    </w:p>
    <w:p>
      <w:pPr>
        <w:pStyle w:val="Heading3"/>
        <w:spacing w:line="240" w:lineRule="auto"/>
        <w:ind w:right="1129"/>
        <w:jc w:val="left"/>
        <w:rPr>
          <w:b w:val="0"/>
          <w:bCs w:val="0"/>
        </w:rPr>
      </w:pPr>
      <w:bookmarkStart w:name="7、存货" w:id="238"/>
      <w:bookmarkEnd w:id="238"/>
      <w:r>
        <w:rPr>
          <w:b w:val="0"/>
          <w:bCs w:val="0"/>
        </w:rPr>
      </w:r>
      <w:r>
        <w:rPr>
          <w:rFonts w:ascii="Times New Roman" w:hAnsi="Times New Roman" w:cs="Times New Roman" w:eastAsia="Times New Roman" w:hint="default"/>
        </w:rPr>
        <w:t>7</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514"/>
        <w:jc w:val="left"/>
      </w:pPr>
      <w:r>
        <w:rPr/>
        <w:t>公司是否需要遵守房地产行业的披露要求 否</w:t>
      </w:r>
    </w:p>
    <w:p>
      <w:pPr>
        <w:spacing w:line="240" w:lineRule="auto" w:before="4"/>
        <w:rPr>
          <w:rFonts w:ascii="宋体" w:hAnsi="宋体" w:cs="宋体" w:eastAsia="宋体" w:hint="default"/>
          <w:sz w:val="20"/>
          <w:szCs w:val="20"/>
        </w:rPr>
      </w:pPr>
    </w:p>
    <w:p>
      <w:pPr>
        <w:pStyle w:val="Heading3"/>
        <w:spacing w:line="240" w:lineRule="auto"/>
        <w:ind w:right="1129"/>
        <w:jc w:val="left"/>
        <w:rPr>
          <w:b w:val="0"/>
          <w:bCs w:val="0"/>
        </w:rPr>
      </w:pPr>
      <w:bookmarkStart w:name="（1）存货分类" w:id="239"/>
      <w:bookmarkEnd w:id="23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77,924,917.07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364,211.50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77,560,705.57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61,304,198.12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311,265.62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60,992,932.50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12,975,139.05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12,975,139.05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12,302,627.83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12,302,627.83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90,900,056.12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364,211.50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90,535,844.62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73,606,825.95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311,265.62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73,295,560.33</w:t>
            </w:r>
          </w:p>
        </w:tc>
      </w:tr>
    </w:tbl>
    <w:p>
      <w:pPr>
        <w:pStyle w:val="BodyText"/>
        <w:spacing w:line="338" w:lineRule="auto" w:before="49"/>
        <w:ind w:right="2477"/>
        <w:jc w:val="left"/>
      </w:pPr>
      <w:r>
        <w:rPr/>
        <w:t>公司是否需遵守《深圳证券交易所行业信息披露指引第</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3"/>
        <w:ind w:right="1577"/>
        <w:jc w:val="left"/>
      </w:pPr>
      <w:r>
        <w:rPr/>
        <w:t>公司是否需遵守《深圳证券交易所创业板行业信息披露指引第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39"/>
        <w:ind w:right="1757"/>
        <w:jc w:val="left"/>
      </w:pPr>
      <w:r>
        <w:rPr/>
        <w:t>公司是否需遵守《深圳证券交易所创业板行业信息披露指引第</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1"/>
        <w:ind w:right="2753"/>
        <w:jc w:val="left"/>
      </w:pPr>
      <w:r>
        <w:rPr/>
        <w:t>公司需遵守《深圳证券交易所行业信息披露指引第</w:t>
      </w:r>
      <w:r>
        <w:rPr>
          <w:spacing w:val="-4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7"/>
        <w:rPr>
          <w:rFonts w:ascii="宋体" w:hAnsi="宋体" w:cs="宋体" w:eastAsia="宋体" w:hint="default"/>
          <w:sz w:val="21"/>
          <w:szCs w:val="21"/>
        </w:rPr>
      </w:pPr>
    </w:p>
    <w:p>
      <w:pPr>
        <w:pStyle w:val="Heading3"/>
        <w:spacing w:line="240" w:lineRule="auto"/>
        <w:ind w:right="1129"/>
        <w:jc w:val="left"/>
        <w:rPr>
          <w:b w:val="0"/>
          <w:bCs w:val="0"/>
        </w:rPr>
      </w:pPr>
      <w:bookmarkStart w:name="（2）存货跌价准备" w:id="240"/>
      <w:bookmarkEnd w:id="24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311,265.62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52,945.88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364,211.50</w:t>
            </w:r>
            <w:r>
              <w:rPr>
                <w:rFonts w:ascii="Times New Roman"/>
                <w:sz w:val="18"/>
              </w:rPr>
            </w:r>
          </w:p>
        </w:tc>
      </w:tr>
      <w:tr>
        <w:trPr>
          <w:trHeight w:val="406" w:hRule="exact"/>
        </w:trPr>
        <w:tc>
          <w:tcPr>
            <w:tcW w:w="1368" w:type="dxa"/>
            <w:tcBorders>
              <w:top w:val="single" w:sz="4" w:space="0" w:color="000000"/>
              <w:left w:val="single" w:sz="4" w:space="0" w:color="000000"/>
              <w:bottom w:val="single" w:sz="6"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311,265.62</w:t>
            </w:r>
            <w:r>
              <w:rPr>
                <w:rFonts w:ascii="Times New Roman"/>
                <w:sz w:val="18"/>
              </w:rPr>
            </w:r>
          </w:p>
        </w:tc>
        <w:tc>
          <w:tcPr>
            <w:tcW w:w="136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52,945.88</w:t>
            </w:r>
          </w:p>
        </w:tc>
        <w:tc>
          <w:tcPr>
            <w:tcW w:w="1366" w:type="dxa"/>
            <w:tcBorders>
              <w:top w:val="single" w:sz="4" w:space="0" w:color="000000"/>
              <w:left w:val="single" w:sz="4" w:space="0" w:color="000000"/>
              <w:bottom w:val="single" w:sz="6" w:space="0" w:color="000000"/>
              <w:right w:val="single" w:sz="4" w:space="0" w:color="000000"/>
            </w:tcBorders>
          </w:tcPr>
          <w:p>
            <w:pPr/>
          </w:p>
        </w:tc>
        <w:tc>
          <w:tcPr>
            <w:tcW w:w="1368" w:type="dxa"/>
            <w:tcBorders>
              <w:top w:val="single" w:sz="4" w:space="0" w:color="000000"/>
              <w:left w:val="single" w:sz="4" w:space="0" w:color="000000"/>
              <w:bottom w:val="single" w:sz="6" w:space="0" w:color="000000"/>
              <w:right w:val="single" w:sz="4" w:space="0" w:color="000000"/>
            </w:tcBorders>
          </w:tcPr>
          <w:p>
            <w:pPr/>
          </w:p>
        </w:tc>
        <w:tc>
          <w:tcPr>
            <w:tcW w:w="1366" w:type="dxa"/>
            <w:tcBorders>
              <w:top w:val="single" w:sz="4" w:space="0" w:color="000000"/>
              <w:left w:val="single" w:sz="4" w:space="0" w:color="000000"/>
              <w:bottom w:val="single" w:sz="6" w:space="0" w:color="000000"/>
              <w:right w:val="single" w:sz="4" w:space="0" w:color="000000"/>
            </w:tcBorders>
          </w:tcPr>
          <w:p>
            <w:pPr/>
          </w:p>
        </w:tc>
        <w:tc>
          <w:tcPr>
            <w:tcW w:w="136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364,211.50</w:t>
            </w:r>
            <w:r>
              <w:rPr>
                <w:rFonts w:ascii="Times New Roman"/>
                <w:sz w:val="18"/>
              </w:rPr>
            </w:r>
          </w:p>
        </w:tc>
      </w:tr>
    </w:tbl>
    <w:p>
      <w:pPr>
        <w:tabs>
          <w:tab w:pos="7703" w:val="left" w:leader="none"/>
        </w:tabs>
        <w:spacing w:before="36"/>
        <w:ind w:left="4223" w:right="986" w:firstLine="0"/>
        <w:jc w:val="left"/>
        <w:rPr>
          <w:rFonts w:ascii="宋体" w:hAnsi="宋体" w:cs="宋体" w:eastAsia="宋体" w:hint="default"/>
          <w:sz w:val="16"/>
          <w:szCs w:val="16"/>
        </w:rPr>
      </w:pPr>
      <w:r>
        <w:rPr/>
        <w:pict>
          <v:group style="position:absolute;margin-left:56.279999pt;margin-top:16.663776pt;width:482.8pt;height:.75pt;mso-position-horizontal-relative:page;mso-position-vertical-relative:paragraph;z-index:1576" coordorigin="1126,333" coordsize="9656,15">
            <v:group style="position:absolute;left:1133;top:340;width:1697;height:2" coordorigin="1133,340" coordsize="1697,2">
              <v:shape style="position:absolute;left:1133;top:340;width:1697;height:2" coordorigin="1133,340" coordsize="1697,0" path="m1133,340l2830,340e" filled="false" stroked="true" strokeweight=".72pt" strokecolor="#000000">
                <v:path arrowok="t"/>
              </v:shape>
            </v:group>
            <v:group style="position:absolute;left:2830;top:340;width:15;height:2" coordorigin="2830,340" coordsize="15,2">
              <v:shape style="position:absolute;left:2830;top:340;width:15;height:2" coordorigin="2830,340" coordsize="15,0" path="m2830,340l2844,340e" filled="false" stroked="true" strokeweight=".72pt" strokecolor="#000000">
                <v:path arrowok="t"/>
              </v:shape>
            </v:group>
            <v:group style="position:absolute;left:2844;top:340;width:4289;height:2" coordorigin="2844,340" coordsize="4289,2">
              <v:shape style="position:absolute;left:2844;top:340;width:4289;height:2" coordorigin="2844,340" coordsize="4289,0" path="m2844,340l7133,340e" filled="false" stroked="true" strokeweight=".72pt" strokecolor="#000000">
                <v:path arrowok="t"/>
              </v:shape>
            </v:group>
            <v:group style="position:absolute;left:7133;top:340;width:15;height:2" coordorigin="7133,340" coordsize="15,2">
              <v:shape style="position:absolute;left:7133;top:340;width:15;height:2" coordorigin="7133,340" coordsize="15,0" path="m7133,340l7147,340e" filled="false" stroked="true" strokeweight=".72pt" strokecolor="#000000">
                <v:path arrowok="t"/>
              </v:shape>
            </v:group>
            <v:group style="position:absolute;left:7147;top:340;width:279;height:2" coordorigin="7147,340" coordsize="279,2">
              <v:shape style="position:absolute;left:7147;top:340;width:279;height:2" coordorigin="7147,340" coordsize="279,0" path="m7147,340l7426,340e" filled="false" stroked="true" strokeweight=".72pt" strokecolor="#000000">
                <v:path arrowok="t"/>
              </v:shape>
            </v:group>
            <v:group style="position:absolute;left:7426;top:340;width:15;height:2" coordorigin="7426,340" coordsize="15,2">
              <v:shape style="position:absolute;left:7426;top:340;width:15;height:2" coordorigin="7426,340" coordsize="15,0" path="m7426,340l7440,340e" filled="false" stroked="true" strokeweight=".72pt" strokecolor="#000000">
                <v:path arrowok="t"/>
              </v:shape>
            </v:group>
            <v:group style="position:absolute;left:7440;top:340;width:3334;height:2" coordorigin="7440,340" coordsize="3334,2">
              <v:shape style="position:absolute;left:7440;top:340;width:3334;height:2" coordorigin="7440,340" coordsize="3334,0" path="m7440,340l10774,340e" filled="false" stroked="true" strokeweight=".72pt" strokecolor="#000000">
                <v:path arrowok="t"/>
              </v:shape>
            </v:group>
            <w10:wrap type="none"/>
          </v:group>
        </w:pict>
      </w:r>
      <w:r>
        <w:rPr>
          <w:rFonts w:ascii="宋体" w:hAnsi="宋体" w:cs="宋体" w:eastAsia="宋体" w:hint="default"/>
          <w:spacing w:val="-1"/>
          <w:sz w:val="16"/>
          <w:szCs w:val="16"/>
        </w:rPr>
        <w:t>确定可变现净值的具体依据</w:t>
        <w:tab/>
        <w:t>本年转销存货跌价准备的原因</w:t>
      </w:r>
    </w:p>
    <w:p>
      <w:pPr>
        <w:spacing w:after="0"/>
        <w:jc w:val="left"/>
        <w:rPr>
          <w:rFonts w:ascii="宋体" w:hAnsi="宋体" w:cs="宋体" w:eastAsia="宋体" w:hint="default"/>
          <w:sz w:val="16"/>
          <w:szCs w:val="16"/>
        </w:rPr>
        <w:sectPr>
          <w:pgSz w:w="11910" w:h="16840"/>
          <w:pgMar w:header="745" w:footer="982" w:top="1060" w:bottom="1180" w:left="980" w:right="0"/>
        </w:sectPr>
      </w:pPr>
    </w:p>
    <w:p>
      <w:pPr>
        <w:spacing w:line="357" w:lineRule="auto" w:before="138"/>
        <w:ind w:left="164" w:right="-11" w:firstLine="0"/>
        <w:jc w:val="left"/>
        <w:rPr>
          <w:rFonts w:ascii="宋体" w:hAnsi="宋体" w:cs="宋体" w:eastAsia="宋体" w:hint="default"/>
          <w:sz w:val="16"/>
          <w:szCs w:val="16"/>
        </w:rPr>
      </w:pPr>
      <w:r>
        <w:rPr>
          <w:rFonts w:ascii="宋体" w:hAnsi="宋体" w:cs="宋体" w:eastAsia="宋体" w:hint="default"/>
          <w:spacing w:val="-1"/>
          <w:sz w:val="16"/>
          <w:szCs w:val="16"/>
        </w:rPr>
        <w:t>软件开发成本</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pacing w:val="-1"/>
          <w:sz w:val="16"/>
          <w:szCs w:val="16"/>
        </w:rPr>
        <w:t>系统集成成本</w:t>
      </w:r>
    </w:p>
    <w:p>
      <w:pPr>
        <w:spacing w:line="357" w:lineRule="auto" w:before="138"/>
        <w:ind w:left="164" w:right="0" w:firstLine="0"/>
        <w:jc w:val="left"/>
        <w:rPr>
          <w:rFonts w:ascii="宋体" w:hAnsi="宋体" w:cs="宋体" w:eastAsia="宋体" w:hint="default"/>
          <w:sz w:val="16"/>
          <w:szCs w:val="16"/>
        </w:rPr>
      </w:pPr>
      <w:r>
        <w:rPr>
          <w:spacing w:val="-1"/>
        </w:rPr>
        <w:br w:type="column"/>
      </w:r>
      <w:r>
        <w:rPr>
          <w:rFonts w:ascii="宋体" w:hAnsi="宋体" w:cs="宋体" w:eastAsia="宋体" w:hint="default"/>
          <w:spacing w:val="-1"/>
          <w:sz w:val="16"/>
          <w:szCs w:val="16"/>
        </w:rPr>
        <w:t>以存货的合同价格或预计售价减去至完工时估计将要发生的</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成本、估计的销售费用以及相关税费后的金额确定。</w:t>
      </w:r>
    </w:p>
    <w:p>
      <w:pPr>
        <w:spacing w:line="357" w:lineRule="auto" w:before="138"/>
        <w:ind w:left="164" w:right="872" w:firstLine="0"/>
        <w:jc w:val="left"/>
        <w:rPr>
          <w:rFonts w:ascii="宋体" w:hAnsi="宋体" w:cs="宋体" w:eastAsia="宋体" w:hint="default"/>
          <w:sz w:val="16"/>
          <w:szCs w:val="16"/>
        </w:rPr>
      </w:pPr>
      <w:r>
        <w:rPr/>
        <w:br w:type="column"/>
      </w:r>
      <w:r>
        <w:rPr>
          <w:rFonts w:ascii="宋体" w:hAnsi="宋体" w:cs="宋体" w:eastAsia="宋体" w:hint="default"/>
          <w:sz w:val="16"/>
          <w:szCs w:val="16"/>
        </w:rPr>
        <w:t>按实际存货的消耗量重新计算应计提的存货跌</w:t>
      </w:r>
      <w:r>
        <w:rPr>
          <w:rFonts w:ascii="宋体" w:hAnsi="宋体" w:cs="宋体" w:eastAsia="宋体" w:hint="default"/>
          <w:w w:val="100"/>
          <w:sz w:val="16"/>
          <w:szCs w:val="16"/>
        </w:rPr>
        <w:t> </w:t>
      </w:r>
      <w:r>
        <w:rPr>
          <w:rFonts w:ascii="宋体" w:hAnsi="宋体" w:cs="宋体" w:eastAsia="宋体" w:hint="default"/>
          <w:spacing w:val="-3"/>
          <w:sz w:val="16"/>
          <w:szCs w:val="16"/>
        </w:rPr>
        <w:t>价准备将与上年度的差额予以转回；针对处置的</w:t>
      </w:r>
      <w:r>
        <w:rPr>
          <w:rFonts w:ascii="宋体" w:hAnsi="宋体" w:cs="宋体" w:eastAsia="宋体" w:hint="default"/>
          <w:spacing w:val="-53"/>
          <w:sz w:val="16"/>
          <w:szCs w:val="16"/>
        </w:rPr>
        <w:t> </w:t>
      </w:r>
      <w:r>
        <w:rPr>
          <w:rFonts w:ascii="宋体" w:hAnsi="宋体" w:cs="宋体" w:eastAsia="宋体" w:hint="default"/>
          <w:spacing w:val="-53"/>
          <w:sz w:val="16"/>
          <w:szCs w:val="16"/>
        </w:rPr>
      </w:r>
      <w:r>
        <w:rPr>
          <w:rFonts w:ascii="宋体" w:hAnsi="宋体" w:cs="宋体" w:eastAsia="宋体" w:hint="default"/>
          <w:spacing w:val="-3"/>
          <w:sz w:val="16"/>
          <w:szCs w:val="16"/>
        </w:rPr>
        <w:t>存货，对其以前年度计提的存货跌价准备予以转</w:t>
      </w:r>
      <w:r>
        <w:rPr>
          <w:rFonts w:ascii="宋体" w:hAnsi="宋体" w:cs="宋体" w:eastAsia="宋体" w:hint="default"/>
          <w:spacing w:val="-53"/>
          <w:sz w:val="16"/>
          <w:szCs w:val="16"/>
        </w:rPr>
        <w:t> </w:t>
      </w:r>
      <w:r>
        <w:rPr>
          <w:rFonts w:ascii="宋体" w:hAnsi="宋体" w:cs="宋体" w:eastAsia="宋体" w:hint="default"/>
          <w:spacing w:val="-53"/>
          <w:sz w:val="16"/>
          <w:szCs w:val="16"/>
        </w:rPr>
      </w:r>
      <w:r>
        <w:rPr>
          <w:rFonts w:ascii="宋体" w:hAnsi="宋体" w:cs="宋体" w:eastAsia="宋体" w:hint="default"/>
          <w:sz w:val="16"/>
          <w:szCs w:val="16"/>
        </w:rPr>
        <w:t>销。</w:t>
      </w:r>
    </w:p>
    <w:p>
      <w:pPr>
        <w:spacing w:after="0" w:line="357" w:lineRule="auto"/>
        <w:jc w:val="left"/>
        <w:rPr>
          <w:rFonts w:ascii="宋体" w:hAnsi="宋体" w:cs="宋体" w:eastAsia="宋体" w:hint="default"/>
          <w:sz w:val="16"/>
          <w:szCs w:val="16"/>
        </w:rPr>
        <w:sectPr>
          <w:type w:val="continuous"/>
          <w:pgSz w:w="11910" w:h="16840"/>
          <w:pgMar w:top="1060" w:bottom="1180" w:left="980" w:right="0"/>
          <w:cols w:num="3" w:equalWidth="0">
            <w:col w:w="1128" w:space="567"/>
            <w:col w:w="4327" w:space="271"/>
            <w:col w:w="463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before="36"/>
        <w:ind w:right="1129"/>
        <w:jc w:val="left"/>
        <w:rPr>
          <w:b w:val="0"/>
          <w:bCs w:val="0"/>
        </w:rPr>
      </w:pPr>
      <w:bookmarkStart w:name="（3）存货期末余额含有借款费用资本化金额的说明" w:id="241"/>
      <w:bookmarkEnd w:id="241"/>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4）期末建造合同形成的已完工未结算资产情况" w:id="242"/>
      <w:bookmarkEnd w:id="242"/>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8、持有待售资产" w:id="243"/>
      <w:bookmarkEnd w:id="243"/>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9、一年内到期的非流动资产" w:id="244"/>
      <w:bookmarkEnd w:id="244"/>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10、其他流动资产" w:id="245"/>
      <w:bookmarkEnd w:id="245"/>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931,627.00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890,783.83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71.69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931,627.00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890,855.52</w:t>
            </w:r>
          </w:p>
        </w:tc>
      </w:tr>
    </w:tbl>
    <w:p>
      <w:pPr>
        <w:pStyle w:val="BodyText"/>
        <w:spacing w:line="240" w:lineRule="auto" w:before="49"/>
        <w:ind w:right="1129"/>
        <w:jc w:val="left"/>
      </w:pPr>
      <w:r>
        <w:rPr/>
        <w:t>其他说明：</w:t>
      </w:r>
    </w:p>
    <w:p>
      <w:pPr>
        <w:spacing w:after="0" w:line="240" w:lineRule="auto"/>
        <w:jc w:val="left"/>
        <w:sectPr>
          <w:type w:val="continuous"/>
          <w:pgSz w:w="11910" w:h="16840"/>
          <w:pgMar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11、可供出售金融资产" w:id="246"/>
      <w:bookmarkEnd w:id="246"/>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可供出售金融资产情况" w:id="247"/>
      <w:bookmarkEnd w:id="247"/>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5"/>
        <w:gridCol w:w="1198"/>
        <w:gridCol w:w="1195"/>
        <w:gridCol w:w="1248"/>
        <w:gridCol w:w="1368"/>
        <w:gridCol w:w="1368"/>
      </w:tblGrid>
      <w:tr>
        <w:trPr>
          <w:trHeight w:val="401" w:hRule="exact"/>
        </w:trPr>
        <w:tc>
          <w:tcPr>
            <w:tcW w:w="19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98"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2）期末按公允价值计量的可供出售金融资产" w:id="248"/>
      <w:bookmarkEnd w:id="248"/>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3）期末按成本计量的可供出售金融资产" w:id="249"/>
      <w:bookmarkEnd w:id="249"/>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69"/>
        <w:gridCol w:w="871"/>
        <w:gridCol w:w="869"/>
        <w:gridCol w:w="871"/>
        <w:gridCol w:w="869"/>
        <w:gridCol w:w="871"/>
        <w:gridCol w:w="869"/>
        <w:gridCol w:w="871"/>
        <w:gridCol w:w="869"/>
        <w:gridCol w:w="871"/>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4"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4D4D4"/>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4D4D4"/>
          </w:tcPr>
          <w:p>
            <w:pPr/>
          </w:p>
        </w:tc>
        <w:tc>
          <w:tcPr>
            <w:tcW w:w="871" w:type="dxa"/>
            <w:vMerge/>
            <w:tcBorders>
              <w:left w:val="single" w:sz="4" w:space="0" w:color="000000"/>
              <w:bottom w:val="single" w:sz="4" w:space="0" w:color="000000"/>
              <w:right w:val="single" w:sz="4" w:space="0" w:color="000000"/>
            </w:tcBorders>
            <w:shd w:val="clear" w:color="auto" w:fill="D4D4D4"/>
          </w:tcPr>
          <w:p>
            <w:pPr/>
          </w:p>
        </w:tc>
      </w:tr>
    </w:tbl>
    <w:p>
      <w:pPr>
        <w:spacing w:line="240" w:lineRule="auto" w:before="4"/>
        <w:rPr>
          <w:rFonts w:ascii="宋体" w:hAnsi="宋体" w:cs="宋体" w:eastAsia="宋体" w:hint="default"/>
          <w:sz w:val="19"/>
          <w:szCs w:val="19"/>
        </w:rPr>
      </w:pPr>
    </w:p>
    <w:p>
      <w:pPr>
        <w:pStyle w:val="Heading3"/>
        <w:spacing w:line="240" w:lineRule="auto" w:before="36"/>
        <w:ind w:right="1129"/>
        <w:jc w:val="left"/>
        <w:rPr>
          <w:b w:val="0"/>
          <w:bCs w:val="0"/>
        </w:rPr>
      </w:pPr>
      <w:bookmarkStart w:name="（4）报告期内可供出售金融资产减值的变动情况" w:id="250"/>
      <w:bookmarkEnd w:id="250"/>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5）可供出售权益工具期末公允价值严重下跌或非暂时性下跌但未计提减值准备的相关说" w:id="251"/>
      <w:bookmarkEnd w:id="251"/>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12、持有至到期投资" w:id="252"/>
      <w:bookmarkEnd w:id="252"/>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持有至到期投资情况" w:id="253"/>
      <w:bookmarkEnd w:id="253"/>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2）期末重要的持有至到期投资" w:id="254"/>
      <w:bookmarkEnd w:id="254"/>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3）本期重分类的持有至到期投资" w:id="255"/>
      <w:bookmarkEnd w:id="255"/>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13、长期应收款" w:id="256"/>
      <w:bookmarkEnd w:id="256"/>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长期应收款情况" w:id="257"/>
      <w:bookmarkEnd w:id="257"/>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6"/>
        <w:gridCol w:w="1166"/>
        <w:gridCol w:w="1169"/>
        <w:gridCol w:w="1166"/>
        <w:gridCol w:w="1166"/>
        <w:gridCol w:w="1164"/>
      </w:tblGrid>
      <w:tr>
        <w:trPr>
          <w:trHeight w:val="403" w:hRule="exact"/>
        </w:trPr>
        <w:tc>
          <w:tcPr>
            <w:tcW w:w="140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3" w:type="dxa"/>
            <w:vMerge/>
            <w:tcBorders>
              <w:left w:val="single" w:sz="4" w:space="0" w:color="000000"/>
              <w:bottom w:val="single" w:sz="4" w:space="0" w:color="000000"/>
              <w:right w:val="single" w:sz="4" w:space="0" w:color="000000"/>
            </w:tcBorders>
            <w:shd w:val="clear" w:color="auto" w:fill="D4D4D4"/>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4D4D4"/>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2）因金融资产转移而终止确认的长期应收款" w:id="258"/>
      <w:bookmarkEnd w:id="258"/>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3）转移长期应收款且继续涉入形成的资产、负债金额" w:id="259"/>
      <w:bookmarkEnd w:id="259"/>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14、长期股权投资" w:id="260"/>
      <w:bookmarkEnd w:id="26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4"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邦道科技 有限公司 </w:t>
            </w:r>
            <w:r>
              <w:rPr>
                <w:rFonts w:ascii="Times New Roman" w:hAnsi="Times New Roman" w:cs="Times New Roman" w:eastAsia="Times New Roman" w:hint="default"/>
                <w:sz w:val="18"/>
                <w:szCs w:val="18"/>
              </w:rPr>
              <w:t>(i)</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57,771,24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50,407,11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1,884,472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110,062,8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31.29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福建华威 新耀新能 源服务有 限公司</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(ii)</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2,450,000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-35,871.4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2,414,128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无锡物联 网创新中 心有限公</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36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(iii)</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视加慧联 科技有限 公司</w:t>
            </w:r>
            <w:r>
              <w:rPr>
                <w:rFonts w:ascii="Times New Roman" w:hAnsi="Times New Roman" w:cs="Times New Roman" w:eastAsia="Times New Roman" w:hint="default"/>
                <w:sz w:val="18"/>
                <w:szCs w:val="18"/>
              </w:rPr>
              <w:t>(iv)</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-648,343.</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851,656.3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10" w:space="0" w:color="D4D4D4"/>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57,771,24</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6.60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33,950,00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49,722,90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1,884,472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143,328,6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19.16</w:t>
            </w:r>
          </w:p>
        </w:tc>
        <w:tc>
          <w:tcPr>
            <w:tcW w:w="797" w:type="dxa"/>
            <w:vMerge w:val="restart"/>
            <w:tcBorders>
              <w:top w:val="single" w:sz="4" w:space="0" w:color="000000"/>
              <w:left w:val="single" w:sz="4" w:space="0" w:color="000000"/>
              <w:right w:val="single" w:sz="4" w:space="0" w:color="000000"/>
            </w:tcBorders>
          </w:tcPr>
          <w:p>
            <w:pPr/>
          </w:p>
        </w:tc>
      </w:tr>
      <w:tr>
        <w:trPr>
          <w:trHeight w:val="391" w:hRule="exact"/>
        </w:trPr>
        <w:tc>
          <w:tcPr>
            <w:tcW w:w="7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4D4D4"/>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10" w:space="0" w:color="D4D4D4"/>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289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武汉高领 资源股权 投资管理 合伙企业</w:t>
            </w:r>
          </w:p>
          <w:p>
            <w:pPr>
              <w:pStyle w:val="TableParagraph"/>
              <w:spacing w:line="314" w:lineRule="auto" w:before="19"/>
              <w:ind w:left="24"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（有限合 </w:t>
            </w:r>
            <w:r>
              <w:rPr>
                <w:rFonts w:ascii="宋体" w:hAnsi="宋体" w:cs="宋体" w:eastAsia="宋体" w:hint="default"/>
                <w:spacing w:val="-33"/>
                <w:sz w:val="18"/>
                <w:szCs w:val="18"/>
              </w:rPr>
              <w:t>伙）（以下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武 汉高领资 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(v)</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1,499.44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4,001,499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1,499.44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4,001,499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57,771,24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37,950,00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49,724,40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1,884,472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147,330,1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18.60</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both"/>
      </w:pPr>
      <w:r>
        <w:rPr/>
        <w:t>其他说明</w:t>
      </w:r>
    </w:p>
    <w:p>
      <w:pPr>
        <w:pStyle w:val="BodyText"/>
        <w:spacing w:line="240" w:lineRule="auto" w:before="117"/>
        <w:ind w:right="0"/>
        <w:jc w:val="both"/>
      </w:pPr>
      <w:r>
        <w:rPr>
          <w:rFonts w:ascii="Times New Roman" w:hAnsi="Times New Roman" w:cs="Times New Roman" w:eastAsia="Times New Roman" w:hint="default"/>
        </w:rPr>
        <w:t>(i)</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日，本公司与上海云钜创业投资有限公司（以下简称</w:t>
      </w:r>
      <w:r>
        <w:rPr>
          <w:rFonts w:ascii="Times New Roman" w:hAnsi="Times New Roman" w:cs="Times New Roman" w:eastAsia="Times New Roman" w:hint="default"/>
        </w:rPr>
        <w:t>“</w:t>
      </w:r>
      <w:r>
        <w:rPr/>
        <w:t>上海云钜</w:t>
      </w:r>
      <w:r>
        <w:rPr>
          <w:rFonts w:ascii="Times New Roman" w:hAnsi="Times New Roman" w:cs="Times New Roman" w:eastAsia="Times New Roman" w:hint="default"/>
        </w:rPr>
        <w:t>”</w:t>
      </w:r>
      <w:r>
        <w:rPr/>
        <w:t>）、无锡朴元投资合伙企业（有限合伙）</w:t>
      </w:r>
    </w:p>
    <w:p>
      <w:pPr>
        <w:pStyle w:val="BodyText"/>
        <w:spacing w:line="300" w:lineRule="auto" w:before="62"/>
        <w:ind w:right="1132"/>
        <w:jc w:val="both"/>
      </w:pPr>
      <w:r>
        <w:rPr>
          <w:spacing w:val="-1"/>
        </w:rPr>
        <w:t>（以下简称</w:t>
      </w:r>
      <w:r>
        <w:rPr>
          <w:rFonts w:ascii="Times New Roman" w:hAnsi="Times New Roman" w:cs="Times New Roman" w:eastAsia="Times New Roman" w:hint="default"/>
          <w:spacing w:val="-1"/>
        </w:rPr>
        <w:t>“</w:t>
      </w:r>
      <w:r>
        <w:rPr>
          <w:spacing w:val="-1"/>
        </w:rPr>
        <w:t>无锡朴元</w:t>
      </w:r>
      <w:r>
        <w:rPr>
          <w:rFonts w:ascii="Times New Roman" w:hAnsi="Times New Roman" w:cs="Times New Roman" w:eastAsia="Times New Roman" w:hint="default"/>
          <w:spacing w:val="-1"/>
        </w:rPr>
        <w:t>”</w:t>
      </w:r>
      <w:r>
        <w:rPr>
          <w:spacing w:val="-1"/>
        </w:rPr>
        <w:t>）签署协议，以</w:t>
      </w:r>
      <w:r>
        <w:rPr>
          <w:rFonts w:ascii="Times New Roman" w:hAnsi="Times New Roman" w:cs="Times New Roman" w:eastAsia="Times New Roman" w:hint="default"/>
          <w:spacing w:val="-1"/>
        </w:rPr>
        <w:t>40%</w:t>
      </w:r>
      <w:r>
        <w:rPr>
          <w:spacing w:val="-1"/>
        </w:rPr>
        <w:t>、</w:t>
      </w:r>
      <w:r>
        <w:rPr>
          <w:rFonts w:ascii="Times New Roman" w:hAnsi="Times New Roman" w:cs="Times New Roman" w:eastAsia="Times New Roman" w:hint="default"/>
          <w:spacing w:val="-1"/>
        </w:rPr>
        <w:t>40%</w:t>
      </w:r>
      <w:r>
        <w:rPr>
          <w:spacing w:val="-1"/>
        </w:rPr>
        <w:t>和</w:t>
      </w:r>
      <w:r>
        <w:rPr>
          <w:rFonts w:ascii="Times New Roman" w:hAnsi="Times New Roman" w:cs="Times New Roman" w:eastAsia="Times New Roman" w:hint="default"/>
          <w:spacing w:val="-1"/>
        </w:rPr>
        <w:t>20%</w:t>
      </w:r>
      <w:r>
        <w:rPr>
          <w:spacing w:val="-1"/>
        </w:rPr>
        <w:t>的持股比例共同发起设立邦道科技股份有限公司（以下简称</w:t>
      </w:r>
      <w:r>
        <w:rPr>
          <w:rFonts w:ascii="Times New Roman" w:hAnsi="Times New Roman" w:cs="Times New Roman" w:eastAsia="Times New Roman" w:hint="default"/>
          <w:spacing w:val="-1"/>
        </w:rPr>
        <w:t>“</w:t>
      </w:r>
      <w:r>
        <w:rPr>
          <w:spacing w:val="-1"/>
        </w:rPr>
        <w:t>邦道科</w:t>
      </w:r>
      <w:r>
        <w:rPr>
          <w:spacing w:val="-88"/>
        </w:rPr>
        <w:t> </w:t>
      </w:r>
      <w:r>
        <w:rPr>
          <w:spacing w:val="-2"/>
        </w:rPr>
        <w:t>技</w:t>
      </w:r>
      <w:r>
        <w:rPr>
          <w:rFonts w:ascii="Times New Roman" w:hAnsi="Times New Roman" w:cs="Times New Roman" w:eastAsia="Times New Roman" w:hint="default"/>
          <w:spacing w:val="-2"/>
        </w:rPr>
        <w:t>”</w:t>
      </w:r>
      <w:r>
        <w:rPr>
          <w:spacing w:val="-2"/>
        </w:rPr>
        <w:t>），注册资本人民币</w:t>
      </w:r>
      <w:r>
        <w:rPr>
          <w:rFonts w:ascii="Times New Roman" w:hAnsi="Times New Roman" w:cs="Times New Roman" w:eastAsia="Times New Roman" w:hint="default"/>
          <w:spacing w:val="-2"/>
        </w:rPr>
        <w:t>50,000,000.00</w:t>
      </w:r>
      <w:r>
        <w:rPr>
          <w:spacing w:val="-2"/>
        </w:rPr>
        <w:t>元。截至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日，累计实缴出资人民币</w:t>
      </w:r>
      <w:r>
        <w:rPr>
          <w:rFonts w:ascii="Times New Roman" w:hAnsi="Times New Roman" w:cs="Times New Roman" w:eastAsia="Times New Roman" w:hint="default"/>
          <w:spacing w:val="-2"/>
        </w:rPr>
        <w:t>25,000,000.00</w:t>
      </w:r>
      <w:r>
        <w:rPr>
          <w:spacing w:val="-2"/>
        </w:rPr>
        <w:t>元。根据邦道科技公司章</w:t>
      </w:r>
      <w:r>
        <w:rPr>
          <w:spacing w:val="-35"/>
        </w:rPr>
        <w:t> </w:t>
      </w:r>
      <w:r>
        <w:rPr>
          <w:spacing w:val="-35"/>
        </w:rPr>
      </w:r>
      <w:r>
        <w:rPr/>
        <w:t>程，重要事项需由拥有</w:t>
      </w:r>
      <w:r>
        <w:rPr>
          <w:rFonts w:ascii="Times New Roman" w:hAnsi="Times New Roman" w:cs="Times New Roman" w:eastAsia="Times New Roman" w:hint="default"/>
        </w:rPr>
        <w:t>2/3</w:t>
      </w:r>
      <w:r>
        <w:rPr/>
        <w:t>以上股权的股东投票同意方能通过，为本公司之合营企业。</w:t>
      </w:r>
    </w:p>
    <w:p>
      <w:pPr>
        <w:spacing w:line="240" w:lineRule="auto" w:before="11"/>
        <w:rPr>
          <w:rFonts w:ascii="宋体" w:hAnsi="宋体" w:cs="宋体" w:eastAsia="宋体" w:hint="default"/>
          <w:sz w:val="24"/>
          <w:szCs w:val="24"/>
        </w:rPr>
      </w:pPr>
    </w:p>
    <w:p>
      <w:pPr>
        <w:pStyle w:val="BodyText"/>
        <w:spacing w:line="300" w:lineRule="auto"/>
        <w:ind w:right="1128"/>
        <w:jc w:val="both"/>
      </w:pPr>
      <w:r>
        <w:rPr>
          <w:rFonts w:ascii="Times New Roman" w:hAnsi="Times New Roman" w:cs="Times New Roman" w:eastAsia="Times New Roman" w:hint="default"/>
          <w:spacing w:val="-3"/>
        </w:rPr>
        <w:t>(ii)</w:t>
      </w:r>
      <w:r>
        <w:rPr>
          <w:spacing w:val="-3"/>
        </w:rPr>
        <w:t>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17</w:t>
      </w:r>
      <w:r>
        <w:rPr>
          <w:spacing w:val="-3"/>
        </w:rPr>
        <w:t>日，本公司之子公司新耀能源与福建华威易行通有限公司（以下简称</w:t>
      </w:r>
      <w:r>
        <w:rPr>
          <w:rFonts w:ascii="Times New Roman" w:hAnsi="Times New Roman" w:cs="Times New Roman" w:eastAsia="Times New Roman" w:hint="default"/>
          <w:spacing w:val="-3"/>
        </w:rPr>
        <w:t>“</w:t>
      </w:r>
      <w:r>
        <w:rPr>
          <w:spacing w:val="-3"/>
        </w:rPr>
        <w:t>福建华威</w:t>
      </w:r>
      <w:r>
        <w:rPr>
          <w:rFonts w:ascii="Times New Roman" w:hAnsi="Times New Roman" w:cs="Times New Roman" w:eastAsia="Times New Roman" w:hint="default"/>
          <w:spacing w:val="-3"/>
        </w:rPr>
        <w:t>”</w:t>
      </w:r>
      <w:r>
        <w:rPr>
          <w:spacing w:val="-3"/>
        </w:rPr>
        <w:t>）签订协议，以</w:t>
      </w:r>
      <w:r>
        <w:rPr>
          <w:rFonts w:ascii="Times New Roman" w:hAnsi="Times New Roman" w:cs="Times New Roman" w:eastAsia="Times New Roman" w:hint="default"/>
          <w:spacing w:val="-3"/>
        </w:rPr>
        <w:t>49%</w:t>
      </w:r>
      <w:r>
        <w:rPr>
          <w:spacing w:val="-3"/>
        </w:rPr>
        <w:t>和</w:t>
      </w:r>
      <w:r>
        <w:rPr>
          <w:rFonts w:ascii="Times New Roman" w:hAnsi="Times New Roman" w:cs="Times New Roman" w:eastAsia="Times New Roman" w:hint="default"/>
          <w:spacing w:val="-3"/>
        </w:rPr>
        <w:t>51%</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4"/>
        </w:rPr>
        <w:t>的持股比例共同发起设立华威新耀能源服务有限公司（以下简称</w:t>
      </w:r>
      <w:r>
        <w:rPr>
          <w:rFonts w:ascii="Times New Roman" w:hAnsi="Times New Roman" w:cs="Times New Roman" w:eastAsia="Times New Roman" w:hint="default"/>
          <w:spacing w:val="-4"/>
        </w:rPr>
        <w:t>“</w:t>
      </w:r>
      <w:r>
        <w:rPr>
          <w:spacing w:val="-4"/>
        </w:rPr>
        <w:t>华威新耀</w:t>
      </w:r>
      <w:r>
        <w:rPr>
          <w:rFonts w:ascii="Times New Roman" w:hAnsi="Times New Roman" w:cs="Times New Roman" w:eastAsia="Times New Roman" w:hint="default"/>
          <w:spacing w:val="-4"/>
        </w:rPr>
        <w:t>”</w:t>
      </w:r>
      <w:r>
        <w:rPr>
          <w:spacing w:val="-4"/>
        </w:rPr>
        <w:t>），注册资本为人民币</w:t>
      </w:r>
      <w:r>
        <w:rPr>
          <w:rFonts w:ascii="Times New Roman" w:hAnsi="Times New Roman" w:cs="Times New Roman" w:eastAsia="Times New Roman" w:hint="default"/>
          <w:spacing w:val="-4"/>
        </w:rPr>
        <w:t>20,000,000.00</w:t>
      </w:r>
      <w:r>
        <w:rPr>
          <w:spacing w:val="-4"/>
        </w:rPr>
        <w:t>元。截至</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日，累计实缴出资人民币</w:t>
      </w:r>
      <w:r>
        <w:rPr>
          <w:rFonts w:ascii="Times New Roman" w:hAnsi="Times New Roman" w:cs="Times New Roman" w:eastAsia="Times New Roman" w:hint="default"/>
        </w:rPr>
        <w:t>5,000,000.00</w:t>
      </w:r>
      <w:r>
        <w:rPr/>
        <w:t>元。根据华威新耀公司章程，重要事项需由拥有</w:t>
      </w:r>
      <w:r>
        <w:rPr>
          <w:rFonts w:ascii="Times New Roman" w:hAnsi="Times New Roman" w:cs="Times New Roman" w:eastAsia="Times New Roman" w:hint="default"/>
        </w:rPr>
        <w:t>2/3</w:t>
      </w:r>
      <w:r>
        <w:rPr/>
        <w:t>以上股权的股东投票同意</w:t>
      </w:r>
      <w:r>
        <w:rPr>
          <w:w w:val="99"/>
        </w:rPr>
        <w:t> </w:t>
      </w:r>
      <w:r>
        <w:rPr/>
        <w:t>方能通过，为本公司之合营企业。</w:t>
      </w:r>
    </w:p>
    <w:p>
      <w:pPr>
        <w:spacing w:line="240" w:lineRule="auto" w:before="3"/>
        <w:rPr>
          <w:rFonts w:ascii="宋体" w:hAnsi="宋体" w:cs="宋体" w:eastAsia="宋体" w:hint="default"/>
          <w:sz w:val="26"/>
          <w:szCs w:val="26"/>
        </w:rPr>
      </w:pPr>
    </w:p>
    <w:p>
      <w:pPr>
        <w:pStyle w:val="BodyText"/>
        <w:spacing w:line="300" w:lineRule="auto"/>
        <w:ind w:right="1129" w:hanging="1"/>
        <w:jc w:val="left"/>
      </w:pPr>
      <w:r>
        <w:rPr>
          <w:rFonts w:ascii="Times New Roman" w:hAnsi="Times New Roman" w:cs="Times New Roman" w:eastAsia="Times New Roman" w:hint="default"/>
          <w:spacing w:val="-2"/>
        </w:rPr>
        <w:t>(iii)</w:t>
      </w: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31</w:t>
      </w:r>
      <w:r>
        <w:rPr>
          <w:spacing w:val="-2"/>
        </w:rPr>
        <w:t>日，本公司与无锡产业发展集团有限公司（以下简称</w:t>
      </w:r>
      <w:r>
        <w:rPr>
          <w:rFonts w:ascii="Times New Roman" w:hAnsi="Times New Roman" w:cs="Times New Roman" w:eastAsia="Times New Roman" w:hint="default"/>
          <w:spacing w:val="-2"/>
        </w:rPr>
        <w:t>“</w:t>
      </w:r>
      <w:r>
        <w:rPr>
          <w:spacing w:val="-2"/>
        </w:rPr>
        <w:t>无锡产业集团</w:t>
      </w:r>
      <w:r>
        <w:rPr>
          <w:rFonts w:ascii="Times New Roman" w:hAnsi="Times New Roman" w:cs="Times New Roman" w:eastAsia="Times New Roman" w:hint="default"/>
          <w:spacing w:val="-2"/>
        </w:rPr>
        <w:t>”</w:t>
      </w:r>
      <w:r>
        <w:rPr>
          <w:spacing w:val="-2"/>
        </w:rPr>
        <w:t>）等其他十一方出资人签署协议，共</w:t>
      </w:r>
      <w:r>
        <w:rPr>
          <w:spacing w:val="-34"/>
        </w:rPr>
        <w:t> </w:t>
      </w:r>
      <w:r>
        <w:rPr>
          <w:spacing w:val="-34"/>
        </w:rPr>
      </w:r>
      <w:r>
        <w:rPr/>
        <w:t>同发起设立无锡物联网创新中心有限公司（以下简称</w:t>
      </w:r>
      <w:r>
        <w:rPr>
          <w:rFonts w:ascii="Times New Roman" w:hAnsi="Times New Roman" w:cs="Times New Roman" w:eastAsia="Times New Roman" w:hint="default"/>
        </w:rPr>
        <w:t>“</w:t>
      </w:r>
      <w:r>
        <w:rPr/>
        <w:t>物联网创新中心</w:t>
      </w:r>
      <w:r>
        <w:rPr>
          <w:rFonts w:ascii="Times New Roman" w:hAnsi="Times New Roman" w:cs="Times New Roman" w:eastAsia="Times New Roman" w:hint="default"/>
        </w:rPr>
        <w:t>”</w:t>
      </w:r>
      <w:r>
        <w:rPr/>
        <w:t>），注册资本为人民币</w:t>
      </w:r>
      <w:r>
        <w:rPr>
          <w:rFonts w:ascii="Times New Roman" w:hAnsi="Times New Roman" w:cs="Times New Roman" w:eastAsia="Times New Roman" w:hint="default"/>
        </w:rPr>
        <w:t>207,000,000.00</w:t>
      </w:r>
      <w:r>
        <w:rPr/>
        <w:t>元，朗新科技</w:t>
      </w:r>
      <w:r>
        <w:rPr>
          <w:w w:val="99"/>
        </w:rPr>
        <w:t> </w:t>
      </w:r>
      <w:r>
        <w:rPr/>
        <w:t>与无锡产业集团等六方出资人分别持股</w:t>
      </w:r>
      <w:r>
        <w:rPr>
          <w:rFonts w:ascii="Times New Roman" w:hAnsi="Times New Roman" w:cs="Times New Roman" w:eastAsia="Times New Roman" w:hint="default"/>
        </w:rPr>
        <w:t>14.49%</w:t>
      </w:r>
      <w:r>
        <w:rPr/>
        <w:t>，其余五方出资人分别持股</w:t>
      </w:r>
      <w:r>
        <w:rPr>
          <w:rFonts w:ascii="Times New Roman" w:hAnsi="Times New Roman" w:cs="Times New Roman" w:eastAsia="Times New Roman" w:hint="default"/>
        </w:rPr>
        <w:t>2.43%</w:t>
      </w:r>
      <w:r>
        <w:rPr/>
        <w:t>，一方出资人持股</w:t>
      </w:r>
      <w:r>
        <w:rPr>
          <w:rFonts w:ascii="Times New Roman" w:hAnsi="Times New Roman" w:cs="Times New Roman" w:eastAsia="Times New Roman" w:hint="default"/>
        </w:rPr>
        <w:t>0.91%</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w w:val="99"/>
        </w:rPr>
        <w:t> </w:t>
      </w:r>
      <w:r>
        <w:rPr>
          <w:rFonts w:ascii="Times New Roman" w:hAnsi="Times New Roman" w:cs="Times New Roman" w:eastAsia="Times New Roman" w:hint="default"/>
          <w:spacing w:val="-2"/>
        </w:rPr>
        <w:t>31</w:t>
      </w:r>
      <w:r>
        <w:rPr>
          <w:spacing w:val="-2"/>
        </w:rPr>
        <w:t>日，朗新科技已实际出资</w:t>
      </w:r>
      <w:r>
        <w:rPr>
          <w:rFonts w:ascii="Times New Roman" w:hAnsi="Times New Roman" w:cs="Times New Roman" w:eastAsia="Times New Roman" w:hint="default"/>
          <w:spacing w:val="-2"/>
        </w:rPr>
        <w:t>30,000,000.00</w:t>
      </w:r>
      <w:r>
        <w:rPr>
          <w:spacing w:val="-2"/>
        </w:rPr>
        <w:t>元。根据物联网创新中心公司章程，重要事项需由拥有</w:t>
      </w:r>
      <w:r>
        <w:rPr>
          <w:rFonts w:ascii="Times New Roman" w:hAnsi="Times New Roman" w:cs="Times New Roman" w:eastAsia="Times New Roman" w:hint="default"/>
          <w:spacing w:val="-2"/>
        </w:rPr>
        <w:t>1/2</w:t>
      </w:r>
      <w:r>
        <w:rPr>
          <w:spacing w:val="-2"/>
        </w:rPr>
        <w:t>以上股权的股东投票同意</w:t>
      </w:r>
      <w:r>
        <w:rPr>
          <w:spacing w:val="-60"/>
        </w:rPr>
        <w:t> </w:t>
      </w:r>
      <w:r>
        <w:rPr>
          <w:spacing w:val="-60"/>
        </w:rPr>
      </w:r>
      <w:r>
        <w:rPr/>
        <w:t>方能通过，为本公司之合营企业。</w:t>
      </w:r>
    </w:p>
    <w:p>
      <w:pPr>
        <w:spacing w:line="240" w:lineRule="auto" w:before="3"/>
        <w:rPr>
          <w:rFonts w:ascii="宋体" w:hAnsi="宋体" w:cs="宋体" w:eastAsia="宋体" w:hint="default"/>
          <w:sz w:val="26"/>
          <w:szCs w:val="26"/>
        </w:rPr>
      </w:pPr>
    </w:p>
    <w:p>
      <w:pPr>
        <w:pStyle w:val="BodyText"/>
        <w:spacing w:line="300" w:lineRule="auto"/>
        <w:ind w:right="1133"/>
        <w:jc w:val="both"/>
      </w:pPr>
      <w:r>
        <w:rPr>
          <w:rFonts w:ascii="Times New Roman" w:hAnsi="Times New Roman" w:cs="Times New Roman" w:eastAsia="Times New Roman" w:hint="default"/>
          <w:spacing w:val="-5"/>
        </w:rPr>
        <w:t>(iv)</w:t>
      </w:r>
      <w:r>
        <w:rPr>
          <w:spacing w:val="-5"/>
        </w:rPr>
        <w:t>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18</w:t>
      </w:r>
      <w:r>
        <w:rPr>
          <w:spacing w:val="-5"/>
        </w:rPr>
        <w:t>日，本公司与易视腾科技股份有限公司、无锡智睿投资合伙企业（有限合伙）及无锡易云投资合伙企业（有</w:t>
      </w:r>
      <w:r>
        <w:rPr>
          <w:spacing w:val="-45"/>
        </w:rPr>
        <w:t> </w:t>
      </w:r>
      <w:r>
        <w:rPr>
          <w:spacing w:val="-45"/>
        </w:rPr>
      </w:r>
      <w:r>
        <w:rPr/>
        <w:t>限合伙）签署协议，以</w:t>
      </w:r>
      <w:r>
        <w:rPr>
          <w:rFonts w:ascii="Times New Roman" w:hAnsi="Times New Roman" w:cs="Times New Roman" w:eastAsia="Times New Roman" w:hint="default"/>
        </w:rPr>
        <w:t>30%</w:t>
      </w:r>
      <w:r>
        <w:rPr/>
        <w:t>、</w:t>
      </w:r>
      <w:r>
        <w:rPr>
          <w:rFonts w:ascii="Times New Roman" w:hAnsi="Times New Roman" w:cs="Times New Roman" w:eastAsia="Times New Roman" w:hint="default"/>
        </w:rPr>
        <w:t>45%</w:t>
      </w:r>
      <w:r>
        <w:rPr/>
        <w:t>、</w:t>
      </w:r>
      <w:r>
        <w:rPr>
          <w:rFonts w:ascii="Times New Roman" w:hAnsi="Times New Roman" w:cs="Times New Roman" w:eastAsia="Times New Roman" w:hint="default"/>
        </w:rPr>
        <w:t>15%</w:t>
      </w:r>
      <w:r>
        <w:rPr/>
        <w:t>及</w:t>
      </w:r>
      <w:r>
        <w:rPr>
          <w:rFonts w:ascii="Times New Roman" w:hAnsi="Times New Roman" w:cs="Times New Roman" w:eastAsia="Times New Roman" w:hint="default"/>
        </w:rPr>
        <w:t>10%</w:t>
      </w:r>
      <w:r>
        <w:rPr/>
        <w:t>的持股比例共同发起设立视加慧联科技有限公司（以下简称</w:t>
      </w:r>
      <w:r>
        <w:rPr>
          <w:rFonts w:ascii="Times New Roman" w:hAnsi="Times New Roman" w:cs="Times New Roman" w:eastAsia="Times New Roman" w:hint="default"/>
        </w:rPr>
        <w:t>“</w:t>
      </w:r>
      <w:r>
        <w:rPr/>
        <w:t>视加慧联</w:t>
      </w:r>
      <w:r>
        <w:rPr>
          <w:rFonts w:ascii="Times New Roman" w:hAnsi="Times New Roman" w:cs="Times New Roman" w:eastAsia="Times New Roman" w:hint="default"/>
        </w:rPr>
        <w:t>”</w:t>
      </w:r>
      <w:r>
        <w:rPr/>
        <w:t>），</w:t>
      </w:r>
      <w:r>
        <w:rPr>
          <w:spacing w:val="2"/>
          <w:w w:val="99"/>
        </w:rPr>
        <w:t> </w:t>
      </w:r>
      <w:r>
        <w:rPr/>
        <w:t>注册资本</w:t>
      </w:r>
      <w:r>
        <w:rPr>
          <w:rFonts w:ascii="Times New Roman" w:hAnsi="Times New Roman" w:cs="Times New Roman" w:eastAsia="Times New Roman" w:hint="default"/>
        </w:rPr>
        <w:t>50,000,000.00</w:t>
      </w:r>
      <w:r>
        <w:rPr/>
        <w:t>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日，累计实缴出资人民币</w:t>
      </w:r>
      <w:r>
        <w:rPr>
          <w:rFonts w:ascii="Times New Roman" w:hAnsi="Times New Roman" w:cs="Times New Roman" w:eastAsia="Times New Roman" w:hint="default"/>
        </w:rPr>
        <w:t>5,000,000.00</w:t>
      </w:r>
      <w:r>
        <w:rPr/>
        <w:t>元（其中，朗新科技</w:t>
      </w:r>
      <w:r>
        <w:rPr>
          <w:rFonts w:ascii="Times New Roman" w:hAnsi="Times New Roman" w:cs="Times New Roman" w:eastAsia="Times New Roman" w:hint="default"/>
        </w:rPr>
        <w:t>1,500,000.00</w:t>
      </w:r>
      <w:r>
        <w:rPr/>
        <w:t>元）。</w:t>
      </w:r>
      <w:r>
        <w:rPr>
          <w:spacing w:val="-3"/>
          <w:w w:val="99"/>
        </w:rPr>
        <w:t> </w:t>
      </w:r>
      <w:r>
        <w:rPr/>
        <w:t>根据视加慧联公司章程，重要事项需由拥有</w:t>
      </w:r>
      <w:r>
        <w:rPr>
          <w:rFonts w:ascii="Times New Roman" w:hAnsi="Times New Roman" w:cs="Times New Roman" w:eastAsia="Times New Roman" w:hint="default"/>
        </w:rPr>
        <w:t>2/3</w:t>
      </w:r>
      <w:r>
        <w:rPr/>
        <w:t>以上股权的股东投票同意方能通过，为本公司之合营企业。</w:t>
      </w:r>
    </w:p>
    <w:p>
      <w:pPr>
        <w:spacing w:after="0" w:line="300" w:lineRule="auto"/>
        <w:jc w:val="both"/>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300" w:lineRule="auto" w:before="44"/>
        <w:ind w:right="1129"/>
        <w:jc w:val="left"/>
      </w:pPr>
      <w:r>
        <w:rPr>
          <w:rFonts w:ascii="Times New Roman" w:hAnsi="Times New Roman" w:cs="Times New Roman" w:eastAsia="Times New Roman" w:hint="default"/>
        </w:rPr>
        <w:t>(v)</w:t>
      </w:r>
      <w:r>
        <w:rPr/>
        <w:t>武汉高领资源股权投资管理合伙企业（有限合伙）（以下简称</w:t>
      </w:r>
      <w:r>
        <w:rPr>
          <w:rFonts w:ascii="Times New Roman" w:hAnsi="Times New Roman" w:cs="Times New Roman" w:eastAsia="Times New Roman" w:hint="default"/>
        </w:rPr>
        <w:t>“</w:t>
      </w:r>
      <w:r>
        <w:rPr/>
        <w:t>武汉高领</w:t>
      </w:r>
      <w:r>
        <w:rPr>
          <w:rFonts w:ascii="Times New Roman" w:hAnsi="Times New Roman" w:cs="Times New Roman" w:eastAsia="Times New Roman" w:hint="default"/>
        </w:rPr>
        <w:t>”</w:t>
      </w:r>
      <w:r>
        <w:rPr/>
        <w:t>）为由普通合伙人王文召及有限合伙人传神语</w:t>
      </w:r>
      <w:r>
        <w:rPr>
          <w:w w:val="99"/>
        </w:rPr>
        <w:t> </w:t>
      </w:r>
      <w:r>
        <w:rPr>
          <w:spacing w:val="-2"/>
        </w:rPr>
        <w:t>联网网络科技股份有限公司于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11</w:t>
      </w:r>
      <w:r>
        <w:rPr>
          <w:spacing w:val="-2"/>
        </w:rPr>
        <w:t>日设立的有限合伙企业，原认缴出资总额</w:t>
      </w:r>
      <w:r>
        <w:rPr>
          <w:rFonts w:ascii="Times New Roman" w:hAnsi="Times New Roman" w:cs="Times New Roman" w:eastAsia="Times New Roman" w:hint="default"/>
          <w:spacing w:val="-2"/>
        </w:rPr>
        <w:t>12,000,000.00</w:t>
      </w:r>
      <w:r>
        <w:rPr>
          <w:spacing w:val="-2"/>
        </w:rPr>
        <w:t>元，实缴出资</w:t>
      </w:r>
      <w:r>
        <w:rPr>
          <w:rFonts w:ascii="Times New Roman" w:hAnsi="Times New Roman" w:cs="Times New Roman" w:eastAsia="Times New Roman" w:hint="default"/>
          <w:spacing w:val="-2"/>
        </w:rPr>
        <w:t>11,000,000.00</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1"/>
        </w:rPr>
        <w:t>元。于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12</w:t>
      </w:r>
      <w:r>
        <w:rPr>
          <w:spacing w:val="-1"/>
        </w:rPr>
        <w:t>日，武汉高领召开合伙人会议，一致同意本公司之子公司朗新云商以</w:t>
      </w:r>
      <w:r>
        <w:rPr>
          <w:rFonts w:ascii="Times New Roman" w:hAnsi="Times New Roman" w:cs="Times New Roman" w:eastAsia="Times New Roman" w:hint="default"/>
          <w:spacing w:val="-1"/>
        </w:rPr>
        <w:t>4,000,000.00</w:t>
      </w:r>
      <w:r>
        <w:rPr>
          <w:spacing w:val="-1"/>
        </w:rPr>
        <w:t>元增资入股，成为武汉</w:t>
      </w:r>
      <w:r>
        <w:rPr>
          <w:spacing w:val="-74"/>
        </w:rPr>
        <w:t> </w:t>
      </w:r>
      <w:r>
        <w:rPr>
          <w:spacing w:val="-74"/>
        </w:rPr>
      </w:r>
      <w:r>
        <w:rPr/>
        <w:t>高领的有限合伙人，持有武汉高领</w:t>
      </w:r>
      <w:r>
        <w:rPr>
          <w:rFonts w:ascii="Times New Roman" w:hAnsi="Times New Roman" w:cs="Times New Roman" w:eastAsia="Times New Roman" w:hint="default"/>
        </w:rPr>
        <w:t>25%</w:t>
      </w:r>
      <w:r>
        <w:rPr/>
        <w:t>的股权，从而能够对其施加重大影响。武汉高领为本集团之联营企业。</w:t>
      </w:r>
    </w:p>
    <w:p>
      <w:pPr>
        <w:spacing w:line="240" w:lineRule="auto" w:before="11"/>
        <w:rPr>
          <w:rFonts w:ascii="宋体" w:hAnsi="宋体" w:cs="宋体" w:eastAsia="宋体" w:hint="default"/>
          <w:sz w:val="24"/>
          <w:szCs w:val="24"/>
        </w:rPr>
      </w:pPr>
    </w:p>
    <w:p>
      <w:pPr>
        <w:pStyle w:val="BodyText"/>
        <w:spacing w:line="240" w:lineRule="auto"/>
        <w:ind w:right="1129"/>
        <w:jc w:val="left"/>
      </w:pPr>
      <w:r>
        <w:rPr/>
        <w:t>在合营企业和联营企业中的权益相关信息见附注九（</w:t>
      </w:r>
      <w:r>
        <w:rPr>
          <w:rFonts w:ascii="Times New Roman" w:hAnsi="Times New Roman" w:cs="Times New Roman" w:eastAsia="Times New Roman" w:hint="default"/>
        </w:rPr>
        <w:t>3</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1129"/>
        <w:jc w:val="left"/>
        <w:rPr>
          <w:b w:val="0"/>
          <w:bCs w:val="0"/>
        </w:rPr>
      </w:pPr>
      <w:bookmarkStart w:name="15、投资性房地产" w:id="261"/>
      <w:bookmarkEnd w:id="26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采用成本计量模式的投资性房地产" w:id="262"/>
      <w:bookmarkEnd w:id="262"/>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9"/>
        <w:jc w:val="left"/>
        <w:rPr>
          <w:b w:val="0"/>
          <w:bCs w:val="0"/>
        </w:rPr>
      </w:pPr>
      <w:bookmarkStart w:name="（2）采用公允价值计量模式的投资性房地产" w:id="263"/>
      <w:bookmarkEnd w:id="263"/>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9"/>
        <w:jc w:val="left"/>
        <w:rPr>
          <w:b w:val="0"/>
          <w:bCs w:val="0"/>
        </w:rPr>
      </w:pPr>
      <w:bookmarkStart w:name="（3）未办妥产权证书的投资性房地产情况" w:id="264"/>
      <w:bookmarkEnd w:id="264"/>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16、固定资产" w:id="265"/>
      <w:bookmarkEnd w:id="265"/>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2"/>
        <w:gridCol w:w="3198"/>
        <w:gridCol w:w="3187"/>
      </w:tblGrid>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17,298,343.82</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12,331,561.33</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17,298,343.82</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12,331,561.33</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1）固定资产情况" w:id="266"/>
      <w:bookmarkEnd w:id="26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z w:val="18"/>
                <w:szCs w:val="18"/>
              </w:rPr>
              <w:t>计算机及电子设备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光伏发电设备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642,118.00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19,142,738.72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5,035,501.29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6,774,994.63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31,595,352.64</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238,700.00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8,757,249.76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710,746.66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9,706,696.42</w:t>
            </w:r>
            <w:r>
              <w:rPr>
                <w:rFonts w:ascii="Times New Roman"/>
                <w:sz w:val="18"/>
              </w:rPr>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529,318.00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2,332,532.07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50,505.37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2,912,355.44</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351,500.00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25,567,456.41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5,695,742.58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6,774,994.63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38,389,693.62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112,195.48</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14,925,912.79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3,952,736.32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272,946.72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19,263,791.31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104,528.86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3,067,468.42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793,139.71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338,749.92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4,303,886.91</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180,567.68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2,245,255.37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50,505.37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2,476,328.42</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36,156.66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15,748,125.84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4,695,370.66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611,696.64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21,091,349.80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315,343.34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9,819,330.57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1,000,371.92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6,163,297.99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17,298,343.82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529,922.52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4,216,825.93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1,082,764.97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6,502,047.91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12,331,561.33</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2）暂时闲置的固定资产情况" w:id="267"/>
      <w:bookmarkEnd w:id="267"/>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after="0" w:line="240" w:lineRule="auto"/>
        <w:jc w:val="right"/>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83"/>
      </w:tblGrid>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3"/>
        <w:spacing w:line="240" w:lineRule="auto" w:before="36"/>
        <w:ind w:right="1129"/>
        <w:jc w:val="left"/>
        <w:rPr>
          <w:b w:val="0"/>
          <w:bCs w:val="0"/>
        </w:rPr>
      </w:pPr>
      <w:bookmarkStart w:name="（3）通过融资租赁租入的固定资产情况" w:id="268"/>
      <w:bookmarkEnd w:id="268"/>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4"/>
        <w:rPr>
          <w:rFonts w:ascii="宋体" w:hAnsi="宋体" w:cs="宋体" w:eastAsia="宋体" w:hint="default"/>
          <w:sz w:val="19"/>
          <w:szCs w:val="19"/>
        </w:rPr>
      </w:pPr>
    </w:p>
    <w:p>
      <w:pPr>
        <w:pStyle w:val="Heading3"/>
        <w:spacing w:line="240" w:lineRule="auto" w:before="36"/>
        <w:ind w:right="1129"/>
        <w:jc w:val="left"/>
        <w:rPr>
          <w:b w:val="0"/>
          <w:bCs w:val="0"/>
        </w:rPr>
      </w:pPr>
      <w:bookmarkStart w:name="（4）通过经营租赁租出的固定资产" w:id="269"/>
      <w:bookmarkEnd w:id="269"/>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5）未办妥产权证书的固定资产情况" w:id="270"/>
      <w:bookmarkEnd w:id="270"/>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1129"/>
        <w:jc w:val="left"/>
      </w:pPr>
      <w:r>
        <w:rPr/>
        <w:t>其他说明</w:t>
      </w:r>
    </w:p>
    <w:p>
      <w:pPr>
        <w:pStyle w:val="BodyText"/>
        <w:spacing w:line="300" w:lineRule="auto" w:before="117"/>
        <w:ind w:right="1132"/>
        <w:jc w:val="both"/>
      </w:pPr>
      <w:r>
        <w:rPr>
          <w:rFonts w:ascii="Times New Roman" w:hAnsi="Times New Roman" w:cs="Times New Roman" w:eastAsia="Times New Roman" w:hint="default"/>
          <w:spacing w:val="-3"/>
        </w:rPr>
        <w:t>2018</w:t>
      </w:r>
      <w:r>
        <w:rPr>
          <w:spacing w:val="-3"/>
        </w:rPr>
        <w:t>年度，本集团计提的固定资产折旧金额为</w:t>
      </w:r>
      <w:r>
        <w:rPr>
          <w:rFonts w:ascii="Times New Roman" w:hAnsi="Times New Roman" w:cs="Times New Roman" w:eastAsia="Times New Roman" w:hint="default"/>
          <w:spacing w:val="-3"/>
        </w:rPr>
        <w:t>4,303,886.91</w:t>
      </w:r>
      <w:r>
        <w:rPr>
          <w:spacing w:val="-3"/>
        </w:rPr>
        <w:t>元（</w:t>
      </w:r>
      <w:r>
        <w:rPr>
          <w:rFonts w:ascii="Times New Roman" w:hAnsi="Times New Roman" w:cs="Times New Roman" w:eastAsia="Times New Roman" w:hint="default"/>
          <w:spacing w:val="-3"/>
        </w:rPr>
        <w:t>2017</w:t>
      </w:r>
      <w:r>
        <w:rPr>
          <w:spacing w:val="-3"/>
        </w:rPr>
        <w:t>年度：</w:t>
      </w:r>
      <w:r>
        <w:rPr>
          <w:rFonts w:ascii="Times New Roman" w:hAnsi="Times New Roman" w:cs="Times New Roman" w:eastAsia="Times New Roman" w:hint="default"/>
          <w:spacing w:val="-3"/>
        </w:rPr>
        <w:t>3,534,294.14</w:t>
      </w:r>
      <w:r>
        <w:rPr>
          <w:spacing w:val="-3"/>
        </w:rPr>
        <w:t>元），其中计入营业成本、销售费用、</w:t>
      </w:r>
      <w:r>
        <w:rPr>
          <w:spacing w:val="-62"/>
        </w:rPr>
        <w:t> </w:t>
      </w:r>
      <w:r>
        <w:rPr>
          <w:spacing w:val="-62"/>
        </w:rPr>
      </w:r>
      <w:r>
        <w:rPr>
          <w:spacing w:val="-3"/>
        </w:rPr>
        <w:t>管理费用及研发费用的折旧费用分别为</w:t>
      </w:r>
      <w:r>
        <w:rPr>
          <w:rFonts w:ascii="Times New Roman" w:hAnsi="Times New Roman" w:cs="Times New Roman" w:eastAsia="Times New Roman" w:hint="default"/>
          <w:spacing w:val="-3"/>
        </w:rPr>
        <w:t>1,747,924.45</w:t>
      </w:r>
      <w:r>
        <w:rPr>
          <w:spacing w:val="-3"/>
        </w:rPr>
        <w:t>元、</w:t>
      </w:r>
      <w:r>
        <w:rPr>
          <w:rFonts w:ascii="Times New Roman" w:hAnsi="Times New Roman" w:cs="Times New Roman" w:eastAsia="Times New Roman" w:hint="default"/>
          <w:spacing w:val="-3"/>
        </w:rPr>
        <w:t>153,270.16</w:t>
      </w:r>
      <w:r>
        <w:rPr>
          <w:spacing w:val="-3"/>
        </w:rPr>
        <w:t>元、</w:t>
      </w:r>
      <w:r>
        <w:rPr>
          <w:rFonts w:ascii="Times New Roman" w:hAnsi="Times New Roman" w:cs="Times New Roman" w:eastAsia="Times New Roman" w:hint="default"/>
          <w:spacing w:val="-3"/>
        </w:rPr>
        <w:t>1,383,163.09</w:t>
      </w:r>
      <w:r>
        <w:rPr>
          <w:spacing w:val="-3"/>
        </w:rPr>
        <w:t>元、</w:t>
      </w:r>
      <w:r>
        <w:rPr>
          <w:rFonts w:ascii="Times New Roman" w:hAnsi="Times New Roman" w:cs="Times New Roman" w:eastAsia="Times New Roman" w:hint="default"/>
          <w:spacing w:val="-3"/>
        </w:rPr>
        <w:t>880,209.66</w:t>
      </w:r>
      <w:r>
        <w:rPr>
          <w:spacing w:val="-3"/>
        </w:rPr>
        <w:t>元（</w:t>
      </w:r>
      <w:r>
        <w:rPr>
          <w:rFonts w:ascii="Times New Roman" w:hAnsi="Times New Roman" w:cs="Times New Roman" w:eastAsia="Times New Roman" w:hint="default"/>
          <w:spacing w:val="-3"/>
        </w:rPr>
        <w:t>2017</w:t>
      </w:r>
      <w:r>
        <w:rPr>
          <w:spacing w:val="-3"/>
        </w:rPr>
        <w:t>年度：</w:t>
      </w:r>
      <w:r>
        <w:rPr>
          <w:rFonts w:ascii="Times New Roman" w:hAnsi="Times New Roman" w:cs="Times New Roman" w:eastAsia="Times New Roman" w:hint="default"/>
          <w:spacing w:val="-3"/>
        </w:rPr>
        <w:t>1,473,372.04</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元、</w:t>
      </w:r>
      <w:r>
        <w:rPr>
          <w:rFonts w:ascii="Times New Roman" w:hAnsi="Times New Roman" w:cs="Times New Roman" w:eastAsia="Times New Roman" w:hint="default"/>
        </w:rPr>
        <w:t>102,743.00</w:t>
      </w:r>
      <w:r>
        <w:rPr/>
        <w:t>元、</w:t>
      </w:r>
      <w:r>
        <w:rPr>
          <w:rFonts w:ascii="Times New Roman" w:hAnsi="Times New Roman" w:cs="Times New Roman" w:eastAsia="Times New Roman" w:hint="default"/>
        </w:rPr>
        <w:t>616,361.63</w:t>
      </w:r>
      <w:r>
        <w:rPr/>
        <w:t>元及</w:t>
      </w:r>
      <w:r>
        <w:rPr>
          <w:rFonts w:ascii="Times New Roman" w:hAnsi="Times New Roman" w:cs="Times New Roman" w:eastAsia="Times New Roman" w:hint="default"/>
        </w:rPr>
        <w:t>1,341,817.47</w:t>
      </w:r>
      <w:r>
        <w:rPr/>
        <w:t>元）。</w:t>
      </w:r>
    </w:p>
    <w:p>
      <w:pPr>
        <w:pStyle w:val="BodyText"/>
        <w:spacing w:line="600" w:lineRule="auto" w:before="13"/>
        <w:ind w:left="151" w:right="6075"/>
        <w:jc w:val="left"/>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日，无暂时闲置的固定资产。 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日，无融资租入的固定资产。 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日，无未办妥产权证书或抵押的固定资产。</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6）固定资产清理" w:id="271"/>
      <w:bookmarkEnd w:id="271"/>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17、在建工程" w:id="272"/>
      <w:bookmarkEnd w:id="27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72"/>
        <w:gridCol w:w="3826"/>
        <w:gridCol w:w="3859"/>
      </w:tblGrid>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2,383,446.98</w:t>
            </w:r>
            <w:r>
              <w:rPr>
                <w:rFonts w:ascii="Times New Roman"/>
                <w:sz w:val="18"/>
              </w:rPr>
            </w:r>
          </w:p>
        </w:tc>
        <w:tc>
          <w:tcPr>
            <w:tcW w:w="38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2,383,446.98</w:t>
            </w:r>
            <w:r>
              <w:rPr>
                <w:rFonts w:ascii="Times New Roman"/>
                <w:sz w:val="18"/>
              </w:rPr>
            </w:r>
          </w:p>
        </w:tc>
        <w:tc>
          <w:tcPr>
            <w:tcW w:w="38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1）在建工程情况" w:id="273"/>
      <w:bookmarkEnd w:id="273"/>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小型分布式光伏 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2,383,446.98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2,383,446.98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2,383,446.98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2,383,446.98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2）重要在建工程项目本期变动情况" w:id="274"/>
      <w:bookmarkEnd w:id="274"/>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7" w:hRule="exact"/>
        </w:trPr>
        <w:tc>
          <w:tcPr>
            <w:tcW w:w="7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3）本期计提在建工程减值准备情况" w:id="275"/>
      <w:bookmarkEnd w:id="275"/>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4）工程物资" w:id="276"/>
      <w:bookmarkEnd w:id="276"/>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5"/>
        <w:gridCol w:w="1195"/>
      </w:tblGrid>
      <w:tr>
        <w:trPr>
          <w:trHeight w:val="402" w:hRule="exact"/>
        </w:trPr>
        <w:tc>
          <w:tcPr>
            <w:tcW w:w="213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0" w:type="dxa"/>
            <w:vMerge/>
            <w:tcBorders>
              <w:left w:val="single" w:sz="4" w:space="0" w:color="000000"/>
              <w:bottom w:val="single" w:sz="4" w:space="0" w:color="000000"/>
              <w:right w:val="single" w:sz="4" w:space="0" w:color="000000"/>
            </w:tcBorders>
            <w:shd w:val="clear" w:color="auto" w:fill="D4D4D4"/>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18、生产性生物资产" w:id="277"/>
      <w:bookmarkEnd w:id="277"/>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采用成本计量模式的生产性生物资产" w:id="278"/>
      <w:bookmarkEnd w:id="278"/>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9"/>
        <w:jc w:val="left"/>
        <w:rPr>
          <w:b w:val="0"/>
          <w:bCs w:val="0"/>
        </w:rPr>
      </w:pPr>
      <w:bookmarkStart w:name="（2）采用公允价值计量模式的生产性生物资产" w:id="279"/>
      <w:bookmarkEnd w:id="279"/>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19、油气资产" w:id="280"/>
      <w:bookmarkEnd w:id="280"/>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9"/>
        <w:jc w:val="left"/>
        <w:rPr>
          <w:b w:val="0"/>
          <w:bCs w:val="0"/>
        </w:rPr>
      </w:pPr>
      <w:bookmarkStart w:name="20、无形资产" w:id="281"/>
      <w:bookmarkEnd w:id="281"/>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无形资产情况" w:id="282"/>
      <w:bookmarkEnd w:id="28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757"/>
        <w:jc w:val="left"/>
      </w:pPr>
      <w:r>
        <w:rPr/>
        <w:t>公司是否需遵守《深圳证券交易所创业板行业信息披露指引第</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3"/>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5"/>
        <w:gridCol w:w="1198"/>
        <w:gridCol w:w="1195"/>
        <w:gridCol w:w="1195"/>
        <w:gridCol w:w="1198"/>
      </w:tblGrid>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8" w:type="dxa"/>
            <w:tcBorders>
              <w:top w:val="single" w:sz="4" w:space="0" w:color="000000"/>
              <w:left w:val="single" w:sz="10" w:space="0" w:color="D4D4D4"/>
              <w:bottom w:val="single" w:sz="4" w:space="0" w:color="000000"/>
              <w:right w:val="single" w:sz="4" w:space="0" w:color="000000"/>
            </w:tcBorders>
            <w:shd w:val="clear" w:color="auto" w:fill="E1FFFF"/>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管理信息系统</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198" w:type="dxa"/>
            <w:tcBorders>
              <w:top w:val="single" w:sz="4" w:space="0" w:color="000000"/>
              <w:left w:val="single" w:sz="10" w:space="0" w:color="D4D4D4"/>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198" w:type="dxa"/>
            <w:tcBorders>
              <w:top w:val="single" w:sz="4" w:space="0" w:color="000000"/>
              <w:left w:val="single" w:sz="10" w:space="0" w:color="D4D4D4"/>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3,100,000.00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42,818,965.77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11,734,078.33</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57,653,044.10</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10" w:space="0" w:color="D4D4D4"/>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pacing w:val="-15"/>
                <w:sz w:val="18"/>
                <w:szCs w:val="18"/>
              </w:rPr>
              <w:t> </w:t>
            </w:r>
            <w:r>
              <w:rPr>
                <w:rFonts w:ascii="宋体" w:hAnsi="宋体" w:cs="宋体" w:eastAsia="宋体" w:hint="default"/>
                <w:sz w:val="18"/>
                <w:szCs w:val="18"/>
              </w:rPr>
              <w:t>置</w:t>
            </w:r>
          </w:p>
        </w:tc>
        <w:tc>
          <w:tcPr>
            <w:tcW w:w="1198" w:type="dxa"/>
            <w:tcBorders>
              <w:top w:val="single" w:sz="4" w:space="0" w:color="000000"/>
              <w:left w:val="single" w:sz="10" w:space="0" w:color="D4D4D4"/>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445,378.86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445,378.86</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8" w:type="dxa"/>
            <w:tcBorders>
              <w:top w:val="single" w:sz="4" w:space="0" w:color="000000"/>
              <w:left w:val="single" w:sz="10" w:space="0" w:color="D4D4D4"/>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874,078.97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874,078.97</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8" w:type="dxa"/>
            <w:tcBorders>
              <w:top w:val="single" w:sz="4" w:space="0" w:color="000000"/>
              <w:left w:val="single" w:sz="10" w:space="0" w:color="D4D4D4"/>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pacing w:val="-15"/>
                <w:sz w:val="18"/>
                <w:szCs w:val="18"/>
              </w:rPr>
              <w:t> </w:t>
            </w: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3,100,000.00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43,264,344.63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12,608,157.30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58,972,501.93</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二、累计摊销</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1,162,500.00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41,910,855.20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5,887,179.33</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48,960,534.53</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pacing w:val="-15"/>
                <w:sz w:val="18"/>
                <w:szCs w:val="18"/>
              </w:rPr>
              <w:t> </w:t>
            </w: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387,500.04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308,297.52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2,326,914.22</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3,022,711.78</w:t>
            </w:r>
            <w:r>
              <w:rPr>
                <w:rFonts w:ascii="Times New Roman"/>
                <w:sz w:val="18"/>
              </w:rPr>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5"/>
        <w:gridCol w:w="1198"/>
        <w:gridCol w:w="1195"/>
        <w:gridCol w:w="1195"/>
        <w:gridCol w:w="1198"/>
      </w:tblGrid>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pacing w:val="-15"/>
                <w:sz w:val="18"/>
                <w:szCs w:val="18"/>
              </w:rPr>
              <w:t> </w:t>
            </w: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1,550,000.04</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42,219,152.72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8,214,093.55</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51,983,246.31</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pacing w:val="-15"/>
                <w:sz w:val="18"/>
                <w:szCs w:val="18"/>
              </w:rPr>
              <w:t> </w:t>
            </w: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1,549,999.96</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1,045,191.91</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4,394,063.75</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6,989,255.62</w:t>
            </w:r>
            <w:r>
              <w:rPr>
                <w:rFonts w:ascii="Times New Roman"/>
                <w:sz w:val="18"/>
              </w:rPr>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1,937,500.00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908,110.57</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5,846,899.00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8,692,509.57</w:t>
            </w:r>
            <w:r>
              <w:rPr>
                <w:rFonts w:ascii="Times New Roman"/>
                <w:sz w:val="18"/>
              </w:rPr>
            </w:r>
          </w:p>
        </w:tc>
      </w:tr>
    </w:tbl>
    <w:p>
      <w:pPr>
        <w:pStyle w:val="BodyText"/>
        <w:spacing w:line="240" w:lineRule="auto" w:before="49"/>
        <w:ind w:right="1129"/>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62.87%</w:t>
      </w:r>
      <w:r>
        <w:rPr/>
        <w:t>。</w:t>
      </w:r>
    </w:p>
    <w:p>
      <w:pPr>
        <w:spacing w:line="240" w:lineRule="auto" w:before="13"/>
        <w:rPr>
          <w:rFonts w:ascii="宋体" w:hAnsi="宋体" w:cs="宋体" w:eastAsia="宋体" w:hint="default"/>
          <w:sz w:val="25"/>
          <w:szCs w:val="25"/>
        </w:rPr>
      </w:pPr>
    </w:p>
    <w:p>
      <w:pPr>
        <w:pStyle w:val="Heading3"/>
        <w:spacing w:line="240" w:lineRule="auto"/>
        <w:ind w:right="1129"/>
        <w:jc w:val="left"/>
        <w:rPr>
          <w:b w:val="0"/>
          <w:bCs w:val="0"/>
        </w:rPr>
      </w:pPr>
      <w:bookmarkStart w:name="（2）未办妥产权证书的土地使用权情况" w:id="283"/>
      <w:bookmarkEnd w:id="28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49"/>
        <w:ind w:right="2474"/>
        <w:jc w:val="left"/>
      </w:pPr>
      <w:r>
        <w:rPr/>
        <w:t>其他说明： 无形资产中的外购软件主要为支持本集团业务的智能电网应用平台、视频通信业务平台及金蝶财务软件。</w:t>
      </w:r>
    </w:p>
    <w:p>
      <w:pPr>
        <w:spacing w:line="240" w:lineRule="auto" w:before="6"/>
        <w:rPr>
          <w:rFonts w:ascii="宋体" w:hAnsi="宋体" w:cs="宋体" w:eastAsia="宋体" w:hint="default"/>
          <w:sz w:val="20"/>
          <w:szCs w:val="20"/>
        </w:rPr>
      </w:pPr>
    </w:p>
    <w:p>
      <w:pPr>
        <w:pStyle w:val="Heading3"/>
        <w:spacing w:line="240" w:lineRule="auto"/>
        <w:ind w:right="1129"/>
        <w:jc w:val="left"/>
        <w:rPr>
          <w:b w:val="0"/>
          <w:bCs w:val="0"/>
        </w:rPr>
      </w:pPr>
      <w:bookmarkStart w:name="21、开发支出" w:id="284"/>
      <w:bookmarkEnd w:id="284"/>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after="0" w:line="240" w:lineRule="auto"/>
        <w:jc w:val="right"/>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207" w:type="dxa"/>
        <w:tblLayout w:type="fixed"/>
        <w:tblCellMar>
          <w:top w:w="0" w:type="dxa"/>
          <w:left w:w="0" w:type="dxa"/>
          <w:bottom w:w="0" w:type="dxa"/>
          <w:right w:w="0" w:type="dxa"/>
        </w:tblCellMar>
        <w:tblLook w:val="01E0"/>
      </w:tblPr>
      <w:tblGrid>
        <w:gridCol w:w="1063"/>
        <w:gridCol w:w="1063"/>
        <w:gridCol w:w="1063"/>
        <w:gridCol w:w="1063"/>
        <w:gridCol w:w="1063"/>
        <w:gridCol w:w="1063"/>
        <w:gridCol w:w="1061"/>
        <w:gridCol w:w="1063"/>
        <w:gridCol w:w="1063"/>
      </w:tblGrid>
      <w:tr>
        <w:trPr>
          <w:trHeight w:val="401"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43"/>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瀚云工业互 联网平台</w:t>
            </w:r>
          </w:p>
        </w:tc>
        <w:tc>
          <w:tcPr>
            <w:tcW w:w="1063" w:type="dxa"/>
            <w:tcBorders>
              <w:top w:val="single" w:sz="4" w:space="0" w:color="000000"/>
              <w:left w:val="single" w:sz="12" w:space="0" w:color="E1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10,054,348.6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10,054,348.6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10,054,348.6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10,054,348.6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49"/>
        <w:ind w:left="212" w:right="0"/>
        <w:jc w:val="both"/>
      </w:pPr>
      <w:r>
        <w:rPr/>
        <w:t>其他说明</w:t>
      </w:r>
    </w:p>
    <w:p>
      <w:pPr>
        <w:pStyle w:val="BodyText"/>
        <w:spacing w:line="240" w:lineRule="auto" w:before="115"/>
        <w:ind w:left="212" w:right="0"/>
        <w:jc w:val="both"/>
      </w:pPr>
      <w:r>
        <w:rPr/>
        <w:t>（</w:t>
      </w:r>
      <w:r>
        <w:rPr>
          <w:rFonts w:ascii="Times New Roman" w:hAnsi="Times New Roman" w:cs="Times New Roman" w:eastAsia="Times New Roman" w:hint="default"/>
        </w:rPr>
        <w:t>1</w:t>
      </w:r>
      <w:r>
        <w:rPr/>
        <w:t>）资本化开始时点：</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w:t>
      </w:r>
    </w:p>
    <w:p>
      <w:pPr>
        <w:pStyle w:val="BodyText"/>
        <w:spacing w:line="309" w:lineRule="auto" w:before="62"/>
        <w:ind w:left="212" w:right="1133"/>
        <w:jc w:val="both"/>
      </w:pPr>
      <w:r>
        <w:rPr/>
        <w:t>（</w:t>
      </w:r>
      <w:r>
        <w:rPr>
          <w:rFonts w:ascii="Times New Roman" w:hAnsi="Times New Roman" w:cs="Times New Roman" w:eastAsia="Times New Roman" w:hint="default"/>
        </w:rPr>
        <w:t>2</w:t>
      </w:r>
      <w:r>
        <w:rPr/>
        <w:t>）资本化的具体依据：该系统实现对外接受用户注册和使用。提供鉴权体系、设备接入、数据采集、数据存储、数据计 </w:t>
      </w:r>
      <w:r>
        <w:rPr>
          <w:spacing w:val="-2"/>
        </w:rPr>
        <w:t>算、数据服务、数据可视化功能，满足工业互联网基本服务要求，为后续基于设备数据和垂直行业的沉淀、应用开发、对外</w:t>
      </w:r>
      <w:r>
        <w:rPr>
          <w:spacing w:val="-67"/>
        </w:rPr>
        <w:t> </w:t>
      </w:r>
      <w:r>
        <w:rPr>
          <w:spacing w:val="-67"/>
        </w:rPr>
      </w:r>
      <w:r>
        <w:rPr/>
        <w:t>运营提供支撑。</w:t>
      </w:r>
    </w:p>
    <w:p>
      <w:pPr>
        <w:pStyle w:val="BodyText"/>
        <w:spacing w:line="300" w:lineRule="auto" w:before="24"/>
        <w:ind w:left="212" w:right="1124"/>
        <w:jc w:val="left"/>
      </w:pPr>
      <w:r>
        <w:rPr/>
        <w:t>（</w:t>
      </w:r>
      <w:r>
        <w:rPr>
          <w:rFonts w:ascii="Times New Roman" w:hAnsi="Times New Roman" w:cs="Times New Roman" w:eastAsia="Times New Roman" w:hint="default"/>
        </w:rPr>
        <w:t>3</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日的研发进度：已经完成收集需求、设计方案和技术选型的初期；按项目总体预算</w:t>
      </w:r>
      <w:r>
        <w:rPr>
          <w:rFonts w:ascii="Times New Roman" w:hAnsi="Times New Roman" w:cs="Times New Roman" w:eastAsia="Times New Roman" w:hint="default"/>
        </w:rPr>
        <w:t>2500</w:t>
      </w:r>
      <w:r>
        <w:rPr/>
        <w:t>万，目前完 成进度约</w:t>
      </w:r>
      <w:r>
        <w:rPr>
          <w:rFonts w:ascii="Times New Roman" w:hAnsi="Times New Roman" w:cs="Times New Roman" w:eastAsia="Times New Roman" w:hint="default"/>
        </w:rPr>
        <w:t>40%</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left="212" w:right="0"/>
        <w:jc w:val="both"/>
        <w:rPr>
          <w:b w:val="0"/>
          <w:bCs w:val="0"/>
        </w:rPr>
      </w:pPr>
      <w:bookmarkStart w:name="22、商誉" w:id="285"/>
      <w:bookmarkEnd w:id="285"/>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2" w:right="0"/>
        <w:jc w:val="both"/>
        <w:rPr>
          <w:b w:val="0"/>
          <w:bCs w:val="0"/>
        </w:rPr>
      </w:pPr>
      <w:bookmarkStart w:name="（1）商誉账面原值" w:id="286"/>
      <w:bookmarkEnd w:id="28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367"/>
        <w:gridCol w:w="1366"/>
        <w:gridCol w:w="1368"/>
        <w:gridCol w:w="1366"/>
        <w:gridCol w:w="1368"/>
        <w:gridCol w:w="1368"/>
        <w:gridCol w:w="1366"/>
      </w:tblGrid>
      <w:tr>
        <w:trPr>
          <w:trHeight w:val="359"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nil" w:sz="6" w:space="0" w:color="auto"/>
              <w:right w:val="single" w:sz="4" w:space="0" w:color="000000"/>
            </w:tcBorders>
            <w:shd w:val="clear" w:color="auto" w:fill="D4D4D4"/>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60" w:hRule="exact"/>
        </w:trPr>
        <w:tc>
          <w:tcPr>
            <w:tcW w:w="1367" w:type="dxa"/>
            <w:vMerge/>
            <w:tcBorders>
              <w:left w:val="single" w:sz="4" w:space="0" w:color="000000"/>
              <w:right w:val="single" w:sz="4" w:space="0" w:color="000000"/>
            </w:tcBorders>
            <w:shd w:val="clear" w:color="auto" w:fill="D4D4D4"/>
          </w:tcPr>
          <w:p>
            <w:pPr/>
          </w:p>
        </w:tc>
        <w:tc>
          <w:tcPr>
            <w:tcW w:w="136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7"/>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6" w:type="dxa"/>
            <w:vMerge w:val="restart"/>
            <w:tcBorders>
              <w:top w:val="single" w:sz="4" w:space="0" w:color="000000"/>
              <w:left w:val="single" w:sz="12" w:space="0" w:color="D4D4D4"/>
              <w:right w:val="single" w:sz="13" w:space="0" w:color="D4D4D4"/>
            </w:tcBorders>
            <w:shd w:val="clear" w:color="auto" w:fill="E1FFFF"/>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吸收</w:t>
            </w:r>
          </w:p>
        </w:tc>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12" w:space="0" w:color="D4D4D4"/>
              <w:right w:val="single" w:sz="10" w:space="0" w:color="D4D4D4"/>
            </w:tcBorders>
            <w:shd w:val="clear" w:color="auto" w:fill="E1FFFF"/>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注销</w:t>
            </w:r>
          </w:p>
        </w:tc>
        <w:tc>
          <w:tcPr>
            <w:tcW w:w="136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7"/>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367" w:type="dxa"/>
            <w:vMerge/>
            <w:tcBorders>
              <w:left w:val="single" w:sz="4" w:space="0" w:color="000000"/>
              <w:right w:val="single" w:sz="4" w:space="0" w:color="000000"/>
            </w:tcBorders>
            <w:shd w:val="clear" w:color="auto" w:fill="D4D4D4"/>
          </w:tcPr>
          <w:p>
            <w:pPr/>
          </w:p>
        </w:tc>
        <w:tc>
          <w:tcPr>
            <w:tcW w:w="1366"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tcBorders>
              <w:left w:val="single" w:sz="12" w:space="0" w:color="D4D4D4"/>
              <w:right w:val="single" w:sz="13" w:space="0" w:color="D4D4D4"/>
            </w:tcBorders>
            <w:shd w:val="clear" w:color="auto" w:fill="E1FFFF"/>
          </w:tcPr>
          <w:p>
            <w:pPr/>
          </w:p>
        </w:tc>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vMerge/>
            <w:tcBorders>
              <w:left w:val="single" w:sz="12" w:space="0" w:color="D4D4D4"/>
              <w:right w:val="single" w:sz="10" w:space="0" w:color="D4D4D4"/>
            </w:tcBorders>
            <w:shd w:val="clear" w:color="auto" w:fill="E1FFFF"/>
          </w:tcPr>
          <w:p>
            <w:pPr/>
          </w:p>
        </w:tc>
        <w:tc>
          <w:tcPr>
            <w:tcW w:w="1366" w:type="dxa"/>
            <w:vMerge/>
            <w:tcBorders>
              <w:left w:val="single" w:sz="4" w:space="0" w:color="000000"/>
              <w:bottom w:val="nil" w:sz="6" w:space="0" w:color="auto"/>
              <w:right w:val="single" w:sz="4" w:space="0" w:color="000000"/>
            </w:tcBorders>
            <w:shd w:val="clear" w:color="auto" w:fill="D4D4D4"/>
          </w:tcPr>
          <w:p>
            <w:pPr/>
          </w:p>
        </w:tc>
      </w:tr>
      <w:tr>
        <w:trPr>
          <w:trHeight w:val="317"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6"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12" w:space="0" w:color="D4D4D4"/>
              <w:bottom w:val="single" w:sz="4" w:space="0" w:color="000000"/>
              <w:right w:val="single" w:sz="13" w:space="0" w:color="D4D4D4"/>
            </w:tcBorders>
            <w:shd w:val="clear" w:color="auto" w:fill="E1FFFF"/>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12" w:space="0" w:color="D4D4D4"/>
              <w:bottom w:val="single" w:sz="4" w:space="0" w:color="000000"/>
              <w:right w:val="single" w:sz="10" w:space="0" w:color="D4D4D4"/>
            </w:tcBorders>
            <w:shd w:val="clear" w:color="auto" w:fill="E1FFFF"/>
          </w:tcPr>
          <w:p>
            <w:pPr/>
          </w:p>
        </w:tc>
        <w:tc>
          <w:tcPr>
            <w:tcW w:w="1366"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从兴电力业务</w:t>
            </w:r>
            <w:r>
              <w:rPr>
                <w:rFonts w:ascii="Times New Roman" w:hAnsi="Times New Roman" w:cs="Times New Roman" w:eastAsia="Times New Roman" w:hint="default"/>
                <w:sz w:val="18"/>
                <w:szCs w:val="18"/>
              </w:rPr>
              <w:t>(a)</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8,520,081.59</w:t>
            </w:r>
            <w:r>
              <w:rPr>
                <w:rFonts w:ascii="Times New Roman"/>
                <w:sz w:val="18"/>
              </w:rPr>
            </w:r>
          </w:p>
        </w:tc>
        <w:tc>
          <w:tcPr>
            <w:tcW w:w="1368" w:type="dxa"/>
            <w:tcBorders>
              <w:top w:val="single" w:sz="48" w:space="0" w:color="D4D4D4"/>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8" w:space="0" w:color="D4D4D4"/>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8,520,081.59</w:t>
            </w:r>
            <w:r>
              <w:rPr>
                <w:rFonts w:ascii="Times New Roman"/>
                <w:sz w:val="18"/>
              </w:rPr>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天正信华</w:t>
            </w:r>
            <w:r>
              <w:rPr>
                <w:rFonts w:ascii="Times New Roman" w:hAnsi="Times New Roman" w:cs="Times New Roman" w:eastAsia="Times New Roman" w:hint="default"/>
                <w:sz w:val="18"/>
                <w:szCs w:val="18"/>
              </w:rPr>
              <w:t>(b)</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15,008,803.02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15,008,803.02</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朗新金关</w:t>
            </w:r>
            <w:r>
              <w:rPr>
                <w:rFonts w:ascii="Times New Roman" w:hAnsi="Times New Roman" w:cs="Times New Roman" w:eastAsia="Times New Roman" w:hint="default"/>
                <w:sz w:val="18"/>
                <w:szCs w:val="18"/>
              </w:rPr>
              <w:t>(c)</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7,875,967.88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7,875,967.88</w:t>
            </w:r>
            <w:r>
              <w:rPr>
                <w:rFonts w:ascii="Times New Roman"/>
                <w:sz w:val="18"/>
              </w:rPr>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天正信华电力业 务</w:t>
            </w:r>
            <w:r>
              <w:rPr>
                <w:rFonts w:ascii="Times New Roman" w:hAnsi="Times New Roman" w:cs="Times New Roman" w:eastAsia="Times New Roman" w:hint="default"/>
                <w:sz w:val="18"/>
                <w:szCs w:val="18"/>
              </w:rPr>
              <w:t>(b)</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15,008,803.02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15,008,803.02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31,404,852.49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15,008,803.02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15,008,803.02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31,404,852.49</w:t>
            </w:r>
          </w:p>
        </w:tc>
      </w:tr>
    </w:tbl>
    <w:p>
      <w:pPr>
        <w:spacing w:line="240" w:lineRule="auto" w:before="3"/>
        <w:rPr>
          <w:rFonts w:ascii="宋体" w:hAnsi="宋体" w:cs="宋体" w:eastAsia="宋体" w:hint="default"/>
          <w:sz w:val="19"/>
          <w:szCs w:val="19"/>
        </w:rPr>
      </w:pPr>
    </w:p>
    <w:p>
      <w:pPr>
        <w:pStyle w:val="Heading3"/>
        <w:spacing w:line="240" w:lineRule="auto" w:before="36"/>
        <w:ind w:left="212" w:right="745"/>
        <w:jc w:val="left"/>
        <w:rPr>
          <w:b w:val="0"/>
          <w:bCs w:val="0"/>
        </w:rPr>
      </w:pPr>
      <w:bookmarkStart w:name="（2）商誉减值准备" w:id="287"/>
      <w:bookmarkEnd w:id="28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367"/>
        <w:gridCol w:w="1366"/>
        <w:gridCol w:w="2734"/>
        <w:gridCol w:w="2736"/>
        <w:gridCol w:w="1366"/>
      </w:tblGrid>
      <w:tr>
        <w:trPr>
          <w:trHeight w:val="355" w:hRule="exact"/>
        </w:trPr>
        <w:tc>
          <w:tcPr>
            <w:tcW w:w="1367" w:type="dxa"/>
            <w:tcBorders>
              <w:top w:val="single" w:sz="4" w:space="0" w:color="000000"/>
              <w:left w:val="single" w:sz="4" w:space="0" w:color="000000"/>
              <w:bottom w:val="nil" w:sz="6" w:space="0" w:color="auto"/>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66" w:type="dxa"/>
            <w:tcBorders>
              <w:top w:val="single" w:sz="4" w:space="0" w:color="000000"/>
              <w:left w:val="single" w:sz="4" w:space="0" w:color="000000"/>
              <w:bottom w:val="nil" w:sz="6" w:space="0" w:color="auto"/>
              <w:right w:val="single" w:sz="4" w:space="0" w:color="000000"/>
            </w:tcBorders>
            <w:shd w:val="clear" w:color="auto" w:fill="D4D4D4"/>
          </w:tcPr>
          <w:p>
            <w:pPr/>
          </w:p>
        </w:tc>
        <w:tc>
          <w:tcPr>
            <w:tcW w:w="2734" w:type="dxa"/>
            <w:tcBorders>
              <w:top w:val="single" w:sz="4" w:space="0" w:color="000000"/>
              <w:left w:val="single" w:sz="4" w:space="0" w:color="000000"/>
              <w:bottom w:val="nil" w:sz="6" w:space="0" w:color="auto"/>
              <w:right w:val="single" w:sz="4" w:space="0" w:color="000000"/>
            </w:tcBorders>
            <w:shd w:val="clear" w:color="auto" w:fill="D4D4D4"/>
          </w:tcPr>
          <w:p>
            <w:pPr/>
          </w:p>
        </w:tc>
        <w:tc>
          <w:tcPr>
            <w:tcW w:w="2736"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6"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12" w:hRule="exact"/>
        </w:trPr>
        <w:tc>
          <w:tcPr>
            <w:tcW w:w="136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或形成商誉的事</w:t>
            </w:r>
          </w:p>
        </w:tc>
        <w:tc>
          <w:tcPr>
            <w:tcW w:w="136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0" w:hRule="exact"/>
        </w:trPr>
        <w:tc>
          <w:tcPr>
            <w:tcW w:w="1367"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w:t>
            </w:r>
          </w:p>
        </w:tc>
        <w:tc>
          <w:tcPr>
            <w:tcW w:w="1366" w:type="dxa"/>
            <w:tcBorders>
              <w:top w:val="nil" w:sz="6" w:space="0" w:color="auto"/>
              <w:left w:val="single" w:sz="4" w:space="0" w:color="000000"/>
              <w:bottom w:val="single" w:sz="4" w:space="0" w:color="000000"/>
              <w:right w:val="single" w:sz="4" w:space="0" w:color="000000"/>
            </w:tcBorders>
            <w:shd w:val="clear" w:color="auto" w:fill="D4D4D4"/>
          </w:tcPr>
          <w:p>
            <w:pPr/>
          </w:p>
        </w:tc>
        <w:tc>
          <w:tcPr>
            <w:tcW w:w="2734" w:type="dxa"/>
            <w:tcBorders>
              <w:top w:val="nil" w:sz="6" w:space="0" w:color="auto"/>
              <w:left w:val="single" w:sz="4" w:space="0" w:color="000000"/>
              <w:bottom w:val="single" w:sz="4" w:space="0" w:color="000000"/>
              <w:right w:val="single" w:sz="4" w:space="0" w:color="000000"/>
            </w:tcBorders>
            <w:shd w:val="clear" w:color="auto" w:fill="D4D4D4"/>
          </w:tcPr>
          <w:p>
            <w:pPr/>
          </w:p>
        </w:tc>
        <w:tc>
          <w:tcPr>
            <w:tcW w:w="2736"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6" w:type="dxa"/>
            <w:tcBorders>
              <w:top w:val="nil" w:sz="6" w:space="0" w:color="auto"/>
              <w:left w:val="single" w:sz="4" w:space="0" w:color="000000"/>
              <w:bottom w:val="single" w:sz="4" w:space="0" w:color="000000"/>
              <w:right w:val="single" w:sz="4" w:space="0" w:color="000000"/>
            </w:tcBorders>
            <w:shd w:val="clear" w:color="auto" w:fill="D4D4D4"/>
          </w:tcPr>
          <w:p>
            <w:pPr/>
          </w:p>
        </w:tc>
      </w:tr>
    </w:tbl>
    <w:p>
      <w:pPr>
        <w:pStyle w:val="BodyText"/>
        <w:spacing w:line="357" w:lineRule="auto" w:before="49"/>
        <w:ind w:left="212" w:right="6254"/>
        <w:jc w:val="left"/>
      </w:pPr>
      <w:r>
        <w:rPr/>
        <w:t>商誉所在资产组或资产组组合的相关信息 本公司对如下分摊至本集团资产组的商誉进行减值评估：</w:t>
      </w:r>
    </w:p>
    <w:tbl>
      <w:tblPr>
        <w:tblW w:w="0" w:type="auto"/>
        <w:jc w:val="left"/>
        <w:tblInd w:w="100" w:type="dxa"/>
        <w:tblLayout w:type="fixed"/>
        <w:tblCellMar>
          <w:top w:w="0" w:type="dxa"/>
          <w:left w:w="0" w:type="dxa"/>
          <w:bottom w:w="0" w:type="dxa"/>
          <w:right w:w="0" w:type="dxa"/>
        </w:tblCellMar>
        <w:tblLook w:val="01E0"/>
      </w:tblPr>
      <w:tblGrid>
        <w:gridCol w:w="3072"/>
        <w:gridCol w:w="2954"/>
        <w:gridCol w:w="3828"/>
      </w:tblGrid>
      <w:tr>
        <w:trPr>
          <w:trHeight w:val="32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sz w:val="18"/>
              </w:rPr>
              <w:t> </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8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2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从兴电力业务</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7"/>
              <w:jc w:val="right"/>
              <w:rPr>
                <w:rFonts w:ascii="Times New Roman" w:hAnsi="Times New Roman" w:cs="Times New Roman" w:eastAsia="Times New Roman" w:hint="default"/>
                <w:sz w:val="18"/>
                <w:szCs w:val="18"/>
              </w:rPr>
            </w:pPr>
            <w:r>
              <w:rPr>
                <w:rFonts w:ascii="Times New Roman"/>
                <w:spacing w:val="-1"/>
                <w:sz w:val="18"/>
              </w:rPr>
              <w:t>8,520,081.59</w:t>
            </w:r>
            <w:r>
              <w:rPr>
                <w:rFonts w:ascii="Times New Roman"/>
                <w:sz w:val="18"/>
              </w:rPr>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Times New Roman" w:hAnsi="Times New Roman" w:cs="Times New Roman" w:eastAsia="Times New Roman" w:hint="default"/>
                <w:sz w:val="18"/>
                <w:szCs w:val="18"/>
              </w:rPr>
            </w:pPr>
            <w:r>
              <w:rPr>
                <w:rFonts w:ascii="Times New Roman"/>
                <w:spacing w:val="-1"/>
                <w:sz w:val="18"/>
              </w:rPr>
              <w:t>8,520,081.59</w:t>
            </w:r>
            <w:r>
              <w:rPr>
                <w:rFonts w:ascii="Times New Roman"/>
                <w:sz w:val="18"/>
              </w:rPr>
            </w:r>
          </w:p>
        </w:tc>
      </w:tr>
      <w:tr>
        <w:trPr>
          <w:trHeight w:val="324"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天正信华</w:t>
            </w:r>
          </w:p>
        </w:tc>
        <w:tc>
          <w:tcPr>
            <w:tcW w:w="2954" w:type="dxa"/>
            <w:tcBorders>
              <w:top w:val="single" w:sz="4" w:space="0" w:color="000000"/>
              <w:left w:val="single" w:sz="4" w:space="0" w:color="000000"/>
              <w:bottom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15,008,803.02</w:t>
            </w:r>
          </w:p>
        </w:tc>
      </w:tr>
      <w:tr>
        <w:trPr>
          <w:trHeight w:val="32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朗新金关</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7"/>
              <w:jc w:val="right"/>
              <w:rPr>
                <w:rFonts w:ascii="Times New Roman" w:hAnsi="Times New Roman" w:cs="Times New Roman" w:eastAsia="Times New Roman" w:hint="default"/>
                <w:sz w:val="18"/>
                <w:szCs w:val="18"/>
              </w:rPr>
            </w:pPr>
            <w:r>
              <w:rPr>
                <w:rFonts w:ascii="Times New Roman"/>
                <w:spacing w:val="-1"/>
                <w:sz w:val="18"/>
              </w:rPr>
              <w:t>7,875,967.88</w:t>
            </w:r>
            <w:r>
              <w:rPr>
                <w:rFonts w:ascii="Times New Roman"/>
                <w:sz w:val="18"/>
              </w:rPr>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Times New Roman" w:hAnsi="Times New Roman" w:cs="Times New Roman" w:eastAsia="Times New Roman" w:hint="default"/>
                <w:sz w:val="18"/>
                <w:szCs w:val="18"/>
              </w:rPr>
            </w:pPr>
            <w:r>
              <w:rPr>
                <w:rFonts w:ascii="Times New Roman"/>
                <w:spacing w:val="-1"/>
                <w:sz w:val="18"/>
              </w:rPr>
              <w:t>7,875,967.88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3072"/>
        <w:gridCol w:w="2954"/>
        <w:gridCol w:w="3828"/>
      </w:tblGrid>
      <w:tr>
        <w:trPr>
          <w:trHeight w:val="32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天正信华电力业务</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15,008,803.02</w:t>
            </w:r>
          </w:p>
        </w:tc>
        <w:tc>
          <w:tcPr>
            <w:tcW w:w="38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31,404,852.49</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31,404,852.49</w:t>
            </w:r>
          </w:p>
        </w:tc>
      </w:tr>
    </w:tbl>
    <w:p>
      <w:pPr>
        <w:spacing w:line="240" w:lineRule="auto" w:before="2"/>
        <w:rPr>
          <w:rFonts w:ascii="宋体" w:hAnsi="宋体" w:cs="宋体" w:eastAsia="宋体" w:hint="default"/>
          <w:sz w:val="24"/>
          <w:szCs w:val="24"/>
        </w:rPr>
      </w:pPr>
    </w:p>
    <w:p>
      <w:pPr>
        <w:pStyle w:val="BodyText"/>
        <w:spacing w:line="338" w:lineRule="auto" w:before="44"/>
        <w:ind w:left="212" w:right="745"/>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 </w:t>
      </w:r>
      <w:r>
        <w:rPr>
          <w:spacing w:val="-2"/>
        </w:rPr>
        <w:t>资产组的可收回金额是依据管理层批准的每个资产负债表日的五年期预算，采用现金流量预测方法计算，此外超过该五年期</w:t>
      </w:r>
    </w:p>
    <w:p>
      <w:pPr>
        <w:pStyle w:val="BodyText"/>
        <w:spacing w:line="316" w:lineRule="auto" w:before="2"/>
        <w:ind w:left="212" w:right="7514"/>
        <w:jc w:val="left"/>
      </w:pPr>
      <w:r>
        <w:rPr/>
        <w:t>的现金流量增长率为零作出推算。 采用未来现金流量折现方法的主要假设：</w:t>
      </w:r>
    </w:p>
    <w:tbl>
      <w:tblPr>
        <w:tblW w:w="0" w:type="auto"/>
        <w:jc w:val="left"/>
        <w:tblInd w:w="100" w:type="dxa"/>
        <w:tblLayout w:type="fixed"/>
        <w:tblCellMar>
          <w:top w:w="0" w:type="dxa"/>
          <w:left w:w="0" w:type="dxa"/>
          <w:bottom w:w="0" w:type="dxa"/>
          <w:right w:w="0" w:type="dxa"/>
        </w:tblCellMar>
        <w:tblLook w:val="01E0"/>
      </w:tblPr>
      <w:tblGrid>
        <w:gridCol w:w="2390"/>
        <w:gridCol w:w="2302"/>
        <w:gridCol w:w="2686"/>
        <w:gridCol w:w="2477"/>
      </w:tblGrid>
      <w:tr>
        <w:trPr>
          <w:trHeight w:val="322" w:hRule="exact"/>
        </w:trPr>
        <w:tc>
          <w:tcPr>
            <w:tcW w:w="239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4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22" w:hRule="exact"/>
        </w:trPr>
        <w:tc>
          <w:tcPr>
            <w:tcW w:w="2390" w:type="dxa"/>
            <w:vMerge/>
            <w:tcBorders>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从兴电力</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19" w:right="0"/>
              <w:jc w:val="left"/>
              <w:rPr>
                <w:rFonts w:ascii="宋体" w:hAnsi="宋体" w:cs="宋体" w:eastAsia="宋体" w:hint="default"/>
                <w:sz w:val="18"/>
                <w:szCs w:val="18"/>
              </w:rPr>
            </w:pPr>
            <w:r>
              <w:rPr>
                <w:rFonts w:ascii="宋体" w:hAnsi="宋体" w:cs="宋体" w:eastAsia="宋体" w:hint="default"/>
                <w:sz w:val="18"/>
                <w:szCs w:val="18"/>
              </w:rPr>
              <w:t>天正信华电力业务</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朗新金关</w:t>
            </w:r>
          </w:p>
        </w:tc>
      </w:tr>
      <w:tr>
        <w:trPr>
          <w:trHeight w:val="32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收入增长率</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z w:val="18"/>
              </w:rPr>
              <w:t>12%</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3-10%</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15%-25%</w:t>
            </w:r>
          </w:p>
        </w:tc>
      </w:tr>
      <w:tr>
        <w:trPr>
          <w:trHeight w:val="32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平均毛利率</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41%%</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59%</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29%-41%</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折现率</w:t>
            </w:r>
            <w:r>
              <w:rPr>
                <w:rFonts w:ascii="Times New Roman" w:hAnsi="Times New Roman" w:cs="Times New Roman" w:eastAsia="Times New Roman" w:hint="default"/>
                <w:sz w:val="18"/>
                <w:szCs w:val="18"/>
              </w:rPr>
              <w:t>(</w:t>
            </w:r>
            <w:r>
              <w:rPr>
                <w:rFonts w:ascii="宋体" w:hAnsi="宋体" w:cs="宋体" w:eastAsia="宋体" w:hint="default"/>
                <w:sz w:val="18"/>
                <w:szCs w:val="18"/>
              </w:rPr>
              <w:t>税后</w:t>
            </w:r>
            <w:r>
              <w:rPr>
                <w:rFonts w:ascii="Times New Roman" w:hAnsi="Times New Roman" w:cs="Times New Roman" w:eastAsia="Times New Roman" w:hint="default"/>
                <w:sz w:val="18"/>
                <w:szCs w:val="18"/>
              </w:rPr>
              <w:t>)</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z w:val="18"/>
              </w:rPr>
              <w:t>13.32%</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13.26%</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17.34%</w:t>
            </w:r>
          </w:p>
        </w:tc>
      </w:tr>
    </w:tbl>
    <w:p>
      <w:pPr>
        <w:spacing w:line="240" w:lineRule="auto" w:before="12"/>
        <w:rPr>
          <w:rFonts w:ascii="宋体" w:hAnsi="宋体" w:cs="宋体" w:eastAsia="宋体" w:hint="default"/>
          <w:sz w:val="21"/>
          <w:szCs w:val="21"/>
        </w:rPr>
      </w:pPr>
    </w:p>
    <w:p>
      <w:pPr>
        <w:pStyle w:val="BodyText"/>
        <w:spacing w:line="316" w:lineRule="auto" w:before="44"/>
        <w:ind w:left="212" w:right="745"/>
        <w:jc w:val="left"/>
      </w:pPr>
      <w:r>
        <w:rPr>
          <w:spacing w:val="-2"/>
        </w:rPr>
        <w:t>管理层根据历史经验及对市场发展的预测确定收入增长率及预测毛利率，并采用能够反映相关资产组的特定风险的税后利率</w:t>
      </w:r>
      <w:r>
        <w:rPr>
          <w:spacing w:val="-64"/>
        </w:rPr>
        <w:t> </w:t>
      </w:r>
      <w:r>
        <w:rPr>
          <w:spacing w:val="-64"/>
        </w:rPr>
      </w:r>
      <w:r>
        <w:rPr/>
        <w:t>为折现率。上述假设用以分析本公司内与商誉对应的各资产组的可收回金额。 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日，本集团未发现上述商誉存在减值。</w:t>
      </w:r>
    </w:p>
    <w:p>
      <w:pPr>
        <w:pStyle w:val="BodyText"/>
        <w:spacing w:line="357" w:lineRule="auto" w:before="40"/>
        <w:ind w:left="212" w:right="9134"/>
        <w:jc w:val="left"/>
      </w:pPr>
      <w:r>
        <w:rPr/>
        <w:t>商誉减值测试的影响 其他说明</w:t>
      </w:r>
    </w:p>
    <w:p>
      <w:pPr>
        <w:pStyle w:val="BodyText"/>
        <w:spacing w:line="309" w:lineRule="auto" w:before="29"/>
        <w:ind w:left="212" w:right="1130"/>
        <w:jc w:val="both"/>
      </w:pPr>
      <w:r>
        <w:rPr>
          <w:rFonts w:ascii="Times New Roman" w:hAnsi="Times New Roman" w:cs="Times New Roman" w:eastAsia="Times New Roman" w:hint="default"/>
        </w:rPr>
        <w:t>(a)</w:t>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日，本公司完成向从兴公司收购其电力软件开发业务的交易。本次交易对价约为</w:t>
      </w:r>
      <w:r>
        <w:rPr>
          <w:rFonts w:ascii="Times New Roman" w:hAnsi="Times New Roman" w:cs="Times New Roman" w:eastAsia="Times New Roman" w:hint="default"/>
        </w:rPr>
        <w:t>3,586</w:t>
      </w:r>
      <w:r>
        <w:rPr/>
        <w:t>万元，经本公司聘</w:t>
      </w:r>
      <w:r>
        <w:rPr>
          <w:w w:val="99"/>
        </w:rPr>
        <w:t> </w:t>
      </w:r>
      <w:r>
        <w:rPr>
          <w:spacing w:val="-2"/>
          <w:w w:val="99"/>
        </w:rPr>
        <w:t>请的独立第三方评估师银信资产评估有限公司评估并出具的评估报告，前述从兴电力业务可辨认净资产的公允价值与账面价</w:t>
      </w:r>
      <w:r>
        <w:rPr>
          <w:spacing w:val="-64"/>
          <w:w w:val="99"/>
        </w:rPr>
        <w:t> </w:t>
      </w:r>
      <w:r>
        <w:rPr>
          <w:spacing w:val="-64"/>
          <w:w w:val="99"/>
        </w:rPr>
      </w:r>
      <w:r>
        <w:rPr/>
        <w:t>值差异不重大，约为</w:t>
      </w:r>
      <w:r>
        <w:rPr>
          <w:rFonts w:ascii="Times New Roman" w:hAnsi="Times New Roman" w:cs="Times New Roman" w:eastAsia="Times New Roman" w:hint="default"/>
        </w:rPr>
        <w:t>2,734</w:t>
      </w:r>
      <w:r>
        <w:rPr/>
        <w:t>万元。本次交易价格大于可辨认净资产公允价值的差额约</w:t>
      </w:r>
      <w:r>
        <w:rPr>
          <w:rFonts w:ascii="Times New Roman" w:hAnsi="Times New Roman" w:cs="Times New Roman" w:eastAsia="Times New Roman" w:hint="default"/>
        </w:rPr>
        <w:t>852</w:t>
      </w:r>
      <w:r>
        <w:rPr/>
        <w:t>万元形成商誉。</w:t>
      </w:r>
    </w:p>
    <w:p>
      <w:pPr>
        <w:spacing w:line="240" w:lineRule="auto" w:before="3"/>
        <w:rPr>
          <w:rFonts w:ascii="宋体" w:hAnsi="宋体" w:cs="宋体" w:eastAsia="宋体" w:hint="default"/>
          <w:sz w:val="24"/>
          <w:szCs w:val="24"/>
        </w:rPr>
      </w:pPr>
    </w:p>
    <w:p>
      <w:pPr>
        <w:pStyle w:val="BodyText"/>
        <w:spacing w:line="300" w:lineRule="auto"/>
        <w:ind w:left="212" w:right="1130"/>
        <w:jc w:val="both"/>
      </w:pPr>
      <w:r>
        <w:rPr>
          <w:rFonts w:ascii="Times New Roman" w:hAnsi="Times New Roman" w:cs="Times New Roman" w:eastAsia="Times New Roman" w:hint="default"/>
          <w:spacing w:val="-2"/>
        </w:rPr>
        <w:t>(b)</w:t>
      </w:r>
      <w:r>
        <w:rPr>
          <w:spacing w:val="-2"/>
        </w:rPr>
        <w:t>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29</w:t>
      </w:r>
      <w:r>
        <w:rPr>
          <w:spacing w:val="-2"/>
        </w:rPr>
        <w:t>日，本公司完成收购天正信华的股权，交易双方最终确定的交易价格为</w:t>
      </w:r>
      <w:r>
        <w:rPr>
          <w:rFonts w:ascii="Times New Roman" w:hAnsi="Times New Roman" w:cs="Times New Roman" w:eastAsia="Times New Roman" w:hint="default"/>
          <w:spacing w:val="-2"/>
        </w:rPr>
        <w:t>2,082</w:t>
      </w:r>
      <w:r>
        <w:rPr>
          <w:spacing w:val="-2"/>
        </w:rPr>
        <w:t>万元。经本公司聘请的独立第</w:t>
      </w:r>
      <w:r>
        <w:rPr>
          <w:spacing w:val="-39"/>
        </w:rPr>
        <w:t> </w:t>
      </w:r>
      <w:r>
        <w:rPr>
          <w:spacing w:val="-39"/>
        </w:rPr>
      </w:r>
      <w:r>
        <w:rPr/>
        <w:t>三方评估师银信资产评估有限公司评估并出具的评估报告，天正信华交易日可辨认净资产的公允价值约为</w:t>
      </w:r>
      <w:r>
        <w:rPr>
          <w:rFonts w:ascii="Times New Roman" w:hAnsi="Times New Roman" w:cs="Times New Roman" w:eastAsia="Times New Roman" w:hint="default"/>
        </w:rPr>
        <w:t>581</w:t>
      </w:r>
      <w:r>
        <w:rPr/>
        <w:t>万元。本次交</w:t>
      </w:r>
      <w:r>
        <w:rPr>
          <w:w w:val="99"/>
        </w:rPr>
        <w:t> </w:t>
      </w:r>
      <w:r>
        <w:rPr>
          <w:spacing w:val="-1"/>
        </w:rPr>
        <w:t>易最终价格大于可辨认净资产公允价值的差额约</w:t>
      </w:r>
      <w:r>
        <w:rPr>
          <w:rFonts w:ascii="Times New Roman" w:hAnsi="Times New Roman" w:cs="Times New Roman" w:eastAsia="Times New Roman" w:hint="default"/>
          <w:spacing w:val="-1"/>
        </w:rPr>
        <w:t>1,501</w:t>
      </w:r>
      <w:r>
        <w:rPr>
          <w:spacing w:val="-1"/>
        </w:rPr>
        <w:t>万元形成商誉。于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月，天正信华注销，本公司吸收天正信华电</w:t>
      </w:r>
      <w:r>
        <w:rPr>
          <w:spacing w:val="-74"/>
        </w:rPr>
        <w:t> </w:t>
      </w:r>
      <w:r>
        <w:rPr>
          <w:spacing w:val="-74"/>
        </w:rPr>
      </w:r>
      <w:r>
        <w:rPr/>
        <w:t>力业务，天正信华商誉转移至本公司层面。</w:t>
      </w:r>
    </w:p>
    <w:p>
      <w:pPr>
        <w:spacing w:line="240" w:lineRule="auto" w:before="3"/>
        <w:rPr>
          <w:rFonts w:ascii="宋体" w:hAnsi="宋体" w:cs="宋体" w:eastAsia="宋体" w:hint="default"/>
          <w:sz w:val="26"/>
          <w:szCs w:val="26"/>
        </w:rPr>
      </w:pPr>
    </w:p>
    <w:p>
      <w:pPr>
        <w:pStyle w:val="BodyText"/>
        <w:spacing w:line="307" w:lineRule="auto"/>
        <w:ind w:left="212" w:right="1132"/>
        <w:jc w:val="both"/>
      </w:pPr>
      <w:r>
        <w:rPr>
          <w:rFonts w:ascii="Times New Roman" w:hAnsi="Times New Roman" w:cs="Times New Roman" w:eastAsia="Times New Roman" w:hint="default"/>
          <w:spacing w:val="-2"/>
        </w:rPr>
        <w:t>(c)</w:t>
      </w: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日，本公司完成朗新金关股权收购及增资，交易的总对价为</w:t>
      </w:r>
      <w:r>
        <w:rPr>
          <w:rFonts w:ascii="Times New Roman" w:hAnsi="Times New Roman" w:cs="Times New Roman" w:eastAsia="Times New Roman" w:hint="default"/>
          <w:spacing w:val="-2"/>
        </w:rPr>
        <w:t>1,500.00</w:t>
      </w:r>
      <w:r>
        <w:rPr>
          <w:spacing w:val="-2"/>
        </w:rPr>
        <w:t>万元，其中对价</w:t>
      </w:r>
      <w:r>
        <w:rPr>
          <w:rFonts w:ascii="Times New Roman" w:hAnsi="Times New Roman" w:cs="Times New Roman" w:eastAsia="Times New Roman" w:hint="default"/>
          <w:spacing w:val="-2"/>
        </w:rPr>
        <w:t>300.00</w:t>
      </w:r>
      <w:r>
        <w:rPr>
          <w:spacing w:val="-2"/>
        </w:rPr>
        <w:t>万元购买现有股</w:t>
      </w:r>
      <w:r>
        <w:rPr>
          <w:spacing w:val="-26"/>
        </w:rPr>
        <w:t> </w:t>
      </w:r>
      <w:r>
        <w:rPr>
          <w:spacing w:val="-26"/>
        </w:rPr>
      </w:r>
      <w:r>
        <w:rPr/>
        <w:t>东所持有的股份，其余对价</w:t>
      </w:r>
      <w:r>
        <w:rPr>
          <w:rFonts w:ascii="Times New Roman" w:hAnsi="Times New Roman" w:cs="Times New Roman" w:eastAsia="Times New Roman" w:hint="default"/>
        </w:rPr>
        <w:t>12,000,000</w:t>
      </w:r>
      <w:r>
        <w:rPr/>
        <w:t>元作为向朗新金关的增资。交易完成后，朗新科技持有朗新金关</w:t>
      </w:r>
      <w:r>
        <w:rPr>
          <w:rFonts w:ascii="Times New Roman" w:hAnsi="Times New Roman" w:cs="Times New Roman" w:eastAsia="Times New Roman" w:hint="default"/>
        </w:rPr>
        <w:t>51%</w:t>
      </w:r>
      <w:r>
        <w:rPr/>
        <w:t>股份，本公司取</w:t>
      </w:r>
      <w:r>
        <w:rPr>
          <w:w w:val="99"/>
        </w:rPr>
        <w:t> </w:t>
      </w:r>
      <w:r>
        <w:rPr>
          <w:spacing w:val="-2"/>
        </w:rPr>
        <w:t>得控制权。经本公司聘请的独立第三方评估师银信资产评估有限公司评估，朗新科技按持股比例所享有的朗新金关交易日可</w:t>
      </w:r>
      <w:r>
        <w:rPr>
          <w:spacing w:val="-65"/>
        </w:rPr>
        <w:t> </w:t>
      </w:r>
      <w:r>
        <w:rPr>
          <w:spacing w:val="-65"/>
        </w:rPr>
      </w:r>
      <w:r>
        <w:rPr/>
        <w:t>辨认净资产的公允价值约为</w:t>
      </w:r>
      <w:r>
        <w:rPr>
          <w:rFonts w:ascii="Times New Roman" w:hAnsi="Times New Roman" w:cs="Times New Roman" w:eastAsia="Times New Roman" w:hint="default"/>
        </w:rPr>
        <w:t>712.40</w:t>
      </w:r>
      <w:r>
        <w:rPr/>
        <w:t>万元。本次交易最终价格大于可辨认净资产公允价值的差额约</w:t>
      </w:r>
      <w:r>
        <w:rPr>
          <w:rFonts w:ascii="Times New Roman" w:hAnsi="Times New Roman" w:cs="Times New Roman" w:eastAsia="Times New Roman" w:hint="default"/>
        </w:rPr>
        <w:t>768.60</w:t>
      </w:r>
      <w:r>
        <w:rPr/>
        <w:t>万元形成商誉。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8"/>
        <w:ind w:left="212" w:right="0"/>
        <w:jc w:val="both"/>
        <w:rPr>
          <w:b w:val="0"/>
          <w:bCs w:val="0"/>
        </w:rPr>
      </w:pPr>
      <w:bookmarkStart w:name="23、长期待摊费用" w:id="288"/>
      <w:bookmarkEnd w:id="288"/>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经营租入固定资产 改良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6,867,353.43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1,183,438.89</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2,679,800.11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5,370,992.21</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6,867,353.43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1,183,438.89</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2,679,800.11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5,370,992.21</w:t>
            </w:r>
            <w:r>
              <w:rPr>
                <w:rFonts w:ascii="Times New Roman"/>
                <w:sz w:val="18"/>
              </w:rPr>
            </w:r>
          </w:p>
        </w:tc>
      </w:tr>
    </w:tbl>
    <w:p>
      <w:pPr>
        <w:pStyle w:val="BodyText"/>
        <w:spacing w:line="240" w:lineRule="auto" w:before="49"/>
        <w:ind w:left="212" w:right="745"/>
        <w:jc w:val="left"/>
      </w:pPr>
      <w:r>
        <w:rPr/>
        <w:t>其他说明</w:t>
      </w:r>
    </w:p>
    <w:p>
      <w:pPr>
        <w:spacing w:after="0" w:line="240" w:lineRule="auto"/>
        <w:jc w:val="left"/>
        <w:sectPr>
          <w:pgSz w:w="11910" w:h="16840"/>
          <w:pgMar w:header="745" w:footer="982" w:top="1060" w:bottom="1180" w:left="92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24、递延所得税资产/递延所得税负债" w:id="289"/>
      <w:bookmarkEnd w:id="289"/>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未经抵销的递延所得税资产" w:id="290"/>
      <w:bookmarkEnd w:id="29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37,788,886.17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3,778,888.62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31,727,741.00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2,946,982.66</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亏损合同</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638,488.01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63,848.80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616,514.86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61,651.49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17,406,652.17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1,740,665.22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8,065,945.00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806,594.50</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已纳税收入及成本确认 时点差异</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2,995,957.39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299,595.74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4,911,373.16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491,137.32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12,960,000.00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23,040,000.00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2,679,000.00</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20,953,050.94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2,095,305.10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7,965,462.95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796,546.30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92,743,034.68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9,274,303.48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76,327,036.97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7,781,912.27</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2）未经抵销的递延所得税负债" w:id="291"/>
      <w:bookmarkEnd w:id="29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5"/>
        <w:gridCol w:w="1915"/>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1,550,000.00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1,937,500.00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290,625.00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1,550,000.00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1,937,500.00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290,625.00</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3）以抵销后净额列示的递延所得税资产或负债" w:id="292"/>
      <w:bookmarkEnd w:id="29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7"/>
        <w:gridCol w:w="1915"/>
        <w:gridCol w:w="1913"/>
        <w:gridCol w:w="1915"/>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4D4D4"/>
          </w:tcPr>
          <w:p>
            <w:pPr/>
          </w:p>
        </w:tc>
        <w:tc>
          <w:tcPr>
            <w:tcW w:w="192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24"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vMerge/>
            <w:tcBorders>
              <w:left w:val="single" w:sz="4" w:space="0" w:color="000000"/>
              <w:right w:val="single" w:sz="4" w:space="0" w:color="000000"/>
            </w:tcBorders>
            <w:shd w:val="clear" w:color="auto" w:fill="D4D4D4"/>
          </w:tcPr>
          <w:p>
            <w:pPr/>
          </w:p>
        </w:tc>
        <w:tc>
          <w:tcPr>
            <w:tcW w:w="1915" w:type="dxa"/>
            <w:vMerge/>
            <w:tcBorders>
              <w:left w:val="single" w:sz="4" w:space="0" w:color="000000"/>
              <w:right w:val="single" w:sz="4" w:space="0" w:color="000000"/>
            </w:tcBorders>
            <w:shd w:val="clear" w:color="auto" w:fill="D4D4D4"/>
          </w:tcPr>
          <w:p>
            <w:pPr/>
          </w:p>
        </w:tc>
        <w:tc>
          <w:tcPr>
            <w:tcW w:w="1913" w:type="dxa"/>
            <w:vMerge/>
            <w:tcBorders>
              <w:left w:val="single" w:sz="4" w:space="0" w:color="000000"/>
              <w:right w:val="single" w:sz="4" w:space="0" w:color="000000"/>
            </w:tcBorders>
            <w:shd w:val="clear" w:color="auto" w:fill="D4D4D4"/>
          </w:tcPr>
          <w:p>
            <w:pPr/>
          </w:p>
        </w:tc>
        <w:tc>
          <w:tcPr>
            <w:tcW w:w="1915" w:type="dxa"/>
            <w:vMerge/>
            <w:tcBorders>
              <w:left w:val="single" w:sz="4" w:space="0" w:color="000000"/>
              <w:right w:val="single" w:sz="4" w:space="0" w:color="000000"/>
            </w:tcBorders>
            <w:shd w:val="clear" w:color="auto" w:fill="D4D4D4"/>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7"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9,274,303.48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7,781,912.27</w:t>
            </w:r>
            <w:r>
              <w:rPr>
                <w:rFonts w:ascii="Times New Roman"/>
                <w:sz w:val="18"/>
              </w:rPr>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232,500.00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290,625.00</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4）未确认递延所得税资产明细" w:id="293"/>
      <w:bookmarkEnd w:id="29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4,028,810.45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2,340,553.65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86,395,611.03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33,188,035.07</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90,424,421.48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35,528,588.72</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5）未确认递延所得税资产的可抵扣亏损将于以下年度到期" w:id="294"/>
      <w:bookmarkEnd w:id="294"/>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18,910,613.58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18,910,613.58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6,370,131.52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6,370,131.52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3,044,879.61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3,044,879.61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4,862,410.36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4,862,410.36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53,207,575.96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86,395,611.03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33,188,035.07</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25、其他非流动资产" w:id="295"/>
      <w:bookmarkEnd w:id="295"/>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26、短期借款" w:id="296"/>
      <w:bookmarkEnd w:id="296"/>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短期借款分类" w:id="297"/>
      <w:bookmarkEnd w:id="29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110,050,000.00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110,050,000.00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4274"/>
        <w:jc w:val="left"/>
      </w:pPr>
      <w:r>
        <w:rPr/>
        <w:t>短期借款分类的说明： </w:t>
      </w:r>
      <w:r>
        <w:rPr>
          <w:spacing w:val="-1"/>
        </w:rPr>
        <w:t>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日，短期借款的利率区间为</w:t>
      </w:r>
      <w:r>
        <w:rPr>
          <w:rFonts w:ascii="Times New Roman" w:hAnsi="Times New Roman" w:cs="Times New Roman" w:eastAsia="Times New Roman" w:hint="default"/>
          <w:spacing w:val="-1"/>
        </w:rPr>
        <w:t>5.0025%</w:t>
      </w:r>
      <w:r>
        <w:rPr>
          <w:spacing w:val="-1"/>
        </w:rPr>
        <w:t>至</w:t>
      </w:r>
      <w:r>
        <w:rPr>
          <w:rFonts w:ascii="Times New Roman" w:hAnsi="Times New Roman" w:cs="Times New Roman" w:eastAsia="Times New Roman" w:hint="default"/>
          <w:spacing w:val="-1"/>
        </w:rPr>
        <w:t>5.4625%</w:t>
      </w:r>
      <w:r>
        <w:rPr>
          <w:spacing w:val="-1"/>
        </w:rPr>
        <w:t>。</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pStyle w:val="Heading3"/>
        <w:spacing w:line="240" w:lineRule="auto"/>
        <w:ind w:right="1129"/>
        <w:jc w:val="left"/>
        <w:rPr>
          <w:b w:val="0"/>
          <w:bCs w:val="0"/>
        </w:rPr>
      </w:pPr>
      <w:bookmarkStart w:name="（2）已逾期未偿还的短期借款情况" w:id="298"/>
      <w:bookmarkEnd w:id="298"/>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9"/>
        <w:jc w:val="left"/>
      </w:pPr>
      <w:r>
        <w:rPr/>
        <w:t>本期末已逾期未偿还的短期借款总额为元，其中重要的已逾期未偿还的短期借款情况如下：</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0"/>
        <w:ind w:right="1129"/>
        <w:jc w:val="left"/>
      </w:pPr>
      <w:r>
        <w:rPr/>
        <w:t>其他说明：</w:t>
      </w:r>
    </w:p>
    <w:p>
      <w:pPr>
        <w:spacing w:after="0" w:line="240"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27、以公允价值计量且其变动计入当期损益的金融负债" w:id="299"/>
      <w:bookmarkEnd w:id="299"/>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28、衍生金融负债" w:id="300"/>
      <w:bookmarkEnd w:id="300"/>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9"/>
        <w:jc w:val="left"/>
        <w:rPr>
          <w:b w:val="0"/>
          <w:bCs w:val="0"/>
        </w:rPr>
      </w:pPr>
      <w:bookmarkStart w:name="29、应付票据及应付账款" w:id="301"/>
      <w:bookmarkEnd w:id="301"/>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184,092,717.94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104,937,398.80</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184,092,717.94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104,937,398.80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1）应付票据分类列示" w:id="302"/>
      <w:bookmarkEnd w:id="302"/>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29"/>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2）应付账款列示" w:id="303"/>
      <w:bookmarkEnd w:id="303"/>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应付项目外包款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161,861,104.17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96,211,143.68</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应付人力外包款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4,409,055.86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1,624,026.40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应付硬件物资等采购款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17,822,557.91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7,102,228.72</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184,092,717.94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104,937,398.80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3）账龄超过1年的重要应付账款" w:id="304"/>
      <w:bookmarkEnd w:id="304"/>
      <w:r>
        <w:rPr>
          <w:b w:val="0"/>
          <w:bCs w:val="0"/>
        </w:rPr>
      </w: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应付项目采购款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31,304,566.55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主要为项目外包款，由于长期合作，该 款项尚未进行最后清算</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31,304,566.55</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9"/>
        <w:jc w:val="left"/>
      </w:pPr>
      <w:r>
        <w:rPr/>
        <w:t>其他说明：</w:t>
      </w:r>
    </w:p>
    <w:p>
      <w:pPr>
        <w:spacing w:after="0" w:line="240"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30、预收款项" w:id="305"/>
      <w:bookmarkEnd w:id="305"/>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预收款项列示" w:id="306"/>
      <w:bookmarkEnd w:id="30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预收项目款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64,084,068.11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77,242,230.63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64,084,068.11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77,242,230.63</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2）账龄超过1年的重要预收款项" w:id="307"/>
      <w:bookmarkEnd w:id="307"/>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预收项目款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18,148,890.42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主要为定制软件开发项目的预收款，鉴 于项目尚未完成，该款项尚未结清。</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18,148,890.42</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3）期末建造合同形成的已结算未完工项目情况" w:id="308"/>
      <w:bookmarkEnd w:id="308"/>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7"/>
        <w:gridCol w:w="4790"/>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31、应付职工薪酬" w:id="309"/>
      <w:bookmarkEnd w:id="309"/>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应付职工薪酬列示" w:id="310"/>
      <w:bookmarkEnd w:id="31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75,673,114.87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441,984,652.02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404,259,467.30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113,398,299.59</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1,558,103.65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37,427,578.99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37,600,446.96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1,385,235.68</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77,231,218.52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479,412,231.01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441,859,914.26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114,783,535.27</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2）短期薪酬列示" w:id="311"/>
      <w:bookmarkEnd w:id="31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1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75,529,671.31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391,637,655.66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355,067,489.70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3" w:right="0"/>
              <w:jc w:val="left"/>
              <w:rPr>
                <w:rFonts w:ascii="Times New Roman" w:hAnsi="Times New Roman" w:cs="Times New Roman" w:eastAsia="Times New Roman" w:hint="default"/>
                <w:sz w:val="18"/>
                <w:szCs w:val="18"/>
              </w:rPr>
            </w:pPr>
            <w:r>
              <w:rPr>
                <w:rFonts w:ascii="Times New Roman"/>
                <w:sz w:val="18"/>
              </w:rPr>
              <w:t>112,099,837.27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1,572,621.11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21,361,536.92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21,874,823.14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1,059,334.89</w:t>
            </w:r>
            <w:r>
              <w:rPr>
                <w:rFonts w:ascii="Times New Roman"/>
                <w:sz w:val="18"/>
              </w:rPr>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1,464,556.28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18,755,457.80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19,219,178.34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1,000,835.74</w:t>
            </w:r>
            <w:r>
              <w:rPr>
                <w:rFonts w:ascii="Times New Roman"/>
                <w:sz w:val="18"/>
              </w:rPr>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12,095.20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700,432.95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706,402.48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6,125.67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95,969.63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1,905,646.17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1,949,242.32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52,373.48</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-507,637.47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27,917,151.35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27,317,154.46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92,359.42</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-921,540.08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1,068,308.09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146,768.01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75,673,114.87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441,984,652.02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404,259,467.30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113,398,299.59</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3）设定提存计划列示" w:id="312"/>
      <w:bookmarkEnd w:id="31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1,363,174.62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36,191,021.03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36,280,887.44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1,273,308.21</w:t>
            </w:r>
            <w:r>
              <w:rPr>
                <w:rFonts w:ascii="Times New Roman"/>
                <w:sz w:val="18"/>
              </w:rPr>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194,929.03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1,236,557.96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1,319,559.52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111,927.47</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1,558,103.65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37,427,578.99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37,600,446.96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1,385,235.68</w:t>
            </w:r>
            <w:r>
              <w:rPr>
                <w:rFonts w:ascii="Times New Roman"/>
                <w:sz w:val="18"/>
              </w:rPr>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32、应交税费" w:id="313"/>
      <w:bookmarkEnd w:id="313"/>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5"/>
        <w:gridCol w:w="3192"/>
        <w:gridCol w:w="3190"/>
      </w:tblGrid>
      <w:tr>
        <w:trPr>
          <w:trHeight w:val="401" w:hRule="exact"/>
        </w:trPr>
        <w:tc>
          <w:tcPr>
            <w:tcW w:w="31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9,044,832.09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173,044.87</w:t>
            </w:r>
          </w:p>
        </w:tc>
      </w:tr>
      <w:tr>
        <w:trPr>
          <w:trHeight w:val="401" w:hRule="exact"/>
        </w:trPr>
        <w:tc>
          <w:tcPr>
            <w:tcW w:w="31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14,861,687.03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9,086,317.04</w:t>
            </w:r>
            <w:r>
              <w:rPr>
                <w:rFonts w:ascii="Times New Roman"/>
                <w:sz w:val="18"/>
              </w:rPr>
            </w:r>
          </w:p>
        </w:tc>
      </w:tr>
      <w:tr>
        <w:trPr>
          <w:trHeight w:val="403" w:hRule="exact"/>
        </w:trPr>
        <w:tc>
          <w:tcPr>
            <w:tcW w:w="31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894,572.82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1,342,274.23</w:t>
            </w:r>
            <w:r>
              <w:rPr>
                <w:rFonts w:ascii="Times New Roman"/>
                <w:sz w:val="18"/>
              </w:rPr>
            </w:r>
          </w:p>
        </w:tc>
      </w:tr>
      <w:tr>
        <w:trPr>
          <w:trHeight w:val="401" w:hRule="exact"/>
        </w:trPr>
        <w:tc>
          <w:tcPr>
            <w:tcW w:w="31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832,841.14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1,224,541.15</w:t>
            </w:r>
            <w:r>
              <w:rPr>
                <w:rFonts w:ascii="Times New Roman"/>
                <w:sz w:val="18"/>
              </w:rPr>
            </w:r>
          </w:p>
        </w:tc>
      </w:tr>
      <w:tr>
        <w:trPr>
          <w:trHeight w:val="403"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356,931.92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524,803.35</w:t>
            </w:r>
          </w:p>
        </w:tc>
      </w:tr>
      <w:tr>
        <w:trPr>
          <w:trHeight w:val="401"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237,954.61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349,868.91</w:t>
            </w:r>
          </w:p>
        </w:tc>
      </w:tr>
      <w:tr>
        <w:trPr>
          <w:trHeight w:val="403"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121,448.75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85,597.63</w:t>
            </w:r>
          </w:p>
        </w:tc>
      </w:tr>
      <w:tr>
        <w:trPr>
          <w:trHeight w:val="403" w:hRule="exact"/>
        </w:trPr>
        <w:tc>
          <w:tcPr>
            <w:tcW w:w="31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26,350,268.36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12,786,447.18</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33、其他应付款" w:id="314"/>
      <w:bookmarkEnd w:id="314"/>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3158"/>
        <w:gridCol w:w="3203"/>
        <w:gridCol w:w="3190"/>
      </w:tblGrid>
      <w:tr>
        <w:trPr>
          <w:trHeight w:val="403" w:hRule="exact"/>
        </w:trPr>
        <w:tc>
          <w:tcPr>
            <w:tcW w:w="31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170,453.59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238,456,912.40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164,317,617.00</w:t>
            </w:r>
            <w:r>
              <w:rPr>
                <w:rFonts w:ascii="Times New Roman"/>
                <w:sz w:val="18"/>
              </w:rPr>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238,627,365.99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164,317,617.00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1）应付利息" w:id="315"/>
      <w:bookmarkEnd w:id="315"/>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170,453.59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170,453.59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9"/>
        <w:jc w:val="left"/>
      </w:pPr>
      <w:r>
        <w:rPr/>
        <w:t>重要的已逾期未支付的利息情况：</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2）其他应付款" w:id="316"/>
      <w:bookmarkEnd w:id="316"/>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9"/>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限制性股票回购义务（附注七</w:t>
            </w:r>
            <w:r>
              <w:rPr>
                <w:rFonts w:ascii="Times New Roman" w:hAnsi="Times New Roman" w:cs="Times New Roman" w:eastAsia="Times New Roman" w:hint="default"/>
                <w:sz w:val="18"/>
                <w:szCs w:val="18"/>
              </w:rPr>
              <w:t>(47)</w:t>
            </w:r>
            <w:r>
              <w:rPr>
                <w:rFonts w:ascii="宋体" w:hAnsi="宋体" w:cs="宋体" w:eastAsia="宋体"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224,603,670.16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153,236,709.00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暂收款及保证金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7,904,882.87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6,896,544.44</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4,527,175.47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3,428,086.27</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1,421,183.90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756,277.29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238,456,912.40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164,317,617.00</w:t>
            </w:r>
            <w:r>
              <w:rPr>
                <w:rFonts w:ascii="Times New Roman"/>
                <w:sz w:val="18"/>
              </w:rPr>
            </w:r>
          </w:p>
        </w:tc>
      </w:tr>
    </w:tbl>
    <w:p>
      <w:pPr>
        <w:pStyle w:val="BodyText"/>
        <w:spacing w:line="240" w:lineRule="auto" w:before="49"/>
        <w:ind w:right="1129"/>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pStyle w:val="BodyText"/>
        <w:spacing w:line="240" w:lineRule="auto" w:before="103"/>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121,860,350.16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未到行权日</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3"/>
              <w:ind w:right="4"/>
              <w:jc w:val="right"/>
              <w:rPr>
                <w:rFonts w:ascii="Times New Roman" w:hAnsi="Times New Roman" w:cs="Times New Roman" w:eastAsia="Times New Roman" w:hint="default"/>
                <w:sz w:val="18"/>
                <w:szCs w:val="18"/>
              </w:rPr>
            </w:pPr>
            <w:r>
              <w:rPr>
                <w:rFonts w:ascii="Times New Roman"/>
                <w:spacing w:val="-1"/>
                <w:sz w:val="18"/>
              </w:rPr>
              <w:t>121,860,350.16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34、持有待售负债" w:id="317"/>
      <w:bookmarkEnd w:id="317"/>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29"/>
        <w:jc w:val="left"/>
      </w:pPr>
      <w:r>
        <w:rPr/>
        <w:t>其他说明：</w:t>
      </w:r>
    </w:p>
    <w:p>
      <w:pPr>
        <w:spacing w:after="0" w:line="240"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35、一年内到期的非流动负债" w:id="318"/>
      <w:bookmarkEnd w:id="318"/>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36、其他流动负债" w:id="319"/>
      <w:bookmarkEnd w:id="319"/>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待转销项税额（注）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18,766,378.51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13,554,533.05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亏损合同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638,488.01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616,514.86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19,404,866.52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14,171,047.91</w:t>
            </w:r>
          </w:p>
        </w:tc>
      </w:tr>
    </w:tbl>
    <w:p>
      <w:pPr>
        <w:pStyle w:val="BodyText"/>
        <w:spacing w:line="240" w:lineRule="auto" w:before="49"/>
        <w:ind w:right="1129"/>
        <w:jc w:val="left"/>
      </w:pPr>
      <w:r>
        <w:rPr/>
        <w:t>短期应付债券的增减变动：</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799"/>
        <w:gridCol w:w="797"/>
        <w:gridCol w:w="799"/>
        <w:gridCol w:w="798"/>
        <w:gridCol w:w="798"/>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38" w:lineRule="auto" w:before="50"/>
        <w:ind w:right="1129"/>
        <w:jc w:val="left"/>
      </w:pPr>
      <w:r>
        <w:rPr/>
        <w:t>其他说明： </w:t>
      </w:r>
      <w:r>
        <w:rPr>
          <w:spacing w:val="-2"/>
        </w:rPr>
        <w:t>注：本集团以收讫服务款项、开具发票或者依据合同取得服务收入款项收款权利孰早的时点作为确认增值税销项税额的纳税</w:t>
      </w:r>
      <w:r>
        <w:rPr>
          <w:spacing w:val="-64"/>
        </w:rPr>
        <w:t> </w:t>
      </w:r>
      <w:r>
        <w:rPr>
          <w:spacing w:val="-64"/>
        </w:rPr>
      </w:r>
      <w:r>
        <w:rPr>
          <w:spacing w:val="-1"/>
        </w:rPr>
        <w:t>义务时点；同时本集团根据附注五</w:t>
      </w:r>
      <w:r>
        <w:rPr>
          <w:rFonts w:ascii="Times New Roman" w:hAnsi="Times New Roman" w:cs="Times New Roman" w:eastAsia="Times New Roman" w:hint="default"/>
          <w:spacing w:val="-1"/>
        </w:rPr>
        <w:t>(28)</w:t>
      </w:r>
      <w:r>
        <w:rPr>
          <w:spacing w:val="-1"/>
        </w:rPr>
        <w:t>的收入确认政策确认定制软件开发的劳务收入，部分收入确认时点会快于其增值税销</w:t>
      </w:r>
    </w:p>
    <w:p>
      <w:pPr>
        <w:pStyle w:val="BodyText"/>
        <w:spacing w:line="217" w:lineRule="exact"/>
        <w:ind w:right="986"/>
        <w:jc w:val="left"/>
      </w:pPr>
      <w:r>
        <w:rPr/>
        <w:t>项税额纳税义务时点，故该等收入所对应的增值税销项税额因尚未满足增值税销项税额纳税义务时点（但需于以后期间确认</w:t>
      </w:r>
    </w:p>
    <w:p>
      <w:pPr>
        <w:pStyle w:val="BodyText"/>
        <w:spacing w:line="240" w:lineRule="auto" w:before="76"/>
        <w:ind w:right="1129"/>
        <w:jc w:val="left"/>
      </w:pPr>
      <w:r>
        <w:rPr/>
        <w:t>的销项税额）在</w:t>
      </w:r>
      <w:r>
        <w:rPr>
          <w:rFonts w:ascii="Times New Roman" w:hAnsi="Times New Roman" w:cs="Times New Roman" w:eastAsia="Times New Roman" w:hint="default"/>
        </w:rPr>
        <w:t>“</w:t>
      </w:r>
      <w:r>
        <w:rPr/>
        <w:t>待转销项税额</w:t>
      </w:r>
      <w:r>
        <w:rPr>
          <w:rFonts w:ascii="Times New Roman" w:hAnsi="Times New Roman" w:cs="Times New Roman" w:eastAsia="Times New Roman" w:hint="default"/>
        </w:rPr>
        <w:t>”</w:t>
      </w:r>
      <w:r>
        <w:rPr/>
        <w:t>下核算。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1129"/>
        <w:jc w:val="left"/>
        <w:rPr>
          <w:b w:val="0"/>
          <w:bCs w:val="0"/>
        </w:rPr>
      </w:pPr>
      <w:bookmarkStart w:name="37、长期借款" w:id="320"/>
      <w:bookmarkEnd w:id="320"/>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9"/>
        <w:jc w:val="left"/>
        <w:rPr>
          <w:b w:val="0"/>
          <w:bCs w:val="0"/>
        </w:rPr>
      </w:pPr>
      <w:bookmarkStart w:name="（1）长期借款分类" w:id="321"/>
      <w:bookmarkEnd w:id="321"/>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49"/>
        <w:ind w:right="8594"/>
        <w:jc w:val="left"/>
      </w:pPr>
      <w:r>
        <w:rPr/>
        <w:t>长期借款分类的说明： 其他说明，包括利率区间：</w:t>
      </w:r>
    </w:p>
    <w:p>
      <w:pPr>
        <w:spacing w:line="240" w:lineRule="auto" w:before="2"/>
        <w:rPr>
          <w:rFonts w:ascii="宋体" w:hAnsi="宋体" w:cs="宋体" w:eastAsia="宋体" w:hint="default"/>
          <w:sz w:val="20"/>
          <w:szCs w:val="20"/>
        </w:rPr>
      </w:pPr>
    </w:p>
    <w:p>
      <w:pPr>
        <w:pStyle w:val="Heading3"/>
        <w:spacing w:line="240" w:lineRule="auto"/>
        <w:ind w:right="1129"/>
        <w:jc w:val="left"/>
        <w:rPr>
          <w:b w:val="0"/>
          <w:bCs w:val="0"/>
        </w:rPr>
      </w:pPr>
      <w:bookmarkStart w:name="38、应付债券" w:id="322"/>
      <w:bookmarkEnd w:id="322"/>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应付债券" w:id="323"/>
      <w:bookmarkEnd w:id="323"/>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2）应付债券的增减变动（不包括划分为金融负债的优先股、永续债等其他金融工具）" w:id="324"/>
      <w:bookmarkEnd w:id="324"/>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3"/>
        <w:rPr>
          <w:rFonts w:ascii="宋体" w:hAnsi="宋体" w:cs="宋体" w:eastAsia="宋体" w:hint="default"/>
          <w:sz w:val="24"/>
          <w:szCs w:val="24"/>
        </w:rPr>
      </w:pPr>
    </w:p>
    <w:p>
      <w:pPr>
        <w:pStyle w:val="Heading3"/>
        <w:spacing w:line="240" w:lineRule="auto" w:before="36"/>
        <w:ind w:right="1129"/>
        <w:jc w:val="left"/>
        <w:rPr>
          <w:b w:val="0"/>
          <w:bCs w:val="0"/>
        </w:rPr>
      </w:pPr>
      <w:bookmarkStart w:name="（3）可转换公司债券的转股条件、转股时间说明" w:id="325"/>
      <w:bookmarkEnd w:id="325"/>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4）划分为金融负债的其他金融工具说明" w:id="326"/>
      <w:bookmarkEnd w:id="326"/>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0"/>
        </w:sectPr>
      </w:pPr>
    </w:p>
    <w:p>
      <w:pPr>
        <w:pStyle w:val="BodyText"/>
        <w:spacing w:line="357"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653" w:space="4174"/>
            <w:col w:w="210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3"/>
        <w:gridCol w:w="1063"/>
        <w:gridCol w:w="1061"/>
        <w:gridCol w:w="1063"/>
        <w:gridCol w:w="1061"/>
      </w:tblGrid>
      <w:tr>
        <w:trPr>
          <w:trHeight w:val="401" w:hRule="exact"/>
        </w:trPr>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4" w:type="dxa"/>
            <w:vMerge/>
            <w:tcBorders>
              <w:left w:val="single" w:sz="4" w:space="0" w:color="000000"/>
              <w:bottom w:val="single" w:sz="4" w:space="0" w:color="000000"/>
              <w:right w:val="single" w:sz="4" w:space="0" w:color="000000"/>
            </w:tcBorders>
            <w:shd w:val="clear" w:color="auto" w:fill="D4D4D4"/>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49"/>
        <w:ind w:right="7514"/>
        <w:jc w:val="left"/>
      </w:pPr>
      <w:r>
        <w:rPr/>
        <w:t>其他金融工具划分为金融负债的依据说明 其他说明</w:t>
      </w:r>
    </w:p>
    <w:p>
      <w:pPr>
        <w:spacing w:line="240" w:lineRule="auto" w:before="6"/>
        <w:rPr>
          <w:rFonts w:ascii="宋体" w:hAnsi="宋体" w:cs="宋体" w:eastAsia="宋体" w:hint="default"/>
          <w:sz w:val="20"/>
          <w:szCs w:val="20"/>
        </w:rPr>
      </w:pPr>
    </w:p>
    <w:p>
      <w:pPr>
        <w:pStyle w:val="Heading3"/>
        <w:spacing w:line="240" w:lineRule="auto"/>
        <w:ind w:right="1129"/>
        <w:jc w:val="left"/>
        <w:rPr>
          <w:b w:val="0"/>
          <w:bCs w:val="0"/>
        </w:rPr>
      </w:pPr>
      <w:bookmarkStart w:name="39、长期应付款" w:id="327"/>
      <w:bookmarkEnd w:id="327"/>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1）按款项性质列示长期应付款" w:id="328"/>
      <w:bookmarkEnd w:id="328"/>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2）专项应付款" w:id="329"/>
      <w:bookmarkEnd w:id="329"/>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83"/>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40、长期应付职工薪酬" w:id="330"/>
      <w:bookmarkEnd w:id="330"/>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长期应付职工薪酬表" w:id="331"/>
      <w:bookmarkEnd w:id="331"/>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2）设定受益计划变动情况" w:id="332"/>
      <w:bookmarkEnd w:id="332"/>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9"/>
        <w:jc w:val="left"/>
      </w:pPr>
      <w:r>
        <w:rPr/>
        <w:t>设定受益计划义务现值：</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1129"/>
        <w:jc w:val="left"/>
      </w:pPr>
      <w:r>
        <w:rPr/>
        <w:t>计划资产：</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29"/>
        <w:jc w:val="left"/>
      </w:pPr>
      <w:r>
        <w:rPr/>
        <w:t>设定受益计划净负债（净资产）</w:t>
      </w:r>
    </w:p>
    <w:p>
      <w:pPr>
        <w:pStyle w:val="BodyText"/>
        <w:spacing w:line="240" w:lineRule="auto" w:before="11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49"/>
        <w:ind w:right="355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41、预计负债" w:id="333"/>
      <w:bookmarkEnd w:id="333"/>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129"/>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42、递延收益" w:id="334"/>
      <w:bookmarkEnd w:id="334"/>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1,820,000.00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15,460,000.00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1,820,000.00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15,460,000.00</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9"/>
        <w:jc w:val="left"/>
      </w:pPr>
      <w:r>
        <w:rPr/>
        <w:t>涉及政府补助的项目：</w:t>
      </w:r>
    </w:p>
    <w:p>
      <w:pPr>
        <w:pStyle w:val="BodyText"/>
        <w:spacing w:line="240" w:lineRule="auto" w:before="11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6"/>
        <w:gridCol w:w="1063"/>
        <w:gridCol w:w="1063"/>
        <w:gridCol w:w="1061"/>
        <w:gridCol w:w="1063"/>
        <w:gridCol w:w="1063"/>
        <w:gridCol w:w="1063"/>
        <w:gridCol w:w="1063"/>
      </w:tblGrid>
      <w:tr>
        <w:trPr>
          <w:trHeight w:val="1027"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年无锡 市新区第二 十批产业升 级基金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无锡市区科 技创新创业 领军人才及</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0" w:right="0"/>
              <w:jc w:val="left"/>
              <w:rPr>
                <w:rFonts w:ascii="Times New Roman" w:hAnsi="Times New Roman" w:cs="Times New Roman" w:eastAsia="Times New Roman" w:hint="default"/>
                <w:sz w:val="18"/>
                <w:szCs w:val="18"/>
              </w:rPr>
            </w:pPr>
            <w:r>
              <w:rPr>
                <w:rFonts w:ascii="Times New Roman"/>
                <w:sz w:val="18"/>
              </w:rPr>
              <w:t>140,000.00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86" w:right="0"/>
              <w:jc w:val="left"/>
              <w:rPr>
                <w:rFonts w:ascii="Times New Roman" w:hAnsi="Times New Roman" w:cs="Times New Roman" w:eastAsia="Times New Roman" w:hint="default"/>
                <w:sz w:val="18"/>
                <w:szCs w:val="18"/>
              </w:rPr>
            </w:pPr>
            <w:r>
              <w:rPr>
                <w:rFonts w:ascii="Times New Roman"/>
                <w:sz w:val="18"/>
              </w:rPr>
              <w:t>1,820,000.00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67" w:right="0"/>
              <w:jc w:val="center"/>
              <w:rPr>
                <w:rFonts w:ascii="Times New Roman" w:hAnsi="Times New Roman" w:cs="Times New Roman" w:eastAsia="Times New Roman" w:hint="default"/>
                <w:sz w:val="18"/>
                <w:szCs w:val="18"/>
              </w:rPr>
            </w:pPr>
            <w:r>
              <w:rPr>
                <w:rFonts w:ascii="Times New Roman"/>
                <w:sz w:val="18"/>
              </w:rPr>
              <w:t>1,960,000.00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3"/>
        <w:gridCol w:w="1066"/>
        <w:gridCol w:w="1063"/>
        <w:gridCol w:w="1063"/>
        <w:gridCol w:w="1061"/>
        <w:gridCol w:w="1063"/>
        <w:gridCol w:w="1063"/>
        <w:gridCol w:w="1063"/>
        <w:gridCol w:w="1063"/>
      </w:tblGrid>
      <w:tr>
        <w:trPr>
          <w:trHeight w:val="362"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团队拨款</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江苏省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年第一批省 级高层次创 新创业人才 引进计划专 项款</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省级工 业和信息产 业转型升级 专项资金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省级高层次 创新创业人 才引进计划 专项资金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省级工 业和信息产 业转型升级 专项资金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嘉兴电站建 设装修补助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批软件和云 计算产业扶 持资金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43、其他非流动负债" w:id="335"/>
      <w:bookmarkEnd w:id="335"/>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44、股本" w:id="336"/>
      <w:bookmarkEnd w:id="336"/>
      <w:r>
        <w:rPr>
          <w:b w:val="0"/>
          <w:bCs w:val="0"/>
        </w:rPr>
      </w:r>
      <w:r>
        <w:rPr>
          <w:rFonts w:ascii="Times New Roman" w:hAnsi="Times New Roman" w:cs="Times New Roman" w:eastAsia="Times New Roman" w:hint="default"/>
        </w:rPr>
        <w:t>44</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3"/>
        <w:gridCol w:w="1198"/>
        <w:gridCol w:w="1195"/>
        <w:gridCol w:w="1195"/>
        <w:gridCol w:w="1198"/>
        <w:gridCol w:w="1195"/>
        <w:gridCol w:w="1184"/>
        <w:gridCol w:w="1208"/>
      </w:tblGrid>
      <w:tr>
        <w:trPr>
          <w:trHeight w:val="205" w:hRule="exact"/>
        </w:trPr>
        <w:tc>
          <w:tcPr>
            <w:tcW w:w="1183" w:type="dxa"/>
            <w:tcBorders>
              <w:top w:val="single" w:sz="4" w:space="0" w:color="000000"/>
              <w:left w:val="single" w:sz="4" w:space="0" w:color="000000"/>
              <w:bottom w:val="nil" w:sz="6" w:space="0" w:color="auto"/>
              <w:right w:val="single" w:sz="4" w:space="0" w:color="000000"/>
            </w:tcBorders>
            <w:shd w:val="clear" w:color="auto" w:fill="D4D4D4"/>
          </w:tcPr>
          <w:p>
            <w:pPr/>
          </w:p>
        </w:tc>
        <w:tc>
          <w:tcPr>
            <w:tcW w:w="1198" w:type="dxa"/>
            <w:tcBorders>
              <w:top w:val="single" w:sz="4" w:space="0" w:color="000000"/>
              <w:left w:val="single" w:sz="4" w:space="0" w:color="000000"/>
              <w:bottom w:val="nil" w:sz="6" w:space="0" w:color="auto"/>
              <w:right w:val="single" w:sz="4" w:space="0" w:color="000000"/>
            </w:tcBorders>
            <w:shd w:val="clear" w:color="auto" w:fill="D4D4D4"/>
          </w:tcPr>
          <w:p>
            <w:pPr/>
          </w:p>
        </w:tc>
        <w:tc>
          <w:tcPr>
            <w:tcW w:w="5968"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1183" w:type="dxa"/>
            <w:vMerge w:val="restart"/>
            <w:tcBorders>
              <w:top w:val="nil" w:sz="6" w:space="0" w:color="auto"/>
              <w:left w:val="single" w:sz="4" w:space="0" w:color="000000"/>
              <w:right w:val="single" w:sz="4" w:space="0" w:color="000000"/>
            </w:tcBorders>
            <w:shd w:val="clear" w:color="auto" w:fill="D4D4D4"/>
          </w:tcPr>
          <w:p>
            <w:pPr/>
          </w:p>
        </w:tc>
        <w:tc>
          <w:tcPr>
            <w:tcW w:w="11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8" w:type="dxa"/>
            <w:gridSpan w:val="5"/>
            <w:vMerge/>
            <w:tcBorders>
              <w:left w:val="single" w:sz="4" w:space="0" w:color="000000"/>
              <w:bottom w:val="single" w:sz="4" w:space="0" w:color="000000"/>
              <w:right w:val="single" w:sz="4" w:space="0" w:color="000000"/>
            </w:tcBorders>
            <w:shd w:val="clear" w:color="auto" w:fill="D4D4D4"/>
          </w:tcPr>
          <w:p>
            <w:pPr/>
          </w:p>
        </w:tc>
        <w:tc>
          <w:tcPr>
            <w:tcW w:w="120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3" w:type="dxa"/>
            <w:vMerge/>
            <w:tcBorders>
              <w:left w:val="single" w:sz="4" w:space="0" w:color="000000"/>
              <w:bottom w:val="nil" w:sz="6" w:space="0" w:color="auto"/>
              <w:right w:val="single" w:sz="4" w:space="0" w:color="000000"/>
            </w:tcBorders>
            <w:shd w:val="clear" w:color="auto" w:fill="D4D4D4"/>
          </w:tcPr>
          <w:p>
            <w:pPr/>
          </w:p>
        </w:tc>
        <w:tc>
          <w:tcPr>
            <w:tcW w:w="1198" w:type="dxa"/>
            <w:vMerge/>
            <w:tcBorders>
              <w:left w:val="single" w:sz="4" w:space="0" w:color="000000"/>
              <w:bottom w:val="nil" w:sz="6" w:space="0" w:color="auto"/>
              <w:right w:val="single" w:sz="4" w:space="0" w:color="000000"/>
            </w:tcBorders>
            <w:shd w:val="clear" w:color="auto" w:fill="D4D4D4"/>
          </w:tcPr>
          <w:p>
            <w:pP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4D4D4"/>
          </w:tcPr>
          <w:p>
            <w:pPr/>
          </w:p>
        </w:tc>
      </w:tr>
      <w:tr>
        <w:trPr>
          <w:trHeight w:val="204" w:hRule="exact"/>
        </w:trPr>
        <w:tc>
          <w:tcPr>
            <w:tcW w:w="1183"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c>
          <w:tcPr>
            <w:tcW w:w="120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416,760,300.00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12,484,000.00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3" w:right="0"/>
              <w:jc w:val="left"/>
              <w:rPr>
                <w:rFonts w:ascii="Times New Roman" w:hAnsi="Times New Roman" w:cs="Times New Roman" w:eastAsia="Times New Roman" w:hint="default"/>
                <w:sz w:val="18"/>
                <w:szCs w:val="18"/>
              </w:rPr>
            </w:pPr>
            <w:r>
              <w:rPr>
                <w:rFonts w:ascii="Times New Roman"/>
                <w:sz w:val="18"/>
              </w:rPr>
              <w:t>-24,000.00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12,460,000.00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left"/>
              <w:rPr>
                <w:rFonts w:ascii="Times New Roman" w:hAnsi="Times New Roman" w:cs="Times New Roman" w:eastAsia="Times New Roman" w:hint="default"/>
                <w:sz w:val="18"/>
                <w:szCs w:val="18"/>
              </w:rPr>
            </w:pPr>
            <w:r>
              <w:rPr>
                <w:rFonts w:ascii="Times New Roman"/>
                <w:sz w:val="18"/>
              </w:rPr>
              <w:t>429,220,300.00</w:t>
            </w:r>
          </w:p>
        </w:tc>
      </w:tr>
    </w:tbl>
    <w:p>
      <w:pPr>
        <w:pStyle w:val="BodyText"/>
        <w:spacing w:line="240" w:lineRule="auto" w:before="49"/>
        <w:ind w:right="1129"/>
        <w:jc w:val="left"/>
      </w:pPr>
      <w:r>
        <w:rPr/>
        <w:t>其他说明：</w:t>
      </w:r>
    </w:p>
    <w:p>
      <w:pPr>
        <w:pStyle w:val="BodyText"/>
        <w:spacing w:line="240" w:lineRule="auto" w:before="115"/>
        <w:ind w:right="986"/>
        <w:jc w:val="left"/>
      </w:pPr>
      <w:r>
        <w:rPr>
          <w:rFonts w:ascii="Times New Roman" w:hAnsi="Times New Roman" w:cs="Times New Roman" w:eastAsia="Times New Roman" w:hint="default"/>
        </w:rPr>
        <w:t>(a)</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日止，本公司从</w:t>
      </w:r>
      <w:r>
        <w:rPr>
          <w:rFonts w:ascii="Times New Roman" w:hAnsi="Times New Roman" w:cs="Times New Roman" w:eastAsia="Times New Roman" w:hint="default"/>
        </w:rPr>
        <w:t>2</w:t>
      </w:r>
      <w:r>
        <w:rPr/>
        <w:t>名已离职激励对象处回购了其已获授权但尚未解除限售的全部限制性股票</w:t>
      </w:r>
      <w:r>
        <w:rPr>
          <w:rFonts w:ascii="Times New Roman" w:hAnsi="Times New Roman" w:cs="Times New Roman" w:eastAsia="Times New Roman" w:hint="default"/>
        </w:rPr>
        <w:t>24,000.00</w:t>
      </w:r>
      <w:r>
        <w:rPr/>
        <w:t>股，</w:t>
      </w:r>
    </w:p>
    <w:p>
      <w:pPr>
        <w:spacing w:after="0" w:line="24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02" w:lineRule="auto" w:before="44"/>
        <w:ind w:right="1129"/>
        <w:jc w:val="left"/>
      </w:pPr>
      <w:r>
        <w:rPr>
          <w:spacing w:val="-4"/>
        </w:rPr>
        <w:t>回购价格为</w:t>
      </w:r>
      <w:r>
        <w:rPr>
          <w:rFonts w:ascii="Times New Roman" w:hAnsi="Times New Roman" w:cs="Times New Roman" w:eastAsia="Times New Roman" w:hint="default"/>
          <w:spacing w:val="-4"/>
        </w:rPr>
        <w:t>12.979</w:t>
      </w:r>
      <w:r>
        <w:rPr>
          <w:spacing w:val="-4"/>
        </w:rPr>
        <w:t>元</w:t>
      </w:r>
      <w:r>
        <w:rPr>
          <w:rFonts w:ascii="Times New Roman" w:hAnsi="Times New Roman" w:cs="Times New Roman" w:eastAsia="Times New Roman" w:hint="default"/>
          <w:spacing w:val="-4"/>
        </w:rPr>
        <w:t>/</w:t>
      </w:r>
      <w:r>
        <w:rPr>
          <w:spacing w:val="-4"/>
        </w:rPr>
        <w:t>股，股票回购款共计人民币</w:t>
      </w:r>
      <w:r>
        <w:rPr>
          <w:rFonts w:ascii="Times New Roman" w:hAnsi="Times New Roman" w:cs="Times New Roman" w:eastAsia="Times New Roman" w:hint="default"/>
          <w:spacing w:val="-4"/>
        </w:rPr>
        <w:t>311,496.00</w:t>
      </w:r>
      <w:r>
        <w:rPr>
          <w:spacing w:val="-4"/>
        </w:rPr>
        <w:t>元以现金支付，其中减少股本</w:t>
      </w:r>
      <w:r>
        <w:rPr>
          <w:rFonts w:ascii="Times New Roman" w:hAnsi="Times New Roman" w:cs="Times New Roman" w:eastAsia="Times New Roman" w:hint="default"/>
          <w:spacing w:val="-4"/>
        </w:rPr>
        <w:t>24,000.00</w:t>
      </w:r>
      <w:r>
        <w:rPr>
          <w:spacing w:val="-4"/>
        </w:rPr>
        <w:t>元，减少资本公积</w:t>
      </w:r>
      <w:r>
        <w:rPr>
          <w:rFonts w:ascii="Times New Roman" w:hAnsi="Times New Roman" w:cs="Times New Roman" w:eastAsia="Times New Roman" w:hint="default"/>
          <w:spacing w:val="-4"/>
        </w:rPr>
        <w:t>287,496.00</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spacing w:val="-2"/>
        </w:rPr>
        <w:t>元。上述股本减少已由普华永道中天会计师事务所（特殊普通合伙）于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日出具的普华永道中天验字</w:t>
      </w:r>
      <w:r>
        <w:rPr>
          <w:rFonts w:ascii="Times New Roman" w:hAnsi="Times New Roman" w:cs="Times New Roman" w:eastAsia="Times New Roman" w:hint="default"/>
          <w:spacing w:val="-2"/>
        </w:rPr>
        <w:t>(2018)</w:t>
      </w:r>
      <w:r>
        <w:rPr>
          <w:spacing w:val="-2"/>
        </w:rPr>
        <w:t>第</w:t>
      </w:r>
      <w:r>
        <w:rPr>
          <w:rFonts w:ascii="Times New Roman" w:hAnsi="Times New Roman" w:cs="Times New Roman" w:eastAsia="Times New Roman" w:hint="default"/>
          <w:spacing w:val="-2"/>
        </w:rPr>
        <w:t>0638</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号验资报告所验证。 </w:t>
      </w:r>
      <w:r>
        <w:rPr>
          <w:rFonts w:ascii="Times New Roman" w:hAnsi="Times New Roman" w:cs="Times New Roman" w:eastAsia="Times New Roman" w:hint="default"/>
        </w:rPr>
        <w:t>(b)</w:t>
      </w:r>
      <w:r>
        <w:rPr/>
        <w:t>根据附注四</w:t>
      </w:r>
      <w:r>
        <w:rPr>
          <w:rFonts w:ascii="Times New Roman" w:hAnsi="Times New Roman" w:cs="Times New Roman" w:eastAsia="Times New Roman" w:hint="default"/>
        </w:rPr>
        <w:t>(40)</w:t>
      </w:r>
      <w:r>
        <w:rPr/>
        <w:t>所述之限制性股票激励计划，截至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日止，本公司从限制性股票激励对象处收到全部募集股款 </w:t>
      </w:r>
      <w:r>
        <w:rPr>
          <w:spacing w:val="-1"/>
        </w:rPr>
        <w:t>人民币</w:t>
      </w:r>
      <w:r>
        <w:rPr>
          <w:rFonts w:ascii="Times New Roman" w:hAnsi="Times New Roman" w:cs="Times New Roman" w:eastAsia="Times New Roman" w:hint="default"/>
          <w:spacing w:val="-1"/>
        </w:rPr>
        <w:t>102,743,320.00</w:t>
      </w:r>
      <w:r>
        <w:rPr>
          <w:spacing w:val="-1"/>
        </w:rPr>
        <w:t>元，其中增加股本人民币</w:t>
      </w:r>
      <w:r>
        <w:rPr>
          <w:rFonts w:ascii="Times New Roman" w:hAnsi="Times New Roman" w:cs="Times New Roman" w:eastAsia="Times New Roman" w:hint="default"/>
          <w:spacing w:val="-1"/>
        </w:rPr>
        <w:t>12,484,000.00</w:t>
      </w:r>
      <w:r>
        <w:rPr>
          <w:spacing w:val="-1"/>
        </w:rPr>
        <w:t>元，增加资本公积人民币</w:t>
      </w:r>
      <w:r>
        <w:rPr>
          <w:rFonts w:ascii="Times New Roman" w:hAnsi="Times New Roman" w:cs="Times New Roman" w:eastAsia="Times New Roman" w:hint="default"/>
          <w:spacing w:val="-1"/>
        </w:rPr>
        <w:t>90,259,320.00</w:t>
      </w:r>
      <w:r>
        <w:rPr>
          <w:spacing w:val="-1"/>
        </w:rPr>
        <w:t>元，所有募集资金均以人</w:t>
      </w:r>
      <w:r>
        <w:rPr>
          <w:spacing w:val="-68"/>
        </w:rPr>
        <w:t> </w:t>
      </w:r>
      <w:r>
        <w:rPr>
          <w:spacing w:val="-68"/>
        </w:rPr>
      </w:r>
      <w:r>
        <w:rPr>
          <w:spacing w:val="-2"/>
        </w:rPr>
        <w:t>民币现金形式投入。上述股本增加已由普华永道中天会计师事务所（特殊普通合伙）于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日出具的普华永道中天</w:t>
      </w:r>
      <w:r>
        <w:rPr>
          <w:spacing w:val="-59"/>
        </w:rPr>
        <w:t> </w:t>
      </w:r>
      <w:r>
        <w:rPr>
          <w:spacing w:val="-59"/>
        </w:rPr>
      </w:r>
      <w:r>
        <w:rPr/>
        <w:t>验字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0723</w:t>
      </w:r>
      <w:r>
        <w:rPr/>
        <w:t>号验资报告所验证。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1"/>
        <w:ind w:right="1129"/>
        <w:jc w:val="left"/>
        <w:rPr>
          <w:b w:val="0"/>
          <w:bCs w:val="0"/>
        </w:rPr>
      </w:pPr>
      <w:bookmarkStart w:name="45、其他权益工具" w:id="337"/>
      <w:bookmarkEnd w:id="337"/>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期末发行在外的优先股、永续债等其他金融工具基本情况" w:id="338"/>
      <w:bookmarkEnd w:id="338"/>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9"/>
        <w:jc w:val="left"/>
        <w:rPr>
          <w:b w:val="0"/>
          <w:bCs w:val="0"/>
        </w:rPr>
      </w:pPr>
      <w:bookmarkStart w:name="（2）期末发行在外的优先股、永续债等金融工具变动情况表" w:id="339"/>
      <w:bookmarkEnd w:id="339"/>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3"/>
        <w:gridCol w:w="1063"/>
        <w:gridCol w:w="1061"/>
        <w:gridCol w:w="1063"/>
        <w:gridCol w:w="1061"/>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4D4D4"/>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4634"/>
        <w:jc w:val="left"/>
      </w:pPr>
      <w:r>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3"/>
        <w:spacing w:line="240" w:lineRule="auto"/>
        <w:ind w:right="1129"/>
        <w:jc w:val="left"/>
        <w:rPr>
          <w:b w:val="0"/>
          <w:bCs w:val="0"/>
        </w:rPr>
      </w:pPr>
      <w:bookmarkStart w:name="46、资本公积" w:id="340"/>
      <w:bookmarkEnd w:id="340"/>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444,255,724.34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111,942,177.60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556,197,901.94</w:t>
            </w:r>
            <w:r>
              <w:rPr>
                <w:rFonts w:ascii="Times New Roman"/>
                <w:sz w:val="18"/>
              </w:rPr>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7,965,462.95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58,566,675.34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21,970,353.60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44,561,784.69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452,221,187.29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170,508,852.94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21,970,353.60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600,759,686.63</w:t>
            </w:r>
            <w:r>
              <w:rPr>
                <w:rFonts w:ascii="Times New Roman"/>
                <w:sz w:val="18"/>
              </w:rPr>
            </w:r>
          </w:p>
        </w:tc>
      </w:tr>
    </w:tbl>
    <w:p>
      <w:pPr>
        <w:spacing w:line="357" w:lineRule="auto" w:before="49"/>
        <w:ind w:left="152" w:right="1129" w:firstLine="0"/>
        <w:jc w:val="left"/>
        <w:rPr>
          <w:rFonts w:ascii="宋体" w:hAnsi="宋体" w:cs="宋体" w:eastAsia="宋体" w:hint="default"/>
          <w:sz w:val="16"/>
          <w:szCs w:val="16"/>
        </w:rPr>
      </w:pPr>
      <w:r>
        <w:rPr>
          <w:rFonts w:ascii="宋体" w:hAnsi="宋体" w:cs="宋体" w:eastAsia="宋体" w:hint="default"/>
          <w:sz w:val="18"/>
          <w:szCs w:val="18"/>
        </w:rPr>
        <w:t>其他说明，包括本期增减变动情况、变动原因说明： </w:t>
      </w:r>
      <w:r>
        <w:rPr>
          <w:rFonts w:ascii="宋体" w:hAnsi="宋体" w:cs="宋体" w:eastAsia="宋体" w:hint="default"/>
          <w:spacing w:val="-1"/>
          <w:sz w:val="16"/>
          <w:szCs w:val="16"/>
        </w:rPr>
        <w:t>如附注七</w:t>
      </w:r>
      <w:r>
        <w:rPr>
          <w:rFonts w:ascii="Times New Roman" w:hAnsi="Times New Roman" w:cs="Times New Roman" w:eastAsia="Times New Roman" w:hint="default"/>
          <w:spacing w:val="-1"/>
          <w:sz w:val="16"/>
          <w:szCs w:val="16"/>
        </w:rPr>
        <w:t>(44)(a)(b)</w:t>
      </w:r>
      <w:r>
        <w:rPr>
          <w:rFonts w:ascii="宋体" w:hAnsi="宋体" w:cs="宋体" w:eastAsia="宋体" w:hint="default"/>
          <w:spacing w:val="-1"/>
          <w:sz w:val="16"/>
          <w:szCs w:val="16"/>
        </w:rPr>
        <w:t>及附注十三所述，于</w:t>
      </w:r>
      <w:r>
        <w:rPr>
          <w:rFonts w:ascii="Times New Roman" w:hAnsi="Times New Roman" w:cs="Times New Roman" w:eastAsia="Times New Roman" w:hint="default"/>
          <w:spacing w:val="-1"/>
          <w:sz w:val="16"/>
          <w:szCs w:val="16"/>
        </w:rPr>
        <w:t>2018</w:t>
      </w:r>
      <w:r>
        <w:rPr>
          <w:rFonts w:ascii="宋体" w:hAnsi="宋体" w:cs="宋体" w:eastAsia="宋体" w:hint="default"/>
          <w:spacing w:val="-1"/>
          <w:sz w:val="16"/>
          <w:szCs w:val="16"/>
        </w:rPr>
        <w:t>年度，本集团因限制性股票激励计划，募集资金人民币</w:t>
      </w:r>
      <w:r>
        <w:rPr>
          <w:rFonts w:ascii="Times New Roman" w:hAnsi="Times New Roman" w:cs="Times New Roman" w:eastAsia="Times New Roman" w:hint="default"/>
          <w:spacing w:val="-1"/>
          <w:sz w:val="16"/>
          <w:szCs w:val="16"/>
        </w:rPr>
        <w:t>102,743,320.00</w:t>
      </w:r>
      <w:r>
        <w:rPr>
          <w:rFonts w:ascii="宋体" w:hAnsi="宋体" w:cs="宋体" w:eastAsia="宋体" w:hint="default"/>
          <w:spacing w:val="-1"/>
          <w:sz w:val="16"/>
          <w:szCs w:val="16"/>
        </w:rPr>
        <w:t>元，其中增加股本人民币</w:t>
      </w:r>
      <w:r>
        <w:rPr>
          <w:rFonts w:ascii="宋体" w:hAnsi="宋体" w:cs="宋体" w:eastAsia="宋体" w:hint="default"/>
          <w:spacing w:val="-23"/>
          <w:sz w:val="16"/>
          <w:szCs w:val="16"/>
        </w:rPr>
        <w:t> </w:t>
      </w:r>
      <w:r>
        <w:rPr>
          <w:rFonts w:ascii="宋体" w:hAnsi="宋体" w:cs="宋体" w:eastAsia="宋体" w:hint="default"/>
          <w:spacing w:val="-23"/>
          <w:sz w:val="16"/>
          <w:szCs w:val="16"/>
        </w:rPr>
      </w:r>
      <w:r>
        <w:rPr>
          <w:rFonts w:ascii="Times New Roman" w:hAnsi="Times New Roman" w:cs="Times New Roman" w:eastAsia="Times New Roman" w:hint="default"/>
          <w:sz w:val="16"/>
          <w:szCs w:val="16"/>
        </w:rPr>
        <w:t>12,484,000.00</w:t>
      </w:r>
      <w:r>
        <w:rPr>
          <w:rFonts w:ascii="宋体" w:hAnsi="宋体" w:cs="宋体" w:eastAsia="宋体" w:hint="default"/>
          <w:sz w:val="16"/>
          <w:szCs w:val="16"/>
        </w:rPr>
        <w:t>元，增加资本公积人民币</w:t>
      </w:r>
      <w:r>
        <w:rPr>
          <w:rFonts w:ascii="Times New Roman" w:hAnsi="Times New Roman" w:cs="Times New Roman" w:eastAsia="Times New Roman" w:hint="default"/>
          <w:sz w:val="16"/>
          <w:szCs w:val="16"/>
        </w:rPr>
        <w:t>90,259,320.00</w:t>
      </w:r>
      <w:r>
        <w:rPr>
          <w:rFonts w:ascii="宋体" w:hAnsi="宋体" w:cs="宋体" w:eastAsia="宋体" w:hint="default"/>
          <w:sz w:val="16"/>
          <w:szCs w:val="16"/>
        </w:rPr>
        <w:t>元；因自</w:t>
      </w:r>
      <w:r>
        <w:rPr>
          <w:rFonts w:ascii="Times New Roman" w:hAnsi="Times New Roman" w:cs="Times New Roman" w:eastAsia="Times New Roman" w:hint="default"/>
          <w:sz w:val="16"/>
          <w:szCs w:val="16"/>
        </w:rPr>
        <w:t>2</w:t>
      </w:r>
      <w:r>
        <w:rPr>
          <w:rFonts w:ascii="宋体" w:hAnsi="宋体" w:cs="宋体" w:eastAsia="宋体" w:hint="default"/>
          <w:sz w:val="16"/>
          <w:szCs w:val="16"/>
        </w:rPr>
        <w:t>名已离职激励对象处回购其原获授权但尚未解除限售的全部限制性股票</w:t>
      </w:r>
    </w:p>
    <w:p>
      <w:pPr>
        <w:spacing w:line="338" w:lineRule="auto" w:before="3"/>
        <w:ind w:left="152" w:right="1130" w:firstLine="0"/>
        <w:jc w:val="left"/>
        <w:rPr>
          <w:rFonts w:ascii="宋体" w:hAnsi="宋体" w:cs="宋体" w:eastAsia="宋体" w:hint="default"/>
          <w:sz w:val="16"/>
          <w:szCs w:val="16"/>
        </w:rPr>
      </w:pPr>
      <w:r>
        <w:rPr>
          <w:rFonts w:ascii="Times New Roman" w:hAnsi="Times New Roman" w:cs="Times New Roman" w:eastAsia="Times New Roman" w:hint="default"/>
          <w:spacing w:val="-2"/>
          <w:sz w:val="16"/>
          <w:szCs w:val="16"/>
        </w:rPr>
        <w:t>24,000.00</w:t>
      </w:r>
      <w:r>
        <w:rPr>
          <w:rFonts w:ascii="宋体" w:hAnsi="宋体" w:cs="宋体" w:eastAsia="宋体" w:hint="default"/>
          <w:spacing w:val="-2"/>
          <w:sz w:val="16"/>
          <w:szCs w:val="16"/>
        </w:rPr>
        <w:t>股，减少股本</w:t>
      </w:r>
      <w:r>
        <w:rPr>
          <w:rFonts w:ascii="Times New Roman" w:hAnsi="Times New Roman" w:cs="Times New Roman" w:eastAsia="Times New Roman" w:hint="default"/>
          <w:spacing w:val="-2"/>
          <w:sz w:val="16"/>
          <w:szCs w:val="16"/>
        </w:rPr>
        <w:t>24,000.00</w:t>
      </w:r>
      <w:r>
        <w:rPr>
          <w:rFonts w:ascii="宋体" w:hAnsi="宋体" w:cs="宋体" w:eastAsia="宋体" w:hint="default"/>
          <w:spacing w:val="-2"/>
          <w:sz w:val="16"/>
          <w:szCs w:val="16"/>
        </w:rPr>
        <w:t>元，减少资本公积</w:t>
      </w:r>
      <w:r>
        <w:rPr>
          <w:rFonts w:ascii="Times New Roman" w:hAnsi="Times New Roman" w:cs="Times New Roman" w:eastAsia="Times New Roman" w:hint="default"/>
          <w:spacing w:val="-2"/>
          <w:sz w:val="16"/>
          <w:szCs w:val="16"/>
        </w:rPr>
        <w:t>287,496.00</w:t>
      </w:r>
      <w:r>
        <w:rPr>
          <w:rFonts w:ascii="宋体" w:hAnsi="宋体" w:cs="宋体" w:eastAsia="宋体" w:hint="default"/>
          <w:spacing w:val="-2"/>
          <w:sz w:val="16"/>
          <w:szCs w:val="16"/>
        </w:rPr>
        <w:t>元；因首批</w:t>
      </w:r>
      <w:r>
        <w:rPr>
          <w:rFonts w:ascii="Times New Roman" w:hAnsi="Times New Roman" w:cs="Times New Roman" w:eastAsia="Times New Roman" w:hint="default"/>
          <w:spacing w:val="-2"/>
          <w:sz w:val="16"/>
          <w:szCs w:val="16"/>
        </w:rPr>
        <w:t>20%</w:t>
      </w:r>
      <w:r>
        <w:rPr>
          <w:rFonts w:ascii="宋体" w:hAnsi="宋体" w:cs="宋体" w:eastAsia="宋体" w:hint="default"/>
          <w:spacing w:val="-2"/>
          <w:sz w:val="16"/>
          <w:szCs w:val="16"/>
        </w:rPr>
        <w:t>限制性股票的解除限售条件已达成，资本公积</w:t>
      </w:r>
      <w:r>
        <w:rPr>
          <w:rFonts w:ascii="Times New Roman" w:hAnsi="Times New Roman" w:cs="Times New Roman" w:eastAsia="Times New Roman" w:hint="default"/>
          <w:spacing w:val="-2"/>
          <w:sz w:val="16"/>
          <w:szCs w:val="16"/>
        </w:rPr>
        <w:t>-</w:t>
      </w:r>
      <w:r>
        <w:rPr>
          <w:rFonts w:ascii="宋体" w:hAnsi="宋体" w:cs="宋体" w:eastAsia="宋体" w:hint="default"/>
          <w:spacing w:val="-2"/>
          <w:sz w:val="16"/>
          <w:szCs w:val="16"/>
        </w:rPr>
        <w:t>其他资本公积结</w:t>
      </w:r>
      <w:r>
        <w:rPr>
          <w:rFonts w:ascii="宋体" w:hAnsi="宋体" w:cs="宋体" w:eastAsia="宋体" w:hint="default"/>
          <w:spacing w:val="-16"/>
          <w:sz w:val="16"/>
          <w:szCs w:val="16"/>
        </w:rPr>
        <w:t> </w:t>
      </w:r>
      <w:r>
        <w:rPr>
          <w:rFonts w:ascii="宋体" w:hAnsi="宋体" w:cs="宋体" w:eastAsia="宋体" w:hint="default"/>
          <w:spacing w:val="-16"/>
          <w:sz w:val="16"/>
          <w:szCs w:val="16"/>
        </w:rPr>
      </w:r>
      <w:r>
        <w:rPr>
          <w:rFonts w:ascii="宋体" w:hAnsi="宋体" w:cs="宋体" w:eastAsia="宋体" w:hint="default"/>
          <w:sz w:val="16"/>
          <w:szCs w:val="16"/>
        </w:rPr>
        <w:t>转至资本公积</w:t>
      </w:r>
      <w:r>
        <w:rPr>
          <w:rFonts w:ascii="Times New Roman" w:hAnsi="Times New Roman" w:cs="Times New Roman" w:eastAsia="Times New Roman" w:hint="default"/>
          <w:sz w:val="16"/>
          <w:szCs w:val="16"/>
        </w:rPr>
        <w:t>-</w:t>
      </w:r>
      <w:r>
        <w:rPr>
          <w:rFonts w:ascii="宋体" w:hAnsi="宋体" w:cs="宋体" w:eastAsia="宋体" w:hint="default"/>
          <w:sz w:val="16"/>
          <w:szCs w:val="16"/>
        </w:rPr>
        <w:t>股本溢价</w:t>
      </w:r>
      <w:r>
        <w:rPr>
          <w:rFonts w:ascii="Times New Roman" w:hAnsi="Times New Roman" w:cs="Times New Roman" w:eastAsia="Times New Roman" w:hint="default"/>
          <w:sz w:val="16"/>
          <w:szCs w:val="16"/>
        </w:rPr>
        <w:t>21,970,353.60</w:t>
      </w:r>
      <w:r>
        <w:rPr>
          <w:rFonts w:ascii="宋体" w:hAnsi="宋体" w:cs="宋体" w:eastAsia="宋体" w:hint="default"/>
          <w:sz w:val="16"/>
          <w:szCs w:val="16"/>
        </w:rPr>
        <w:t>元。</w:t>
      </w:r>
    </w:p>
    <w:p>
      <w:pPr>
        <w:spacing w:line="240" w:lineRule="auto" w:before="0"/>
        <w:rPr>
          <w:rFonts w:ascii="宋体" w:hAnsi="宋体" w:cs="宋体" w:eastAsia="宋体" w:hint="default"/>
          <w:sz w:val="16"/>
          <w:szCs w:val="16"/>
        </w:rPr>
      </w:pPr>
    </w:p>
    <w:p>
      <w:pPr>
        <w:spacing w:before="120"/>
        <w:ind w:left="152" w:right="1129" w:firstLine="0"/>
        <w:jc w:val="left"/>
        <w:rPr>
          <w:rFonts w:ascii="宋体" w:hAnsi="宋体" w:cs="宋体" w:eastAsia="宋体" w:hint="default"/>
          <w:sz w:val="16"/>
          <w:szCs w:val="16"/>
        </w:rPr>
      </w:pPr>
      <w:r>
        <w:rPr>
          <w:rFonts w:ascii="宋体" w:hAnsi="宋体" w:cs="宋体" w:eastAsia="宋体" w:hint="default"/>
          <w:sz w:val="16"/>
          <w:szCs w:val="16"/>
        </w:rPr>
        <w:t>就附注十三所述之股份支付，于</w:t>
      </w:r>
      <w:r>
        <w:rPr>
          <w:rFonts w:ascii="Times New Roman" w:hAnsi="Times New Roman" w:cs="Times New Roman" w:eastAsia="Times New Roman" w:hint="default"/>
          <w:sz w:val="16"/>
          <w:szCs w:val="16"/>
        </w:rPr>
        <w:t>2018</w:t>
      </w:r>
      <w:r>
        <w:rPr>
          <w:rFonts w:ascii="宋体" w:hAnsi="宋体" w:cs="宋体" w:eastAsia="宋体" w:hint="default"/>
          <w:sz w:val="16"/>
          <w:szCs w:val="16"/>
        </w:rPr>
        <w:t>年度本集团因取得的相关激励对象的服务而计入相关费用</w:t>
      </w:r>
      <w:r>
        <w:rPr>
          <w:rFonts w:ascii="Times New Roman" w:hAnsi="Times New Roman" w:cs="Times New Roman" w:eastAsia="Times New Roman" w:hint="default"/>
          <w:sz w:val="16"/>
          <w:szCs w:val="16"/>
        </w:rPr>
        <w:t>59,427,641.23</w:t>
      </w:r>
      <w:r>
        <w:rPr>
          <w:rFonts w:ascii="宋体" w:hAnsi="宋体" w:cs="宋体" w:eastAsia="宋体" w:hint="default"/>
          <w:sz w:val="16"/>
          <w:szCs w:val="16"/>
        </w:rPr>
        <w:t>元，其中增加资本公积</w:t>
      </w:r>
    </w:p>
    <w:p>
      <w:pPr>
        <w:spacing w:before="90"/>
        <w:ind w:left="152" w:right="1129"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56,910,295.09</w:t>
      </w:r>
      <w:r>
        <w:rPr>
          <w:rFonts w:ascii="宋体" w:hAnsi="宋体" w:cs="宋体" w:eastAsia="宋体" w:hint="default"/>
          <w:sz w:val="16"/>
          <w:szCs w:val="16"/>
        </w:rPr>
        <w:t>，增加少数股东权益</w:t>
      </w:r>
      <w:r>
        <w:rPr>
          <w:rFonts w:ascii="Times New Roman" w:hAnsi="Times New Roman" w:cs="Times New Roman" w:eastAsia="Times New Roman" w:hint="default"/>
          <w:sz w:val="16"/>
          <w:szCs w:val="16"/>
        </w:rPr>
        <w:t>2,517,346.14</w:t>
      </w:r>
      <w:r>
        <w:rPr>
          <w:rFonts w:ascii="宋体" w:hAnsi="宋体" w:cs="宋体" w:eastAsia="宋体" w:hint="default"/>
          <w:sz w:val="16"/>
          <w:szCs w:val="16"/>
        </w:rPr>
        <w:t>元。因联营企业其他权益变动增加资本公积</w:t>
      </w:r>
      <w:r>
        <w:rPr>
          <w:rFonts w:ascii="Times New Roman" w:hAnsi="Times New Roman" w:cs="Times New Roman" w:eastAsia="Times New Roman" w:hint="default"/>
          <w:sz w:val="16"/>
          <w:szCs w:val="16"/>
        </w:rPr>
        <w:t>1,656,380.25</w:t>
      </w:r>
      <w:r>
        <w:rPr>
          <w:rFonts w:ascii="宋体" w:hAnsi="宋体" w:cs="宋体" w:eastAsia="宋体" w:hint="default"/>
          <w:sz w:val="16"/>
          <w:szCs w:val="16"/>
        </w:rPr>
        <w:t>元。</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pStyle w:val="Heading3"/>
        <w:spacing w:line="240" w:lineRule="auto" w:before="138"/>
        <w:ind w:right="1129"/>
        <w:jc w:val="left"/>
        <w:rPr>
          <w:b w:val="0"/>
          <w:bCs w:val="0"/>
        </w:rPr>
      </w:pPr>
      <w:bookmarkStart w:name="47、库存股" w:id="341"/>
      <w:bookmarkEnd w:id="341"/>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after="0" w:line="240" w:lineRule="auto"/>
        <w:jc w:val="right"/>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153,236,709.00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102,743,320.00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31,376,358.84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224,603,670.16</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153,236,709.00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102,743,320.00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31,376,358.84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224,603,670.16</w:t>
            </w:r>
            <w:r>
              <w:rPr>
                <w:rFonts w:ascii="Times New Roman"/>
                <w:sz w:val="18"/>
              </w:rPr>
            </w:r>
          </w:p>
        </w:tc>
      </w:tr>
    </w:tbl>
    <w:p>
      <w:pPr>
        <w:pStyle w:val="BodyText"/>
        <w:spacing w:line="357" w:lineRule="auto" w:before="49"/>
        <w:ind w:right="1304"/>
        <w:jc w:val="left"/>
      </w:pPr>
      <w:r>
        <w:rPr/>
        <w:t>其他说明，包括本期增减变动情况、变动原因说明： 根据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日股东大会决议，本集团向持有限制性股票股东派发可撤销现金股利，并相应减少其他应付款及库存股</w:t>
      </w:r>
    </w:p>
    <w:p>
      <w:pPr>
        <w:pStyle w:val="BodyText"/>
        <w:spacing w:line="214" w:lineRule="exact"/>
        <w:ind w:right="0"/>
        <w:jc w:val="both"/>
      </w:pPr>
      <w:r>
        <w:rPr>
          <w:rFonts w:ascii="Times New Roman" w:hAnsi="Times New Roman" w:cs="Times New Roman" w:eastAsia="Times New Roman" w:hint="default"/>
        </w:rPr>
        <w:t>599,775.30</w:t>
      </w:r>
      <w:r>
        <w:rPr/>
        <w:t>元。</w:t>
      </w:r>
    </w:p>
    <w:p>
      <w:pPr>
        <w:spacing w:line="240" w:lineRule="auto" w:before="0"/>
        <w:rPr>
          <w:rFonts w:ascii="宋体" w:hAnsi="宋体" w:cs="宋体" w:eastAsia="宋体" w:hint="default"/>
          <w:sz w:val="18"/>
          <w:szCs w:val="18"/>
        </w:rPr>
      </w:pPr>
    </w:p>
    <w:p>
      <w:pPr>
        <w:pStyle w:val="BodyText"/>
        <w:spacing w:line="300" w:lineRule="auto" w:before="139"/>
        <w:ind w:right="1130"/>
        <w:jc w:val="both"/>
      </w:pPr>
      <w:r>
        <w:rPr>
          <w:spacing w:val="-2"/>
        </w:rPr>
        <w:t>就附注十三所述之</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6</w:t>
      </w:r>
      <w:r>
        <w:rPr>
          <w:spacing w:val="-2"/>
        </w:rPr>
        <w:t>日所授予限制性股票，本公司于本年度从</w:t>
      </w:r>
      <w:r>
        <w:rPr>
          <w:rFonts w:ascii="Times New Roman" w:hAnsi="Times New Roman" w:cs="Times New Roman" w:eastAsia="Times New Roman" w:hint="default"/>
          <w:spacing w:val="-2"/>
        </w:rPr>
        <w:t>2</w:t>
      </w:r>
      <w:r>
        <w:rPr>
          <w:spacing w:val="-2"/>
        </w:rPr>
        <w:t>名已离职激励对象处回购了其已获授权但尚未解除</w:t>
      </w:r>
      <w:r>
        <w:rPr>
          <w:spacing w:val="-57"/>
        </w:rPr>
        <w:t> </w:t>
      </w:r>
      <w:r>
        <w:rPr>
          <w:spacing w:val="-2"/>
        </w:rPr>
        <w:t>限售的全部限制性股票</w:t>
      </w:r>
      <w:r>
        <w:rPr>
          <w:rFonts w:ascii="Times New Roman" w:hAnsi="Times New Roman" w:cs="Times New Roman" w:eastAsia="Times New Roman" w:hint="default"/>
          <w:spacing w:val="-2"/>
        </w:rPr>
        <w:t>24,000.00</w:t>
      </w:r>
      <w:r>
        <w:rPr>
          <w:spacing w:val="-2"/>
        </w:rPr>
        <w:t>股，并于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22</w:t>
      </w:r>
      <w:r>
        <w:rPr>
          <w:spacing w:val="-2"/>
        </w:rPr>
        <w:t>日完成注销。回购价格按照限制性股票发行价扣除持有期间已发放可</w:t>
      </w:r>
      <w:r>
        <w:rPr>
          <w:spacing w:val="-54"/>
        </w:rPr>
        <w:t> </w:t>
      </w:r>
      <w:r>
        <w:rPr>
          <w:spacing w:val="-54"/>
        </w:rPr>
      </w:r>
      <w:r>
        <w:rPr/>
        <w:t>撤销现金股利确定为</w:t>
      </w:r>
      <w:r>
        <w:rPr>
          <w:rFonts w:ascii="Times New Roman" w:hAnsi="Times New Roman" w:cs="Times New Roman" w:eastAsia="Times New Roman" w:hint="default"/>
        </w:rPr>
        <w:t>12.979</w:t>
      </w:r>
      <w:r>
        <w:rPr/>
        <w:t>元</w:t>
      </w:r>
      <w:r>
        <w:rPr>
          <w:rFonts w:ascii="Times New Roman" w:hAnsi="Times New Roman" w:cs="Times New Roman" w:eastAsia="Times New Roman" w:hint="default"/>
        </w:rPr>
        <w:t>/</w:t>
      </w:r>
      <w:r>
        <w:rPr/>
        <w:t>股，减少库存股</w:t>
      </w:r>
      <w:r>
        <w:rPr>
          <w:rFonts w:ascii="Times New Roman" w:hAnsi="Times New Roman" w:cs="Times New Roman" w:eastAsia="Times New Roman" w:hint="default"/>
        </w:rPr>
        <w:t>311,496.00</w:t>
      </w:r>
      <w:r>
        <w:rPr/>
        <w:t>元；此外，首批</w:t>
      </w:r>
      <w:r>
        <w:rPr>
          <w:rFonts w:ascii="Times New Roman" w:hAnsi="Times New Roman" w:cs="Times New Roman" w:eastAsia="Times New Roman" w:hint="default"/>
        </w:rPr>
        <w:t>20%</w:t>
      </w:r>
      <w:r>
        <w:rPr/>
        <w:t>限制性股票的解除限售条件已达成，本公司回 购义务解除并相应减少其他应付款及库存股</w:t>
      </w:r>
      <w:r>
        <w:rPr>
          <w:rFonts w:ascii="Times New Roman" w:hAnsi="Times New Roman" w:cs="Times New Roman" w:eastAsia="Times New Roman" w:hint="default"/>
        </w:rPr>
        <w:t>30,465,087.54</w:t>
      </w:r>
      <w:r>
        <w:rPr/>
        <w:t>元。</w:t>
      </w:r>
    </w:p>
    <w:p>
      <w:pPr>
        <w:spacing w:line="240" w:lineRule="auto" w:before="11"/>
        <w:rPr>
          <w:rFonts w:ascii="宋体" w:hAnsi="宋体" w:cs="宋体" w:eastAsia="宋体" w:hint="default"/>
          <w:sz w:val="24"/>
          <w:szCs w:val="24"/>
        </w:rPr>
      </w:pPr>
    </w:p>
    <w:p>
      <w:pPr>
        <w:pStyle w:val="BodyText"/>
        <w:spacing w:line="300" w:lineRule="auto"/>
        <w:ind w:right="1169"/>
        <w:jc w:val="left"/>
      </w:pPr>
      <w:r>
        <w:rPr/>
        <w:t>就附注十三所述之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日所授予限制性股票，本集团就相关回购义务</w:t>
      </w:r>
      <w:r>
        <w:rPr>
          <w:rFonts w:ascii="Times New Roman" w:hAnsi="Times New Roman" w:cs="Times New Roman" w:eastAsia="Times New Roman" w:hint="default"/>
        </w:rPr>
        <w:t>102,743,320.00</w:t>
      </w:r>
      <w:r>
        <w:rPr/>
        <w:t>元确认为其他应付款并相应增 加库存股。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2"/>
        <w:ind w:right="0"/>
        <w:jc w:val="both"/>
        <w:rPr>
          <w:b w:val="0"/>
          <w:bCs w:val="0"/>
        </w:rPr>
      </w:pPr>
      <w:bookmarkStart w:name="48、其他综合收益" w:id="342"/>
      <w:bookmarkEnd w:id="342"/>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09"/>
        <w:gridCol w:w="1068"/>
        <w:gridCol w:w="936"/>
        <w:gridCol w:w="1152"/>
        <w:gridCol w:w="934"/>
        <w:gridCol w:w="936"/>
        <w:gridCol w:w="936"/>
        <w:gridCol w:w="799"/>
      </w:tblGrid>
      <w:tr>
        <w:trPr>
          <w:trHeight w:val="403" w:hRule="exact"/>
        </w:trPr>
        <w:tc>
          <w:tcPr>
            <w:tcW w:w="280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5" w:hRule="exact"/>
        </w:trPr>
        <w:tc>
          <w:tcPr>
            <w:tcW w:w="2809" w:type="dxa"/>
            <w:vMerge/>
            <w:tcBorders>
              <w:left w:val="single" w:sz="4" w:space="0" w:color="000000"/>
              <w:bottom w:val="single" w:sz="4" w:space="0" w:color="000000"/>
              <w:right w:val="single" w:sz="4" w:space="0" w:color="000000"/>
            </w:tcBorders>
            <w:shd w:val="clear" w:color="auto" w:fill="D4D4D4"/>
          </w:tcPr>
          <w:p>
            <w:pPr/>
          </w:p>
        </w:tc>
        <w:tc>
          <w:tcPr>
            <w:tcW w:w="1068" w:type="dxa"/>
            <w:vMerge/>
            <w:tcBorders>
              <w:left w:val="single" w:sz="4" w:space="0" w:color="000000"/>
              <w:bottom w:val="single" w:sz="4" w:space="0" w:color="000000"/>
              <w:right w:val="single" w:sz="4" w:space="0" w:color="000000"/>
            </w:tcBorders>
            <w:shd w:val="clear" w:color="auto" w:fill="D4D4D4"/>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9" w:type="dxa"/>
            <w:vMerge/>
            <w:tcBorders>
              <w:left w:val="single" w:sz="4" w:space="0" w:color="000000"/>
              <w:bottom w:val="single" w:sz="4" w:space="0" w:color="000000"/>
              <w:right w:val="single" w:sz="4" w:space="0" w:color="000000"/>
            </w:tcBorders>
            <w:shd w:val="clear" w:color="auto" w:fill="D4D4D4"/>
          </w:tcPr>
          <w:p>
            <w:pPr/>
          </w:p>
        </w:tc>
      </w:tr>
    </w:tbl>
    <w:p>
      <w:pPr>
        <w:pStyle w:val="BodyText"/>
        <w:spacing w:line="240" w:lineRule="auto" w:before="49"/>
        <w:ind w:right="1129"/>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49、专项储备" w:id="343"/>
      <w:bookmarkEnd w:id="343"/>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29"/>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50、盈余公积" w:id="344"/>
      <w:bookmarkEnd w:id="344"/>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60,545,747.44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16,727,248.09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77,272,995.53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60,545,747.44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16,727,248.09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77,272,995.53</w:t>
            </w:r>
          </w:p>
        </w:tc>
      </w:tr>
    </w:tbl>
    <w:p>
      <w:pPr>
        <w:pStyle w:val="BodyText"/>
        <w:spacing w:line="240" w:lineRule="auto" w:before="49"/>
        <w:ind w:right="0"/>
        <w:jc w:val="both"/>
      </w:pPr>
      <w:r>
        <w:rPr/>
        <w:t>盈余公积说明，包括本期增减变动情况、变动原因说明：</w:t>
      </w:r>
    </w:p>
    <w:p>
      <w:pPr>
        <w:pStyle w:val="BodyText"/>
        <w:spacing w:line="300" w:lineRule="auto" w:before="117"/>
        <w:ind w:right="1130"/>
        <w:jc w:val="both"/>
      </w:pPr>
      <w:r>
        <w:rPr>
          <w:spacing w:val="-1"/>
        </w:rPr>
        <w:t>根据《中华人民共和国公司法》及本公司章程，本公司按年度净利润的</w:t>
      </w:r>
      <w:r>
        <w:rPr>
          <w:rFonts w:ascii="Times New Roman" w:hAnsi="Times New Roman" w:cs="Times New Roman" w:eastAsia="Times New Roman" w:hint="default"/>
          <w:spacing w:val="-1"/>
        </w:rPr>
        <w:t>10%</w:t>
      </w:r>
      <w:r>
        <w:rPr>
          <w:spacing w:val="-1"/>
        </w:rPr>
        <w:t>提取法定盈余公积金，当法定盈余公积金累计额</w:t>
      </w:r>
      <w:r>
        <w:rPr>
          <w:spacing w:val="-86"/>
        </w:rPr>
        <w:t> </w:t>
      </w:r>
      <w:r>
        <w:rPr>
          <w:spacing w:val="-86"/>
        </w:rPr>
      </w:r>
      <w:r>
        <w:rPr>
          <w:spacing w:val="-1"/>
        </w:rPr>
        <w:t>达到注册资本的</w:t>
      </w:r>
      <w:r>
        <w:rPr>
          <w:rFonts w:ascii="Times New Roman" w:hAnsi="Times New Roman" w:cs="Times New Roman" w:eastAsia="Times New Roman" w:hint="default"/>
          <w:spacing w:val="-1"/>
        </w:rPr>
        <w:t>50%</w:t>
      </w:r>
      <w:r>
        <w:rPr>
          <w:spacing w:val="-1"/>
        </w:rPr>
        <w:t>以上时，可不再提取。法定盈余公积金经批准后可用于弥补亏损，或者增加股本。经董事会决议，本公</w:t>
      </w:r>
      <w:r>
        <w:rPr/>
        <w:t> 司</w:t>
      </w:r>
      <w:r>
        <w:rPr>
          <w:rFonts w:ascii="Times New Roman" w:hAnsi="Times New Roman" w:cs="Times New Roman" w:eastAsia="Times New Roman" w:hint="default"/>
        </w:rPr>
        <w:t>2018</w:t>
      </w:r>
      <w:r>
        <w:rPr/>
        <w:t>年按净利润的</w:t>
      </w:r>
      <w:r>
        <w:rPr>
          <w:rFonts w:ascii="Times New Roman" w:hAnsi="Times New Roman" w:cs="Times New Roman" w:eastAsia="Times New Roman" w:hint="default"/>
        </w:rPr>
        <w:t>10%</w:t>
      </w:r>
      <w:r>
        <w:rPr/>
        <w:t>提取法定盈余公积：</w:t>
      </w:r>
      <w:r>
        <w:rPr>
          <w:rFonts w:ascii="Times New Roman" w:hAnsi="Times New Roman" w:cs="Times New Roman" w:eastAsia="Times New Roman" w:hint="default"/>
        </w:rPr>
        <w:t>16,727,248.09</w:t>
      </w:r>
      <w:r>
        <w:rPr/>
        <w:t>元 </w:t>
      </w:r>
      <w:r>
        <w:rPr>
          <w:spacing w:val="65"/>
        </w:rPr>
        <w:t> </w:t>
      </w:r>
      <w:r>
        <w:rPr/>
        <w:t>。</w:t>
      </w:r>
    </w:p>
    <w:p>
      <w:pPr>
        <w:spacing w:after="0" w:line="300" w:lineRule="auto"/>
        <w:jc w:val="both"/>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51、未分配利润" w:id="345"/>
      <w:bookmarkEnd w:id="345"/>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2"/>
        <w:gridCol w:w="2934"/>
        <w:gridCol w:w="2918"/>
      </w:tblGrid>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381,986,961.71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257,131,863.75</w:t>
            </w:r>
            <w:r>
              <w:rPr>
                <w:rFonts w:ascii="Times New Roman"/>
                <w:sz w:val="18"/>
              </w:rPr>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381,986,961.71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257,131,863.75</w:t>
            </w:r>
            <w:r>
              <w:rPr>
                <w:rFonts w:ascii="Times New Roman"/>
                <w:sz w:val="18"/>
              </w:rPr>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133,683,046.76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139,136,836.46</w:t>
            </w:r>
            <w:r>
              <w:rPr>
                <w:rFonts w:ascii="Times New Roman"/>
                <w:sz w:val="18"/>
              </w:rPr>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16,727,248.09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14,281,738.50</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21,254,774.45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477,687,985.93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381,986,961.71</w:t>
            </w:r>
            <w:r>
              <w:rPr>
                <w:rFonts w:ascii="Times New Roman"/>
                <w:sz w:val="18"/>
              </w:rPr>
            </w:r>
          </w:p>
        </w:tc>
      </w:tr>
    </w:tbl>
    <w:p>
      <w:pPr>
        <w:pStyle w:val="BodyText"/>
        <w:spacing w:line="240" w:lineRule="auto" w:before="49"/>
        <w:ind w:right="1129"/>
        <w:jc w:val="left"/>
      </w:pPr>
      <w:r>
        <w:rPr/>
        <w:t>调整期初未分配利润明细：</w:t>
      </w:r>
    </w:p>
    <w:p>
      <w:pPr>
        <w:pStyle w:val="BodyText"/>
        <w:spacing w:line="240" w:lineRule="auto" w:before="115"/>
        <w:ind w:right="1129"/>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1129"/>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1129"/>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1"/>
        <w:ind w:right="1129"/>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1129"/>
        <w:jc w:val="left"/>
      </w:pPr>
      <w:r>
        <w:rPr>
          <w:rFonts w:ascii="Times New Roman" w:hAnsi="Times New Roman" w:cs="Times New Roman" w:eastAsia="Times New Roman" w:hint="default"/>
        </w:rPr>
        <w:t>5)</w:t>
      </w:r>
      <w:r>
        <w:rPr/>
        <w:t>、其他调整合计影响期初未分配利润元。</w:t>
      </w:r>
    </w:p>
    <w:p>
      <w:pPr>
        <w:spacing w:line="240" w:lineRule="auto" w:before="2"/>
        <w:rPr>
          <w:rFonts w:ascii="宋体" w:hAnsi="宋体" w:cs="宋体" w:eastAsia="宋体" w:hint="default"/>
          <w:sz w:val="26"/>
          <w:szCs w:val="26"/>
        </w:rPr>
      </w:pPr>
    </w:p>
    <w:p>
      <w:pPr>
        <w:pStyle w:val="Heading3"/>
        <w:spacing w:line="240" w:lineRule="auto"/>
        <w:ind w:right="1129"/>
        <w:jc w:val="left"/>
        <w:rPr>
          <w:b w:val="0"/>
          <w:bCs w:val="0"/>
        </w:rPr>
      </w:pPr>
      <w:bookmarkStart w:name="52、营业收入和营业成本" w:id="346"/>
      <w:bookmarkEnd w:id="346"/>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1,013,177,633.68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507,658,457.22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781,720,850.78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386,645,455.22</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2,297,905.78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2,297,905.78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1,214,190.26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1,214,190.26</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1,015,475,539.46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509,956,363.00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782,935,041.04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387,859,645.48</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53、税金及附加" w:id="347"/>
      <w:bookmarkEnd w:id="347"/>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3,198,975.54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2,635,432.16</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1,370,989.53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1,129,470.92</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324,098.65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406,930.32</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913,993.00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752,980.64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5,808,056.72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4,924,814.04</w:t>
            </w:r>
            <w:r>
              <w:rPr>
                <w:rFonts w:ascii="Times New Roman"/>
                <w:sz w:val="18"/>
              </w:rPr>
            </w:r>
          </w:p>
        </w:tc>
      </w:tr>
    </w:tbl>
    <w:p>
      <w:pPr>
        <w:pStyle w:val="BodyText"/>
        <w:spacing w:line="240" w:lineRule="auto" w:before="49"/>
        <w:ind w:right="1129"/>
        <w:jc w:val="left"/>
      </w:pPr>
      <w:r>
        <w:rPr/>
        <w:t>其他说明：</w:t>
      </w:r>
    </w:p>
    <w:p>
      <w:pPr>
        <w:spacing w:after="0" w:line="240"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54、销售费用" w:id="348"/>
      <w:bookmarkEnd w:id="348"/>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人工成本（含股权激励）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65,941,153.74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42,048,485.23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6,319,481.90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4,023,287.66</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会议及业务招待费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32,726,093.57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24,653,398.95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办公及通信费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1,626,997.36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1,450,408.52</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投标及市场推广费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15,069,654.55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16,351,692.80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1,218,870.29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314,051.96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122,902,251.41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88,841,325.12</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55、管理费用" w:id="349"/>
      <w:bookmarkEnd w:id="349"/>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人工成本（含股权激励）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114,039,940.35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71,073,589.58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20,639,902.72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17,848,669.92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7,406,848.04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13,613,597.87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办公通信费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8,518,437.02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6,989,567.22</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34,225,951.27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7,770,428.85</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10,173,290.21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8,057,376.25</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会议及业务招待费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2,232,831.86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1,553,225.96</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890,902.12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2,143,300.21</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198,128,103.59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129,049,755.86</w:t>
            </w:r>
            <w:r>
              <w:rPr>
                <w:rFonts w:ascii="Times New Roman"/>
                <w:sz w:val="18"/>
              </w:rPr>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56、研发费用" w:id="350"/>
      <w:bookmarkEnd w:id="350"/>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人工成本（含股权激励）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111,669,855.49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82,021,844.12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1,860,275.05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2,101,581.07</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7,688,904.93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6,599,513.49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687,940.01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1,341,817.47</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231,200.00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153,993.98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会议及办公通信费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1,556,036.47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2,316,708.20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材料费及其他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573,976.44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1,632,385.50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124,268,188.39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96,167,843.83</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57、财务费用" w:id="351"/>
      <w:bookmarkEnd w:id="351"/>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2,015,775.94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-7,204,705.84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-4,422,212.13</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152,634.99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132,565.96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-5,036,294.91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-4,289,646.17</w:t>
            </w:r>
            <w:r>
              <w:rPr>
                <w:rFonts w:ascii="Times New Roman"/>
                <w:sz w:val="18"/>
              </w:rPr>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58、资产减值损失" w:id="352"/>
      <w:bookmarkEnd w:id="352"/>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16,483,231.18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2,621,790.64</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52,945.88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12.31</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16,536,177.06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2,621,802.95</w:t>
            </w:r>
            <w:r>
              <w:rPr>
                <w:rFonts w:ascii="Times New Roman"/>
                <w:sz w:val="18"/>
              </w:rPr>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59、其他收益" w:id="353"/>
      <w:bookmarkEnd w:id="353"/>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增值税税收返还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6,764,101.02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3,314,745.24</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年太科园产业培育基金补贴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2,262,500.00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22,926,500.00</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年江苏省企业创新与成果转化专项 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年国家级火炬计划项目扶持资金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600,000.00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年科技创新基金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569,900.00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年无锡市企业兼并重组并购奖励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235,000.00</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年度研发省级财政奖励</w:t>
            </w:r>
            <w:r>
              <w:rPr>
                <w:rFonts w:ascii="Times New Roman" w:hAnsi="Times New Roman" w:cs="Times New Roman" w:eastAsia="Times New Roman" w:hint="default"/>
                <w:sz w:val="18"/>
                <w:szCs w:val="18"/>
              </w:rPr>
              <w:t>-</w:t>
            </w:r>
            <w:r>
              <w:rPr>
                <w:rFonts w:ascii="宋体" w:hAnsi="宋体" w:cs="宋体" w:eastAsia="宋体" w:hint="default"/>
                <w:sz w:val="18"/>
                <w:szCs w:val="18"/>
              </w:rPr>
              <w:t>专项补助 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年度现代服务业领军企业项目拨款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年度无锡市服务业提质增效扶持补 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年第一批软件和云计算产业扶持资 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年申请的总部企业项目资金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年度无锡市物联网企业外地中标资 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互联网产业发展专项资金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省级工业和信息产业转型升级专项资金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5"/>
              <w:jc w:val="left"/>
              <w:rPr>
                <w:rFonts w:ascii="宋体" w:hAnsi="宋体" w:cs="宋体" w:eastAsia="宋体" w:hint="default"/>
                <w:sz w:val="18"/>
                <w:szCs w:val="18"/>
              </w:rPr>
            </w:pPr>
            <w:r>
              <w:rPr>
                <w:rFonts w:ascii="宋体" w:hAnsi="宋体" w:cs="宋体" w:eastAsia="宋体" w:hint="default"/>
                <w:sz w:val="18"/>
                <w:szCs w:val="18"/>
              </w:rPr>
              <w:t>省级高层次创新创业人才引进计划专项 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5,500,000.00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无锡市物联网产业化项目资金补贴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643,700.00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1,323,000.00</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云计算相关项目扶持资金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526,900.00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363,300.00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225,787.00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24,614,501.02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32,694,932.24</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60、投资收益" w:id="354"/>
      <w:bookmarkEnd w:id="354"/>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0"/>
        <w:gridCol w:w="2918"/>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49,724,400.30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36,134,422.97</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8,309,451.72</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2,048,861.55</w:t>
            </w:r>
            <w:r>
              <w:rPr>
                <w:rFonts w:ascii="Times New Roman"/>
                <w:sz w:val="18"/>
              </w:rPr>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58,033,852.02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38,183,284.52</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61、公允价值变动收益" w:id="355"/>
      <w:bookmarkEnd w:id="355"/>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62、资产处置收益" w:id="356"/>
      <w:bookmarkEnd w:id="356"/>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-38,405.49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-28,040.09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63、营业外收入" w:id="357"/>
      <w:bookmarkEnd w:id="357"/>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1,010,000.00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1,010,000.00</w:t>
            </w:r>
            <w:r>
              <w:rPr>
                <w:rFonts w:ascii="Times New Roman"/>
                <w:sz w:val="18"/>
              </w:rPr>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73,427.83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7,804.23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73,427.83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1,083,427.83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207,804.23</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9"/>
        <w:jc w:val="left"/>
      </w:pPr>
      <w:r>
        <w:rPr/>
        <w:t>计入当期损益的政府补助：</w:t>
      </w:r>
    </w:p>
    <w:p>
      <w:pPr>
        <w:pStyle w:val="BodyText"/>
        <w:spacing w:line="240" w:lineRule="auto" w:before="11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0"/>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3"/>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批企业直接 融资奖励资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无锡市财政 </w:t>
            </w:r>
            <w:r>
              <w:rPr>
                <w:rFonts w:ascii="宋体" w:hAnsi="宋体" w:cs="宋体" w:eastAsia="宋体" w:hint="default"/>
                <w:spacing w:val="-12"/>
                <w:sz w:val="18"/>
                <w:szCs w:val="18"/>
              </w:rPr>
              <w:t>局、无锡市金</w:t>
            </w:r>
            <w:r>
              <w:rPr>
                <w:rFonts w:ascii="宋体" w:hAnsi="宋体" w:cs="宋体" w:eastAsia="宋体" w:hint="default"/>
                <w:sz w:val="18"/>
                <w:szCs w:val="18"/>
              </w:rPr>
              <w:t> 融办</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7" w:lineRule="auto"/>
              <w:ind w:left="24" w:right="8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年度长 庆街道经济 工作三等奖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杭州市下城 区人民政府 长庆街道办 事处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64、营业外支出" w:id="358"/>
      <w:bookmarkEnd w:id="358"/>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1,125,000.00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1,125,000.00</w:t>
            </w:r>
            <w:r>
              <w:rPr>
                <w:rFonts w:ascii="Times New Roman"/>
                <w:sz w:val="18"/>
              </w:rPr>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亏损合同</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181,162.34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355,941.09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181,162.34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1,112.84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w:t>
            </w:r>
            <w:r>
              <w:rPr>
                <w:rFonts w:ascii="Times New Roman"/>
                <w:sz w:val="18"/>
              </w:rPr>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1,306,362.34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357,053.93</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9"/>
        <w:jc w:val="left"/>
      </w:pPr>
      <w:r>
        <w:rPr/>
        <w:t>其他说明：</w:t>
      </w:r>
    </w:p>
    <w:p>
      <w:pPr>
        <w:spacing w:after="0" w:line="240"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65、所得税费用" w:id="359"/>
      <w:bookmarkEnd w:id="359"/>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所得税费用表" w:id="360"/>
      <w:bookmarkEnd w:id="36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14,883,874.56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9,671,598.83</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-1,550,516.21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687,614.64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13,333,358.35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10,359,213.47</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2）会计利润与所得税费用调整过程" w:id="361"/>
      <w:bookmarkEnd w:id="36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6"/>
        <w:gridCol w:w="4801"/>
      </w:tblGrid>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125,299,707.24</w:t>
            </w:r>
            <w:r>
              <w:rPr>
                <w:rFonts w:ascii="Times New Roman"/>
                <w:sz w:val="18"/>
              </w:rPr>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31,324,926.81</w:t>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-4,967,284.22</w:t>
            </w:r>
            <w:r>
              <w:rPr>
                <w:rFonts w:ascii="Times New Roman"/>
                <w:sz w:val="18"/>
              </w:rPr>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8,979,547.18</w:t>
            </w:r>
            <w:r>
              <w:rPr>
                <w:rFonts w:ascii="Times New Roman"/>
                <w:sz w:val="18"/>
              </w:rPr>
            </w:r>
          </w:p>
        </w:tc>
      </w:tr>
      <w:tr>
        <w:trPr>
          <w:trHeight w:val="71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13,720,059.56</w:t>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优惠税率的影响</w:t>
            </w:r>
          </w:p>
        </w:tc>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-28,298,426.26</w:t>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-7,689,811.73</w:t>
            </w:r>
            <w:r>
              <w:rPr>
                <w:rFonts w:ascii="Times New Roman"/>
                <w:sz w:val="18"/>
              </w:rPr>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以前年度汇算清缴</w:t>
            </w:r>
          </w:p>
        </w:tc>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8,892.70</w:t>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13,333,358.35</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66、其他综合收益" w:id="362"/>
      <w:bookmarkEnd w:id="362"/>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9"/>
        <w:jc w:val="left"/>
      </w:pPr>
      <w:r>
        <w:rPr/>
        <w:t>详见附注。</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67、现金流量表项目" w:id="363"/>
      <w:bookmarkEnd w:id="363"/>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收到的其他与经营活动有关的现金" w:id="364"/>
      <w:bookmarkEnd w:id="36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11,280,400.00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27,880,187.00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7,204,705.84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4,422,212.13</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35,798,397.10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22,059,986.85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54,283,502.94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54,362,385.98</w:t>
            </w:r>
          </w:p>
        </w:tc>
      </w:tr>
    </w:tbl>
    <w:p>
      <w:pPr>
        <w:pStyle w:val="BodyText"/>
        <w:spacing w:line="240" w:lineRule="auto" w:before="49"/>
        <w:ind w:right="1129"/>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2）支付的其他与经营活动有关的现金" w:id="365"/>
      <w:bookmarkEnd w:id="36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47,875,605.35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45,316,724.69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19,522,735.72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19,090,352.72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会议费及业务招待费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36,969,615.90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27,818,510.89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办公通信费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13,505,803.67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9,518,485.92</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15,069,654.55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9,947,418.33</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5,814,745.30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9,311,036.01</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17,080,737.90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27,235,546.85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1,424,797.99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4,707,776.46</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157,263,696.38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152,945,851.87</w:t>
            </w:r>
            <w:r>
              <w:rPr>
                <w:rFonts w:ascii="Times New Roman"/>
                <w:sz w:val="18"/>
              </w:rPr>
            </w:r>
          </w:p>
        </w:tc>
      </w:tr>
    </w:tbl>
    <w:p>
      <w:pPr>
        <w:pStyle w:val="BodyText"/>
        <w:spacing w:line="240" w:lineRule="auto" w:before="49"/>
        <w:ind w:right="1129"/>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3）收到的其他与投资活动有关的现金" w:id="366"/>
      <w:bookmarkEnd w:id="36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29"/>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4）支付的其他与投资活动有关的现金" w:id="367"/>
      <w:bookmarkEnd w:id="36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29"/>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5）收到的其他与筹资活动有关的现金" w:id="368"/>
      <w:bookmarkEnd w:id="36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29"/>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6）支付的其他与筹资活动有关的现金" w:id="369"/>
      <w:bookmarkEnd w:id="36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after="0" w:line="240" w:lineRule="auto"/>
        <w:jc w:val="right"/>
        <w:sectPr>
          <w:pgSz w:w="11910" w:h="16840"/>
          <w:pgMar w:header="745" w:footer="982" w:top="1060" w:bottom="1180" w:left="980" w:right="0"/>
        </w:sectPr>
      </w:pPr>
    </w:p>
    <w:p>
      <w:pPr>
        <w:spacing w:line="240" w:lineRule="auto" w:before="6"/>
        <w:rPr>
          <w:rFonts w:ascii="宋体" w:hAnsi="宋体" w:cs="宋体" w:eastAsia="宋体" w:hint="default"/>
          <w:sz w:val="28"/>
          <w:szCs w:val="28"/>
        </w:rPr>
      </w:pPr>
      <w:r>
        <w:rPr/>
        <w:pict>
          <v:group style="position:absolute;margin-left:223.320007pt;margin-top:436.259979pt;width:151.2pt;height:40.8pt;mso-position-horizontal-relative:page;mso-position-vertical-relative:page;z-index:-1107064" coordorigin="4466,8725" coordsize="3024,816">
            <v:group style="position:absolute;left:4477;top:8736;width:2;height:394" coordorigin="4477,8736" coordsize="2,394">
              <v:shape style="position:absolute;left:4477;top:8736;width:2;height:394" coordorigin="4477,8736" coordsize="0,394" path="m4477,8736l4477,9130e" filled="false" stroked="true" strokeweight="1.08pt" strokecolor="#ffffff">
                <v:path arrowok="t"/>
              </v:shape>
            </v:group>
            <v:group style="position:absolute;left:4488;top:8736;width:3003;height:394" coordorigin="4488,8736" coordsize="3003,394">
              <v:shape style="position:absolute;left:4488;top:8736;width:3003;height:394" coordorigin="4488,8736" coordsize="3003,394" path="m4488,9130l7490,9130,7490,8736,4488,8736,4488,9130xe" filled="true" fillcolor="#ffffff" stroked="false">
                <v:path arrowok="t"/>
                <v:fill type="solid"/>
              </v:shape>
            </v:group>
            <v:group style="position:absolute;left:4477;top:9139;width:2;height:392" coordorigin="4477,9139" coordsize="2,392">
              <v:shape style="position:absolute;left:4477;top:9139;width:2;height:392" coordorigin="4477,9139" coordsize="0,392" path="m4477,9139l4477,9530e" filled="false" stroked="true" strokeweight="1.08pt" strokecolor="#ffffff">
                <v:path arrowok="t"/>
              </v:shape>
            </v:group>
            <v:group style="position:absolute;left:4488;top:9139;width:3003;height:392" coordorigin="4488,9139" coordsize="3003,392">
              <v:shape style="position:absolute;left:4488;top:9139;width:3003;height:392" coordorigin="4488,9139" coordsize="3003,392" path="m4488,9530l7490,9530,7490,9139,4488,9139,4488,953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1129"/>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68、现金流量表补充资料" w:id="370"/>
      <w:bookmarkEnd w:id="370"/>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现金流量表补充资料" w:id="371"/>
      <w:bookmarkEnd w:id="37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1057"/>
        <w:gridCol w:w="2015"/>
        <w:gridCol w:w="3185"/>
      </w:tblGrid>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7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7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20" w:right="0"/>
              <w:jc w:val="left"/>
              <w:rPr>
                <w:rFonts w:ascii="Times New Roman" w:hAnsi="Times New Roman" w:cs="Times New Roman" w:eastAsia="Times New Roman" w:hint="default"/>
                <w:sz w:val="18"/>
                <w:szCs w:val="18"/>
              </w:rPr>
            </w:pPr>
            <w:r>
              <w:rPr>
                <w:rFonts w:ascii="Times New Roman"/>
                <w:sz w:val="18"/>
              </w:rPr>
              <w:t>111,966,348.89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138,101,213.43</w:t>
            </w:r>
            <w:r>
              <w:rPr>
                <w:rFonts w:ascii="Times New Roman"/>
                <w:sz w:val="18"/>
              </w:rPr>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96" w:right="0"/>
              <w:jc w:val="left"/>
              <w:rPr>
                <w:rFonts w:ascii="Times New Roman" w:hAnsi="Times New Roman" w:cs="Times New Roman" w:eastAsia="Times New Roman" w:hint="default"/>
                <w:sz w:val="18"/>
                <w:szCs w:val="18"/>
              </w:rPr>
            </w:pPr>
            <w:r>
              <w:rPr>
                <w:rFonts w:ascii="Times New Roman"/>
                <w:sz w:val="18"/>
              </w:rPr>
              <w:t>16,536,177.06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2,621,802.95</w:t>
            </w:r>
            <w:r>
              <w:rPr>
                <w:rFonts w:ascii="Times New Roman"/>
                <w:sz w:val="18"/>
              </w:rPr>
            </w:r>
          </w:p>
        </w:tc>
      </w:tr>
      <w:tr>
        <w:trPr>
          <w:trHeight w:val="715"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6"/>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4,303,886.91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3,534,294.14</w:t>
            </w:r>
            <w:r>
              <w:rPr>
                <w:rFonts w:ascii="Times New Roman"/>
                <w:sz w:val="18"/>
              </w:rPr>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3,022,711.78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8,882,095.24</w:t>
            </w:r>
            <w:r>
              <w:rPr>
                <w:rFonts w:ascii="Times New Roman"/>
                <w:sz w:val="18"/>
              </w:rPr>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2,679,800.11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2,877,875.06</w:t>
            </w:r>
            <w:r>
              <w:rPr>
                <w:rFonts w:ascii="Times New Roman"/>
                <w:sz w:val="18"/>
              </w:rPr>
            </w:r>
          </w:p>
        </w:tc>
      </w:tr>
      <w:tr>
        <w:trPr>
          <w:trHeight w:val="71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36"/>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10,289.74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28,040.09</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2,015,775.94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36" w:right="0"/>
              <w:jc w:val="left"/>
              <w:rPr>
                <w:rFonts w:ascii="Times New Roman" w:hAnsi="Times New Roman" w:cs="Times New Roman" w:eastAsia="Times New Roman" w:hint="default"/>
                <w:sz w:val="18"/>
                <w:szCs w:val="18"/>
              </w:rPr>
            </w:pPr>
            <w:r>
              <w:rPr>
                <w:rFonts w:ascii="Times New Roman"/>
                <w:sz w:val="18"/>
              </w:rPr>
              <w:t>-58,033,852.02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-38,183,284.52</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7"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6"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-1,492,391.21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745,739.47</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7"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6"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-58,125.00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-58,125.00</w:t>
            </w:r>
            <w:r>
              <w:rPr>
                <w:rFonts w:ascii="Times New Roman"/>
                <w:sz w:val="18"/>
              </w:rPr>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36" w:right="0"/>
              <w:jc w:val="left"/>
              <w:rPr>
                <w:rFonts w:ascii="Times New Roman" w:hAnsi="Times New Roman" w:cs="Times New Roman" w:eastAsia="Times New Roman" w:hint="default"/>
                <w:sz w:val="18"/>
                <w:szCs w:val="18"/>
              </w:rPr>
            </w:pPr>
            <w:r>
              <w:rPr>
                <w:rFonts w:ascii="Times New Roman"/>
                <w:sz w:val="18"/>
              </w:rPr>
              <w:t>-17,293,230.17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9,446,699.34</w:t>
            </w:r>
            <w:r>
              <w:rPr>
                <w:rFonts w:ascii="Times New Roman"/>
                <w:sz w:val="18"/>
              </w:rPr>
            </w:r>
          </w:p>
        </w:tc>
      </w:tr>
      <w:tr>
        <w:trPr>
          <w:trHeight w:val="71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12" w:right="59"/>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5" w:right="0"/>
              <w:jc w:val="left"/>
              <w:rPr>
                <w:rFonts w:ascii="Times New Roman" w:hAnsi="Times New Roman" w:cs="Times New Roman" w:eastAsia="Times New Roman" w:hint="default"/>
                <w:sz w:val="18"/>
                <w:szCs w:val="18"/>
              </w:rPr>
            </w:pPr>
            <w:r>
              <w:rPr>
                <w:rFonts w:ascii="Times New Roman"/>
                <w:sz w:val="18"/>
              </w:rPr>
              <w:t>-257,596,410.31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-51,987,677.81</w:t>
            </w:r>
          </w:p>
        </w:tc>
      </w:tr>
      <w:tr>
        <w:trPr>
          <w:trHeight w:val="715"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59"/>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5" w:right="0"/>
              <w:jc w:val="left"/>
              <w:rPr>
                <w:rFonts w:ascii="Times New Roman" w:hAnsi="Times New Roman" w:cs="Times New Roman" w:eastAsia="Times New Roman" w:hint="default"/>
                <w:sz w:val="18"/>
                <w:szCs w:val="18"/>
              </w:rPr>
            </w:pPr>
            <w:r>
              <w:rPr>
                <w:rFonts w:ascii="Times New Roman"/>
                <w:sz w:val="18"/>
              </w:rPr>
              <w:t>146,553,365.92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-35,259,821.80</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96" w:right="0"/>
              <w:jc w:val="left"/>
              <w:rPr>
                <w:rFonts w:ascii="Times New Roman" w:hAnsi="Times New Roman" w:cs="Times New Roman" w:eastAsia="Times New Roman" w:hint="default"/>
                <w:sz w:val="18"/>
                <w:szCs w:val="18"/>
              </w:rPr>
            </w:pPr>
            <w:r>
              <w:rPr>
                <w:rFonts w:ascii="Times New Roman"/>
                <w:sz w:val="18"/>
              </w:rPr>
              <w:t>50,027,641.23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7,965,462.95</w:t>
            </w:r>
            <w:r>
              <w:rPr>
                <w:rFonts w:ascii="Times New Roman"/>
                <w:sz w:val="18"/>
              </w:rPr>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2,641,988.87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48,714,313.54</w:t>
            </w:r>
          </w:p>
        </w:tc>
      </w:tr>
      <w:tr>
        <w:trPr>
          <w:trHeight w:val="161" w:hRule="exact"/>
        </w:trPr>
        <w:tc>
          <w:tcPr>
            <w:tcW w:w="3300" w:type="dxa"/>
            <w:vMerge w:val="restart"/>
            <w:tcBorders>
              <w:top w:val="single" w:sz="4" w:space="0" w:color="000000"/>
              <w:left w:val="single" w:sz="4" w:space="0" w:color="000000"/>
              <w:right w:val="single" w:sz="4" w:space="0" w:color="000000"/>
            </w:tcBorders>
            <w:shd w:val="clear" w:color="auto" w:fill="D4D4D4"/>
          </w:tcPr>
          <w:p>
            <w:pPr>
              <w:pStyle w:val="TableParagraph"/>
              <w:spacing w:line="297" w:lineRule="auto" w:before="49"/>
              <w:ind w:left="1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72"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18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3300" w:type="dxa"/>
            <w:vMerge/>
            <w:tcBorders>
              <w:left w:val="single" w:sz="4" w:space="0" w:color="000000"/>
              <w:right w:val="single" w:sz="4" w:space="0" w:color="000000"/>
            </w:tcBorders>
            <w:shd w:val="clear" w:color="auto" w:fill="D4D4D4"/>
          </w:tcPr>
          <w:p>
            <w:pPr/>
          </w:p>
        </w:tc>
        <w:tc>
          <w:tcPr>
            <w:tcW w:w="3072"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0" w:type="dxa"/>
            <w:vMerge/>
            <w:tcBorders>
              <w:left w:val="single" w:sz="4" w:space="0" w:color="000000"/>
              <w:bottom w:val="single" w:sz="4" w:space="0" w:color="000000"/>
              <w:right w:val="single" w:sz="4" w:space="0" w:color="000000"/>
            </w:tcBorders>
            <w:shd w:val="clear" w:color="auto" w:fill="D4D4D4"/>
          </w:tcPr>
          <w:p>
            <w:pPr/>
          </w:p>
        </w:tc>
        <w:tc>
          <w:tcPr>
            <w:tcW w:w="3072"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18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7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852,300,385.52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712,401,770.71</w:t>
            </w:r>
            <w:r>
              <w:rPr>
                <w:rFonts w:ascii="Times New Roman"/>
                <w:sz w:val="18"/>
              </w:rPr>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712,401,770.71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310,752,147.74</w:t>
            </w:r>
            <w:r>
              <w:rPr>
                <w:rFonts w:ascii="Times New Roman"/>
                <w:sz w:val="18"/>
              </w:rPr>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139,898,614.81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401,649,622.97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2）本期支付的取得子公司的现金净额" w:id="372"/>
      <w:bookmarkEnd w:id="37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6"/>
        <w:gridCol w:w="4582"/>
      </w:tblGrid>
      <w:tr>
        <w:trPr>
          <w:trHeight w:val="403"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3）本期收到的处置子公司的现金净额" w:id="373"/>
      <w:bookmarkEnd w:id="373"/>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6"/>
        <w:gridCol w:w="4582"/>
      </w:tblGrid>
      <w:tr>
        <w:trPr>
          <w:trHeight w:val="403"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4）现金和现金等价物的构成" w:id="374"/>
      <w:bookmarkEnd w:id="37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852,300,385.52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712,401,770.71</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129.57</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852,300,249.42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712,401,641.14</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852,300,385.52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712,401,770.71</w:t>
            </w:r>
            <w:r>
              <w:rPr>
                <w:rFonts w:ascii="Times New Roman"/>
                <w:sz w:val="18"/>
              </w:rPr>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spacing w:line="547" w:lineRule="auto" w:before="118"/>
        <w:ind w:left="152" w:right="5374" w:firstLine="0"/>
        <w:jc w:val="left"/>
        <w:rPr>
          <w:rFonts w:ascii="宋体" w:hAnsi="宋体" w:cs="宋体" w:eastAsia="宋体" w:hint="default"/>
          <w:sz w:val="21"/>
          <w:szCs w:val="21"/>
        </w:rPr>
      </w:pPr>
      <w:bookmarkStart w:name="69、所有者权益变动表项目注释" w:id="375"/>
      <w:bookmarkEnd w:id="375"/>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0、所有权或使用权受到限制的资产" w:id="376"/>
      <w:bookmarkEnd w:id="376"/>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6"/>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3,962,158.40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10" w:space="0" w:color="D4D4D4"/>
              <w:bottom w:val="single" w:sz="4" w:space="0" w:color="000000"/>
              <w:right w:val="single" w:sz="13" w:space="0" w:color="D4D4D4"/>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3,962,158.40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9"/>
        <w:jc w:val="left"/>
      </w:pPr>
      <w:r>
        <w:rPr/>
        <w:t>其他说明：</w:t>
      </w:r>
    </w:p>
    <w:p>
      <w:pPr>
        <w:spacing w:after="0" w:line="240"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71、外币货币性项目" w:id="377"/>
      <w:bookmarkEnd w:id="377"/>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外币货币性项目" w:id="378"/>
      <w:bookmarkEnd w:id="37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2"/>
        <w:gridCol w:w="2390"/>
        <w:gridCol w:w="2390"/>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12" w:space="0" w:color="D4D4D4"/>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136.10</w:t>
            </w:r>
            <w:r>
              <w:rPr>
                <w:rFonts w:ascii="Times New Roman"/>
                <w:sz w:val="18"/>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13"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2" w:type="dxa"/>
            <w:tcBorders>
              <w:top w:val="single" w:sz="4" w:space="0" w:color="000000"/>
              <w:left w:val="single" w:sz="13"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12" w:space="0" w:color="D4D4D4"/>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13"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13"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2" w:type="dxa"/>
            <w:tcBorders>
              <w:top w:val="single" w:sz="4" w:space="0" w:color="000000"/>
              <w:left w:val="single" w:sz="13"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12" w:space="0" w:color="D4D4D4"/>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13"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13"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2" w:type="dxa"/>
            <w:tcBorders>
              <w:top w:val="single" w:sz="4" w:space="0" w:color="000000"/>
              <w:left w:val="single" w:sz="13"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59" w:lineRule="auto" w:before="118"/>
        <w:ind w:right="1129"/>
        <w:jc w:val="left"/>
        <w:rPr>
          <w:b w:val="0"/>
          <w:bCs w:val="0"/>
        </w:rPr>
      </w:pPr>
      <w:bookmarkStart w:name="（2）境外经营实体说明，包括对于重要的境外经营实体，应披露其境外主要经营地、记账" w:id="379"/>
      <w:bookmarkEnd w:id="37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9"/>
        <w:jc w:val="left"/>
        <w:rPr>
          <w:b w:val="0"/>
          <w:bCs w:val="0"/>
        </w:rPr>
      </w:pPr>
      <w:bookmarkStart w:name="72、套期" w:id="380"/>
      <w:bookmarkEnd w:id="380"/>
      <w:r>
        <w:rPr>
          <w:b w:val="0"/>
          <w:bCs w:val="0"/>
        </w:rPr>
      </w:r>
      <w:r>
        <w:rPr>
          <w:rFonts w:ascii="Times New Roman" w:hAnsi="Times New Roman" w:cs="Times New Roman" w:eastAsia="Times New Roman" w:hint="default"/>
        </w:rPr>
        <w:t>72</w:t>
      </w:r>
      <w:r>
        <w:rPr/>
        <w:t>、套期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73、政府补助" w:id="381"/>
      <w:bookmarkEnd w:id="381"/>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政府补助基本情况" w:id="382"/>
      <w:bookmarkEnd w:id="382"/>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2）政府补助退回情况" w:id="383"/>
      <w:bookmarkEnd w:id="383"/>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7"/>
        <w:rPr>
          <w:rFonts w:ascii="宋体" w:hAnsi="宋体" w:cs="宋体" w:eastAsia="宋体" w:hint="default"/>
          <w:sz w:val="21"/>
          <w:szCs w:val="21"/>
        </w:rPr>
      </w:pPr>
    </w:p>
    <w:p>
      <w:pPr>
        <w:spacing w:line="487" w:lineRule="auto" w:before="0"/>
        <w:ind w:left="152" w:right="8330" w:firstLine="0"/>
        <w:jc w:val="left"/>
        <w:rPr>
          <w:rFonts w:ascii="宋体" w:hAnsi="宋体" w:cs="宋体" w:eastAsia="宋体" w:hint="default"/>
          <w:sz w:val="21"/>
          <w:szCs w:val="21"/>
        </w:rPr>
      </w:pPr>
      <w:bookmarkStart w:name="74、其他" w:id="384"/>
      <w:bookmarkEnd w:id="384"/>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385"/>
      <w:bookmarkEnd w:id="385"/>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86"/>
      <w:bookmarkEnd w:id="38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right="1129"/>
        <w:jc w:val="left"/>
        <w:rPr>
          <w:b w:val="0"/>
          <w:bCs w:val="0"/>
        </w:rPr>
      </w:pPr>
      <w:bookmarkStart w:name="（1）本期发生的非同一控制下企业合并" w:id="387"/>
      <w:bookmarkEnd w:id="38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3"/>
        <w:gridCol w:w="1066"/>
        <w:gridCol w:w="1061"/>
        <w:gridCol w:w="1063"/>
        <w:gridCol w:w="1061"/>
      </w:tblGrid>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5"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2）合并成本及商誉" w:id="388"/>
      <w:bookmarkEnd w:id="38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pt;mso-position-horizontal-relative:char;mso-position-vertical-relative:line" coordorigin="0,0" coordsize="9579,420">
            <v:group style="position:absolute;left:23;top:14;width:2;height:392" coordorigin="23,14" coordsize="2,392">
              <v:shape style="position:absolute;left:23;top:14;width:2;height:392" coordorigin="23,14" coordsize="0,392" path="m23,14l23,406e" filled="false" stroked="true" strokeweight="1.08pt" strokecolor="#d4d4d4">
                <v:path arrowok="t"/>
              </v:shape>
            </v:group>
            <v:group style="position:absolute;left:4774;top:14;width:2;height:392" coordorigin="4774,14" coordsize="2,392">
              <v:shape style="position:absolute;left:4774;top:14;width:2;height:392" coordorigin="4774,14" coordsize="0,392" path="m4774,14l4774,406e" filled="false" stroked="true" strokeweight="1.2pt" strokecolor="#d4d4d4">
                <v:path arrowok="t"/>
              </v:shape>
            </v:group>
            <v:group style="position:absolute;left:34;top:14;width:4728;height:392" coordorigin="34,14" coordsize="4728,392">
              <v:shape style="position:absolute;left:34;top:14;width:4728;height:392" coordorigin="34,14" coordsize="4728,392" path="m34,406l4762,406,4762,14,34,14,34,406xe" filled="true" fillcolor="#d4d4d4" stroked="false">
                <v:path arrowok="t"/>
                <v:fill type="solid"/>
              </v:shape>
            </v:group>
            <v:group style="position:absolute;left:4806;top:14;width:2;height:392" coordorigin="4806,14" coordsize="2,392">
              <v:shape style="position:absolute;left:4806;top:14;width:2;height:392" coordorigin="4806,14" coordsize="0,392" path="m4806,14l4806,406e" filled="false" stroked="true" strokeweight="1.08pt" strokecolor="#e1ffff">
                <v:path arrowok="t"/>
              </v:shape>
            </v:group>
            <v:group style="position:absolute;left:9557;top:14;width:2;height:392" coordorigin="9557,14" coordsize="2,392">
              <v:shape style="position:absolute;left:9557;top:14;width:2;height:392" coordorigin="9557,14" coordsize="0,392" path="m9557,14l9557,406e" filled="false" stroked="true" strokeweight="1.2pt" strokecolor="#e1ffff">
                <v:path arrowok="t"/>
              </v:shape>
            </v:group>
            <v:group style="position:absolute;left:4817;top:14;width:4728;height:392" coordorigin="4817,14" coordsize="4728,392">
              <v:shape style="position:absolute;left:4817;top:14;width:4728;height:392" coordorigin="4817,14" coordsize="4728,392" path="m4817,406l9545,406,9545,14,4817,14,4817,406xe" filled="true" fillcolor="#e1ffff"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4;height:2" coordorigin="10,410" coordsize="4774,2">
              <v:shape style="position:absolute;left:10;top:410;width:4774;height:2" coordorigin="10,410" coordsize="4774,0" path="m10,410l4783,410e" filled="false" stroked="true" strokeweight=".481pt" strokecolor="#000000">
                <v:path arrowok="t"/>
              </v:shape>
            </v:group>
            <v:group style="position:absolute;left:4788;top:5;width:2;height:411" coordorigin="4788,5" coordsize="2,411">
              <v:shape style="position:absolute;left:4788;top:5;width:2;height:411" coordorigin="4788,5" coordsize="0,411" path="m4788,5l4788,415e" filled="false" stroked="true" strokeweight=".48pt" strokecolor="#000000">
                <v:path arrowok="t"/>
              </v:shape>
            </v:group>
            <v:group style="position:absolute;left:4793;top:410;width:4776;height:2" coordorigin="4793,410" coordsize="4776,2">
              <v:shape style="position:absolute;left:4793;top:410;width:4776;height:2" coordorigin="4793,410" coordsize="4776,0" path="m4793,410l9569,410e" filled="false" stroked="true" strokeweight=".481pt" strokecolor="#000000">
                <v:path arrowok="t"/>
              </v:shape>
            </v:group>
            <v:group style="position:absolute;left:9574;top:5;width:2;height:411" coordorigin="9574,5" coordsize="2,411">
              <v:shape style="position:absolute;left:9574;top:5;width:2;height:411" coordorigin="9574,5" coordsize="0,411" path="m9574,5l9574,415e" filled="false" stroked="true" strokeweight=".48pt" strokecolor="#000000">
                <v:path arrowok="t"/>
              </v:shape>
              <v:shape style="position:absolute;left:6;top:10;width:4784;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4"/>
        <w:ind w:right="6074"/>
        <w:jc w:val="left"/>
      </w:pPr>
      <w:r>
        <w:rPr/>
        <w:t>合并成本公允价值的确定方法、或有对价及其变动的说明： 大额商誉形成的主要原因：</w:t>
      </w:r>
    </w:p>
    <w:p>
      <w:pPr>
        <w:pStyle w:val="BodyText"/>
        <w:spacing w:line="240" w:lineRule="auto" w:before="25"/>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3）被购买方于购买日可辨认资产、负债" w:id="389"/>
      <w:bookmarkEnd w:id="38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380" w:type="dxa"/>
            <w:gridSpan w:val="2"/>
            <w:tcBorders>
              <w:top w:val="single" w:sz="4" w:space="0" w:color="000000"/>
              <w:left w:val="single" w:sz="10" w:space="0" w:color="D4D4D4"/>
              <w:bottom w:val="single" w:sz="4" w:space="0" w:color="000000"/>
              <w:right w:val="single" w:sz="4" w:space="0" w:color="000000"/>
            </w:tcBorders>
            <w:shd w:val="clear" w:color="auto" w:fill="E1FFFF"/>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49"/>
        <w:ind w:right="7531"/>
        <w:jc w:val="both"/>
      </w:pPr>
      <w:r>
        <w:rPr/>
        <w:t>可辨认资产、负债公允价值的确定方法： 企业合并中承担的被购买方的或有负债： 其他说明：</w:t>
      </w:r>
    </w:p>
    <w:p>
      <w:pPr>
        <w:spacing w:line="240" w:lineRule="auto" w:before="3"/>
        <w:rPr>
          <w:rFonts w:ascii="宋体" w:hAnsi="宋体" w:cs="宋体" w:eastAsia="宋体" w:hint="default"/>
          <w:sz w:val="20"/>
          <w:szCs w:val="20"/>
        </w:rPr>
      </w:pPr>
    </w:p>
    <w:p>
      <w:pPr>
        <w:pStyle w:val="Heading3"/>
        <w:spacing w:line="240" w:lineRule="auto"/>
        <w:ind w:right="0"/>
        <w:jc w:val="both"/>
        <w:rPr>
          <w:b w:val="0"/>
          <w:bCs w:val="0"/>
        </w:rPr>
      </w:pPr>
      <w:bookmarkStart w:name="（4）购买日之前持有的股权按照公允价值重新计量产生的利得或损失" w:id="390"/>
      <w:bookmarkEnd w:id="390"/>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both"/>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5）购买日或合并当期期末无法合理确定合并对价或被购买方可辨认资产、负债公允价值" w:id="391"/>
      <w:bookmarkEnd w:id="391"/>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6）其他说明" w:id="392"/>
      <w:bookmarkEnd w:id="392"/>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9"/>
        <w:jc w:val="left"/>
        <w:rPr>
          <w:b w:val="0"/>
          <w:bCs w:val="0"/>
        </w:rPr>
      </w:pPr>
      <w:bookmarkStart w:name="2、同一控制下企业合并" w:id="393"/>
      <w:bookmarkEnd w:id="393"/>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本期发生的同一控制下企业合并" w:id="394"/>
      <w:bookmarkEnd w:id="394"/>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3"/>
        <w:gridCol w:w="1066"/>
        <w:gridCol w:w="1064"/>
        <w:gridCol w:w="1062"/>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5"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7"/>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2）合并成本" w:id="395"/>
      <w:bookmarkEnd w:id="395"/>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3;top:17;width:2;height:392" coordorigin="23,17" coordsize="2,392">
              <v:shape style="position:absolute;left:23;top:17;width:2;height:392" coordorigin="23,17" coordsize="0,392" path="m23,17l23,408e" filled="false" stroked="true" strokeweight="1.08pt" strokecolor="#d4d4d4">
                <v:path arrowok="t"/>
              </v:shape>
            </v:group>
            <v:group style="position:absolute;left:4774;top:17;width:2;height:392" coordorigin="4774,17" coordsize="2,392">
              <v:shape style="position:absolute;left:4774;top:17;width:2;height:392" coordorigin="4774,17" coordsize="0,392" path="m4774,17l4774,408e" filled="false" stroked="true" strokeweight="1.2pt" strokecolor="#d4d4d4">
                <v:path arrowok="t"/>
              </v:shape>
            </v:group>
            <v:group style="position:absolute;left:34;top:17;width:4728;height:392" coordorigin="34,17" coordsize="4728,392">
              <v:shape style="position:absolute;left:34;top:17;width:4728;height:392" coordorigin="34,17" coordsize="4728,392" path="m34,408l4762,408,4762,17,34,17,34,408xe" filled="true" fillcolor="#d4d4d4" stroked="false">
                <v:path arrowok="t"/>
                <v:fill type="solid"/>
              </v:shape>
            </v:group>
            <v:group style="position:absolute;left:4806;top:17;width:2;height:392" coordorigin="4806,17" coordsize="2,392">
              <v:shape style="position:absolute;left:4806;top:17;width:2;height:392" coordorigin="4806,17" coordsize="0,392" path="m4806,17l4806,408e" filled="false" stroked="true" strokeweight="1.08pt" strokecolor="#e1ffff">
                <v:path arrowok="t"/>
              </v:shape>
            </v:group>
            <v:group style="position:absolute;left:9557;top:17;width:2;height:392" coordorigin="9557,17" coordsize="2,392">
              <v:shape style="position:absolute;left:9557;top:17;width:2;height:392" coordorigin="9557,17" coordsize="0,392" path="m9557,17l9557,408e" filled="false" stroked="true" strokeweight="1.2pt" strokecolor="#e1ffff">
                <v:path arrowok="t"/>
              </v:shape>
            </v:group>
            <v:group style="position:absolute;left:4817;top:17;width:4728;height:392" coordorigin="4817,17" coordsize="4728,392">
              <v:shape style="position:absolute;left:4817;top:17;width:4728;height:392" coordorigin="4817,17" coordsize="4728,392" path="m4817,408l9545,408,9545,17,4817,17,4817,408xe" filled="true" fillcolor="#e1ffff"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8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8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6;top:10;width:4784;height:404"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8594"/>
        <w:jc w:val="left"/>
      </w:pPr>
      <w:r>
        <w:rPr/>
        <w:t>或有对价及其变动的说明： 其他说明：</w:t>
      </w:r>
    </w:p>
    <w:p>
      <w:pPr>
        <w:spacing w:line="240" w:lineRule="auto" w:before="6"/>
        <w:rPr>
          <w:rFonts w:ascii="宋体" w:hAnsi="宋体" w:cs="宋体" w:eastAsia="宋体" w:hint="default"/>
          <w:sz w:val="20"/>
          <w:szCs w:val="20"/>
        </w:rPr>
      </w:pPr>
    </w:p>
    <w:p>
      <w:pPr>
        <w:pStyle w:val="Heading3"/>
        <w:spacing w:line="240" w:lineRule="auto"/>
        <w:ind w:right="1129"/>
        <w:jc w:val="left"/>
        <w:rPr>
          <w:b w:val="0"/>
          <w:bCs w:val="0"/>
        </w:rPr>
      </w:pPr>
      <w:bookmarkStart w:name="（3）合并日被合并方资产、负债的账面价值" w:id="396"/>
      <w:bookmarkEnd w:id="396"/>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3;top:14;width:2;height:392" coordorigin="23,14" coordsize="2,392">
              <v:shape style="position:absolute;left:23;top:14;width:2;height:392" coordorigin="23,14" coordsize="0,392" path="m23,14l23,406e" filled="false" stroked="true" strokeweight="1.08pt" strokecolor="#d4d4d4">
                <v:path arrowok="t"/>
              </v:shape>
            </v:group>
            <v:group style="position:absolute;left:3180;top:14;width:2;height:392" coordorigin="3180,14" coordsize="2,392">
              <v:shape style="position:absolute;left:3180;top:14;width:2;height:392" coordorigin="3180,14" coordsize="0,392" path="m3180,14l3180,406e" filled="false" stroked="true" strokeweight="1.2pt" strokecolor="#d4d4d4">
                <v:path arrowok="t"/>
              </v:shape>
            </v:group>
            <v:group style="position:absolute;left:34;top:14;width:3135;height:392" coordorigin="34,14" coordsize="3135,392">
              <v:shape style="position:absolute;left:34;top:14;width:3135;height:392" coordorigin="34,14" coordsize="3135,392" path="m34,406l3168,406,3168,14,34,14,34,406xe" filled="true" fillcolor="#d4d4d4" stroked="false">
                <v:path arrowok="t"/>
                <v:fill type="solid"/>
              </v:shape>
            </v:group>
            <v:group style="position:absolute;left:3212;top:14;width:2;height:392" coordorigin="3212,14" coordsize="2,392">
              <v:shape style="position:absolute;left:3212;top:14;width:2;height:392" coordorigin="3212,14" coordsize="0,392" path="m3212,14l3212,406e" filled="false" stroked="true" strokeweight="1.08pt" strokecolor="#e1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1ffff">
                <v:path arrowok="t"/>
              </v:shape>
            </v:group>
            <v:group style="position:absolute;left:3223;top:14;width:6324;height:392" coordorigin="3223,14" coordsize="6324,392">
              <v:shape style="position:absolute;left:3223;top:14;width:6324;height:392" coordorigin="3223,14" coordsize="6324,392" path="m3223,406l9547,406,9547,14,3223,14,3223,406xe" filled="true" fillcolor="#e1ffff" stroked="false">
                <v:path arrowok="t"/>
                <v:fill type="solid"/>
              </v:shape>
            </v:group>
            <v:group style="position:absolute;left:10;top:10;width:3180;height:2" coordorigin="10,10" coordsize="3180,2">
              <v:shape style="position:absolute;left:10;top:10;width:3180;height:2" coordorigin="10,10" coordsize="3180,0" path="m10,10l3190,10e" filled="false" stroked="true" strokeweight=".48pt" strokecolor="#000000">
                <v:path arrowok="t"/>
              </v:shape>
            </v:group>
            <v:group style="position:absolute;left:3199;top:10;width:6372;height:2" coordorigin="3199,10" coordsize="6372,2">
              <v:shape style="position:absolute;left:3199;top:10;width:6372;height:2" coordorigin="3199,10" coordsize="6372,0" path="m3199,10l9571,10e" filled="false" stroked="true" strokeweight=".48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4d4d4">
                <v:path arrowok="t"/>
              </v:shape>
            </v:group>
            <v:group style="position:absolute;left:3180;top:415;width:2;height:394" coordorigin="3180,415" coordsize="2,394">
              <v:shape style="position:absolute;left:3180;top:415;width:2;height:394" coordorigin="3180,415" coordsize="0,394" path="m3180,415l3180,809e" filled="false" stroked="true" strokeweight="1.2pt" strokecolor="#d4d4d4">
                <v:path arrowok="t"/>
              </v:shape>
            </v:group>
            <v:group style="position:absolute;left:34;top:415;width:3135;height:394" coordorigin="34,415" coordsize="3135,394">
              <v:shape style="position:absolute;left:34;top:415;width:3135;height:394" coordorigin="34,415" coordsize="3135,394" path="m34,809l3168,809,3168,415,34,415,34,809xe" filled="true" fillcolor="#d4d4d4" stroked="false">
                <v:path arrowok="t"/>
                <v:fill type="solid"/>
              </v:shape>
            </v:group>
            <v:group style="position:absolute;left:3212;top:415;width:2;height:394" coordorigin="3212,415" coordsize="2,394">
              <v:shape style="position:absolute;left:3212;top:415;width:2;height:394" coordorigin="3212,415" coordsize="0,394" path="m3212,415l3212,809e" filled="false" stroked="true" strokeweight="1.08pt" strokecolor="#d4d4d4">
                <v:path arrowok="t"/>
              </v:shape>
            </v:group>
            <v:group style="position:absolute;left:6370;top:415;width:2;height:394" coordorigin="6370,415" coordsize="2,394">
              <v:shape style="position:absolute;left:6370;top:415;width:2;height:394" coordorigin="6370,415" coordsize="0,394" path="m6370,415l6370,809e" filled="false" stroked="true" strokeweight="1.2pt" strokecolor="#d4d4d4">
                <v:path arrowok="t"/>
              </v:shape>
            </v:group>
            <v:group style="position:absolute;left:3223;top:415;width:3135;height:394" coordorigin="3223,415" coordsize="3135,394">
              <v:shape style="position:absolute;left:3223;top:415;width:3135;height:394" coordorigin="3223,415" coordsize="3135,394" path="m3223,809l6358,809,6358,415,3223,415,3223,809xe" filled="true" fillcolor="#d4d4d4" stroked="false">
                <v:path arrowok="t"/>
                <v:fill type="solid"/>
              </v:shape>
            </v:group>
            <v:group style="position:absolute;left:6402;top:415;width:2;height:394" coordorigin="6402,415" coordsize="2,394">
              <v:shape style="position:absolute;left:6402;top:415;width:2;height:394" coordorigin="6402,415" coordsize="0,394" path="m6402,415l6402,809e" filled="false" stroked="true" strokeweight="1.08pt" strokecolor="#d4d4d4">
                <v:path arrowok="t"/>
              </v:shape>
            </v:group>
            <v:group style="position:absolute;left:9559;top:415;width:2;height:394" coordorigin="9559,415" coordsize="2,394">
              <v:shape style="position:absolute;left:9559;top:415;width:2;height:394" coordorigin="9559,415" coordsize="0,394" path="m9559,415l9559,809e" filled="false" stroked="true" strokeweight="1.2pt" strokecolor="#d4d4d4">
                <v:path arrowok="t"/>
              </v:shape>
            </v:group>
            <v:group style="position:absolute;left:6413;top:415;width:3135;height:394" coordorigin="6413,415" coordsize="3135,394">
              <v:shape style="position:absolute;left:6413;top:415;width:3135;height:394" coordorigin="6413,415" coordsize="3135,394" path="m6413,809l9547,809,9547,415,6413,415,6413,809xe" filled="true" fillcolor="#d4d4d4" stroked="false">
                <v:path arrowok="t"/>
                <v:fill type="solid"/>
              </v:shape>
            </v:group>
            <v:group style="position:absolute;left:10;top:410;width:3180;height:2" coordorigin="10,410" coordsize="3180,2">
              <v:shape style="position:absolute;left:10;top:410;width:3180;height:2" coordorigin="10,410" coordsize="3180,0" path="m10,410l3190,410e" filled="false" stroked="true" strokeweight=".481pt" strokecolor="#000000">
                <v:path arrowok="t"/>
              </v:shape>
            </v:group>
            <v:group style="position:absolute;left:3199;top:410;width:3180;height:2" coordorigin="3199,410" coordsize="3180,2">
              <v:shape style="position:absolute;left:3199;top:410;width:3180;height:2" coordorigin="3199,410" coordsize="3180,0" path="m3199,410l6379,410e" filled="false" stroked="true" strokeweight=".481pt" strokecolor="#000000">
                <v:path arrowok="t"/>
              </v:shape>
            </v:group>
            <v:group style="position:absolute;left:6389;top:410;width:3183;height:2" coordorigin="6389,410" coordsize="3183,2">
              <v:shape style="position:absolute;left:6389;top:410;width:3183;height:2" coordorigin="6389,410" coordsize="3183,0" path="m6389,410l9571,410e" filled="false" stroked="true" strokeweight=".481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0;height:2" coordorigin="10,814" coordsize="3180,2">
              <v:shape style="position:absolute;left:10;top:814;width:3180;height:2" coordorigin="10,814" coordsize="3180,0" path="m10,814l3190,814e" filled="false" stroked="true" strokeweight=".481pt" strokecolor="#000000">
                <v:path arrowok="t"/>
              </v:shape>
            </v:group>
            <v:group style="position:absolute;left:3194;top:5;width:2;height:814" coordorigin="3194,5" coordsize="2,814">
              <v:shape style="position:absolute;left:3194;top:5;width:2;height:814" coordorigin="3194,5" coordsize="0,814" path="m3194,5l3194,818e" filled="false" stroked="true" strokeweight=".48pt" strokecolor="#000000">
                <v:path arrowok="t"/>
              </v:shape>
            </v:group>
            <v:group style="position:absolute;left:3199;top:814;width:3180;height:2" coordorigin="3199,814" coordsize="3180,2">
              <v:shape style="position:absolute;left:3199;top:814;width:3180;height:2" coordorigin="3199,814" coordsize="3180,0" path="m3199,814l6379,814e" filled="false" stroked="true" strokeweight=".481pt" strokecolor="#000000">
                <v:path arrowok="t"/>
              </v:shape>
            </v:group>
            <v:group style="position:absolute;left:6384;top:406;width:2;height:413" coordorigin="6384,406" coordsize="2,413">
              <v:shape style="position:absolute;left:6384;top:406;width:2;height:413" coordorigin="6384,406" coordsize="0,413" path="m6384,406l6384,818e" filled="false" stroked="true" strokeweight=".48pt" strokecolor="#000000">
                <v:path arrowok="t"/>
              </v:shape>
            </v:group>
            <v:group style="position:absolute;left:6389;top:814;width:3183;height:2" coordorigin="6389,814" coordsize="3183,2">
              <v:shape style="position:absolute;left:6389;top:814;width:3183;height:2" coordorigin="6389,814" coordsize="3183,0" path="m6389,814l9571,814e" filled="false" stroked="true" strokeweight=".481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4;top:410;width:3202;height:404" type="#_x0000_t202" filled="false" stroked="false">
                <v:textbox inset="0,0,0,0">
                  <w:txbxContent>
                    <w:p>
                      <w:pPr>
                        <w:spacing w:before="53"/>
                        <w:ind w:left="9"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0;width:3179;height:404" type="#_x0000_t202" filled="false" stroked="false">
                <v:textbox inset="0,0,0,0">
                  <w:txbxContent>
                    <w:p>
                      <w:pPr>
                        <w:spacing w:before="53"/>
                        <w:ind w:left="1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4"/>
        <w:ind w:right="7514"/>
        <w:jc w:val="left"/>
      </w:pPr>
      <w:r>
        <w:rPr/>
        <w:t>企业合并中承担的被合并方的或有负债： 其他说明：</w:t>
      </w:r>
    </w:p>
    <w:p>
      <w:pPr>
        <w:spacing w:line="240" w:lineRule="auto" w:before="6"/>
        <w:rPr>
          <w:rFonts w:ascii="宋体" w:hAnsi="宋体" w:cs="宋体" w:eastAsia="宋体" w:hint="default"/>
          <w:sz w:val="20"/>
          <w:szCs w:val="20"/>
        </w:rPr>
      </w:pPr>
    </w:p>
    <w:p>
      <w:pPr>
        <w:pStyle w:val="Heading3"/>
        <w:spacing w:line="240" w:lineRule="auto"/>
        <w:ind w:right="1129"/>
        <w:jc w:val="left"/>
        <w:rPr>
          <w:b w:val="0"/>
          <w:bCs w:val="0"/>
        </w:rPr>
      </w:pPr>
      <w:bookmarkStart w:name="3、反向购买" w:id="397"/>
      <w:bookmarkEnd w:id="397"/>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8"/>
        <w:rPr>
          <w:rFonts w:ascii="宋体" w:hAnsi="宋体" w:cs="宋体" w:eastAsia="宋体" w:hint="default"/>
          <w:sz w:val="22"/>
          <w:szCs w:val="22"/>
        </w:rPr>
      </w:pPr>
    </w:p>
    <w:p>
      <w:pPr>
        <w:pStyle w:val="Heading3"/>
        <w:spacing w:line="240" w:lineRule="auto"/>
        <w:ind w:right="1129"/>
        <w:jc w:val="left"/>
        <w:rPr>
          <w:b w:val="0"/>
          <w:bCs w:val="0"/>
        </w:rPr>
      </w:pPr>
      <w:bookmarkStart w:name="4、处置子公司" w:id="398"/>
      <w:bookmarkEnd w:id="398"/>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293" w:space="4534"/>
            <w:col w:w="2103"/>
          </w:cols>
        </w:sectPr>
      </w:pPr>
    </w:p>
    <w:p>
      <w:pPr>
        <w:spacing w:line="240" w:lineRule="auto" w:before="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4"/>
        <w:gridCol w:w="737"/>
        <w:gridCol w:w="734"/>
        <w:gridCol w:w="736"/>
        <w:gridCol w:w="733"/>
        <w:gridCol w:w="737"/>
        <w:gridCol w:w="737"/>
        <w:gridCol w:w="737"/>
        <w:gridCol w:w="734"/>
        <w:gridCol w:w="737"/>
      </w:tblGrid>
      <w:tr>
        <w:trPr>
          <w:trHeight w:val="694" w:hRule="exact"/>
        </w:trPr>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38"/>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38"/>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38"/>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38"/>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9"/>
              <w:ind w:left="93" w:right="91"/>
              <w:jc w:val="left"/>
              <w:rPr>
                <w:rFonts w:ascii="宋体" w:hAnsi="宋体" w:cs="宋体" w:eastAsia="宋体" w:hint="default"/>
                <w:sz w:val="18"/>
                <w:szCs w:val="18"/>
              </w:rPr>
            </w:pPr>
            <w:r>
              <w:rPr>
                <w:rFonts w:ascii="宋体" w:hAnsi="宋体" w:cs="宋体" w:eastAsia="宋体" w:hint="default"/>
                <w:sz w:val="18"/>
                <w:szCs w:val="18"/>
              </w:rPr>
              <w:t>丧失控 制权的</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9"/>
              <w:ind w:left="93" w:right="89"/>
              <w:jc w:val="left"/>
              <w:rPr>
                <w:rFonts w:ascii="宋体" w:hAnsi="宋体" w:cs="宋体" w:eastAsia="宋体" w:hint="default"/>
                <w:sz w:val="18"/>
                <w:szCs w:val="18"/>
              </w:rPr>
            </w:pPr>
            <w:r>
              <w:rPr>
                <w:rFonts w:ascii="宋体" w:hAnsi="宋体" w:cs="宋体" w:eastAsia="宋体" w:hint="default"/>
                <w:sz w:val="18"/>
                <w:szCs w:val="18"/>
              </w:rPr>
              <w:t>丧失控 制权时</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9"/>
              <w:ind w:left="93" w:right="90"/>
              <w:jc w:val="left"/>
              <w:rPr>
                <w:rFonts w:ascii="宋体" w:hAnsi="宋体" w:cs="宋体" w:eastAsia="宋体" w:hint="default"/>
                <w:sz w:val="18"/>
                <w:szCs w:val="18"/>
              </w:rPr>
            </w:pPr>
            <w:r>
              <w:rPr>
                <w:rFonts w:ascii="宋体" w:hAnsi="宋体" w:cs="宋体" w:eastAsia="宋体" w:hint="default"/>
                <w:sz w:val="18"/>
                <w:szCs w:val="18"/>
              </w:rPr>
              <w:t>处置价 款与处</w:t>
            </w:r>
          </w:p>
        </w:tc>
        <w:tc>
          <w:tcPr>
            <w:tcW w:w="7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9"/>
              <w:ind w:left="92" w:right="89"/>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9"/>
              <w:ind w:left="93" w:right="91"/>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9"/>
              <w:ind w:left="93" w:right="91"/>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9"/>
              <w:ind w:left="93" w:right="91"/>
              <w:jc w:val="left"/>
              <w:rPr>
                <w:rFonts w:ascii="宋体" w:hAnsi="宋体" w:cs="宋体" w:eastAsia="宋体" w:hint="default"/>
                <w:sz w:val="18"/>
                <w:szCs w:val="18"/>
              </w:rPr>
            </w:pPr>
            <w:r>
              <w:rPr>
                <w:rFonts w:ascii="宋体" w:hAnsi="宋体" w:cs="宋体" w:eastAsia="宋体" w:hint="default"/>
                <w:sz w:val="18"/>
                <w:szCs w:val="18"/>
              </w:rPr>
              <w:t>按照公 允价值</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9"/>
              <w:ind w:left="93" w:right="89"/>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9"/>
              <w:ind w:left="93" w:right="91"/>
              <w:jc w:val="left"/>
              <w:rPr>
                <w:rFonts w:ascii="宋体" w:hAnsi="宋体" w:cs="宋体" w:eastAsia="宋体" w:hint="default"/>
                <w:sz w:val="18"/>
                <w:szCs w:val="18"/>
              </w:rPr>
            </w:pPr>
            <w:r>
              <w:rPr>
                <w:rFonts w:ascii="宋体" w:hAnsi="宋体" w:cs="宋体" w:eastAsia="宋体" w:hint="default"/>
                <w:sz w:val="18"/>
                <w:szCs w:val="18"/>
              </w:rPr>
              <w:t>与原子 公司股</w:t>
            </w:r>
          </w:p>
        </w:tc>
      </w:tr>
    </w:tbl>
    <w:p>
      <w:pPr>
        <w:spacing w:after="0" w:line="314" w:lineRule="auto"/>
        <w:jc w:val="left"/>
        <w:rPr>
          <w:rFonts w:ascii="宋体" w:hAnsi="宋体" w:cs="宋体" w:eastAsia="宋体"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4"/>
        <w:gridCol w:w="737"/>
        <w:gridCol w:w="734"/>
        <w:gridCol w:w="734"/>
        <w:gridCol w:w="734"/>
        <w:gridCol w:w="737"/>
        <w:gridCol w:w="737"/>
        <w:gridCol w:w="737"/>
        <w:gridCol w:w="734"/>
        <w:gridCol w:w="737"/>
      </w:tblGrid>
      <w:tr>
        <w:trPr>
          <w:trHeight w:val="3170" w:hRule="exact"/>
        </w:trPr>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时点</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93" w:right="89"/>
              <w:jc w:val="left"/>
              <w:rPr>
                <w:rFonts w:ascii="宋体" w:hAnsi="宋体" w:cs="宋体" w:eastAsia="宋体" w:hint="default"/>
                <w:sz w:val="18"/>
                <w:szCs w:val="18"/>
              </w:rPr>
            </w:pPr>
            <w:r>
              <w:rPr>
                <w:rFonts w:ascii="宋体" w:hAnsi="宋体" w:cs="宋体" w:eastAsia="宋体" w:hint="default"/>
                <w:sz w:val="18"/>
                <w:szCs w:val="18"/>
              </w:rPr>
              <w:t>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93" w:right="89"/>
              <w:jc w:val="center"/>
              <w:rPr>
                <w:rFonts w:ascii="宋体" w:hAnsi="宋体" w:cs="宋体" w:eastAsia="宋体" w:hint="default"/>
                <w:sz w:val="18"/>
                <w:szCs w:val="18"/>
              </w:rPr>
            </w:pPr>
            <w:r>
              <w:rPr>
                <w:rFonts w:ascii="宋体" w:hAnsi="宋体" w:cs="宋体" w:eastAsia="宋体" w:hint="default"/>
                <w:sz w:val="18"/>
                <w:szCs w:val="18"/>
              </w:rPr>
              <w:t>置投资 对应的 合并财 务报表 层面享 有该子 公司净 资产份 额的差 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93" w:right="89"/>
              <w:jc w:val="both"/>
              <w:rPr>
                <w:rFonts w:ascii="宋体" w:hAnsi="宋体" w:cs="宋体" w:eastAsia="宋体" w:hint="default"/>
                <w:sz w:val="18"/>
                <w:szCs w:val="18"/>
              </w:rPr>
            </w:pPr>
            <w:r>
              <w:rPr>
                <w:rFonts w:ascii="宋体" w:hAnsi="宋体" w:cs="宋体" w:eastAsia="宋体" w:hint="default"/>
                <w:sz w:val="18"/>
                <w:szCs w:val="18"/>
              </w:rPr>
              <w:t>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重新计 量剩余 股权产 生的利 得或损 失</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93" w:right="89"/>
              <w:jc w:val="center"/>
              <w:rPr>
                <w:rFonts w:ascii="宋体" w:hAnsi="宋体" w:cs="宋体" w:eastAsia="宋体" w:hint="default"/>
                <w:sz w:val="18"/>
                <w:szCs w:val="18"/>
              </w:rPr>
            </w:pPr>
            <w:r>
              <w:rPr>
                <w:rFonts w:ascii="宋体" w:hAnsi="宋体" w:cs="宋体" w:eastAsia="宋体" w:hint="default"/>
                <w:sz w:val="18"/>
                <w:szCs w:val="18"/>
              </w:rPr>
              <w:t>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93" w:right="91"/>
              <w:jc w:val="both"/>
              <w:rPr>
                <w:rFonts w:ascii="宋体" w:hAnsi="宋体" w:cs="宋体" w:eastAsia="宋体" w:hint="default"/>
                <w:sz w:val="18"/>
                <w:szCs w:val="18"/>
              </w:rPr>
            </w:pPr>
            <w:r>
              <w:rPr>
                <w:rFonts w:ascii="宋体" w:hAnsi="宋体" w:cs="宋体" w:eastAsia="宋体" w:hint="default"/>
                <w:sz w:val="18"/>
                <w:szCs w:val="18"/>
              </w:rPr>
              <w:t>权投资 相关的 其他综 合收益 转入投 资损益 的金额</w:t>
            </w:r>
          </w:p>
        </w:tc>
      </w:tr>
      <w:tr>
        <w:trPr>
          <w:trHeight w:val="102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天正信 华</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4994"/>
        <w:jc w:val="left"/>
      </w:pPr>
      <w:r>
        <w:rPr/>
        <w:t>其他说明： 是否存在通过多次交易分步处置对子公司投资且在本期丧失控制权的情形</w:t>
      </w:r>
    </w:p>
    <w:p>
      <w:pPr>
        <w:pStyle w:val="BodyText"/>
        <w:spacing w:line="240" w:lineRule="auto" w:before="25"/>
        <w:ind w:right="11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29"/>
        <w:jc w:val="left"/>
        <w:rPr>
          <w:b w:val="0"/>
          <w:bCs w:val="0"/>
        </w:rPr>
      </w:pPr>
      <w:bookmarkStart w:name="5、其他原因的合并范围变动" w:id="399"/>
      <w:bookmarkEnd w:id="399"/>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t>说明其他原因导致的合并范围变动（如，新设子公司、清算子公司等）及其相关情况：</w:t>
      </w:r>
    </w:p>
    <w:p>
      <w:pPr>
        <w:pStyle w:val="BodyText"/>
        <w:spacing w:line="300" w:lineRule="auto" w:before="117"/>
        <w:ind w:right="1129"/>
        <w:jc w:val="left"/>
      </w:pP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13</w:t>
      </w:r>
      <w:r>
        <w:rPr>
          <w:spacing w:val="-2"/>
        </w:rPr>
        <w:t>日，本公司与无锡智丰投资合伙企业（有限合伙）及无锡智哲投资合伙企业（有限合伙）以</w:t>
      </w:r>
      <w:r>
        <w:rPr>
          <w:rFonts w:ascii="Times New Roman" w:hAnsi="Times New Roman" w:cs="Times New Roman" w:eastAsia="Times New Roman" w:hint="default"/>
          <w:spacing w:val="-2"/>
        </w:rPr>
        <w:t>60%</w:t>
      </w:r>
      <w:r>
        <w:rPr>
          <w:spacing w:val="-2"/>
        </w:rPr>
        <w:t>、</w:t>
      </w:r>
      <w:r>
        <w:rPr>
          <w:rFonts w:ascii="Times New Roman" w:hAnsi="Times New Roman" w:cs="Times New Roman" w:eastAsia="Times New Roman" w:hint="default"/>
          <w:spacing w:val="-2"/>
        </w:rPr>
        <w:t>10%</w:t>
      </w:r>
      <w:r>
        <w:rPr>
          <w:spacing w:val="-2"/>
        </w:rPr>
        <w:t>及</w:t>
      </w:r>
      <w:r>
        <w:rPr>
          <w:rFonts w:ascii="Times New Roman" w:hAnsi="Times New Roman" w:cs="Times New Roman" w:eastAsia="Times New Roman" w:hint="default"/>
          <w:spacing w:val="-2"/>
        </w:rPr>
        <w:t>30%</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的持股比例共同发起设立瀚云科技有限公司（以下简称</w:t>
      </w:r>
      <w:r>
        <w:rPr>
          <w:rFonts w:ascii="Times New Roman" w:hAnsi="Times New Roman" w:cs="Times New Roman" w:eastAsia="Times New Roman" w:hint="default"/>
        </w:rPr>
        <w:t>“</w:t>
      </w:r>
      <w:r>
        <w:rPr/>
        <w:t>瀚云科技</w:t>
      </w:r>
      <w:r>
        <w:rPr>
          <w:rFonts w:ascii="Times New Roman" w:hAnsi="Times New Roman" w:cs="Times New Roman" w:eastAsia="Times New Roman" w:hint="default"/>
        </w:rPr>
        <w:t>”</w:t>
      </w:r>
      <w:r>
        <w:rPr/>
        <w:t>），瀚云科技注册资本</w:t>
      </w:r>
      <w:r>
        <w:rPr>
          <w:rFonts w:ascii="Times New Roman" w:hAnsi="Times New Roman" w:cs="Times New Roman" w:eastAsia="Times New Roman" w:hint="default"/>
        </w:rPr>
        <w:t>150,000,000.00</w:t>
      </w:r>
      <w:r>
        <w:rPr/>
        <w:t>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31</w:t>
      </w:r>
      <w:r>
        <w:rPr/>
        <w:t>日已实缴出资</w:t>
      </w:r>
      <w:r>
        <w:rPr>
          <w:rFonts w:ascii="Times New Roman" w:hAnsi="Times New Roman" w:cs="Times New Roman" w:eastAsia="Times New Roman" w:hint="default"/>
        </w:rPr>
        <w:t>5,000,000.00</w:t>
      </w:r>
      <w:r>
        <w:rPr/>
        <w:t>元，为受本公司控制的子公司，纳入合并范围。</w:t>
      </w:r>
    </w:p>
    <w:p>
      <w:pPr>
        <w:spacing w:line="240" w:lineRule="auto" w:before="11"/>
        <w:rPr>
          <w:rFonts w:ascii="宋体" w:hAnsi="宋体" w:cs="宋体" w:eastAsia="宋体" w:hint="default"/>
          <w:sz w:val="24"/>
          <w:szCs w:val="24"/>
        </w:rPr>
      </w:pPr>
    </w:p>
    <w:p>
      <w:pPr>
        <w:pStyle w:val="BodyText"/>
        <w:spacing w:line="300" w:lineRule="auto"/>
        <w:ind w:right="1130"/>
        <w:jc w:val="both"/>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日，本公司与无锡智丰投资合伙企业（有限合伙）及无锡智林投资合伙企业（有限合伙）以</w:t>
      </w:r>
      <w:r>
        <w:rPr>
          <w:rFonts w:ascii="Times New Roman" w:hAnsi="Times New Roman" w:cs="Times New Roman" w:eastAsia="Times New Roman" w:hint="default"/>
        </w:rPr>
        <w:t>51%</w:t>
      </w:r>
      <w:r>
        <w:rPr/>
        <w:t>、</w:t>
      </w:r>
      <w:r>
        <w:rPr>
          <w:rFonts w:ascii="Times New Roman" w:hAnsi="Times New Roman" w:cs="Times New Roman" w:eastAsia="Times New Roman" w:hint="default"/>
        </w:rPr>
        <w:t>14%</w:t>
      </w:r>
      <w:r>
        <w:rPr/>
        <w:t>及</w:t>
      </w:r>
      <w:r>
        <w:rPr>
          <w:rFonts w:ascii="Times New Roman" w:hAnsi="Times New Roman" w:cs="Times New Roman" w:eastAsia="Times New Roman" w:hint="default"/>
        </w:rPr>
        <w:t>35% </w:t>
      </w:r>
      <w:r>
        <w:rPr>
          <w:spacing w:val="-1"/>
        </w:rPr>
        <w:t>的持股比例共同发起设立朗新智元有限公司（以下简称</w:t>
      </w:r>
      <w:r>
        <w:rPr>
          <w:rFonts w:ascii="Times New Roman" w:hAnsi="Times New Roman" w:cs="Times New Roman" w:eastAsia="Times New Roman" w:hint="default"/>
          <w:spacing w:val="-1"/>
        </w:rPr>
        <w:t>“</w:t>
      </w:r>
      <w:r>
        <w:rPr>
          <w:spacing w:val="-1"/>
        </w:rPr>
        <w:t>朗新智元</w:t>
      </w:r>
      <w:r>
        <w:rPr>
          <w:rFonts w:ascii="Times New Roman" w:hAnsi="Times New Roman" w:cs="Times New Roman" w:eastAsia="Times New Roman" w:hint="default"/>
          <w:spacing w:val="-1"/>
        </w:rPr>
        <w:t>”</w:t>
      </w:r>
      <w:r>
        <w:rPr>
          <w:spacing w:val="-1"/>
        </w:rPr>
        <w:t>），朗新智元注册资本</w:t>
      </w:r>
      <w:r>
        <w:rPr>
          <w:rFonts w:ascii="Times New Roman" w:hAnsi="Times New Roman" w:cs="Times New Roman" w:eastAsia="Times New Roman" w:hint="default"/>
          <w:spacing w:val="-1"/>
        </w:rPr>
        <w:t>50,000,000.00</w:t>
      </w:r>
      <w:r>
        <w:rPr>
          <w:spacing w:val="-1"/>
        </w:rPr>
        <w:t>元，截至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spacing w:val="-50"/>
        </w:rPr>
        <w:t> </w:t>
      </w:r>
      <w:r>
        <w:rPr>
          <w:rFonts w:ascii="Times New Roman" w:hAnsi="Times New Roman" w:cs="Times New Roman" w:eastAsia="Times New Roman" w:hint="default"/>
        </w:rPr>
        <w:t>31</w:t>
      </w:r>
      <w:r>
        <w:rPr/>
        <w:t>日尚未实际出资，为受本公司控制的子公司，纳入合并范围。</w:t>
      </w:r>
    </w:p>
    <w:p>
      <w:pPr>
        <w:spacing w:line="240" w:lineRule="auto" w:before="11"/>
        <w:rPr>
          <w:rFonts w:ascii="宋体" w:hAnsi="宋体" w:cs="宋体" w:eastAsia="宋体" w:hint="default"/>
          <w:sz w:val="24"/>
          <w:szCs w:val="24"/>
        </w:rPr>
      </w:pPr>
    </w:p>
    <w:p>
      <w:pPr>
        <w:pStyle w:val="BodyText"/>
        <w:spacing w:line="300" w:lineRule="auto"/>
        <w:ind w:left="153" w:right="1130" w:hanging="1"/>
        <w:jc w:val="both"/>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 </w:t>
      </w:r>
      <w:r>
        <w:rPr>
          <w:spacing w:val="-2"/>
        </w:rPr>
        <w:t>，本公司与无锡智丰投资合伙企业（有限合伙）及无锡智骏投资合伙企业（有限合伙）以</w:t>
      </w:r>
      <w:r>
        <w:rPr>
          <w:rFonts w:ascii="Times New Roman" w:hAnsi="Times New Roman" w:cs="Times New Roman" w:eastAsia="Times New Roman" w:hint="default"/>
          <w:spacing w:val="-2"/>
        </w:rPr>
        <w:t>51%</w:t>
      </w:r>
      <w:r>
        <w:rPr>
          <w:spacing w:val="-2"/>
        </w:rPr>
        <w:t>、</w:t>
      </w:r>
      <w:r>
        <w:rPr>
          <w:rFonts w:ascii="Times New Roman" w:hAnsi="Times New Roman" w:cs="Times New Roman" w:eastAsia="Times New Roman" w:hint="default"/>
          <w:spacing w:val="-2"/>
        </w:rPr>
        <w:t>14%</w:t>
      </w:r>
      <w:r>
        <w:rPr>
          <w:spacing w:val="-2"/>
        </w:rPr>
        <w:t>及</w:t>
      </w:r>
      <w:r>
        <w:rPr>
          <w:rFonts w:ascii="Times New Roman" w:hAnsi="Times New Roman" w:cs="Times New Roman" w:eastAsia="Times New Roman" w:hint="default"/>
          <w:spacing w:val="-2"/>
        </w:rPr>
        <w:t>35%</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spacing w:val="-1"/>
        </w:rPr>
        <w:t>的持股比例共同发起设立云筑智联科技有限公司（以下简称</w:t>
      </w:r>
      <w:r>
        <w:rPr>
          <w:rFonts w:ascii="Times New Roman" w:hAnsi="Times New Roman" w:cs="Times New Roman" w:eastAsia="Times New Roman" w:hint="default"/>
          <w:spacing w:val="-1"/>
        </w:rPr>
        <w:t>“</w:t>
      </w:r>
      <w:r>
        <w:rPr>
          <w:spacing w:val="-1"/>
        </w:rPr>
        <w:t>云筑智联</w:t>
      </w:r>
      <w:r>
        <w:rPr>
          <w:rFonts w:ascii="Times New Roman" w:hAnsi="Times New Roman" w:cs="Times New Roman" w:eastAsia="Times New Roman" w:hint="default"/>
          <w:spacing w:val="-1"/>
        </w:rPr>
        <w:t>”</w:t>
      </w:r>
      <w:r>
        <w:rPr>
          <w:spacing w:val="-1"/>
        </w:rPr>
        <w:t>），云筑智联注册资本</w:t>
      </w:r>
      <w:r>
        <w:rPr>
          <w:rFonts w:ascii="Times New Roman" w:hAnsi="Times New Roman" w:cs="Times New Roman" w:eastAsia="Times New Roman" w:hint="default"/>
          <w:spacing w:val="-1"/>
        </w:rPr>
        <w:t>50,000,000.00</w:t>
      </w:r>
      <w:r>
        <w:rPr>
          <w:spacing w:val="-1"/>
        </w:rPr>
        <w:t>元，截至</w:t>
      </w:r>
      <w:r>
        <w:rPr>
          <w:rFonts w:ascii="Times New Roman" w:hAnsi="Times New Roman" w:cs="Times New Roman" w:eastAsia="Times New Roman" w:hint="default"/>
          <w:spacing w:val="-1"/>
        </w:rPr>
        <w:t>2018</w:t>
      </w:r>
      <w:r>
        <w:rPr>
          <w:spacing w:val="-1"/>
        </w:rPr>
        <w:t>年</w:t>
      </w:r>
      <w:r>
        <w:rPr>
          <w:spacing w:val="-51"/>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日尚未实际出资，为受本公司控制的子公司，纳入合并范围。</w:t>
      </w:r>
    </w:p>
    <w:p>
      <w:pPr>
        <w:pStyle w:val="BodyText"/>
        <w:spacing w:line="624" w:lineRule="exact" w:before="36"/>
        <w:ind w:left="153" w:right="112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日，本公司之全资子公司天正信华注销，业务、资产负债全部由母公司朗新科技承接。 根据无锡智丰投资合伙企业（有限合伙）于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日经修订的合伙协议，本公司之子公司朗新投资管理无锡有限公司</w:t>
      </w:r>
    </w:p>
    <w:p>
      <w:pPr>
        <w:pStyle w:val="BodyText"/>
        <w:spacing w:line="226" w:lineRule="exact"/>
        <w:ind w:left="153" w:right="986"/>
        <w:jc w:val="left"/>
      </w:pPr>
      <w:r>
        <w:rPr/>
        <w:t>（以下简称</w:t>
      </w:r>
      <w:r>
        <w:rPr>
          <w:rFonts w:ascii="Times New Roman" w:hAnsi="Times New Roman" w:cs="Times New Roman" w:eastAsia="Times New Roman" w:hint="default"/>
        </w:rPr>
        <w:t>“</w:t>
      </w:r>
      <w:r>
        <w:rPr/>
        <w:t>朗新投资管理</w:t>
      </w:r>
      <w:r>
        <w:rPr>
          <w:rFonts w:ascii="Times New Roman" w:hAnsi="Times New Roman" w:cs="Times New Roman" w:eastAsia="Times New Roman" w:hint="default"/>
        </w:rPr>
        <w:t>”</w:t>
      </w:r>
      <w:r>
        <w:rPr/>
        <w:t>）与有限合伙人郑新标分别增资</w:t>
      </w:r>
      <w:r>
        <w:rPr>
          <w:rFonts w:ascii="Times New Roman" w:hAnsi="Times New Roman" w:cs="Times New Roman" w:eastAsia="Times New Roman" w:hint="default"/>
        </w:rPr>
        <w:t>105.70</w:t>
      </w:r>
      <w:r>
        <w:rPr/>
        <w:t>万元及</w:t>
      </w:r>
      <w:r>
        <w:rPr>
          <w:rFonts w:ascii="Times New Roman" w:hAnsi="Times New Roman" w:cs="Times New Roman" w:eastAsia="Times New Roman" w:hint="default"/>
        </w:rPr>
        <w:t>84.30</w:t>
      </w:r>
      <w:r>
        <w:rPr/>
        <w:t>万元。增资完成后，朗新投资管理享有合伙企</w:t>
      </w:r>
    </w:p>
    <w:p>
      <w:pPr>
        <w:pStyle w:val="BodyText"/>
        <w:spacing w:line="300" w:lineRule="auto" w:before="62"/>
        <w:ind w:left="153" w:right="1183"/>
        <w:jc w:val="left"/>
      </w:pPr>
      <w:r>
        <w:rPr/>
        <w:t>业</w:t>
      </w:r>
      <w:r>
        <w:rPr>
          <w:rFonts w:ascii="Times New Roman" w:hAnsi="Times New Roman" w:cs="Times New Roman" w:eastAsia="Times New Roman" w:hint="default"/>
        </w:rPr>
        <w:t>20%</w:t>
      </w:r>
      <w:r>
        <w:rPr/>
        <w:t>的份额，并作为普通合伙人代表合伙企业执行合伙事务，能够控制无锡智丰，纳入合并范围。 由于无锡智丰分别持有新耀能源、瀚云科技、朗新云商、朗新数据、朗新智元及云筑智联</w:t>
      </w:r>
      <w:r>
        <w:rPr>
          <w:rFonts w:ascii="Times New Roman" w:hAnsi="Times New Roman" w:cs="Times New Roman" w:eastAsia="Times New Roman" w:hint="default"/>
        </w:rPr>
        <w:t>15%</w:t>
      </w: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14%</w:t>
      </w:r>
      <w:r>
        <w:rPr/>
        <w:t>、</w:t>
      </w:r>
      <w:r>
        <w:rPr>
          <w:rFonts w:ascii="Times New Roman" w:hAnsi="Times New Roman" w:cs="Times New Roman" w:eastAsia="Times New Roman" w:hint="default"/>
        </w:rPr>
        <w:t>15%</w:t>
      </w:r>
      <w:r>
        <w:rPr/>
        <w:t>、</w:t>
      </w:r>
      <w:r>
        <w:rPr>
          <w:rFonts w:ascii="Times New Roman" w:hAnsi="Times New Roman" w:cs="Times New Roman" w:eastAsia="Times New Roman" w:hint="default"/>
        </w:rPr>
        <w:t>14%</w:t>
      </w:r>
      <w:r>
        <w:rPr/>
        <w:t>及 </w:t>
      </w:r>
      <w:r>
        <w:rPr>
          <w:rFonts w:ascii="Times New Roman" w:hAnsi="Times New Roman" w:cs="Times New Roman" w:eastAsia="Times New Roman" w:hint="default"/>
        </w:rPr>
        <w:t>14%</w:t>
      </w:r>
      <w:r>
        <w:rPr/>
        <w:t>股权，故朗新科技对前述子公司间接持股</w:t>
      </w:r>
      <w:r>
        <w:rPr>
          <w:rFonts w:ascii="Times New Roman" w:hAnsi="Times New Roman" w:cs="Times New Roman" w:eastAsia="Times New Roman" w:hint="default"/>
        </w:rPr>
        <w:t>3%</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2.8%</w:t>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2.8%</w:t>
      </w:r>
      <w:r>
        <w:rPr/>
        <w:t>及</w:t>
      </w:r>
      <w:r>
        <w:rPr>
          <w:rFonts w:ascii="Times New Roman" w:hAnsi="Times New Roman" w:cs="Times New Roman" w:eastAsia="Times New Roman" w:hint="default"/>
        </w:rPr>
        <w:t>2.8%</w:t>
      </w:r>
      <w:r>
        <w:rPr/>
        <w:t>。</w:t>
      </w:r>
    </w:p>
    <w:p>
      <w:pPr>
        <w:spacing w:after="0" w:line="300"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spacing w:line="487" w:lineRule="auto" w:before="36"/>
        <w:ind w:left="152" w:right="8104" w:firstLine="0"/>
        <w:jc w:val="left"/>
        <w:rPr>
          <w:rFonts w:ascii="宋体" w:hAnsi="宋体" w:cs="宋体" w:eastAsia="宋体" w:hint="default"/>
          <w:sz w:val="21"/>
          <w:szCs w:val="21"/>
        </w:rPr>
      </w:pPr>
      <w:bookmarkStart w:name="6、其他" w:id="400"/>
      <w:bookmarkEnd w:id="40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01"/>
      <w:bookmarkEnd w:id="401"/>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02"/>
      <w:bookmarkEnd w:id="40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1129"/>
        <w:jc w:val="left"/>
        <w:rPr>
          <w:b w:val="0"/>
          <w:bCs w:val="0"/>
        </w:rPr>
      </w:pPr>
      <w:bookmarkStart w:name="（1）企业集团的构成" w:id="403"/>
      <w:bookmarkEnd w:id="40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北京朗新科技有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技术开发及系统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杭州朗新智能技 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中国浙江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暂无业务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朗新科技有限公 司（厄瓜多尔）</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厄瓜多尔</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厄瓜多尔</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暂停业务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新耀能源科技有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中国浙江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能源技术开发、 建设及维护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合肥新耀科技有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中国安徽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能源技术开发、 建设及维护</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瀚云科技有限公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技术研发及技术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朗新金关信息科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软硬件的研发与 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非同一控制下收 购</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朗新云商科技有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中国浙江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技术开发及技术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朗新数据科技有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中国浙江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技术开发及技术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朗新投资管理无 锡有限公司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对外投资管理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无锡智丰投资合 伙企业（有限合 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1"/>
              <w:jc w:val="left"/>
              <w:rPr>
                <w:rFonts w:ascii="宋体" w:hAnsi="宋体" w:cs="宋体" w:eastAsia="宋体" w:hint="default"/>
                <w:sz w:val="18"/>
                <w:szCs w:val="18"/>
              </w:rPr>
            </w:pPr>
            <w:r>
              <w:rPr>
                <w:rFonts w:ascii="宋体" w:hAnsi="宋体" w:cs="宋体" w:eastAsia="宋体" w:hint="default"/>
                <w:sz w:val="18"/>
                <w:szCs w:val="18"/>
              </w:rPr>
              <w:t>利用自有资金对 外投资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非同一控制下收 购</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朗新智元科技有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技术开发及技术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云筑智联科技有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湖北武汉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中国湖北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技术开发及技术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发起设立</w:t>
            </w:r>
          </w:p>
        </w:tc>
      </w:tr>
    </w:tbl>
    <w:p>
      <w:pPr>
        <w:pStyle w:val="BodyText"/>
        <w:spacing w:line="357" w:lineRule="auto" w:before="49"/>
        <w:ind w:right="1124"/>
        <w:jc w:val="left"/>
      </w:pPr>
      <w:r>
        <w:rPr/>
        <w:t>在子公司的持股比例不同于表决权比例的说明： 持有半数或以下表决权但仍控制被投资单位、以及持有半数以上表决权但不控制被投资单位的依据： 根据无锡智丰投资合伙企业（有限合伙）于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日经修订的合伙协议，本公司之子公司朗新投资管理无锡有限公司</w:t>
      </w:r>
    </w:p>
    <w:p>
      <w:pPr>
        <w:spacing w:after="0" w:line="357"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left"/>
      </w:pPr>
      <w:r>
        <w:rPr>
          <w:spacing w:val="-2"/>
        </w:rPr>
        <w:t>（以下简称</w:t>
      </w:r>
      <w:r>
        <w:rPr>
          <w:rFonts w:ascii="Times New Roman" w:hAnsi="Times New Roman" w:cs="Times New Roman" w:eastAsia="Times New Roman" w:hint="default"/>
          <w:spacing w:val="-2"/>
        </w:rPr>
        <w:t>“</w:t>
      </w:r>
      <w:r>
        <w:rPr>
          <w:spacing w:val="-2"/>
        </w:rPr>
        <w:t>朗新投资管理</w:t>
      </w:r>
      <w:r>
        <w:rPr>
          <w:rFonts w:ascii="Times New Roman" w:hAnsi="Times New Roman" w:cs="Times New Roman" w:eastAsia="Times New Roman" w:hint="default"/>
          <w:spacing w:val="-2"/>
        </w:rPr>
        <w:t>”</w:t>
      </w:r>
      <w:r>
        <w:rPr>
          <w:spacing w:val="-2"/>
        </w:rPr>
        <w:t>）与有限合伙人郑新标分别增资</w:t>
      </w:r>
      <w:r>
        <w:rPr>
          <w:rFonts w:ascii="Times New Roman" w:hAnsi="Times New Roman" w:cs="Times New Roman" w:eastAsia="Times New Roman" w:hint="default"/>
          <w:spacing w:val="-2"/>
        </w:rPr>
        <w:t>105.70</w:t>
      </w:r>
      <w:r>
        <w:rPr>
          <w:spacing w:val="-2"/>
        </w:rPr>
        <w:t>万元及</w:t>
      </w:r>
      <w:r>
        <w:rPr>
          <w:rFonts w:ascii="Times New Roman" w:hAnsi="Times New Roman" w:cs="Times New Roman" w:eastAsia="Times New Roman" w:hint="default"/>
          <w:spacing w:val="-2"/>
        </w:rPr>
        <w:t>84.30</w:t>
      </w:r>
      <w:r>
        <w:rPr>
          <w:spacing w:val="-2"/>
        </w:rPr>
        <w:t>万元。增资完成后，朗新投资管理享有合伙企</w:t>
      </w:r>
      <w:r>
        <w:rPr>
          <w:spacing w:val="-35"/>
        </w:rPr>
        <w:t> </w:t>
      </w:r>
      <w:r>
        <w:rPr>
          <w:spacing w:val="-35"/>
        </w:rPr>
      </w:r>
      <w:r>
        <w:rPr/>
        <w:t>业</w:t>
      </w:r>
      <w:r>
        <w:rPr>
          <w:rFonts w:ascii="Times New Roman" w:hAnsi="Times New Roman" w:cs="Times New Roman" w:eastAsia="Times New Roman" w:hint="default"/>
        </w:rPr>
        <w:t>20%</w:t>
      </w:r>
      <w:r>
        <w:rPr/>
        <w:t>的份额，并作为作为普通合伙人代表合伙企业执行合伙事务，能够控制无锡智丰，纳入合并范围。 对于纳入合并范围的重要的结构化主体，控制的依据：</w:t>
      </w:r>
    </w:p>
    <w:p>
      <w:pPr>
        <w:pStyle w:val="BodyText"/>
        <w:spacing w:line="360" w:lineRule="auto" w:before="55"/>
        <w:ind w:right="7694"/>
        <w:jc w:val="left"/>
      </w:pPr>
      <w:r>
        <w:rPr/>
        <w:t>确定公司是代理人还是委托人的依据： 其他说明：</w:t>
      </w:r>
    </w:p>
    <w:p>
      <w:pPr>
        <w:spacing w:line="240" w:lineRule="auto" w:before="4"/>
        <w:rPr>
          <w:rFonts w:ascii="宋体" w:hAnsi="宋体" w:cs="宋体" w:eastAsia="宋体" w:hint="default"/>
          <w:sz w:val="20"/>
          <w:szCs w:val="20"/>
        </w:rPr>
      </w:pPr>
    </w:p>
    <w:p>
      <w:pPr>
        <w:pStyle w:val="Heading3"/>
        <w:spacing w:line="240" w:lineRule="auto"/>
        <w:ind w:right="1129"/>
        <w:jc w:val="left"/>
        <w:rPr>
          <w:b w:val="0"/>
          <w:bCs w:val="0"/>
        </w:rPr>
      </w:pPr>
      <w:bookmarkStart w:name="（2）重要的非全资子公司" w:id="404"/>
      <w:bookmarkEnd w:id="40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766"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新耀能源科技有限公司</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新耀能源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-1,578,679.76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1,813,164.94</w:t>
            </w:r>
            <w:r>
              <w:rPr>
                <w:rFonts w:ascii="Times New Roman"/>
                <w:sz w:val="18"/>
              </w:rPr>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朗新金关信息科技有限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朗新金关</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-3,124,790.15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1,074,225.26</w:t>
            </w:r>
            <w:r>
              <w:rPr>
                <w:rFonts w:ascii="Times New Roman"/>
                <w:sz w:val="18"/>
              </w:rPr>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朗新云商科技有限公司</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朗新云商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-3,971,523.60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-2,148,731.91</w:t>
            </w:r>
            <w:r>
              <w:rPr>
                <w:rFonts w:ascii="Times New Roman"/>
                <w:sz w:val="18"/>
              </w:rPr>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朗新数据科技有限公司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朗新数据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-8,737,005.75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-6,819,549.32</w:t>
            </w:r>
            <w:r>
              <w:rPr>
                <w:rFonts w:ascii="Times New Roman"/>
                <w:sz w:val="18"/>
              </w:rPr>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9"/>
              <w:jc w:val="left"/>
              <w:rPr>
                <w:rFonts w:ascii="宋体" w:hAnsi="宋体" w:cs="宋体" w:eastAsia="宋体" w:hint="default"/>
                <w:sz w:val="18"/>
                <w:szCs w:val="18"/>
              </w:rPr>
            </w:pPr>
            <w:r>
              <w:rPr>
                <w:rFonts w:ascii="宋体" w:hAnsi="宋体" w:cs="宋体" w:eastAsia="宋体" w:hint="default"/>
                <w:spacing w:val="-2"/>
                <w:sz w:val="18"/>
                <w:szCs w:val="18"/>
              </w:rPr>
              <w:t>瀚云科技有限公司（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瀚</w:t>
            </w:r>
            <w:r>
              <w:rPr>
                <w:rFonts w:ascii="宋体" w:hAnsi="宋体" w:cs="宋体" w:eastAsia="宋体" w:hint="default"/>
                <w:sz w:val="18"/>
                <w:szCs w:val="18"/>
              </w:rPr>
              <w:t> 云科技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-4,303,463.35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-2,270,175.99</w:t>
            </w:r>
            <w:r>
              <w:rPr>
                <w:rFonts w:ascii="Times New Roman"/>
                <w:sz w:val="18"/>
              </w:rPr>
            </w:r>
          </w:p>
        </w:tc>
      </w:tr>
      <w:tr>
        <w:trPr>
          <w:trHeight w:val="1027"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无锡智丰投资合伙企业</w:t>
            </w:r>
          </w:p>
          <w:p>
            <w:pPr>
              <w:pStyle w:val="TableParagraph"/>
              <w:spacing w:line="300" w:lineRule="auto" w:before="76"/>
              <w:ind w:left="24" w:right="91"/>
              <w:jc w:val="left"/>
              <w:rPr>
                <w:rFonts w:ascii="宋体" w:hAnsi="宋体" w:cs="宋体" w:eastAsia="宋体" w:hint="default"/>
                <w:sz w:val="18"/>
                <w:szCs w:val="18"/>
              </w:rPr>
            </w:pPr>
            <w:r>
              <w:rPr>
                <w:rFonts w:ascii="宋体" w:hAnsi="宋体" w:cs="宋体" w:eastAsia="宋体" w:hint="default"/>
                <w:spacing w:val="-9"/>
                <w:sz w:val="18"/>
                <w:szCs w:val="18"/>
              </w:rPr>
              <w:t>（有限合伙）（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无锡智</w:t>
            </w:r>
            <w:r>
              <w:rPr>
                <w:rFonts w:ascii="宋体" w:hAnsi="宋体" w:cs="宋体" w:eastAsia="宋体" w:hint="default"/>
                <w:spacing w:val="-84"/>
                <w:sz w:val="18"/>
                <w:szCs w:val="18"/>
              </w:rPr>
              <w:t> </w:t>
            </w:r>
            <w:r>
              <w:rPr>
                <w:rFonts w:ascii="宋体" w:hAnsi="宋体" w:cs="宋体" w:eastAsia="宋体" w:hint="default"/>
                <w:sz w:val="18"/>
                <w:szCs w:val="18"/>
              </w:rPr>
              <w:t>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-1,235.26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3,383,764.74</w:t>
            </w:r>
            <w:r>
              <w:rPr>
                <w:rFonts w:ascii="Times New Roman"/>
                <w:sz w:val="18"/>
              </w:rPr>
            </w:r>
          </w:p>
        </w:tc>
      </w:tr>
    </w:tbl>
    <w:p>
      <w:pPr>
        <w:pStyle w:val="BodyText"/>
        <w:spacing w:line="357" w:lineRule="auto" w:before="49"/>
        <w:ind w:right="6434"/>
        <w:jc w:val="left"/>
      </w:pPr>
      <w:r>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3"/>
        <w:spacing w:line="240" w:lineRule="auto"/>
        <w:ind w:right="1129"/>
        <w:jc w:val="left"/>
        <w:rPr>
          <w:b w:val="0"/>
          <w:bCs w:val="0"/>
        </w:rPr>
      </w:pPr>
      <w:bookmarkStart w:name="（3）重要非全资子公司的主要财务信息" w:id="405"/>
      <w:bookmarkEnd w:id="40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4D4D4"/>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新耀能 源</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19,815,4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11,995,0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31,810,5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-19,866,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331.63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276" w:right="0"/>
              <w:jc w:val="center"/>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-22,366,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331.63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13,385,0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92.07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8,842,83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22,227,9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-7,927,0</w:t>
            </w:r>
          </w:p>
          <w:p>
            <w:pPr>
              <w:pStyle w:val="TableParagraph"/>
              <w:spacing w:line="240" w:lineRule="auto" w:before="105"/>
              <w:ind w:left="281" w:right="0"/>
              <w:jc w:val="center"/>
              <w:rPr>
                <w:rFonts w:ascii="Times New Roman" w:hAnsi="Times New Roman" w:cs="Times New Roman" w:eastAsia="Times New Roman" w:hint="default"/>
                <w:sz w:val="18"/>
                <w:szCs w:val="18"/>
              </w:rPr>
            </w:pPr>
            <w:r>
              <w:rPr>
                <w:rFonts w:ascii="Times New Roman"/>
                <w:sz w:val="18"/>
              </w:rPr>
              <w:t>21.18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278" w:right="0"/>
              <w:jc w:val="center"/>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-10,427,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021.18</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朗新金 关</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11,960,7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293,807.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12,254,5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81.79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-8,192,9</w:t>
            </w:r>
          </w:p>
          <w:p>
            <w:pPr>
              <w:pStyle w:val="TableParagraph"/>
              <w:spacing w:line="240" w:lineRule="auto" w:before="105"/>
              <w:ind w:left="278" w:right="0"/>
              <w:jc w:val="center"/>
              <w:rPr>
                <w:rFonts w:ascii="Times New Roman" w:hAnsi="Times New Roman" w:cs="Times New Roman" w:eastAsia="Times New Roman" w:hint="default"/>
                <w:sz w:val="18"/>
                <w:szCs w:val="18"/>
              </w:rPr>
            </w:pPr>
            <w:r>
              <w:rPr>
                <w:rFonts w:ascii="Times New Roman"/>
                <w:sz w:val="18"/>
              </w:rPr>
              <w:t>79.32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-8,192,9</w:t>
            </w:r>
          </w:p>
          <w:p>
            <w:pPr>
              <w:pStyle w:val="TableParagraph"/>
              <w:spacing w:line="240" w:lineRule="auto" w:before="105"/>
              <w:ind w:left="278" w:right="0"/>
              <w:jc w:val="center"/>
              <w:rPr>
                <w:rFonts w:ascii="Times New Roman" w:hAnsi="Times New Roman" w:cs="Times New Roman" w:eastAsia="Times New Roman" w:hint="default"/>
                <w:sz w:val="18"/>
                <w:szCs w:val="18"/>
              </w:rPr>
            </w:pPr>
            <w:r>
              <w:rPr>
                <w:rFonts w:ascii="Times New Roman"/>
                <w:sz w:val="18"/>
              </w:rPr>
              <w:t>79.32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11,357,3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62.46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138,685.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11,496,0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-1,134,2</w:t>
            </w:r>
          </w:p>
          <w:p>
            <w:pPr>
              <w:pStyle w:val="TableParagraph"/>
              <w:spacing w:line="240" w:lineRule="auto" w:before="105"/>
              <w:ind w:left="281" w:right="0"/>
              <w:jc w:val="center"/>
              <w:rPr>
                <w:rFonts w:ascii="Times New Roman" w:hAnsi="Times New Roman" w:cs="Times New Roman" w:eastAsia="Times New Roman" w:hint="default"/>
                <w:sz w:val="18"/>
                <w:szCs w:val="18"/>
              </w:rPr>
            </w:pPr>
            <w:r>
              <w:rPr>
                <w:rFonts w:ascii="Times New Roman"/>
                <w:sz w:val="18"/>
              </w:rPr>
              <w:t>59.61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-1,134,2</w:t>
            </w:r>
          </w:p>
          <w:p>
            <w:pPr>
              <w:pStyle w:val="TableParagraph"/>
              <w:spacing w:line="240" w:lineRule="auto" w:before="105"/>
              <w:ind w:left="276" w:right="0"/>
              <w:jc w:val="center"/>
              <w:rPr>
                <w:rFonts w:ascii="Times New Roman" w:hAnsi="Times New Roman" w:cs="Times New Roman" w:eastAsia="Times New Roman" w:hint="default"/>
                <w:sz w:val="18"/>
                <w:szCs w:val="18"/>
              </w:rPr>
            </w:pPr>
            <w:r>
              <w:rPr>
                <w:rFonts w:ascii="Times New Roman"/>
                <w:sz w:val="18"/>
              </w:rPr>
              <w:t>59.61</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朗新云 商</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22,883,6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99.95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5,179,90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28,063,6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-30,978,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122.91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-30,978,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122.91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4,419,82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2.14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666,435.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5,086,25</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pacing w:val="-5"/>
                <w:sz w:val="18"/>
              </w:rPr>
              <w:t>8.11</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-882,641</w:t>
            </w:r>
          </w:p>
          <w:p>
            <w:pPr>
              <w:pStyle w:val="TableParagraph"/>
              <w:spacing w:line="240" w:lineRule="auto" w:before="105"/>
              <w:ind w:left="479" w:right="0"/>
              <w:jc w:val="left"/>
              <w:rPr>
                <w:rFonts w:ascii="Times New Roman" w:hAnsi="Times New Roman" w:cs="Times New Roman" w:eastAsia="Times New Roman" w:hint="default"/>
                <w:sz w:val="18"/>
                <w:szCs w:val="18"/>
              </w:rPr>
            </w:pPr>
            <w:r>
              <w:rPr>
                <w:rFonts w:ascii="Times New Roman"/>
                <w:sz w:val="18"/>
              </w:rPr>
              <w:t>.04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-882,641</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.04</w:t>
            </w:r>
          </w:p>
        </w:tc>
      </w:tr>
      <w:tr>
        <w:trPr>
          <w:trHeight w:val="40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朗新数</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37,247,5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1,574,88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38,822,4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Times New Roman" w:hAnsi="Times New Roman" w:cs="Times New Roman" w:eastAsia="Times New Roman" w:hint="default"/>
                <w:sz w:val="18"/>
                <w:szCs w:val="18"/>
              </w:rPr>
            </w:pPr>
            <w:r>
              <w:rPr>
                <w:rFonts w:ascii="Times New Roman"/>
                <w:sz w:val="18"/>
              </w:rPr>
              <w:t>-54,779,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Times New Roman" w:hAnsi="Times New Roman" w:cs="Times New Roman" w:eastAsia="Times New Roman" w:hint="default"/>
                <w:sz w:val="18"/>
                <w:szCs w:val="18"/>
              </w:rPr>
            </w:pPr>
            <w:r>
              <w:rPr>
                <w:rFonts w:ascii="Times New Roman"/>
                <w:sz w:val="18"/>
              </w:rPr>
              <w:t>-54,779,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4,463,58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9" w:right="0"/>
              <w:jc w:val="left"/>
              <w:rPr>
                <w:rFonts w:ascii="Times New Roman" w:hAnsi="Times New Roman" w:cs="Times New Roman" w:eastAsia="Times New Roman" w:hint="default"/>
                <w:sz w:val="18"/>
                <w:szCs w:val="18"/>
              </w:rPr>
            </w:pPr>
            <w:r>
              <w:rPr>
                <w:rFonts w:ascii="Times New Roman"/>
                <w:sz w:val="18"/>
              </w:rPr>
              <w:t>12,912.1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4,476,50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36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22.37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1.44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03.81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634.95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634.95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8.29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0.40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瀚云科 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1,858,76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10,521,8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01.52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12,380,5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65.04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-17,127,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207.92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-17,127,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207.92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无锡智 丰</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1,057,86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-1,549,3</w:t>
            </w:r>
          </w:p>
          <w:p>
            <w:pPr>
              <w:pStyle w:val="TableParagraph"/>
              <w:spacing w:line="240" w:lineRule="auto" w:before="105"/>
              <w:ind w:left="276" w:right="0"/>
              <w:jc w:val="center"/>
              <w:rPr>
                <w:rFonts w:ascii="Times New Roman" w:hAnsi="Times New Roman" w:cs="Times New Roman" w:eastAsia="Times New Roman" w:hint="default"/>
                <w:sz w:val="18"/>
                <w:szCs w:val="18"/>
              </w:rPr>
            </w:pPr>
            <w:r>
              <w:rPr>
                <w:rFonts w:ascii="Times New Roman"/>
                <w:sz w:val="18"/>
              </w:rPr>
              <w:t>16.61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-491,448</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-502,000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-502,000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3,340,45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3,340,45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3"/>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4D4D4"/>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新耀能源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17,272,236.9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-3,910,538.24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-3,910,538.24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-8,506,325.64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8,190,956.97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center"/>
              <w:rPr>
                <w:rFonts w:ascii="Times New Roman" w:hAnsi="Times New Roman" w:cs="Times New Roman" w:eastAsia="Times New Roman" w:hint="default"/>
                <w:sz w:val="18"/>
                <w:szCs w:val="18"/>
              </w:rPr>
            </w:pPr>
            <w:r>
              <w:rPr>
                <w:rFonts w:ascii="Times New Roman"/>
                <w:sz w:val="18"/>
              </w:rPr>
              <w:t>698,517.31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698,517.31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161,929.66</w:t>
            </w:r>
          </w:p>
        </w:tc>
      </w:tr>
      <w:tr>
        <w:trPr>
          <w:trHeight w:val="40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无锡金关</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9,211,765.90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-6,377,122.74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-6,377,122.74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-4,418,580.02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3,978,241.92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-1,810,902.28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-1,810,902.28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-4,820,744.96</w:t>
            </w:r>
            <w:r>
              <w:rPr>
                <w:rFonts w:ascii="Times New Roman"/>
                <w:sz w:val="18"/>
              </w:rPr>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朗新云商</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24,222,806.3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-8,081,668.42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-8,081,668.42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-9,446,366.65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619,811.32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-796,382.93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-796,382.93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-646,227.46</w:t>
            </w:r>
            <w:r>
              <w:rPr>
                <w:rFonts w:ascii="Times New Roman"/>
                <w:sz w:val="18"/>
              </w:rPr>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朗新数据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29,826,155.0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-22,681,972.5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-22,681,972.5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-36,285,482.7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-523,499.60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-523,499.60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-1,146,650.91</w:t>
            </w:r>
            <w:r>
              <w:rPr>
                <w:rFonts w:ascii="Times New Roman"/>
                <w:sz w:val="18"/>
              </w:rPr>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瀚云科技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274,297.13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-11,101,845.8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-11,101,845.8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-4,692,776.24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无锡智丰</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-1,130.47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-1,130.47</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4）使用企业集团资产和清偿企业集团债务的重大限制" w:id="406"/>
      <w:bookmarkEnd w:id="406"/>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5）向纳入合并财务报表范围的结构化主体提供的财务支持或其他支持" w:id="407"/>
      <w:bookmarkEnd w:id="407"/>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2、在子公司的所有者权益份额发生变化且仍控制子公司的交易" w:id="408"/>
      <w:bookmarkEnd w:id="408"/>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在子公司所有者权益份额发生变化的情况说明" w:id="409"/>
      <w:bookmarkEnd w:id="409"/>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9"/>
        <w:jc w:val="left"/>
        <w:rPr>
          <w:b w:val="0"/>
          <w:bCs w:val="0"/>
        </w:rPr>
      </w:pPr>
      <w:bookmarkStart w:name="（2）交易对于少数股东权益及归属于母公司所有者权益的影响" w:id="410"/>
      <w:bookmarkEnd w:id="410"/>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pt;mso-position-horizontal-relative:char;mso-position-vertical-relative:line" coordorigin="0,0" coordsize="9579,420">
            <v:group style="position:absolute;left:23;top:14;width:2;height:392" coordorigin="23,14" coordsize="2,392">
              <v:shape style="position:absolute;left:23;top:14;width:2;height:392" coordorigin="23,14" coordsize="0,392" path="m23,14l23,406e" filled="false" stroked="true" strokeweight="1.08pt" strokecolor="#d4d4d4">
                <v:path arrowok="t"/>
              </v:shape>
            </v:group>
            <v:group style="position:absolute;left:4774;top:14;width:2;height:392" coordorigin="4774,14" coordsize="2,392">
              <v:shape style="position:absolute;left:4774;top:14;width:2;height:392" coordorigin="4774,14" coordsize="0,392" path="m4774,14l4774,406e" filled="false" stroked="true" strokeweight="1.2pt" strokecolor="#d4d4d4">
                <v:path arrowok="t"/>
              </v:shape>
            </v:group>
            <v:group style="position:absolute;left:34;top:14;width:4728;height:392" coordorigin="34,14" coordsize="4728,392">
              <v:shape style="position:absolute;left:34;top:14;width:4728;height:392" coordorigin="34,14" coordsize="4728,392" path="m34,406l4762,406,4762,14,34,14,34,406xe" filled="true" fillcolor="#d4d4d4" stroked="false">
                <v:path arrowok="t"/>
                <v:fill type="solid"/>
              </v:shape>
            </v:group>
            <v:group style="position:absolute;left:4806;top:14;width:2;height:392" coordorigin="4806,14" coordsize="2,392">
              <v:shape style="position:absolute;left:4806;top:14;width:2;height:392" coordorigin="4806,14" coordsize="0,392" path="m4806,14l4806,406e" filled="false" stroked="true" strokeweight="1.08pt" strokecolor="#e1ffff">
                <v:path arrowok="t"/>
              </v:shape>
            </v:group>
            <v:group style="position:absolute;left:9557;top:14;width:2;height:392" coordorigin="9557,14" coordsize="2,392">
              <v:shape style="position:absolute;left:9557;top:14;width:2;height:392" coordorigin="9557,14" coordsize="0,392" path="m9557,14l9557,406e" filled="false" stroked="true" strokeweight="1.2pt" strokecolor="#e1ffff">
                <v:path arrowok="t"/>
              </v:shape>
            </v:group>
            <v:group style="position:absolute;left:4817;top:14;width:4728;height:392" coordorigin="4817,14" coordsize="4728,392">
              <v:shape style="position:absolute;left:4817;top:14;width:4728;height:392" coordorigin="4817,14" coordsize="4728,392" path="m4817,406l9545,406,9545,14,4817,14,4817,406xe" filled="true" fillcolor="#e1ffff"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4;height:2" coordorigin="10,410" coordsize="4774,2">
              <v:shape style="position:absolute;left:10;top:410;width:4774;height:2" coordorigin="10,410" coordsize="4774,0" path="m10,410l4783,410e" filled="false" stroked="true" strokeweight=".48pt" strokecolor="#000000">
                <v:path arrowok="t"/>
              </v:shape>
            </v:group>
            <v:group style="position:absolute;left:4788;top:5;width:2;height:411" coordorigin="4788,5" coordsize="2,411">
              <v:shape style="position:absolute;left:4788;top:5;width:2;height:411" coordorigin="4788,5" coordsize="0,411" path="m4788,5l4788,415e" filled="false" stroked="true" strokeweight=".48pt" strokecolor="#000000">
                <v:path arrowok="t"/>
              </v:shape>
            </v:group>
            <v:group style="position:absolute;left:4793;top:410;width:4776;height:2" coordorigin="4793,410" coordsize="4776,2">
              <v:shape style="position:absolute;left:4793;top:410;width:4776;height:2" coordorigin="4793,410" coordsize="4776,0" path="m4793,410l9569,410e" filled="false" stroked="true" strokeweight=".48pt" strokecolor="#000000">
                <v:path arrowok="t"/>
              </v:shape>
            </v:group>
            <v:group style="position:absolute;left:9574;top:5;width:2;height:411" coordorigin="9574,5" coordsize="2,411">
              <v:shape style="position:absolute;left:9574;top:5;width:2;height:411" coordorigin="9574,5" coordsize="0,411" path="m9574,5l9574,415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4"/>
        <w:ind w:right="1129"/>
        <w:jc w:val="left"/>
      </w:pPr>
      <w:r>
        <w:rPr/>
        <w:t>其他说明</w:t>
      </w:r>
    </w:p>
    <w:p>
      <w:pPr>
        <w:spacing w:after="0" w:line="240"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r>
        <w:rPr/>
        <w:pict>
          <v:shape style="position:absolute;margin-left:297.480316pt;margin-top:390.359985pt;width:100.95pt;height:15.6pt;mso-position-horizontal-relative:page;mso-position-vertical-relative:page;z-index:-1106824" type="#_x0000_t202" filled="false" stroked="false">
            <v:textbox inset="0,0,0,0">
              <w:txbxContent>
                <w:p>
                  <w:pPr>
                    <w:pStyle w:val="BodyText"/>
                    <w:spacing w:line="240" w:lineRule="auto" w:before="49"/>
                    <w:ind w:left="0" w:right="0"/>
                    <w:jc w:val="left"/>
                  </w:pPr>
                  <w:r>
                    <w:rPr/>
                    <w:t>计算机、</w:t>
                  </w:r>
                </w:p>
              </w:txbxContent>
            </v:textbox>
            <w10:wrap type="none"/>
          </v:shape>
        </w:pict>
      </w:r>
      <w:r>
        <w:rPr/>
        <w:pict>
          <v:group style="position:absolute;margin-left:330.600006pt;margin-top:390.359985pt;width:67.8pt;height:15.6pt;mso-position-horizontal-relative:page;mso-position-vertical-relative:page;z-index:-1106776" coordorigin="6612,7807" coordsize="1356,312">
            <v:shape style="position:absolute;left:6612;top:7807;width:1356;height:312" coordorigin="6612,7807" coordsize="1356,312" path="m6612,8119l7968,8119,7968,7807,6612,7807,6612,8119xe" filled="true" fillcolor="#ffffff" stroked="false">
              <v:path arrowok="t"/>
              <v:fill type="solid"/>
            </v:shape>
            <w10:wrap type="none"/>
          </v:group>
        </w:pict>
      </w:r>
    </w:p>
    <w:p>
      <w:pPr>
        <w:pStyle w:val="Heading3"/>
        <w:spacing w:line="240" w:lineRule="auto" w:before="36"/>
        <w:ind w:right="1129"/>
        <w:jc w:val="left"/>
        <w:rPr>
          <w:b w:val="0"/>
          <w:bCs w:val="0"/>
        </w:rPr>
      </w:pPr>
      <w:bookmarkStart w:name="3、在合营安排或联营企业中的权益" w:id="411"/>
      <w:bookmarkEnd w:id="411"/>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重要的合营企业或联营企业" w:id="412"/>
      <w:bookmarkEnd w:id="41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425"/>
        <w:gridCol w:w="943"/>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合营企业</w:t>
            </w: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邦道科技有限公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71"/>
              <w:jc w:val="both"/>
              <w:rPr>
                <w:rFonts w:ascii="宋体" w:hAnsi="宋体" w:cs="宋体" w:eastAsia="宋体" w:hint="default"/>
                <w:sz w:val="18"/>
                <w:szCs w:val="18"/>
              </w:rPr>
            </w:pPr>
            <w:r>
              <w:rPr>
                <w:rFonts w:ascii="宋体" w:hAnsi="宋体" w:cs="宋体" w:eastAsia="宋体" w:hint="default"/>
                <w:sz w:val="18"/>
                <w:szCs w:val="18"/>
              </w:rPr>
              <w:t>公共事业行业专 业化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EBPP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 与运营服务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133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4"/>
              <w:jc w:val="both"/>
              <w:rPr>
                <w:rFonts w:ascii="宋体" w:hAnsi="宋体" w:cs="宋体" w:eastAsia="宋体" w:hint="default"/>
                <w:sz w:val="18"/>
                <w:szCs w:val="18"/>
              </w:rPr>
            </w:pPr>
            <w:r>
              <w:rPr>
                <w:rFonts w:ascii="宋体" w:hAnsi="宋体" w:cs="宋体" w:eastAsia="宋体" w:hint="default"/>
                <w:sz w:val="18"/>
                <w:szCs w:val="18"/>
              </w:rPr>
              <w:t>福建华威新耀新 能源服务有限公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中国福建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中国福建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both"/>
              <w:rPr>
                <w:rFonts w:ascii="宋体" w:hAnsi="宋体" w:cs="宋体" w:eastAsia="宋体" w:hint="default"/>
                <w:sz w:val="18"/>
                <w:szCs w:val="18"/>
              </w:rPr>
            </w:pPr>
            <w:r>
              <w:rPr>
                <w:rFonts w:ascii="宋体" w:hAnsi="宋体" w:cs="宋体" w:eastAsia="宋体" w:hint="default"/>
                <w:sz w:val="18"/>
                <w:szCs w:val="18"/>
              </w:rPr>
              <w:t>与充电设备有关 的维修、安装、 施工、技术咨询 等</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133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4"/>
              <w:jc w:val="left"/>
              <w:rPr>
                <w:rFonts w:ascii="宋体" w:hAnsi="宋体" w:cs="宋体" w:eastAsia="宋体" w:hint="default"/>
                <w:sz w:val="18"/>
                <w:szCs w:val="18"/>
              </w:rPr>
            </w:pPr>
            <w:r>
              <w:rPr>
                <w:rFonts w:ascii="宋体" w:hAnsi="宋体" w:cs="宋体" w:eastAsia="宋体" w:hint="default"/>
                <w:sz w:val="18"/>
                <w:szCs w:val="18"/>
              </w:rPr>
              <w:t>视加慧联科技有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both"/>
              <w:rPr>
                <w:rFonts w:ascii="宋体" w:hAnsi="宋体" w:cs="宋体" w:eastAsia="宋体" w:hint="default"/>
                <w:sz w:val="18"/>
                <w:szCs w:val="18"/>
              </w:rPr>
            </w:pPr>
            <w:r>
              <w:rPr>
                <w:rFonts w:ascii="宋体" w:hAnsi="宋体" w:cs="宋体" w:eastAsia="宋体" w:hint="default"/>
                <w:sz w:val="18"/>
                <w:szCs w:val="18"/>
              </w:rPr>
              <w:t>电视及视频、信 息通讯、网络技 术相关的产品服 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74"/>
              <w:jc w:val="left"/>
              <w:rPr>
                <w:rFonts w:ascii="宋体" w:hAnsi="宋体" w:cs="宋体" w:eastAsia="宋体" w:hint="default"/>
                <w:sz w:val="18"/>
                <w:szCs w:val="18"/>
              </w:rPr>
            </w:pPr>
            <w:r>
              <w:rPr>
                <w:rFonts w:ascii="宋体" w:hAnsi="宋体" w:cs="宋体" w:eastAsia="宋体" w:hint="default"/>
                <w:sz w:val="18"/>
                <w:szCs w:val="18"/>
              </w:rPr>
              <w:t>无锡物联网创新 中心有限公司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物联网、 电子电路等相关 技术的产品服务</w:t>
            </w:r>
          </w:p>
        </w:tc>
        <w:tc>
          <w:tcPr>
            <w:tcW w:w="425" w:type="dxa"/>
            <w:tcBorders>
              <w:top w:val="single" w:sz="4" w:space="0" w:color="000000"/>
              <w:left w:val="single" w:sz="4" w:space="0" w:color="000000"/>
              <w:bottom w:val="single" w:sz="4" w:space="0" w:color="000000"/>
              <w:right w:val="nil" w:sz="6" w:space="0" w:color="auto"/>
            </w:tcBorders>
          </w:tcPr>
          <w:p>
            <w:pPr/>
          </w:p>
        </w:tc>
        <w:tc>
          <w:tcPr>
            <w:tcW w:w="94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14.49%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联营企业</w:t>
            </w: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4"/>
              <w:jc w:val="both"/>
              <w:rPr>
                <w:rFonts w:ascii="宋体" w:hAnsi="宋体" w:cs="宋体" w:eastAsia="宋体" w:hint="default"/>
                <w:sz w:val="18"/>
                <w:szCs w:val="18"/>
              </w:rPr>
            </w:pPr>
            <w:r>
              <w:rPr>
                <w:rFonts w:ascii="宋体" w:hAnsi="宋体" w:cs="宋体" w:eastAsia="宋体" w:hint="default"/>
                <w:sz w:val="18"/>
                <w:szCs w:val="18"/>
              </w:rPr>
              <w:t>武汉高领资源股 权投资管理合伙 企业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中国湖北</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468" w:lineRule="exact"/>
              <w:ind w:left="2" w:right="-50"/>
              <w:jc w:val="left"/>
              <w:rPr>
                <w:rFonts w:ascii="宋体" w:hAnsi="宋体" w:cs="宋体" w:eastAsia="宋体" w:hint="default"/>
                <w:sz w:val="20"/>
                <w:szCs w:val="20"/>
              </w:rPr>
            </w:pPr>
            <w:r>
              <w:rPr>
                <w:rFonts w:ascii="宋体" w:hAnsi="宋体" w:cs="宋体" w:eastAsia="宋体" w:hint="default"/>
                <w:position w:val="-8"/>
                <w:sz w:val="20"/>
                <w:szCs w:val="20"/>
              </w:rPr>
              <w:pict>
                <v:group style="width:67.8pt;height:23.4pt;mso-position-horizontal-relative:char;mso-position-vertical-relative:line" coordorigin="0,0" coordsize="1356,468">
                  <v:group style="position:absolute;left:0;top:0;width:1356;height:468" coordorigin="0,0" coordsize="1356,468">
                    <v:shape style="position:absolute;left:0;top:0;width:1356;height:468" coordorigin="0,0" coordsize="1356,468" path="m0,468l1356,468,1356,0,0,0,0,468xe" filled="true" fillcolor="#ffffff" stroked="false">
                      <v:path arrowok="t"/>
                      <v:fill type="solid"/>
                    </v:shape>
                  </v:group>
                </v:group>
              </w:pict>
            </w:r>
            <w:r>
              <w:rPr>
                <w:rFonts w:ascii="宋体" w:hAnsi="宋体" w:cs="宋体" w:eastAsia="宋体" w:hint="default"/>
                <w:position w:val="-8"/>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湖北武汉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both"/>
              <w:rPr>
                <w:rFonts w:ascii="宋体" w:hAnsi="宋体" w:cs="宋体" w:eastAsia="宋体" w:hint="default"/>
                <w:sz w:val="18"/>
                <w:szCs w:val="18"/>
              </w:rPr>
            </w:pPr>
            <w:r>
              <w:rPr>
                <w:rFonts w:ascii="宋体" w:hAnsi="宋体" w:cs="宋体" w:eastAsia="宋体" w:hint="default"/>
                <w:sz w:val="18"/>
                <w:szCs w:val="18"/>
              </w:rPr>
              <w:t>管理或受托管理 股权类投资并从 事相关咨询服务 业务</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240" w:lineRule="auto" w:before="49"/>
        <w:ind w:right="1129"/>
        <w:jc w:val="left"/>
      </w:pPr>
      <w:r>
        <w:rPr/>
        <w:pict>
          <v:shape style="position:absolute;margin-left:74.279999pt;margin-top:-23.878296pt;width:119.05pt;height:23.4pt;mso-position-horizontal-relative:page;mso-position-vertical-relative:paragraph;z-index:-1106800" type="#_x0000_t202" filled="false" stroked="false">
            <v:textbox inset="0,0,0,0">
              <w:txbxContent>
                <w:p>
                  <w:pPr>
                    <w:pStyle w:val="BodyText"/>
                    <w:spacing w:line="203" w:lineRule="exact"/>
                    <w:ind w:left="0" w:right="0"/>
                    <w:jc w:val="left"/>
                  </w:pPr>
                  <w:r>
                    <w:rPr/>
                    <w:t>（有限合伙）</w:t>
                  </w:r>
                </w:p>
              </w:txbxContent>
            </v:textbox>
            <w10:wrap type="none"/>
          </v:shape>
        </w:pict>
      </w:r>
      <w:r>
        <w:rPr/>
        <w:t>在合营企业或联营企业的持股比例不同于表决权比例的说明：</w:t>
      </w:r>
    </w:p>
    <w:p>
      <w:pPr>
        <w:pStyle w:val="BodyText"/>
        <w:spacing w:line="240" w:lineRule="auto" w:before="117"/>
        <w:ind w:right="1129"/>
        <w:jc w:val="left"/>
      </w:pPr>
      <w:r>
        <w:rPr/>
        <w:t>持有</w:t>
      </w:r>
      <w:r>
        <w:rPr>
          <w:spacing w:val="-48"/>
        </w:rPr>
        <w:t> </w:t>
      </w:r>
      <w:r>
        <w:rPr>
          <w:rFonts w:ascii="Times New Roman" w:hAnsi="Times New Roman" w:cs="Times New Roman" w:eastAsia="Times New Roman" w:hint="default"/>
        </w:rPr>
        <w:t>20%</w:t>
      </w:r>
      <w:r>
        <w:rPr/>
        <w:t>以下表决权但具有重大影响，或者持有</w:t>
      </w:r>
      <w:r>
        <w:rPr>
          <w:spacing w:val="-48"/>
        </w:rPr>
        <w:t> </w:t>
      </w:r>
      <w:r>
        <w:rPr>
          <w:rFonts w:ascii="Times New Roman" w:hAnsi="Times New Roman" w:cs="Times New Roman" w:eastAsia="Times New Roman" w:hint="default"/>
        </w:rPr>
        <w:t>20%</w:t>
      </w:r>
      <w:r>
        <w:rPr/>
        <w:t>或以上表决权但不具有重大影响的依据：</w:t>
      </w:r>
    </w:p>
    <w:p>
      <w:pPr>
        <w:spacing w:line="240" w:lineRule="auto" w:before="13"/>
        <w:rPr>
          <w:rFonts w:ascii="宋体" w:hAnsi="宋体" w:cs="宋体" w:eastAsia="宋体" w:hint="default"/>
          <w:sz w:val="25"/>
          <w:szCs w:val="25"/>
        </w:rPr>
      </w:pPr>
    </w:p>
    <w:p>
      <w:pPr>
        <w:pStyle w:val="Heading3"/>
        <w:spacing w:line="240" w:lineRule="auto"/>
        <w:ind w:right="1129"/>
        <w:jc w:val="left"/>
        <w:rPr>
          <w:b w:val="0"/>
          <w:bCs w:val="0"/>
        </w:rPr>
      </w:pPr>
      <w:bookmarkStart w:name="（2）重要合营企业的主要财务信息" w:id="413"/>
      <w:bookmarkEnd w:id="413"/>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4"/>
        <w:gridCol w:w="1596"/>
        <w:gridCol w:w="1594"/>
        <w:gridCol w:w="1594"/>
        <w:gridCol w:w="1594"/>
      </w:tblGrid>
      <w:tr>
        <w:trPr>
          <w:trHeight w:val="161" w:hRule="exact"/>
        </w:trPr>
        <w:tc>
          <w:tcPr>
            <w:tcW w:w="1571" w:type="dxa"/>
            <w:tcBorders>
              <w:top w:val="single" w:sz="4" w:space="0" w:color="000000"/>
              <w:left w:val="single" w:sz="4" w:space="0" w:color="000000"/>
              <w:bottom w:val="nil" w:sz="6" w:space="0" w:color="auto"/>
              <w:right w:val="single" w:sz="4" w:space="0" w:color="000000"/>
            </w:tcBorders>
            <w:shd w:val="clear" w:color="auto" w:fill="D4D4D4"/>
          </w:tcPr>
          <w:p>
            <w:pPr/>
          </w:p>
        </w:tc>
        <w:tc>
          <w:tcPr>
            <w:tcW w:w="6388" w:type="dxa"/>
            <w:gridSpan w:val="4"/>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300" w:lineRule="auto" w:before="49"/>
              <w:ind w:left="703" w:right="43" w:hanging="656"/>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 额</w:t>
            </w:r>
          </w:p>
        </w:tc>
      </w:tr>
      <w:tr>
        <w:trPr>
          <w:trHeight w:val="391" w:hRule="exact"/>
        </w:trPr>
        <w:tc>
          <w:tcPr>
            <w:tcW w:w="1571" w:type="dxa"/>
            <w:tcBorders>
              <w:top w:val="nil" w:sz="6" w:space="0" w:color="auto"/>
              <w:left w:val="single" w:sz="4" w:space="0" w:color="000000"/>
              <w:bottom w:val="nil" w:sz="6" w:space="0" w:color="auto"/>
              <w:right w:val="single" w:sz="4" w:space="0" w:color="000000"/>
            </w:tcBorders>
            <w:shd w:val="clear" w:color="auto" w:fill="D4D4D4"/>
          </w:tcPr>
          <w:p>
            <w:pPr/>
          </w:p>
        </w:tc>
        <w:tc>
          <w:tcPr>
            <w:tcW w:w="6388" w:type="dxa"/>
            <w:gridSpan w:val="4"/>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1594" w:type="dxa"/>
            <w:vMerge/>
            <w:tcBorders>
              <w:left w:val="single" w:sz="4" w:space="0" w:color="000000"/>
              <w:right w:val="single" w:sz="4" w:space="0" w:color="000000"/>
            </w:tcBorders>
            <w:shd w:val="clear" w:color="auto" w:fill="D4D4D4"/>
          </w:tcPr>
          <w:p>
            <w:pPr/>
          </w:p>
        </w:tc>
      </w:tr>
      <w:tr>
        <w:trPr>
          <w:trHeight w:val="161" w:hRule="exact"/>
        </w:trPr>
        <w:tc>
          <w:tcPr>
            <w:tcW w:w="1571" w:type="dxa"/>
            <w:tcBorders>
              <w:top w:val="nil" w:sz="6" w:space="0" w:color="auto"/>
              <w:left w:val="single" w:sz="4" w:space="0" w:color="000000"/>
              <w:bottom w:val="single" w:sz="4" w:space="0" w:color="000000"/>
              <w:right w:val="single" w:sz="4" w:space="0" w:color="000000"/>
            </w:tcBorders>
            <w:shd w:val="clear" w:color="auto" w:fill="D4D4D4"/>
          </w:tcPr>
          <w:p>
            <w:pPr/>
          </w:p>
        </w:tc>
        <w:tc>
          <w:tcPr>
            <w:tcW w:w="6388" w:type="dxa"/>
            <w:gridSpan w:val="4"/>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04" w:type="dxa"/>
            <w:tcBorders>
              <w:top w:val="single" w:sz="4" w:space="0" w:color="000000"/>
              <w:left w:val="single" w:sz="10" w:space="0" w:color="D4D4D4"/>
              <w:bottom w:val="single" w:sz="4" w:space="0" w:color="000000"/>
              <w:right w:val="single" w:sz="4" w:space="0" w:color="000000"/>
            </w:tcBorders>
            <w:shd w:val="clear" w:color="auto" w:fill="E1FFFF"/>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15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华威新耀</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视加慧联</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邦道科技</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372,120,170.52</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1,335,702.83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2,769,607.53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172,582,693.65</w:t>
            </w:r>
            <w:r>
              <w:rPr>
                <w:rFonts w:ascii="Times New Roman"/>
                <w:sz w:val="18"/>
              </w:rPr>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10"/>
                <w:sz w:val="18"/>
                <w:szCs w:val="18"/>
              </w:rPr>
              <w:t>其中：现金和现金等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价物</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136,144,517.07</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1,283,250.79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2,479,947.32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39,158,624.77</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2,755,745.29</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10,918,023.59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85,191.22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488,736.08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374,875,915.81</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12,253,726.42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2,854,798.75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173,071,429.73</w:t>
            </w:r>
            <w:r>
              <w:rPr>
                <w:rFonts w:ascii="Times New Roman"/>
                <w:sz w:val="18"/>
              </w:rPr>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99,718,837.58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7,326,933.50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515,944.22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28,143,323.22</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500,000.00</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99,718,837.58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7,326,933.50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515,944.22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28,643,323.22</w:t>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19"/>
              <w:jc w:val="left"/>
              <w:rPr>
                <w:rFonts w:ascii="宋体" w:hAnsi="宋体" w:cs="宋体" w:eastAsia="宋体" w:hint="default"/>
                <w:sz w:val="18"/>
                <w:szCs w:val="18"/>
              </w:rPr>
            </w:pPr>
            <w:r>
              <w:rPr>
                <w:rFonts w:ascii="宋体" w:hAnsi="宋体" w:cs="宋体" w:eastAsia="宋体" w:hint="default"/>
                <w:sz w:val="18"/>
                <w:szCs w:val="18"/>
              </w:rPr>
              <w:t>归属于母公司股东 权益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275,157,078.23</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4,926,792.92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2,338,854.53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144,428,106.51</w:t>
            </w:r>
            <w:r>
              <w:rPr>
                <w:rFonts w:ascii="Times New Roman"/>
                <w:sz w:val="18"/>
              </w:rPr>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按持股比例计算的 净资产份额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110,062,831.29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2,414,128.51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701,656.36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57,771,242.60</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对合营企业权益投 资的账面价值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110,062,831.29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2,414,128.51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851,656.36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57,771,242.60</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259,208,224.60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327,253.54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128,321,520.08</w:t>
            </w:r>
            <w:r>
              <w:rPr>
                <w:rFonts w:ascii="Times New Roman"/>
                <w:sz w:val="18"/>
              </w:rPr>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-128,902.80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-5,264.45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-1,414.68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-263,759.50</w:t>
            </w:r>
            <w:r>
              <w:rPr>
                <w:rFonts w:ascii="Times New Roman"/>
                <w:sz w:val="18"/>
              </w:rPr>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16,958,027.89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130,145,390.16</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-73,207.08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-2,161,145.47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90,367,137.98</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130,145,390.16</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-73,207.08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-2,161,145.47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90,367,137.98</w:t>
            </w:r>
          </w:p>
        </w:tc>
      </w:tr>
    </w:tbl>
    <w:p>
      <w:pPr>
        <w:pStyle w:val="BodyText"/>
        <w:spacing w:line="240" w:lineRule="auto" w:before="49"/>
        <w:ind w:right="1129"/>
        <w:jc w:val="left"/>
      </w:pPr>
      <w:r>
        <w:rPr/>
        <w:t>其他说明</w:t>
      </w:r>
    </w:p>
    <w:p>
      <w:pPr>
        <w:pStyle w:val="BodyText"/>
        <w:spacing w:line="300" w:lineRule="auto" w:before="115"/>
        <w:ind w:right="1129"/>
        <w:jc w:val="left"/>
      </w:pPr>
      <w:r>
        <w:rPr>
          <w:rFonts w:ascii="Times New Roman" w:hAnsi="Times New Roman" w:cs="Times New Roman" w:eastAsia="Times New Roman" w:hint="default"/>
          <w:spacing w:val="-2"/>
        </w:rPr>
        <w:t>(i)</w:t>
      </w:r>
      <w:r>
        <w:rPr>
          <w:spacing w:val="-2"/>
        </w:rPr>
        <w:t>本集团以合营企业财务报表中的金额为基础，按持股比例计算资产份额。财务报表中的金额考虑了取得投资时企业可辨认</w:t>
      </w:r>
      <w:r>
        <w:rPr>
          <w:spacing w:val="-51"/>
        </w:rPr>
        <w:t> </w:t>
      </w:r>
      <w:r>
        <w:rPr>
          <w:spacing w:val="-51"/>
        </w:rPr>
      </w:r>
      <w:r>
        <w:rPr/>
        <w:t>净资产和负债的公允价值以及统一会计政策的影响。</w:t>
      </w:r>
    </w:p>
    <w:p>
      <w:pPr>
        <w:pStyle w:val="BodyText"/>
        <w:spacing w:line="240" w:lineRule="auto" w:before="31"/>
        <w:ind w:right="1129"/>
        <w:jc w:val="left"/>
      </w:pPr>
      <w:r>
        <w:rPr>
          <w:rFonts w:ascii="Times New Roman" w:hAnsi="Times New Roman" w:cs="Times New Roman" w:eastAsia="Times New Roman" w:hint="default"/>
        </w:rPr>
        <w:t>(ii)</w:t>
      </w:r>
      <w:r>
        <w:rPr/>
        <w:t>其他股东尚未按比例同步实缴出资</w:t>
      </w:r>
      <w:r>
        <w:rPr>
          <w:rFonts w:ascii="Times New Roman" w:hAnsi="Times New Roman" w:cs="Times New Roman" w:eastAsia="Times New Roman" w:hint="default"/>
        </w:rPr>
        <w:t>(</w:t>
      </w:r>
      <w:r>
        <w:rPr/>
        <w:t>附注七（</w:t>
      </w:r>
      <w:r>
        <w:rPr>
          <w:rFonts w:ascii="Times New Roman" w:hAnsi="Times New Roman" w:cs="Times New Roman" w:eastAsia="Times New Roman" w:hint="default"/>
        </w:rPr>
        <w:t>14</w:t>
      </w:r>
      <w:r>
        <w:rPr/>
        <w:t>）</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3"/>
        <w:spacing w:line="240" w:lineRule="auto"/>
        <w:ind w:right="1129"/>
        <w:jc w:val="left"/>
        <w:rPr>
          <w:b w:val="0"/>
          <w:bCs w:val="0"/>
        </w:rPr>
      </w:pPr>
      <w:bookmarkStart w:name="（3）重要联营企业的主要财务信息" w:id="414"/>
      <w:bookmarkEnd w:id="414"/>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2"/>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10" w:space="0" w:color="D4D4D4"/>
              <w:bottom w:val="single" w:sz="4" w:space="0" w:color="000000"/>
              <w:right w:val="single" w:sz="4" w:space="0" w:color="000000"/>
            </w:tcBorders>
            <w:shd w:val="clear" w:color="auto" w:fill="E1FFFF"/>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武汉高领</w:t>
            </w:r>
          </w:p>
        </w:tc>
        <w:tc>
          <w:tcPr>
            <w:tcW w:w="3192" w:type="dxa"/>
            <w:tcBorders>
              <w:top w:val="single" w:sz="4" w:space="0" w:color="000000"/>
              <w:left w:val="single" w:sz="4" w:space="0" w:color="000000"/>
              <w:bottom w:val="single" w:sz="4" w:space="0" w:color="000000"/>
              <w:right w:val="single" w:sz="4" w:space="0" w:color="000000"/>
            </w:tcBorders>
            <w:shd w:val="clear" w:color="auto" w:fill="E1FFFF"/>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5,558,130.05</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9,450,000.00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15,008,130.05</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15,008,130.05</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3,752,032.51</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249,466.93</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4,001,499.44</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5,997.75</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5,997.75</w:t>
            </w:r>
          </w:p>
        </w:tc>
        <w:tc>
          <w:tcPr>
            <w:tcW w:w="31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9"/>
        <w:jc w:val="left"/>
      </w:pPr>
      <w:r>
        <w:rPr/>
        <w:t>其他说明</w:t>
      </w:r>
    </w:p>
    <w:p>
      <w:pPr>
        <w:spacing w:after="0" w:line="24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9"/>
        <w:jc w:val="left"/>
        <w:rPr>
          <w:rFonts w:ascii="宋体" w:hAnsi="宋体" w:cs="宋体" w:eastAsia="宋体" w:hint="default"/>
        </w:rPr>
      </w:pPr>
      <w:r>
        <w:rPr>
          <w:rFonts w:ascii="Times New Roman" w:hAnsi="Times New Roman" w:cs="Times New Roman" w:eastAsia="Times New Roman" w:hint="default"/>
          <w:spacing w:val="-2"/>
        </w:rPr>
        <w:t>(i)</w:t>
      </w:r>
      <w:r>
        <w:rPr>
          <w:spacing w:val="-2"/>
        </w:rPr>
        <w:t>本集团以联营企业财务报表中的金额为基础，按持股比例计算资产份额。财务报表中的金额考虑了取得投资时企业可辨认</w:t>
      </w:r>
      <w:r>
        <w:rPr>
          <w:spacing w:val="-51"/>
        </w:rPr>
        <w:t> </w:t>
      </w:r>
      <w:r>
        <w:rPr>
          <w:spacing w:val="-51"/>
        </w:rPr>
      </w:r>
      <w:r>
        <w:rPr/>
        <w:t>净资产和负债的公允价值以及统一会计政策的影响。</w:t>
      </w:r>
      <w:r>
        <w:rPr>
          <w:rFonts w:ascii="宋体" w:hAnsi="宋体" w:cs="宋体" w:eastAsia="宋体" w:hint="default"/>
        </w:rPr>
        <w:t> </w:t>
      </w:r>
    </w:p>
    <w:p>
      <w:pPr>
        <w:pStyle w:val="BodyText"/>
        <w:spacing w:line="240" w:lineRule="auto" w:before="31"/>
        <w:ind w:right="1129"/>
        <w:jc w:val="left"/>
      </w:pPr>
      <w:r>
        <w:rPr>
          <w:rFonts w:ascii="Times New Roman" w:hAnsi="Times New Roman" w:cs="Times New Roman" w:eastAsia="Times New Roman" w:hint="default"/>
        </w:rPr>
        <w:t>(ii)</w:t>
      </w:r>
      <w:r>
        <w:rPr/>
        <w:t>其他股东尚未按比例同步实缴出资</w:t>
      </w:r>
      <w:r>
        <w:rPr>
          <w:rFonts w:ascii="Times New Roman" w:hAnsi="Times New Roman" w:cs="Times New Roman" w:eastAsia="Times New Roman" w:hint="default"/>
        </w:rPr>
        <w:t>(</w:t>
      </w:r>
      <w:r>
        <w:rPr/>
        <w:t>附注七（</w:t>
      </w:r>
      <w:r>
        <w:rPr>
          <w:rFonts w:ascii="Times New Roman" w:hAnsi="Times New Roman" w:cs="Times New Roman" w:eastAsia="Times New Roman" w:hint="default"/>
        </w:rPr>
        <w:t>14</w:t>
      </w:r>
      <w:r>
        <w:rPr/>
        <w:t>）</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6"/>
          <w:szCs w:val="26"/>
        </w:rPr>
      </w:pPr>
    </w:p>
    <w:p>
      <w:pPr>
        <w:pStyle w:val="Heading3"/>
        <w:spacing w:line="240" w:lineRule="auto"/>
        <w:ind w:right="1129"/>
        <w:jc w:val="left"/>
        <w:rPr>
          <w:b w:val="0"/>
          <w:bCs w:val="0"/>
        </w:rPr>
      </w:pPr>
      <w:bookmarkStart w:name="（4）不重要的合营企业和联营企业的汇总财务信息" w:id="415"/>
      <w:bookmarkEnd w:id="415"/>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9"/>
        <w:jc w:val="left"/>
      </w:pPr>
      <w:r>
        <w:rPr/>
        <w:t>其他说明</w:t>
      </w:r>
    </w:p>
    <w:p>
      <w:pPr>
        <w:pStyle w:val="BodyText"/>
        <w:spacing w:line="300" w:lineRule="auto" w:before="115"/>
        <w:ind w:right="1129"/>
        <w:jc w:val="left"/>
      </w:pPr>
      <w:r>
        <w:rPr>
          <w:rFonts w:ascii="Times New Roman" w:hAnsi="Times New Roman" w:cs="Times New Roman" w:eastAsia="Times New Roman" w:hint="default"/>
          <w:spacing w:val="-2"/>
        </w:rPr>
        <w:t>(i)</w:t>
      </w:r>
      <w:r>
        <w:rPr>
          <w:spacing w:val="-2"/>
        </w:rPr>
        <w:t>无锡智真、无锡智道及无锡智强等其他合营企业以对新耀能源、朗新云商、朗新数据等进行持股为目的设立，本公司通过</w:t>
      </w:r>
      <w:r>
        <w:rPr>
          <w:spacing w:val="-53"/>
        </w:rPr>
        <w:t> </w:t>
      </w:r>
      <w:r>
        <w:rPr>
          <w:spacing w:val="-53"/>
        </w:rPr>
      </w:r>
      <w:r>
        <w:rPr/>
        <w:t>朗新投资在上述合伙企业中间接持有的股份并不重大。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1"/>
        <w:ind w:right="1129"/>
        <w:jc w:val="left"/>
        <w:rPr>
          <w:b w:val="0"/>
          <w:bCs w:val="0"/>
        </w:rPr>
      </w:pPr>
      <w:bookmarkStart w:name="（5）合营企业或联营企业向本公司转移资金的能力存在重大限制的说明" w:id="416"/>
      <w:bookmarkEnd w:id="416"/>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6）合营企业或联营企业发生的超额亏损" w:id="417"/>
      <w:bookmarkEnd w:id="417"/>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0"/>
        <w:gridCol w:w="2395"/>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50" w:right="19"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0"/>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7）与合营企业投资相关的未确认承诺" w:id="418"/>
      <w:bookmarkEnd w:id="418"/>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8）与合营企业或联营企业投资相关的或有负债" w:id="419"/>
      <w:bookmarkEnd w:id="419"/>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9"/>
        <w:jc w:val="left"/>
        <w:rPr>
          <w:b w:val="0"/>
          <w:bCs w:val="0"/>
        </w:rPr>
      </w:pPr>
      <w:bookmarkStart w:name="4、重要的共同经营" w:id="420"/>
      <w:bookmarkEnd w:id="420"/>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4"/>
        <w:gridCol w:w="1594"/>
        <w:gridCol w:w="1594"/>
        <w:gridCol w:w="1583"/>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7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49"/>
        <w:ind w:right="5534"/>
        <w:jc w:val="left"/>
      </w:pPr>
      <w:r>
        <w:rPr/>
        <w:t>在共同经营中的持股比例或享有的份额不同于表决权比例的说明： 共同经营为单独主体的，分类为共同经营的依据：</w:t>
      </w:r>
    </w:p>
    <w:p>
      <w:pPr>
        <w:pStyle w:val="BodyText"/>
        <w:spacing w:line="240" w:lineRule="auto" w:before="2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5、在未纳入合并财务报表范围的结构化主体中的权益" w:id="421"/>
      <w:bookmarkEnd w:id="421"/>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t>未纳入合并财务报表范围的结构化主体的相关说明：</w:t>
      </w:r>
    </w:p>
    <w:p>
      <w:pPr>
        <w:spacing w:after="0" w:line="240"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6、其他" w:id="422"/>
      <w:bookmarkEnd w:id="422"/>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129"/>
        <w:jc w:val="left"/>
        <w:rPr>
          <w:b w:val="0"/>
          <w:bCs w:val="0"/>
        </w:rPr>
      </w:pPr>
      <w:bookmarkStart w:name="十、与金融工具相关的风险" w:id="423"/>
      <w:bookmarkEnd w:id="423"/>
      <w:r>
        <w:rPr>
          <w:b w:val="0"/>
          <w:bCs w:val="0"/>
        </w:rPr>
      </w: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jc w:val="left"/>
      </w:pPr>
      <w:r>
        <w:rPr>
          <w:spacing w:val="-2"/>
        </w:rPr>
        <w:t>本集团的经营活动会面临各种金融风险：市场风险（主要为外汇风险和利率风险）、信用风险和流动性风险。本集团整体的</w:t>
      </w:r>
      <w:r>
        <w:rPr>
          <w:spacing w:val="-67"/>
        </w:rPr>
        <w:t> </w:t>
      </w:r>
      <w:r>
        <w:rPr>
          <w:spacing w:val="-67"/>
        </w:rPr>
      </w:r>
      <w:r>
        <w:rPr/>
        <w:t>风险管理计划针对金融市场的不可预见性，力求减少对本集团财务业绩的潜在不利影响。</w:t>
      </w:r>
    </w:p>
    <w:p>
      <w:pPr>
        <w:pStyle w:val="BodyText"/>
        <w:spacing w:line="300" w:lineRule="auto" w:before="18"/>
        <w:ind w:left="212" w:right="9849" w:hanging="61"/>
        <w:jc w:val="left"/>
      </w:pPr>
      <w:r>
        <w:rPr>
          <w:rFonts w:ascii="Times New Roman" w:hAnsi="Times New Roman" w:cs="Times New Roman" w:eastAsia="Times New Roman" w:hint="default"/>
        </w:rPr>
        <w:t>1.</w:t>
      </w:r>
      <w:r>
        <w:rPr/>
        <w:t>市场风险 </w:t>
      </w:r>
      <w:r>
        <w:rPr>
          <w:rFonts w:ascii="Times New Roman" w:hAnsi="Times New Roman" w:cs="Times New Roman" w:eastAsia="Times New Roman" w:hint="default"/>
        </w:rPr>
        <w:t>a.</w:t>
      </w:r>
      <w:r>
        <w:rPr/>
        <w:t>外汇风险</w:t>
      </w:r>
    </w:p>
    <w:p>
      <w:pPr>
        <w:pStyle w:val="BodyText"/>
        <w:spacing w:line="240" w:lineRule="auto" w:before="13"/>
        <w:ind w:right="1129"/>
        <w:jc w:val="left"/>
      </w:pPr>
      <w:r>
        <w:rPr/>
        <w:t>本集团的主要经营位于中国境内，主要业务基本以人民币结算，外币业务很少，因此无重大外汇风险。</w:t>
      </w:r>
    </w:p>
    <w:p>
      <w:pPr>
        <w:pStyle w:val="BodyText"/>
        <w:spacing w:line="309" w:lineRule="auto" w:before="76"/>
        <w:ind w:right="4634"/>
        <w:jc w:val="left"/>
      </w:pPr>
      <w:r>
        <w:rPr>
          <w:rFonts w:ascii="Times New Roman" w:hAnsi="Times New Roman" w:cs="Times New Roman" w:eastAsia="Times New Roman" w:hint="default"/>
        </w:rPr>
        <w:t>b.</w:t>
      </w:r>
      <w:r>
        <w:rPr/>
        <w:t>利率风险 本公司于报告期内并未发生重大的长期外部带息债务，不存在重大利率风险。 </w:t>
      </w:r>
      <w:r>
        <w:rPr>
          <w:rFonts w:ascii="Times New Roman" w:hAnsi="Times New Roman" w:cs="Times New Roman" w:eastAsia="Times New Roman" w:hint="default"/>
        </w:rPr>
        <w:t>2.</w:t>
      </w:r>
      <w:r>
        <w:rPr/>
        <w:t>信用风险</w:t>
      </w:r>
    </w:p>
    <w:p>
      <w:pPr>
        <w:pStyle w:val="BodyText"/>
        <w:spacing w:line="316" w:lineRule="auto" w:before="5"/>
        <w:ind w:right="1034"/>
        <w:jc w:val="left"/>
      </w:pPr>
      <w:r>
        <w:rPr/>
        <w:t>本集团对信用风险按组合分类进行管理。信用风险主要产生于银行存款、应收账款、其他应收款和应收票据等。 </w:t>
      </w:r>
      <w:r>
        <w:rPr>
          <w:spacing w:val="-2"/>
        </w:rPr>
        <w:t>本集团银行存款主要存放于国有银行和其他大中型上市银行，本集团认为其不存在重大的信用风险，不会产生因对方单位违</w:t>
      </w:r>
      <w:r>
        <w:rPr>
          <w:spacing w:val="-64"/>
        </w:rPr>
        <w:t> </w:t>
      </w:r>
      <w:r>
        <w:rPr>
          <w:spacing w:val="-64"/>
        </w:rPr>
      </w:r>
      <w:r>
        <w:rPr/>
        <w:t>约而导致的任何重大损失。 此外，对于应收账款、其他应收款和应收票据，本集团设定相关政策以控制信用风险敞口。本集团基于对客户的财务状况、</w:t>
      </w:r>
      <w:r>
        <w:rPr>
          <w:spacing w:val="-83"/>
        </w:rPr>
        <w:t> </w:t>
      </w:r>
      <w:r>
        <w:rPr>
          <w:spacing w:val="-83"/>
        </w:rPr>
      </w:r>
      <w:r>
        <w:rPr>
          <w:spacing w:val="-2"/>
        </w:rPr>
        <w:t>从第三方获取担保的可能性、信用记录及其他因素诸如目前市场状况等评估客户的信用资质并设置相应信用期。本集团会定</w:t>
      </w:r>
      <w:r>
        <w:rPr>
          <w:spacing w:val="-64"/>
        </w:rPr>
        <w:t> </w:t>
      </w:r>
      <w:r>
        <w:rPr>
          <w:spacing w:val="-64"/>
        </w:rPr>
      </w:r>
      <w:r>
        <w:rPr>
          <w:spacing w:val="-2"/>
        </w:rPr>
        <w:t>期对客户信用记录进行监控，对于信用记录不良的客户，本集团会采用书面催款、缩短信用期或取消信用期等方式，以确保</w:t>
      </w:r>
      <w:r>
        <w:rPr>
          <w:spacing w:val="-65"/>
        </w:rPr>
        <w:t> </w:t>
      </w:r>
      <w:r>
        <w:rPr>
          <w:spacing w:val="-65"/>
        </w:rPr>
      </w:r>
      <w:r>
        <w:rPr/>
        <w:t>本集团的整体信用风险在可控的范围内。</w:t>
      </w:r>
    </w:p>
    <w:p>
      <w:pPr>
        <w:pStyle w:val="BodyText"/>
        <w:spacing w:line="324" w:lineRule="auto" w:before="18"/>
        <w:ind w:right="1034"/>
        <w:jc w:val="left"/>
      </w:pPr>
      <w:r>
        <w:rPr>
          <w:rFonts w:ascii="Times New Roman" w:hAnsi="Times New Roman" w:cs="Times New Roman" w:eastAsia="Times New Roman" w:hint="default"/>
        </w:rPr>
        <w:t>3.</w:t>
      </w:r>
      <w:r>
        <w:rPr/>
        <w:t>流动性风险 </w:t>
      </w:r>
      <w:r>
        <w:rPr>
          <w:spacing w:val="-2"/>
        </w:rPr>
        <w:t>本集团内各子公司负责其自身的现金流量预测。总部财务部门在汇总各子公司现金流量预测的基础上，在集团层面持续监控</w:t>
      </w:r>
      <w:r>
        <w:rPr>
          <w:spacing w:val="-64"/>
        </w:rPr>
        <w:t> </w:t>
      </w:r>
      <w:r>
        <w:rPr>
          <w:spacing w:val="-64"/>
        </w:rPr>
      </w:r>
      <w:r>
        <w:rPr/>
        <w:t>短期和长期的资金需求，以确保维持充裕的现金储备和可供随时变现的有价证券；同时持续监控是否符合借款协议的规定，</w:t>
      </w:r>
      <w:r>
        <w:rPr>
          <w:spacing w:val="-83"/>
        </w:rPr>
        <w:t> </w:t>
      </w:r>
      <w:r>
        <w:rPr>
          <w:spacing w:val="-83"/>
        </w:rPr>
      </w:r>
      <w:r>
        <w:rPr>
          <w:spacing w:val="-2"/>
        </w:rPr>
        <w:t>从主要金融机构获得提供足够备用资金的承诺，以满足短期和长期的资金需求。于报告期内各资产负债表日，本集团的各项</w:t>
      </w:r>
      <w:r>
        <w:rPr>
          <w:spacing w:val="-63"/>
        </w:rPr>
        <w:t> </w:t>
      </w:r>
      <w:r>
        <w:rPr>
          <w:spacing w:val="-63"/>
        </w:rPr>
      </w:r>
      <w:r>
        <w:rPr/>
        <w:t>金融资产及负债均为一年内到期。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7"/>
        <w:ind w:right="1129"/>
        <w:jc w:val="left"/>
        <w:rPr>
          <w:b w:val="0"/>
          <w:bCs w:val="0"/>
        </w:rPr>
      </w:pPr>
      <w:bookmarkStart w:name="十一、公允价值的披露" w:id="424"/>
      <w:bookmarkEnd w:id="424"/>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9"/>
        <w:jc w:val="left"/>
        <w:rPr>
          <w:b w:val="0"/>
          <w:bCs w:val="0"/>
        </w:rPr>
      </w:pPr>
      <w:bookmarkStart w:name="1、以公允价值计量的资产和负债的期末公允价值" w:id="425"/>
      <w:bookmarkEnd w:id="425"/>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3"/>
        <w:gridCol w:w="1836"/>
        <w:gridCol w:w="1913"/>
        <w:gridCol w:w="1913"/>
        <w:gridCol w:w="1915"/>
      </w:tblGrid>
      <w:tr>
        <w:trPr>
          <w:trHeight w:val="403" w:hRule="exact"/>
        </w:trPr>
        <w:tc>
          <w:tcPr>
            <w:tcW w:w="19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3" w:hRule="exact"/>
        </w:trPr>
        <w:tc>
          <w:tcPr>
            <w:tcW w:w="1993" w:type="dxa"/>
            <w:vMerge/>
            <w:tcBorders>
              <w:left w:val="single" w:sz="4" w:space="0" w:color="000000"/>
              <w:bottom w:val="single" w:sz="4" w:space="0" w:color="000000"/>
              <w:right w:val="single" w:sz="4" w:space="0" w:color="000000"/>
            </w:tcBorders>
            <w:shd w:val="clear" w:color="auto" w:fill="D4D4D4"/>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82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2、持续和非持续第一层次公允价值计量项目市价的确定依据" w:id="426"/>
      <w:bookmarkEnd w:id="426"/>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3、持续和非持续第二层次公允价值计量项目，采用的估值技术和重要参数的定性及定量信" w:id="427"/>
      <w:bookmarkEnd w:id="427"/>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9"/>
        <w:jc w:val="left"/>
        <w:rPr>
          <w:b w:val="0"/>
          <w:bCs w:val="0"/>
        </w:rPr>
      </w:pPr>
      <w:bookmarkStart w:name="4、持续和非持续第三层次公允价值计量项目，采用的估值技术和重要参数的定性及定量信" w:id="428"/>
      <w:bookmarkEnd w:id="428"/>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5、持续的第三层次公允价值计量项目，期初与期末账面价值间的调节信息及不可观察参数" w:id="429"/>
      <w:bookmarkEnd w:id="429"/>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9"/>
        <w:jc w:val="left"/>
        <w:rPr>
          <w:b w:val="0"/>
          <w:bCs w:val="0"/>
        </w:rPr>
      </w:pPr>
      <w:bookmarkStart w:name="6、持续的公允价值计量项目，本期内发生各层级之间转换的，转换的原因及确定转换时点" w:id="430"/>
      <w:bookmarkEnd w:id="430"/>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7、本期内发生的估值技术变更及变更原因" w:id="431"/>
      <w:bookmarkEnd w:id="431"/>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9"/>
        <w:jc w:val="left"/>
        <w:rPr>
          <w:b w:val="0"/>
          <w:bCs w:val="0"/>
        </w:rPr>
      </w:pPr>
      <w:bookmarkStart w:name="8、不以公允价值计量的金融资产和金融负债的公允价值情况" w:id="432"/>
      <w:bookmarkEnd w:id="432"/>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9、其他" w:id="433"/>
      <w:bookmarkEnd w:id="433"/>
      <w:r>
        <w:rPr>
          <w:b w:val="0"/>
          <w:bCs w:val="0"/>
        </w:rPr>
      </w:r>
      <w:r>
        <w:rPr>
          <w:rFonts w:ascii="Times New Roman" w:hAnsi="Times New Roman" w:cs="Times New Roman" w:eastAsia="Times New Roman" w:hint="default"/>
        </w:rPr>
        <w:t>9</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636" w:lineRule="auto"/>
        <w:ind w:right="1129"/>
        <w:jc w:val="left"/>
      </w:pPr>
      <w:r>
        <w:rPr/>
        <w:t>公允价值计量结果所属的层次，由对公允价值计量整体而言具有重要意义的输入值所属的最低层次决定： 第一层次：相同资产或负债在活跃市场上未经调整的报价。 第二层次：除第一层次输入值外相关资产或负债直接或间接可观察的输入值。 第三层次：相关资产或负债的不可观察输入值。</w:t>
      </w:r>
    </w:p>
    <w:p>
      <w:pPr>
        <w:pStyle w:val="BodyText"/>
        <w:spacing w:line="316" w:lineRule="auto" w:before="91"/>
        <w:ind w:right="1129"/>
        <w:jc w:val="left"/>
      </w:pPr>
      <w:r>
        <w:rPr>
          <w:spacing w:val="-2"/>
        </w:rPr>
        <w:t>于报告期内，本公司不存在持续和非持续以公允价值计量的资产，也不存在不以公允价值计量但披露其公允价值的资产和负</w:t>
      </w:r>
      <w:r>
        <w:rPr>
          <w:spacing w:val="-64"/>
        </w:rPr>
        <w:t> </w:t>
      </w:r>
      <w:r>
        <w:rPr>
          <w:spacing w:val="-64"/>
        </w:rPr>
      </w:r>
      <w:r>
        <w:rPr/>
        <w:t>债。</w:t>
      </w:r>
    </w:p>
    <w:p>
      <w:pPr>
        <w:spacing w:line="240" w:lineRule="auto" w:before="4"/>
        <w:rPr>
          <w:rFonts w:ascii="宋体" w:hAnsi="宋体" w:cs="宋体" w:eastAsia="宋体" w:hint="default"/>
          <w:sz w:val="25"/>
          <w:szCs w:val="25"/>
        </w:rPr>
      </w:pPr>
    </w:p>
    <w:p>
      <w:pPr>
        <w:pStyle w:val="BodyText"/>
        <w:spacing w:line="316" w:lineRule="auto"/>
        <w:ind w:right="1129"/>
        <w:jc w:val="left"/>
      </w:pPr>
      <w:r>
        <w:rPr>
          <w:spacing w:val="-2"/>
        </w:rPr>
        <w:t>本集团以摊余成本计量的金融资产和金融负债主要包括应收款项、应付款项等，不以公允价值计量的金融资产和金融负债的</w:t>
      </w:r>
      <w:r>
        <w:rPr>
          <w:spacing w:val="-64"/>
        </w:rPr>
        <w:t> </w:t>
      </w:r>
      <w:r>
        <w:rPr>
          <w:spacing w:val="-64"/>
        </w:rPr>
      </w:r>
      <w:r>
        <w:rPr/>
        <w:t>账面价值与公允价值差异并不重大。</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2"/>
        <w:spacing w:line="240" w:lineRule="auto"/>
        <w:ind w:right="1129"/>
        <w:jc w:val="left"/>
        <w:rPr>
          <w:b w:val="0"/>
          <w:bCs w:val="0"/>
        </w:rPr>
      </w:pPr>
      <w:bookmarkStart w:name="十二、关联方及关联交易" w:id="434"/>
      <w:bookmarkEnd w:id="434"/>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9"/>
        <w:jc w:val="left"/>
        <w:rPr>
          <w:b w:val="0"/>
          <w:bCs w:val="0"/>
        </w:rPr>
      </w:pPr>
      <w:bookmarkStart w:name="1、本企业的母公司情况" w:id="435"/>
      <w:bookmarkEnd w:id="435"/>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31"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64"/>
              <w:jc w:val="left"/>
              <w:rPr>
                <w:rFonts w:ascii="Times New Roman" w:hAnsi="Times New Roman" w:cs="Times New Roman" w:eastAsia="Times New Roman" w:hint="default"/>
                <w:sz w:val="18"/>
                <w:szCs w:val="18"/>
              </w:rPr>
            </w:pPr>
            <w:r>
              <w:rPr>
                <w:rFonts w:ascii="Times New Roman"/>
                <w:sz w:val="18"/>
              </w:rPr>
              <w:t>YUE QI</w:t>
            </w:r>
            <w:r>
              <w:rPr>
                <w:rFonts w:ascii="Times New Roman"/>
                <w:spacing w:val="1"/>
                <w:sz w:val="18"/>
              </w:rPr>
              <w:t> </w:t>
            </w:r>
            <w:r>
              <w:rPr>
                <w:rFonts w:ascii="Times New Roman"/>
                <w:spacing w:val="-3"/>
                <w:sz w:val="18"/>
              </w:rPr>
              <w:t>CAPITAL</w:t>
            </w:r>
            <w:r>
              <w:rPr>
                <w:rFonts w:ascii="Times New Roman"/>
                <w:spacing w:val="-1"/>
                <w:w w:val="99"/>
                <w:sz w:val="18"/>
              </w:rPr>
              <w:t> </w:t>
            </w:r>
            <w:r>
              <w:rPr>
                <w:rFonts w:ascii="Times New Roman"/>
                <w:sz w:val="18"/>
              </w:rPr>
              <w:t>LIMITED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1"/>
              <w:jc w:val="right"/>
              <w:rPr>
                <w:rFonts w:ascii="宋体" w:hAnsi="宋体" w:cs="宋体" w:eastAsia="宋体" w:hint="default"/>
                <w:sz w:val="18"/>
                <w:szCs w:val="18"/>
              </w:rPr>
            </w:pPr>
            <w:r>
              <w:rPr>
                <w:rFonts w:ascii="Times New Roman" w:hAnsi="Times New Roman" w:cs="Times New Roman" w:eastAsia="Times New Roman" w:hint="default"/>
                <w:sz w:val="18"/>
                <w:szCs w:val="18"/>
              </w:rPr>
              <w:t>9,434,801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23.32%</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无锡朴华股权投资 合伙企业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非证券类股权投资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31"/>
              <w:jc w:val="right"/>
              <w:rPr>
                <w:rFonts w:ascii="宋体" w:hAnsi="宋体" w:cs="宋体" w:eastAsia="宋体" w:hint="default"/>
                <w:sz w:val="18"/>
                <w:szCs w:val="18"/>
              </w:rPr>
            </w:pPr>
            <w:r>
              <w:rPr>
                <w:rFonts w:ascii="Times New Roman" w:hAnsi="Times New Roman" w:cs="Times New Roman" w:eastAsia="Times New Roman" w:hint="default"/>
                <w:sz w:val="18"/>
                <w:szCs w:val="18"/>
              </w:rPr>
              <w:t>300,000,000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19.63%</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无锡群英股权投资 合伙企业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非证券类股权投资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1"/>
              <w:jc w:val="right"/>
              <w:rPr>
                <w:rFonts w:ascii="宋体" w:hAnsi="宋体" w:cs="宋体" w:eastAsia="宋体" w:hint="default"/>
                <w:sz w:val="18"/>
                <w:szCs w:val="18"/>
              </w:rPr>
            </w:pPr>
            <w:r>
              <w:rPr>
                <w:rFonts w:ascii="Times New Roman" w:hAnsi="Times New Roman" w:cs="Times New Roman" w:eastAsia="Times New Roman" w:hint="default"/>
                <w:sz w:val="18"/>
                <w:szCs w:val="18"/>
              </w:rPr>
              <w:t>300,000,000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无锡富赡股权投资 合伙企业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非证券类股权投资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4,829,000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无锡羲华股权投资 合伙企业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非证券类股权投资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4,169,935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无锡道元股权投资 合伙企业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非证券类股权投资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3,807,265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1.73%</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国开博裕一期（上 </w:t>
            </w:r>
            <w:r>
              <w:rPr>
                <w:rFonts w:ascii="宋体" w:hAnsi="宋体" w:cs="宋体" w:eastAsia="宋体" w:hint="default"/>
                <w:spacing w:val="-10"/>
                <w:sz w:val="18"/>
                <w:szCs w:val="18"/>
              </w:rPr>
              <w:t>海）股权投资合伙企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4,890,000,000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12.56%</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天津诚柏股权投资 合伙企业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非证券类股权投资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1,460,700,000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海南华兴合创创业 投资中心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创业投资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145,000,000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1.88%</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上海云鑫创业投资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1,451,782,336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8.39%</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境内上市人民币普 通股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股持有人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11.41%</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11.41%</w:t>
            </w:r>
            <w:r>
              <w:rPr>
                <w:rFonts w:ascii="Times New Roman"/>
                <w:sz w:val="18"/>
              </w:rPr>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w:t>
            </w:r>
          </w:p>
        </w:tc>
      </w:tr>
    </w:tbl>
    <w:p>
      <w:pPr>
        <w:pStyle w:val="BodyText"/>
        <w:spacing w:line="357" w:lineRule="auto" w:before="49"/>
        <w:ind w:right="6974"/>
        <w:jc w:val="left"/>
      </w:pPr>
      <w:r>
        <w:rPr/>
        <w:t>本企业的母公司情况的说明 本企业最终控制方是徐长军先生和郑新标先生。 其他说明：</w:t>
      </w:r>
    </w:p>
    <w:p>
      <w:pPr>
        <w:spacing w:line="240" w:lineRule="auto" w:before="3"/>
        <w:rPr>
          <w:rFonts w:ascii="宋体" w:hAnsi="宋体" w:cs="宋体" w:eastAsia="宋体" w:hint="default"/>
          <w:sz w:val="20"/>
          <w:szCs w:val="20"/>
        </w:rPr>
      </w:pPr>
    </w:p>
    <w:p>
      <w:pPr>
        <w:spacing w:line="547" w:lineRule="auto" w:before="0"/>
        <w:ind w:left="152" w:right="7694" w:firstLine="0"/>
        <w:jc w:val="left"/>
        <w:rPr>
          <w:rFonts w:ascii="宋体" w:hAnsi="宋体" w:cs="宋体" w:eastAsia="宋体" w:hint="default"/>
          <w:sz w:val="21"/>
          <w:szCs w:val="21"/>
        </w:rPr>
      </w:pPr>
      <w:bookmarkStart w:name="2、本企业的子公司情况" w:id="436"/>
      <w:bookmarkEnd w:id="43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pacing w:val="-11"/>
          <w:sz w:val="18"/>
          <w:szCs w:val="18"/>
        </w:rPr>
        <w:t>本企业子公司的情况详见附注九（</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w:t>
      </w:r>
      <w:r>
        <w:rPr>
          <w:rFonts w:ascii="宋体" w:hAnsi="宋体" w:cs="宋体" w:eastAsia="宋体" w:hint="default"/>
          <w:spacing w:val="-75"/>
          <w:sz w:val="18"/>
          <w:szCs w:val="18"/>
        </w:rPr>
        <w:t> </w:t>
      </w:r>
      <w:bookmarkStart w:name="3、本企业合营和联营企业情况" w:id="437"/>
      <w:bookmarkEnd w:id="437"/>
      <w:r>
        <w:rPr>
          <w:rFonts w:ascii="宋体" w:hAnsi="宋体" w:cs="宋体" w:eastAsia="宋体" w:hint="default"/>
          <w:spacing w:val="-75"/>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46"/>
        <w:ind w:right="2294"/>
        <w:jc w:val="left"/>
      </w:pPr>
      <w:r>
        <w:rPr>
          <w:spacing w:val="-9"/>
        </w:rPr>
        <w:t>本企业重要的合营或联营企业详见附注九（</w:t>
      </w:r>
      <w:r>
        <w:rPr>
          <w:rFonts w:ascii="Times New Roman" w:hAnsi="Times New Roman" w:cs="Times New Roman" w:eastAsia="Times New Roman" w:hint="default"/>
          <w:spacing w:val="-9"/>
        </w:rPr>
        <w:t>3</w:t>
      </w:r>
      <w:r>
        <w:rPr>
          <w:spacing w:val="-9"/>
        </w:rPr>
        <w:t>）。</w:t>
      </w:r>
      <w:r>
        <w:rPr>
          <w:spacing w:val="-75"/>
        </w:rPr>
        <w:t> </w:t>
      </w:r>
      <w:r>
        <w:rPr/>
        <w:t>本期与本公司发生关联方交易，或前期与本公司发生关联方交易形成余额的其他合营或联营企业情况如下：</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邦道科技有限公司（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邦道科技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本公司之合营企业</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4、其他关联方情况" w:id="438"/>
      <w:bookmarkEnd w:id="43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视加慧联科技有限公司（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视加慧联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本公司之合营企业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支付宝</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网络技术有限公司（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支付宝网络</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与本公司股东上海云鑫受同一最终控制人控制</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北京朗新天霁软件技术有限公司（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朗新天霁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受本公司股东控制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传神语联网网络科技股份有限公司（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传神语联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本公司股东任董事</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5、关联交易情况" w:id="439"/>
      <w:bookmarkEnd w:id="43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购销商品、提供和接受劳务的关联交易" w:id="440"/>
      <w:bookmarkEnd w:id="44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9"/>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4"/>
        <w:gridCol w:w="1452"/>
        <w:gridCol w:w="1709"/>
        <w:gridCol w:w="1706"/>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朗新天霁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接受系统服务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311,320.75</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3" w:right="0"/>
              <w:jc w:val="left"/>
              <w:rPr>
                <w:rFonts w:ascii="Times New Roman" w:hAnsi="Times New Roman" w:cs="Times New Roman" w:eastAsia="Times New Roman" w:hint="default"/>
                <w:sz w:val="18"/>
                <w:szCs w:val="18"/>
              </w:rPr>
            </w:pPr>
            <w:r>
              <w:rPr>
                <w:rFonts w:ascii="Times New Roman"/>
                <w:sz w:val="18"/>
              </w:rPr>
              <w:t>500,000.00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5" w:right="0"/>
              <w:jc w:val="left"/>
              <w:rPr>
                <w:rFonts w:ascii="Times New Roman" w:hAnsi="Times New Roman" w:cs="Times New Roman" w:eastAsia="Times New Roman" w:hint="default"/>
                <w:sz w:val="18"/>
                <w:szCs w:val="18"/>
              </w:rPr>
            </w:pPr>
            <w:r>
              <w:rPr>
                <w:rFonts w:ascii="Times New Roman"/>
                <w:sz w:val="18"/>
              </w:rPr>
              <w:t>28,301.89</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传神语联</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翻译服务费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105,724.54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9"/>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8"/>
        <w:gridCol w:w="2258"/>
        <w:gridCol w:w="2654"/>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平台管理费收入</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2,297,905.78</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1,214,190.26</w:t>
            </w:r>
            <w:r>
              <w:rPr>
                <w:rFonts w:ascii="Times New Roman"/>
                <w:sz w:val="18"/>
              </w:rPr>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定制软件开发</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3,814,587.51</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530,326.31</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支付宝网络</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维护服务收入</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4,870,930.00</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268,744.29</w:t>
            </w:r>
          </w:p>
        </w:tc>
      </w:tr>
    </w:tbl>
    <w:p>
      <w:pPr>
        <w:pStyle w:val="BodyText"/>
        <w:spacing w:line="240" w:lineRule="auto" w:before="49"/>
        <w:ind w:right="1129"/>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2）关联受托管理/承包及委托管理/出包情况" w:id="441"/>
      <w:bookmarkEnd w:id="441"/>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9"/>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589" w:right="23"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27"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12" w:right="3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4" w:lineRule="auto"/>
        <w:jc w:val="left"/>
        <w:rPr>
          <w:rFonts w:ascii="宋体" w:hAnsi="宋体" w:cs="宋体" w:eastAsia="宋体" w:hint="default"/>
          <w:sz w:val="18"/>
          <w:szCs w:val="18"/>
        </w:rPr>
        <w:sectPr>
          <w:pgSz w:w="11910" w:h="16840"/>
          <w:pgMar w:header="745" w:footer="982" w:top="1060" w:bottom="1180" w:left="980" w:right="0"/>
        </w:sectPr>
      </w:pPr>
    </w:p>
    <w:p>
      <w:pPr>
        <w:pStyle w:val="BodyText"/>
        <w:spacing w:line="340"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2544" w:space="6283"/>
            <w:col w:w="210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9" w:right="23"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407"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92" w:right="3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0"/>
        <w:ind w:right="1129"/>
        <w:jc w:val="left"/>
      </w:pPr>
      <w:r>
        <w:rPr/>
        <w:t>关联管理</w:t>
      </w:r>
      <w:r>
        <w:rPr>
          <w:rFonts w:ascii="Times New Roman" w:hAnsi="Times New Roman" w:cs="Times New Roman" w:eastAsia="Times New Roman" w:hint="default"/>
        </w:rPr>
        <w:t>/</w:t>
      </w:r>
      <w:r>
        <w:rPr/>
        <w:t>出包情况说明</w:t>
      </w:r>
    </w:p>
    <w:p>
      <w:pPr>
        <w:spacing w:line="240" w:lineRule="auto" w:before="13"/>
        <w:rPr>
          <w:rFonts w:ascii="宋体" w:hAnsi="宋体" w:cs="宋体" w:eastAsia="宋体" w:hint="default"/>
          <w:sz w:val="25"/>
          <w:szCs w:val="25"/>
        </w:rPr>
      </w:pPr>
    </w:p>
    <w:p>
      <w:pPr>
        <w:pStyle w:val="Heading3"/>
        <w:spacing w:line="240" w:lineRule="auto"/>
        <w:ind w:right="1129"/>
        <w:jc w:val="left"/>
        <w:rPr>
          <w:b w:val="0"/>
          <w:bCs w:val="0"/>
        </w:rPr>
      </w:pPr>
      <w:bookmarkStart w:name="（3）关联租赁情况" w:id="442"/>
      <w:bookmarkEnd w:id="442"/>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9"/>
        <w:jc w:val="left"/>
      </w:pPr>
      <w:r>
        <w:rPr/>
        <w:t>本公司作为出租方：</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9"/>
        <w:jc w:val="left"/>
      </w:pPr>
      <w:r>
        <w:rPr/>
        <w:t>本公司作为承租方：</w:t>
      </w:r>
    </w:p>
    <w:p>
      <w:pPr>
        <w:pStyle w:val="BodyText"/>
        <w:spacing w:line="240" w:lineRule="auto" w:before="11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9"/>
        <w:ind w:right="1129"/>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4）关联担保情况" w:id="443"/>
      <w:bookmarkEnd w:id="443"/>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9"/>
        <w:jc w:val="left"/>
      </w:pPr>
      <w:r>
        <w:rPr/>
        <w:t>本公司作为担保方</w:t>
      </w:r>
    </w:p>
    <w:p>
      <w:pPr>
        <w:pStyle w:val="BodyText"/>
        <w:spacing w:line="240" w:lineRule="auto" w:before="11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1129"/>
        <w:jc w:val="left"/>
      </w:pPr>
      <w:r>
        <w:rPr/>
        <w:t>本公司作为被担保方</w:t>
      </w:r>
    </w:p>
    <w:p>
      <w:pPr>
        <w:pStyle w:val="BodyText"/>
        <w:spacing w:line="240" w:lineRule="auto" w:before="11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1129"/>
        <w:jc w:val="left"/>
      </w:pPr>
      <w:r>
        <w:rPr/>
        <w:t>关联担保情况说明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5）关联方资金拆借" w:id="444"/>
      <w:bookmarkEnd w:id="444"/>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6）关联方资产转让、债务重组情况" w:id="445"/>
      <w:bookmarkEnd w:id="445"/>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视加慧联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转让电子设备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7" w:right="0"/>
              <w:jc w:val="left"/>
              <w:rPr>
                <w:rFonts w:ascii="Times New Roman" w:hAnsi="Times New Roman" w:cs="Times New Roman" w:eastAsia="Times New Roman" w:hint="default"/>
                <w:sz w:val="18"/>
                <w:szCs w:val="18"/>
              </w:rPr>
            </w:pPr>
            <w:r>
              <w:rPr>
                <w:rFonts w:ascii="Times New Roman"/>
                <w:sz w:val="18"/>
              </w:rPr>
              <w:t>104,455.04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7）关键管理人员报酬" w:id="446"/>
      <w:bookmarkEnd w:id="446"/>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7,496,611.23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4,383,105.75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bookmarkStart w:name="（8）其他关联交易" w:id="447"/>
      <w:bookmarkEnd w:id="447"/>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40"/>
        <w:jc w:val="both"/>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日，本公司与易视腾科技股份有限公司、无锡智睿投资合伙企业（有限合伙）及无锡易云投资合伙企业（有 限合伙）签署协议，以</w:t>
      </w:r>
      <w:r>
        <w:rPr>
          <w:rFonts w:ascii="Times New Roman" w:hAnsi="Times New Roman" w:cs="Times New Roman" w:eastAsia="Times New Roman" w:hint="default"/>
        </w:rPr>
        <w:t>30%</w:t>
      </w:r>
      <w:r>
        <w:rPr/>
        <w:t>、</w:t>
      </w:r>
      <w:r>
        <w:rPr>
          <w:rFonts w:ascii="Times New Roman" w:hAnsi="Times New Roman" w:cs="Times New Roman" w:eastAsia="Times New Roman" w:hint="default"/>
        </w:rPr>
        <w:t>45%</w:t>
      </w:r>
      <w:r>
        <w:rPr/>
        <w:t>、</w:t>
      </w:r>
      <w:r>
        <w:rPr>
          <w:rFonts w:ascii="Times New Roman" w:hAnsi="Times New Roman" w:cs="Times New Roman" w:eastAsia="Times New Roman" w:hint="default"/>
        </w:rPr>
        <w:t>15%</w:t>
      </w:r>
      <w:r>
        <w:rPr/>
        <w:t>及</w:t>
      </w:r>
      <w:r>
        <w:rPr>
          <w:rFonts w:ascii="Times New Roman" w:hAnsi="Times New Roman" w:cs="Times New Roman" w:eastAsia="Times New Roman" w:hint="default"/>
        </w:rPr>
        <w:t>10%</w:t>
      </w:r>
      <w:r>
        <w:rPr/>
        <w:t>的持股比例共同发起设立视加慧联科技有限公司（以下简称</w:t>
      </w:r>
      <w:r>
        <w:rPr>
          <w:rFonts w:ascii="Times New Roman" w:hAnsi="Times New Roman" w:cs="Times New Roman" w:eastAsia="Times New Roman" w:hint="default"/>
        </w:rPr>
        <w:t>“</w:t>
      </w:r>
      <w:r>
        <w:rPr/>
        <w:t>视加慧联</w:t>
      </w:r>
      <w:r>
        <w:rPr>
          <w:rFonts w:ascii="Times New Roman" w:hAnsi="Times New Roman" w:cs="Times New Roman" w:eastAsia="Times New Roman" w:hint="default"/>
        </w:rPr>
        <w:t>”</w:t>
      </w:r>
      <w:r>
        <w:rPr/>
        <w:t>），</w:t>
      </w:r>
      <w:r>
        <w:rPr>
          <w:spacing w:val="2"/>
        </w:rPr>
        <w:t> </w:t>
      </w:r>
      <w:r>
        <w:rPr/>
        <w:t>注册资本</w:t>
      </w:r>
      <w:r>
        <w:rPr>
          <w:rFonts w:ascii="Times New Roman" w:hAnsi="Times New Roman" w:cs="Times New Roman" w:eastAsia="Times New Roman" w:hint="default"/>
        </w:rPr>
        <w:t>50,000,000.00</w:t>
      </w:r>
      <w:r>
        <w:rPr/>
        <w:t>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日，累计实缴出资人民币</w:t>
      </w:r>
      <w:r>
        <w:rPr>
          <w:rFonts w:ascii="Times New Roman" w:hAnsi="Times New Roman" w:cs="Times New Roman" w:eastAsia="Times New Roman" w:hint="default"/>
        </w:rPr>
        <w:t>5,000,000.00</w:t>
      </w:r>
      <w:r>
        <w:rPr/>
        <w:t>元。朗新科技已出资</w:t>
      </w:r>
      <w:r>
        <w:rPr>
          <w:rFonts w:ascii="Times New Roman" w:hAnsi="Times New Roman" w:cs="Times New Roman" w:eastAsia="Times New Roman" w:hint="default"/>
        </w:rPr>
        <w:t>1,500,000.00</w:t>
      </w:r>
      <w:r>
        <w:rPr/>
        <w:t>元。</w:t>
      </w:r>
    </w:p>
    <w:p>
      <w:pPr>
        <w:spacing w:after="0" w:line="300" w:lineRule="auto"/>
        <w:jc w:val="both"/>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9"/>
        <w:jc w:val="left"/>
        <w:rPr>
          <w:b w:val="0"/>
          <w:bCs w:val="0"/>
        </w:rPr>
      </w:pPr>
      <w:bookmarkStart w:name="6、关联方应收应付款项" w:id="448"/>
      <w:bookmarkEnd w:id="448"/>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应收项目" w:id="449"/>
      <w:bookmarkEnd w:id="449"/>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应收票据及应收账 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支付宝网络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2,418,717.85</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24,232.30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31,861.70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318.62</w:t>
            </w:r>
            <w:r>
              <w:rPr>
                <w:rFonts w:ascii="Times New Roman"/>
                <w:sz w:val="18"/>
              </w:rPr>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4,043,462.75</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40,434.63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562,145.89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5,621.46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2,272,342.72</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1,340,855.61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19,288.82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视加慧联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104,455.04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1,044.55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2）应付项目" w:id="450"/>
      <w:bookmarkEnd w:id="450"/>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103,262.15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80,081.42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80,081.42</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视加慧联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134,191.72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朗新天霁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28,301.89</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7、关联方承诺" w:id="451"/>
      <w:bookmarkEnd w:id="451"/>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9"/>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8、其他" w:id="452"/>
      <w:bookmarkEnd w:id="452"/>
      <w:r>
        <w:rPr>
          <w:b w:val="0"/>
          <w:bCs w:val="0"/>
        </w:rPr>
      </w:r>
      <w:r>
        <w:rPr>
          <w:rFonts w:ascii="Times New Roman" w:hAnsi="Times New Roman" w:cs="Times New Roman" w:eastAsia="Times New Roman" w:hint="default"/>
        </w:rPr>
        <w:t>8</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9"/>
        <w:jc w:val="left"/>
        <w:rPr>
          <w:b w:val="0"/>
          <w:bCs w:val="0"/>
        </w:rPr>
      </w:pPr>
      <w:bookmarkStart w:name="十三、股份支付" w:id="453"/>
      <w:bookmarkEnd w:id="453"/>
      <w:r>
        <w:rPr>
          <w:b w:val="0"/>
          <w:bCs w:val="0"/>
        </w:rPr>
      </w:r>
      <w:r>
        <w:rPr/>
        <w:t>十三、股份支付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9"/>
        <w:jc w:val="left"/>
        <w:rPr>
          <w:b w:val="0"/>
          <w:bCs w:val="0"/>
        </w:rPr>
      </w:pPr>
      <w:bookmarkStart w:name="1、股份支付总体情况" w:id="454"/>
      <w:bookmarkEnd w:id="454"/>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102,743,320.00</w:t>
            </w:r>
            <w:r>
              <w:rPr>
                <w:rFonts w:ascii="Times New Roman"/>
                <w:sz w:val="18"/>
              </w:rPr>
            </w:r>
          </w:p>
        </w:tc>
      </w:tr>
      <w:tr>
        <w:trPr>
          <w:trHeight w:val="401"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30,465,088.00</w:t>
            </w:r>
          </w:p>
        </w:tc>
      </w:tr>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311,496.00</w:t>
            </w:r>
            <w:r>
              <w:rPr>
                <w:rFonts w:ascii="Times New Roman"/>
                <w:sz w:val="18"/>
              </w:rPr>
            </w:r>
          </w:p>
        </w:tc>
      </w:tr>
      <w:tr>
        <w:trPr>
          <w:trHeight w:val="401"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宋体" w:hAnsi="宋体" w:cs="宋体" w:eastAsia="宋体" w:hint="default"/>
                <w:sz w:val="18"/>
                <w:szCs w:val="18"/>
              </w:rPr>
            </w:pPr>
            <w:r>
              <w:rPr>
                <w:rFonts w:ascii="宋体" w:hAnsi="宋体" w:cs="宋体" w:eastAsia="宋体" w:hint="default"/>
                <w:sz w:val="18"/>
                <w:szCs w:val="18"/>
              </w:rPr>
              <w:t>股票期权的行权价格为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宋体" w:hAnsi="宋体" w:cs="宋体" w:eastAsia="宋体" w:hint="default"/>
                <w:spacing w:val="-87"/>
                <w:sz w:val="18"/>
                <w:szCs w:val="18"/>
              </w:rPr>
              <w:t>，</w:t>
            </w:r>
            <w:r>
              <w:rPr>
                <w:rFonts w:ascii="宋体" w:hAnsi="宋体" w:cs="宋体" w:eastAsia="宋体" w:hint="default"/>
                <w:sz w:val="18"/>
                <w:szCs w:val="18"/>
              </w:rPr>
              <w:t>解锁时间自授予</w:t>
            </w:r>
          </w:p>
        </w:tc>
      </w:tr>
    </w:tbl>
    <w:p>
      <w:pPr>
        <w:spacing w:after="0" w:line="240" w:lineRule="auto"/>
        <w:jc w:val="right"/>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1610"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24"/>
              <w:jc w:val="left"/>
              <w:rPr>
                <w:rFonts w:ascii="宋体" w:hAnsi="宋体" w:cs="宋体" w:eastAsia="宋体" w:hint="default"/>
                <w:sz w:val="18"/>
                <w:szCs w:val="18"/>
              </w:rPr>
            </w:pPr>
            <w:r>
              <w:rPr>
                <w:rFonts w:ascii="宋体" w:hAnsi="宋体" w:cs="宋体" w:eastAsia="宋体" w:hint="default"/>
                <w:sz w:val="18"/>
                <w:szCs w:val="18"/>
              </w:rPr>
              <w:t>部分股票期权或限制性股票登记完成之日起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后的首个交易日起至授予期权或股份登记完成之日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个月内的最后一个交易日止。于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日，本集团未解锁的限制性股票</w:t>
            </w:r>
            <w:r>
              <w:rPr>
                <w:rFonts w:ascii="Times New Roman" w:hAnsi="Times New Roman" w:cs="Times New Roman" w:eastAsia="Times New Roman" w:hint="default"/>
                <w:sz w:val="18"/>
                <w:szCs w:val="18"/>
              </w:rPr>
              <w:t>/</w:t>
            </w:r>
            <w:r>
              <w:rPr>
                <w:rFonts w:ascii="宋体" w:hAnsi="宋体" w:cs="宋体" w:eastAsia="宋体" w:hint="default"/>
                <w:sz w:val="18"/>
                <w:szCs w:val="18"/>
              </w:rPr>
              <w:t>行权的股票期权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加权平均合同剩余期限为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both"/>
      </w:pPr>
      <w:r>
        <w:rPr/>
        <w:t>其他说明</w:t>
      </w:r>
    </w:p>
    <w:p>
      <w:pPr>
        <w:pStyle w:val="BodyText"/>
        <w:spacing w:line="300" w:lineRule="auto" w:before="117"/>
        <w:ind w:right="1128"/>
        <w:jc w:val="both"/>
      </w:pP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日召开的</w:t>
      </w:r>
      <w:r>
        <w:rPr>
          <w:rFonts w:ascii="Times New Roman" w:hAnsi="Times New Roman" w:cs="Times New Roman" w:eastAsia="Times New Roman" w:hint="default"/>
        </w:rPr>
        <w:t>2017</w:t>
      </w:r>
      <w:r>
        <w:rPr/>
        <w:t>年第二次临时股东大会审议并通过了《关于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2017</w:t>
      </w:r>
      <w:r>
        <w:rPr/>
        <w:t>年度限制性股 票激励计划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2017</w:t>
      </w:r>
      <w:r>
        <w:rPr/>
        <w:t>年度限制性股票激励计划实施考核管理办法</w:t>
      </w:r>
      <w:r>
        <w:rPr>
          <w:rFonts w:ascii="Times New Roman" w:hAnsi="Times New Roman" w:cs="Times New Roman" w:eastAsia="Times New Roman" w:hint="default"/>
        </w:rPr>
        <w:t>&gt;</w:t>
      </w:r>
      <w:r>
        <w:rPr/>
        <w:t>的 议》、《关于提请股东大会授权董事会办理限制性股票激励相关事宜的议案》，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日召开的第二届董事会第七次 会议审议并通过了《关于调整</w:t>
      </w:r>
      <w:r>
        <w:rPr>
          <w:rFonts w:ascii="Times New Roman" w:hAnsi="Times New Roman" w:cs="Times New Roman" w:eastAsia="Times New Roman" w:hint="default"/>
        </w:rPr>
        <w:t>2017</w:t>
      </w:r>
      <w:r>
        <w:rPr>
          <w:rFonts w:ascii="Times New Roman" w:hAnsi="Times New Roman" w:cs="Times New Roman" w:eastAsia="Times New Roman" w:hint="default"/>
          <w:spacing w:val="28"/>
        </w:rPr>
        <w:t> </w:t>
      </w:r>
      <w:r>
        <w:rPr/>
        <w:t>年度限制性股票激励计划激励对象名单及授予权益数量的议案》、《关于向激励对象授 </w:t>
      </w:r>
      <w:r>
        <w:rPr>
          <w:spacing w:val="-2"/>
        </w:rPr>
        <w:t>予限制性股票的议案》。根据上述</w:t>
      </w:r>
      <w:r>
        <w:rPr>
          <w:rFonts w:ascii="Times New Roman" w:hAnsi="Times New Roman" w:cs="Times New Roman" w:eastAsia="Times New Roman" w:hint="default"/>
          <w:spacing w:val="-2"/>
        </w:rPr>
        <w:t>2017</w:t>
      </w:r>
      <w:r>
        <w:rPr>
          <w:spacing w:val="-2"/>
        </w:rPr>
        <w:t>年度限制性股票激励计划，本公司以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6</w:t>
      </w:r>
      <w:r>
        <w:rPr>
          <w:spacing w:val="-2"/>
        </w:rPr>
        <w:t>日为授予日，向</w:t>
      </w:r>
      <w:r>
        <w:rPr>
          <w:rFonts w:ascii="Times New Roman" w:hAnsi="Times New Roman" w:cs="Times New Roman" w:eastAsia="Times New Roman" w:hint="default"/>
          <w:spacing w:val="-2"/>
        </w:rPr>
        <w:t>334</w:t>
      </w:r>
      <w:r>
        <w:rPr>
          <w:spacing w:val="-2"/>
        </w:rPr>
        <w:t>名公司董事、高</w:t>
      </w:r>
      <w:r>
        <w:rPr>
          <w:spacing w:val="-58"/>
        </w:rPr>
        <w:t> </w:t>
      </w:r>
      <w:r>
        <w:rPr>
          <w:spacing w:val="-58"/>
        </w:rPr>
      </w:r>
      <w:r>
        <w:rPr>
          <w:spacing w:val="-1"/>
        </w:rPr>
        <w:t>级管理人员、中层管理人员、核心技术及业务人员定向发行了</w:t>
      </w:r>
      <w:r>
        <w:rPr>
          <w:rFonts w:ascii="Times New Roman" w:hAnsi="Times New Roman" w:cs="Times New Roman" w:eastAsia="Times New Roman" w:hint="default"/>
          <w:spacing w:val="-1"/>
        </w:rPr>
        <w:t>11,760,300</w:t>
      </w:r>
      <w:r>
        <w:rPr>
          <w:spacing w:val="-1"/>
        </w:rPr>
        <w:t>股限制性普通股</w:t>
      </w:r>
      <w:r>
        <w:rPr>
          <w:rFonts w:ascii="Times New Roman" w:hAnsi="Times New Roman" w:cs="Times New Roman" w:eastAsia="Times New Roman" w:hint="default"/>
          <w:spacing w:val="-1"/>
        </w:rPr>
        <w:t>A</w:t>
      </w:r>
      <w:r>
        <w:rPr>
          <w:spacing w:val="-1"/>
        </w:rPr>
        <w:t>股，每股面值为人民币</w:t>
      </w:r>
      <w:r>
        <w:rPr>
          <w:rFonts w:ascii="Times New Roman" w:hAnsi="Times New Roman" w:cs="Times New Roman" w:eastAsia="Times New Roman" w:hint="default"/>
          <w:spacing w:val="-1"/>
        </w:rPr>
        <w:t>1</w:t>
      </w:r>
      <w:r>
        <w:rPr>
          <w:spacing w:val="-1"/>
        </w:rPr>
        <w:t>元，授予</w:t>
      </w:r>
      <w:r>
        <w:rPr>
          <w:spacing w:val="-70"/>
        </w:rPr>
        <w:t> </w:t>
      </w:r>
      <w:r>
        <w:rPr>
          <w:spacing w:val="-70"/>
        </w:rPr>
      </w:r>
      <w:r>
        <w:rPr>
          <w:spacing w:val="-1"/>
        </w:rPr>
        <w:t>价格为每股人民币</w:t>
      </w:r>
      <w:r>
        <w:rPr>
          <w:rFonts w:ascii="Times New Roman" w:hAnsi="Times New Roman" w:cs="Times New Roman" w:eastAsia="Times New Roman" w:hint="default"/>
          <w:spacing w:val="-1"/>
        </w:rPr>
        <w:t>13.03</w:t>
      </w:r>
      <w:r>
        <w:rPr>
          <w:spacing w:val="-1"/>
        </w:rPr>
        <w:t>元。相关限制性股票于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19</w:t>
      </w:r>
      <w:r>
        <w:rPr>
          <w:spacing w:val="-1"/>
        </w:rPr>
        <w:t>日完成登记。截至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日止，本公司从</w:t>
      </w:r>
      <w:r>
        <w:rPr>
          <w:rFonts w:ascii="Times New Roman" w:hAnsi="Times New Roman" w:cs="Times New Roman" w:eastAsia="Times New Roman" w:hint="default"/>
          <w:spacing w:val="-1"/>
        </w:rPr>
        <w:t>2</w:t>
      </w:r>
      <w:r>
        <w:rPr>
          <w:spacing w:val="-1"/>
        </w:rPr>
        <w:t>名已离职激励</w:t>
      </w:r>
      <w:r>
        <w:rPr>
          <w:spacing w:val="-73"/>
        </w:rPr>
        <w:t> </w:t>
      </w:r>
      <w:r>
        <w:rPr>
          <w:spacing w:val="-73"/>
        </w:rPr>
      </w:r>
      <w:r>
        <w:rPr/>
        <w:t>对象处回购了其已获授权但尚未解除限售的全部限制性股票</w:t>
      </w:r>
      <w:r>
        <w:rPr>
          <w:rFonts w:ascii="Times New Roman" w:hAnsi="Times New Roman" w:cs="Times New Roman" w:eastAsia="Times New Roman" w:hint="default"/>
        </w:rPr>
        <w:t>24,000.00</w:t>
      </w:r>
      <w:r>
        <w:rPr/>
        <w:t>股，回购价格为</w:t>
      </w:r>
      <w:r>
        <w:rPr>
          <w:rFonts w:ascii="Times New Roman" w:hAnsi="Times New Roman" w:cs="Times New Roman" w:eastAsia="Times New Roman" w:hint="default"/>
        </w:rPr>
        <w:t>12.979</w:t>
      </w:r>
      <w:r>
        <w:rPr/>
        <w:t>元</w:t>
      </w:r>
      <w:r>
        <w:rPr>
          <w:rFonts w:ascii="Times New Roman" w:hAnsi="Times New Roman" w:cs="Times New Roman" w:eastAsia="Times New Roman" w:hint="default"/>
        </w:rPr>
        <w:t>/</w:t>
      </w:r>
      <w:r>
        <w:rPr/>
        <w:t>股。</w:t>
      </w:r>
    </w:p>
    <w:p>
      <w:pPr>
        <w:spacing w:line="240" w:lineRule="auto" w:before="11"/>
        <w:rPr>
          <w:rFonts w:ascii="宋体" w:hAnsi="宋体" w:cs="宋体" w:eastAsia="宋体" w:hint="default"/>
          <w:sz w:val="24"/>
          <w:szCs w:val="24"/>
        </w:rPr>
      </w:pPr>
    </w:p>
    <w:p>
      <w:pPr>
        <w:pStyle w:val="BodyText"/>
        <w:spacing w:line="302" w:lineRule="auto"/>
        <w:ind w:right="1112"/>
        <w:jc w:val="left"/>
      </w:pP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日召开的</w:t>
      </w:r>
      <w:r>
        <w:rPr>
          <w:rFonts w:ascii="Times New Roman" w:hAnsi="Times New Roman" w:cs="Times New Roman" w:eastAsia="Times New Roman" w:hint="default"/>
        </w:rPr>
        <w:t>2018</w:t>
      </w:r>
      <w:r>
        <w:rPr/>
        <w:t>年第四次临时股东大会审议并通过了《关于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2018</w:t>
      </w:r>
      <w:r>
        <w:rPr/>
        <w:t>年度限制性股票 与股票期权激励计划（草案）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2018</w:t>
      </w:r>
      <w:r>
        <w:rPr/>
        <w:t>年度限制性股票与股票期权激励计 划实施考核管理办法</w:t>
      </w:r>
      <w:r>
        <w:rPr>
          <w:rFonts w:ascii="Times New Roman" w:hAnsi="Times New Roman" w:cs="Times New Roman" w:eastAsia="Times New Roman" w:hint="default"/>
        </w:rPr>
        <w:t>&gt;</w:t>
      </w:r>
      <w:r>
        <w:rPr/>
        <w:t>的议案》及《关于提请股东大会授权董事会办理股权激励相关事宜的议案》。本公司于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spacing w:val="-2"/>
        </w:rPr>
        <w:t>日与最终激励对象就股份支付的协议条款和条件达成一致，并于当日召开的第五次临时股东大会决议审议通过了《关于调整</w:t>
      </w:r>
      <w:r>
        <w:rPr>
          <w:spacing w:val="-64"/>
        </w:rPr>
        <w:t> </w:t>
      </w:r>
      <w:r>
        <w:rPr>
          <w:spacing w:val="-64"/>
        </w:rPr>
      </w:r>
      <w:r>
        <w:rPr>
          <w:rFonts w:ascii="Times New Roman" w:hAnsi="Times New Roman" w:cs="Times New Roman" w:eastAsia="Times New Roman" w:hint="default"/>
        </w:rPr>
        <w:t>2018</w:t>
      </w:r>
      <w:r>
        <w:rPr/>
        <w:t>年度限制性股票与股票期权激励计划激励对象名单的议案》，向</w:t>
      </w:r>
      <w:r>
        <w:rPr>
          <w:rFonts w:ascii="Times New Roman" w:hAnsi="Times New Roman" w:cs="Times New Roman" w:eastAsia="Times New Roman" w:hint="default"/>
        </w:rPr>
        <w:t>308</w:t>
      </w:r>
      <w:r>
        <w:rPr/>
        <w:t>名公司董事、高级管理人员、中层管理人员、核心 技术及业务人员定向发行了</w:t>
      </w:r>
      <w:r>
        <w:rPr>
          <w:rFonts w:ascii="Times New Roman" w:hAnsi="Times New Roman" w:cs="Times New Roman" w:eastAsia="Times New Roman" w:hint="default"/>
        </w:rPr>
        <w:t>12,484,000</w:t>
      </w:r>
      <w:r>
        <w:rPr/>
        <w:t>股限制性普通股</w:t>
      </w:r>
      <w:r>
        <w:rPr>
          <w:rFonts w:ascii="Times New Roman" w:hAnsi="Times New Roman" w:cs="Times New Roman" w:eastAsia="Times New Roman" w:hint="default"/>
        </w:rPr>
        <w:t>A</w:t>
      </w:r>
      <w:r>
        <w:rPr/>
        <w:t>股，每股面值为人民币</w:t>
      </w:r>
      <w:r>
        <w:rPr>
          <w:rFonts w:ascii="Times New Roman" w:hAnsi="Times New Roman" w:cs="Times New Roman" w:eastAsia="Times New Roman" w:hint="default"/>
        </w:rPr>
        <w:t>1</w:t>
      </w:r>
      <w:r>
        <w:rPr/>
        <w:t>元，授予价格为每股人民币</w:t>
      </w:r>
      <w:r>
        <w:rPr>
          <w:rFonts w:ascii="Times New Roman" w:hAnsi="Times New Roman" w:cs="Times New Roman" w:eastAsia="Times New Roman" w:hint="default"/>
        </w:rPr>
        <w:t>8.23</w:t>
      </w:r>
      <w:r>
        <w:rPr/>
        <w:t>元；向</w:t>
      </w:r>
      <w:r>
        <w:rPr>
          <w:rFonts w:ascii="Times New Roman" w:hAnsi="Times New Roman" w:cs="Times New Roman" w:eastAsia="Times New Roman" w:hint="default"/>
        </w:rPr>
        <w:t>160 </w:t>
      </w:r>
      <w:r>
        <w:rPr/>
        <w:t>名核心技术及业务人员授予</w:t>
      </w:r>
      <w:r>
        <w:rPr>
          <w:rFonts w:ascii="Times New Roman" w:hAnsi="Times New Roman" w:cs="Times New Roman" w:eastAsia="Times New Roman" w:hint="default"/>
        </w:rPr>
        <w:t>3,858,000</w:t>
      </w:r>
      <w:r>
        <w:rPr/>
        <w:t>份股票期权，可行权价格为</w:t>
      </w:r>
      <w:r>
        <w:rPr>
          <w:rFonts w:ascii="Times New Roman" w:hAnsi="Times New Roman" w:cs="Times New Roman" w:eastAsia="Times New Roman" w:hint="default"/>
        </w:rPr>
        <w:t>16.45</w:t>
      </w:r>
      <w:r>
        <w:rPr/>
        <w:t>元</w:t>
      </w:r>
      <w:r>
        <w:rPr>
          <w:rFonts w:ascii="Times New Roman" w:hAnsi="Times New Roman" w:cs="Times New Roman" w:eastAsia="Times New Roman" w:hint="default"/>
        </w:rPr>
        <w:t>/</w:t>
      </w:r>
      <w:r>
        <w:rPr/>
        <w:t>股，相关限制性股票及股份期权分别于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 </w:t>
      </w:r>
      <w:r>
        <w:rPr>
          <w:rFonts w:ascii="Times New Roman" w:hAnsi="Times New Roman" w:cs="Times New Roman" w:eastAsia="Times New Roman" w:hint="default"/>
          <w:spacing w:val="-2"/>
        </w:rPr>
        <w:t>23</w:t>
      </w:r>
      <w:r>
        <w:rPr>
          <w:spacing w:val="-2"/>
        </w:rPr>
        <w:t>日及</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日完成登记。其后，本公司于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14</w:t>
      </w:r>
      <w:r>
        <w:rPr>
          <w:spacing w:val="-2"/>
        </w:rPr>
        <w:t>日召开的第二届董事会第二十二次会议和第二届监事会第十</w:t>
      </w:r>
      <w:r>
        <w:rPr>
          <w:spacing w:val="-55"/>
        </w:rPr>
        <w:t> </w:t>
      </w:r>
      <w:r>
        <w:rPr>
          <w:spacing w:val="-55"/>
        </w:rPr>
      </w:r>
      <w:r>
        <w:rPr/>
        <w:t>七次会议审议并通过了《关于向激励对象授予预留限制性股票的议案》，以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日作为授予日，向</w:t>
      </w:r>
      <w:r>
        <w:rPr>
          <w:rFonts w:ascii="Times New Roman" w:hAnsi="Times New Roman" w:cs="Times New Roman" w:eastAsia="Times New Roman" w:hint="default"/>
        </w:rPr>
        <w:t>3</w:t>
      </w:r>
      <w:r>
        <w:rPr/>
        <w:t>名激励对象定 向发行</w:t>
      </w:r>
      <w:r>
        <w:rPr>
          <w:rFonts w:ascii="Times New Roman" w:hAnsi="Times New Roman" w:cs="Times New Roman" w:eastAsia="Times New Roman" w:hint="default"/>
        </w:rPr>
        <w:t>2,500,562</w:t>
      </w:r>
      <w:r>
        <w:rPr/>
        <w:t>股限制性人民币普通股</w:t>
      </w:r>
      <w:r>
        <w:rPr>
          <w:rFonts w:ascii="Times New Roman" w:hAnsi="Times New Roman" w:cs="Times New Roman" w:eastAsia="Times New Roman" w:hint="default"/>
        </w:rPr>
        <w:t>A</w:t>
      </w:r>
      <w:r>
        <w:rPr/>
        <w:t>股，每股面值为人民币</w:t>
      </w:r>
      <w:r>
        <w:rPr>
          <w:rFonts w:ascii="Times New Roman" w:hAnsi="Times New Roman" w:cs="Times New Roman" w:eastAsia="Times New Roman" w:hint="default"/>
        </w:rPr>
        <w:t>1</w:t>
      </w:r>
      <w:r>
        <w:rPr/>
        <w:t>元，发行价格为每股人民币</w:t>
      </w:r>
      <w:r>
        <w:rPr>
          <w:rFonts w:ascii="Times New Roman" w:hAnsi="Times New Roman" w:cs="Times New Roman" w:eastAsia="Times New Roman" w:hint="default"/>
        </w:rPr>
        <w:t>8.46</w:t>
      </w:r>
      <w:r>
        <w:rPr/>
        <w:t>元，并于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日完</w:t>
      </w:r>
      <w:r>
        <w:rPr>
          <w:spacing w:val="-3"/>
        </w:rPr>
        <w:t> </w:t>
      </w:r>
      <w:r>
        <w:rPr/>
        <w:t>成登记。</w:t>
      </w:r>
    </w:p>
    <w:p>
      <w:pPr>
        <w:spacing w:line="240" w:lineRule="auto" w:before="1"/>
        <w:rPr>
          <w:rFonts w:ascii="宋体" w:hAnsi="宋体" w:cs="宋体" w:eastAsia="宋体" w:hint="default"/>
          <w:sz w:val="26"/>
          <w:szCs w:val="26"/>
        </w:rPr>
      </w:pPr>
    </w:p>
    <w:p>
      <w:pPr>
        <w:pStyle w:val="BodyText"/>
        <w:spacing w:line="300" w:lineRule="auto"/>
        <w:ind w:right="1129"/>
        <w:jc w:val="left"/>
      </w:pPr>
      <w:r>
        <w:rPr/>
        <w:t>上述激励对象所获授限制性股票</w:t>
      </w:r>
      <w:r>
        <w:rPr>
          <w:rFonts w:ascii="Times New Roman" w:hAnsi="Times New Roman" w:cs="Times New Roman" w:eastAsia="Times New Roman" w:hint="default"/>
        </w:rPr>
        <w:t>/</w:t>
      </w:r>
      <w:r>
        <w:rPr/>
        <w:t>股份期权的的第一个解锁期</w:t>
      </w:r>
      <w:r>
        <w:rPr>
          <w:rFonts w:ascii="Times New Roman" w:hAnsi="Times New Roman" w:cs="Times New Roman" w:eastAsia="Times New Roman" w:hint="default"/>
        </w:rPr>
        <w:t>/</w:t>
      </w:r>
      <w:r>
        <w:rPr/>
        <w:t>行权期</w:t>
      </w:r>
      <w:r>
        <w:rPr>
          <w:rFonts w:ascii="Times New Roman" w:hAnsi="Times New Roman" w:cs="Times New Roman" w:eastAsia="Times New Roman" w:hint="default"/>
        </w:rPr>
        <w:t>(</w:t>
      </w:r>
      <w:r>
        <w:rPr/>
        <w:t>比例</w:t>
      </w:r>
      <w:r>
        <w:rPr>
          <w:rFonts w:ascii="Times New Roman" w:hAnsi="Times New Roman" w:cs="Times New Roman" w:eastAsia="Times New Roman" w:hint="default"/>
        </w:rPr>
        <w:t>20%)</w:t>
      </w:r>
      <w:r>
        <w:rPr/>
        <w:t>为自授予登记完成之日起</w:t>
      </w:r>
      <w:r>
        <w:rPr>
          <w:rFonts w:ascii="Times New Roman" w:hAnsi="Times New Roman" w:cs="Times New Roman" w:eastAsia="Times New Roman" w:hint="default"/>
        </w:rPr>
        <w:t>12</w:t>
      </w:r>
      <w:r>
        <w:rPr/>
        <w:t>个月后的首个交 </w:t>
      </w:r>
      <w:r>
        <w:rPr>
          <w:spacing w:val="-1"/>
        </w:rPr>
        <w:t>易日起至授予登记完成之日起</w:t>
      </w:r>
      <w:r>
        <w:rPr>
          <w:rFonts w:ascii="Times New Roman" w:hAnsi="Times New Roman" w:cs="Times New Roman" w:eastAsia="Times New Roman" w:hint="default"/>
          <w:spacing w:val="-1"/>
        </w:rPr>
        <w:t>24</w:t>
      </w:r>
      <w:r>
        <w:rPr>
          <w:spacing w:val="-1"/>
        </w:rPr>
        <w:t>个月内的最后一个交易日当日止；第二个解锁期</w:t>
      </w:r>
      <w:r>
        <w:rPr>
          <w:rFonts w:ascii="Times New Roman" w:hAnsi="Times New Roman" w:cs="Times New Roman" w:eastAsia="Times New Roman" w:hint="default"/>
          <w:spacing w:val="-1"/>
        </w:rPr>
        <w:t>/</w:t>
      </w:r>
      <w:r>
        <w:rPr>
          <w:spacing w:val="-1"/>
        </w:rPr>
        <w:t>行权期</w:t>
      </w:r>
      <w:r>
        <w:rPr>
          <w:rFonts w:ascii="Times New Roman" w:hAnsi="Times New Roman" w:cs="Times New Roman" w:eastAsia="Times New Roman" w:hint="default"/>
          <w:spacing w:val="-1"/>
        </w:rPr>
        <w:t>(</w:t>
      </w:r>
      <w:r>
        <w:rPr>
          <w:spacing w:val="-1"/>
        </w:rPr>
        <w:t>比例</w:t>
      </w:r>
      <w:r>
        <w:rPr>
          <w:rFonts w:ascii="Times New Roman" w:hAnsi="Times New Roman" w:cs="Times New Roman" w:eastAsia="Times New Roman" w:hint="default"/>
          <w:spacing w:val="-1"/>
        </w:rPr>
        <w:t>40%)</w:t>
      </w:r>
      <w:r>
        <w:rPr>
          <w:spacing w:val="-1"/>
        </w:rPr>
        <w:t>为自授予登记完成之日起</w:t>
      </w:r>
      <w:r>
        <w:rPr>
          <w:spacing w:val="-75"/>
        </w:rPr>
        <w:t> </w:t>
      </w:r>
      <w:r>
        <w:rPr>
          <w:rFonts w:ascii="Times New Roman" w:hAnsi="Times New Roman" w:cs="Times New Roman" w:eastAsia="Times New Roman" w:hint="default"/>
          <w:spacing w:val="-1"/>
        </w:rPr>
        <w:t>24</w:t>
      </w:r>
      <w:r>
        <w:rPr>
          <w:spacing w:val="-1"/>
        </w:rPr>
        <w:t>个月后的首个交易日起至授予登记完成之日起</w:t>
      </w:r>
      <w:r>
        <w:rPr>
          <w:rFonts w:ascii="Times New Roman" w:hAnsi="Times New Roman" w:cs="Times New Roman" w:eastAsia="Times New Roman" w:hint="default"/>
          <w:spacing w:val="-1"/>
        </w:rPr>
        <w:t>36</w:t>
      </w:r>
      <w:r>
        <w:rPr>
          <w:spacing w:val="-1"/>
        </w:rPr>
        <w:t>个月内的最后一个交易日当日止；第三个解锁期</w:t>
      </w:r>
      <w:r>
        <w:rPr>
          <w:rFonts w:ascii="Times New Roman" w:hAnsi="Times New Roman" w:cs="Times New Roman" w:eastAsia="Times New Roman" w:hint="default"/>
          <w:spacing w:val="-1"/>
        </w:rPr>
        <w:t>/</w:t>
      </w:r>
      <w:r>
        <w:rPr>
          <w:spacing w:val="-1"/>
        </w:rPr>
        <w:t>行权期</w:t>
      </w:r>
      <w:r>
        <w:rPr>
          <w:rFonts w:ascii="Times New Roman" w:hAnsi="Times New Roman" w:cs="Times New Roman" w:eastAsia="Times New Roman" w:hint="default"/>
          <w:spacing w:val="-1"/>
        </w:rPr>
        <w:t>(</w:t>
      </w:r>
      <w:r>
        <w:rPr>
          <w:spacing w:val="-1"/>
        </w:rPr>
        <w:t>比例</w:t>
      </w:r>
      <w:r>
        <w:rPr>
          <w:rFonts w:ascii="Times New Roman" w:hAnsi="Times New Roman" w:cs="Times New Roman" w:eastAsia="Times New Roman" w:hint="default"/>
          <w:spacing w:val="-1"/>
        </w:rPr>
        <w:t>40%)</w:t>
      </w:r>
      <w:r>
        <w:rPr>
          <w:spacing w:val="-1"/>
        </w:rPr>
        <w:t>为自授</w:t>
      </w:r>
      <w:r>
        <w:rPr>
          <w:spacing w:val="-77"/>
        </w:rPr>
        <w:t> </w:t>
      </w:r>
      <w:r>
        <w:rPr>
          <w:spacing w:val="-77"/>
        </w:rPr>
      </w:r>
      <w:r>
        <w:rPr/>
        <w:t>予登记完成之日起</w:t>
      </w:r>
      <w:r>
        <w:rPr>
          <w:rFonts w:ascii="Times New Roman" w:hAnsi="Times New Roman" w:cs="Times New Roman" w:eastAsia="Times New Roman" w:hint="default"/>
        </w:rPr>
        <w:t>36</w:t>
      </w:r>
      <w:r>
        <w:rPr/>
        <w:t>个月后的首个交易日起至授予登记完成之日起</w:t>
      </w:r>
      <w:r>
        <w:rPr>
          <w:rFonts w:ascii="Times New Roman" w:hAnsi="Times New Roman" w:cs="Times New Roman" w:eastAsia="Times New Roman" w:hint="default"/>
        </w:rPr>
        <w:t>48</w:t>
      </w:r>
      <w:r>
        <w:rPr/>
        <w:t>个月内的最后一个交易日当日止。解锁</w:t>
      </w:r>
      <w:r>
        <w:rPr>
          <w:rFonts w:ascii="Times New Roman" w:hAnsi="Times New Roman" w:cs="Times New Roman" w:eastAsia="Times New Roman" w:hint="default"/>
        </w:rPr>
        <w:t>/</w:t>
      </w:r>
      <w:r>
        <w:rPr/>
        <w:t>行权前需满足 激励计划规定的解锁</w:t>
      </w:r>
      <w:r>
        <w:rPr>
          <w:rFonts w:ascii="Times New Roman" w:hAnsi="Times New Roman" w:cs="Times New Roman" w:eastAsia="Times New Roman" w:hint="default"/>
        </w:rPr>
        <w:t>/</w:t>
      </w:r>
      <w:r>
        <w:rPr/>
        <w:t>行权条件。</w:t>
      </w:r>
    </w:p>
    <w:p>
      <w:pPr>
        <w:spacing w:line="240" w:lineRule="auto" w:before="11"/>
        <w:rPr>
          <w:rFonts w:ascii="宋体" w:hAnsi="宋体" w:cs="宋体" w:eastAsia="宋体" w:hint="default"/>
          <w:sz w:val="24"/>
          <w:szCs w:val="24"/>
        </w:rPr>
      </w:pPr>
    </w:p>
    <w:p>
      <w:pPr>
        <w:pStyle w:val="BodyText"/>
        <w:spacing w:line="316" w:lineRule="auto"/>
        <w:ind w:right="1130"/>
        <w:jc w:val="both"/>
      </w:pPr>
      <w:r>
        <w:rPr>
          <w:spacing w:val="-2"/>
        </w:rPr>
        <w:t>对于未达到解锁条件的限制性股票，由公司以授予价格回购并注销，限制性股票激励对象根据该计划获授的限制性股票在解</w:t>
      </w:r>
      <w:r>
        <w:rPr>
          <w:spacing w:val="-64"/>
        </w:rPr>
        <w:t> </w:t>
      </w:r>
      <w:r>
        <w:rPr>
          <w:spacing w:val="-64"/>
        </w:rPr>
      </w:r>
      <w:r>
        <w:rPr>
          <w:spacing w:val="-2"/>
        </w:rPr>
        <w:t>除限售前不得转让、用于担保或偿还债务。对于未达到行权条件的股票期权，不得行权；若符合行权条件，但未在上述行权</w:t>
      </w:r>
      <w:r>
        <w:rPr>
          <w:spacing w:val="-67"/>
        </w:rPr>
        <w:t> </w:t>
      </w:r>
      <w:r>
        <w:rPr>
          <w:spacing w:val="-67"/>
        </w:rPr>
      </w:r>
      <w:r>
        <w:rPr/>
        <w:t>期内行权的股票期权将由公司注销。</w:t>
      </w:r>
    </w:p>
    <w:p>
      <w:pPr>
        <w:spacing w:line="240" w:lineRule="auto" w:before="4"/>
        <w:rPr>
          <w:rFonts w:ascii="宋体" w:hAnsi="宋体" w:cs="宋体" w:eastAsia="宋体" w:hint="default"/>
          <w:sz w:val="25"/>
          <w:szCs w:val="25"/>
        </w:rPr>
      </w:pPr>
    </w:p>
    <w:p>
      <w:pPr>
        <w:pStyle w:val="BodyText"/>
        <w:spacing w:line="316" w:lineRule="auto"/>
        <w:ind w:right="1130"/>
        <w:jc w:val="both"/>
      </w:pPr>
      <w:r>
        <w:rPr>
          <w:spacing w:val="-2"/>
        </w:rPr>
        <w:t>此外，根据上述激励计划，激励对象为公司董事、高级管理人员的，需遵守包括在任职期间每年转让的股份不得超过其所持</w:t>
      </w:r>
      <w:r>
        <w:rPr>
          <w:spacing w:val="-64"/>
        </w:rPr>
        <w:t> </w:t>
      </w:r>
      <w:r>
        <w:rPr>
          <w:spacing w:val="-64"/>
        </w:rPr>
      </w:r>
      <w:r>
        <w:rPr/>
        <w:t>有本公司股份总数的</w:t>
      </w:r>
      <w:r>
        <w:rPr>
          <w:rFonts w:ascii="Times New Roman" w:hAnsi="Times New Roman" w:cs="Times New Roman" w:eastAsia="Times New Roman" w:hint="default"/>
        </w:rPr>
        <w:t>25%</w:t>
      </w:r>
      <w:r>
        <w:rPr/>
        <w:t>在内的禁售期限规定。</w:t>
      </w:r>
    </w:p>
    <w:p>
      <w:pPr>
        <w:spacing w:line="240" w:lineRule="auto" w:before="10"/>
        <w:rPr>
          <w:rFonts w:ascii="宋体" w:hAnsi="宋体" w:cs="宋体" w:eastAsia="宋体" w:hint="default"/>
          <w:sz w:val="23"/>
          <w:szCs w:val="23"/>
        </w:rPr>
      </w:pPr>
    </w:p>
    <w:p>
      <w:pPr>
        <w:pStyle w:val="BodyText"/>
        <w:spacing w:line="309" w:lineRule="auto"/>
        <w:ind w:right="1132"/>
        <w:jc w:val="both"/>
      </w:pPr>
      <w:r>
        <w:rPr>
          <w:spacing w:val="-2"/>
        </w:rPr>
        <w:t>通过授予限制性股票及股票期权所获取员工服务的公允价值参考所授权益工具的公允价值计量。除本公司董事及高级管理人</w:t>
      </w:r>
      <w:r>
        <w:rPr>
          <w:spacing w:val="-64"/>
        </w:rPr>
        <w:t> </w:t>
      </w:r>
      <w:r>
        <w:rPr>
          <w:spacing w:val="-64"/>
        </w:rPr>
      </w:r>
      <w:r>
        <w:rPr>
          <w:spacing w:val="-1"/>
        </w:rPr>
        <w:t>员之外的其他激励对象所获取限制性股票的公允价值为授予日本公司人民币普通股</w:t>
      </w:r>
      <w:r>
        <w:rPr>
          <w:rFonts w:ascii="Times New Roman" w:hAnsi="Times New Roman" w:cs="Times New Roman" w:eastAsia="Times New Roman" w:hint="default"/>
          <w:spacing w:val="-1"/>
        </w:rPr>
        <w:t>A</w:t>
      </w:r>
      <w:r>
        <w:rPr>
          <w:spacing w:val="-1"/>
        </w:rPr>
        <w:t>股的市场价格，所获取股票期权的公允</w:t>
      </w:r>
      <w:r>
        <w:rPr>
          <w:spacing w:val="-69"/>
        </w:rPr>
        <w:t> </w:t>
      </w:r>
      <w:r>
        <w:rPr>
          <w:spacing w:val="-69"/>
        </w:rPr>
      </w:r>
      <w:r>
        <w:rPr>
          <w:spacing w:val="-1"/>
        </w:rPr>
        <w:t>价值于授予日根据</w:t>
      </w:r>
      <w:r>
        <w:rPr>
          <w:rFonts w:ascii="Times New Roman" w:hAnsi="Times New Roman" w:cs="Times New Roman" w:eastAsia="Times New Roman" w:hint="default"/>
          <w:spacing w:val="-1"/>
        </w:rPr>
        <w:t>Black-Scholes</w:t>
      </w:r>
      <w:r>
        <w:rPr>
          <w:spacing w:val="-1"/>
        </w:rPr>
        <w:t>模型计算得出；就董事及高级管理人员所获限制性股票，考虑其解除限售但不能转让的限制</w:t>
      </w:r>
    </w:p>
    <w:p>
      <w:pPr>
        <w:spacing w:after="0" w:line="309" w:lineRule="auto"/>
        <w:jc w:val="both"/>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对公允价值的影响。</w:t>
      </w:r>
    </w:p>
    <w:p>
      <w:pPr>
        <w:spacing w:line="240" w:lineRule="auto" w:before="0"/>
        <w:rPr>
          <w:rFonts w:ascii="宋体" w:hAnsi="宋体" w:cs="宋体" w:eastAsia="宋体" w:hint="default"/>
          <w:sz w:val="18"/>
          <w:szCs w:val="18"/>
        </w:rPr>
      </w:pPr>
    </w:p>
    <w:p>
      <w:pPr>
        <w:pStyle w:val="BodyText"/>
        <w:spacing w:line="300" w:lineRule="auto" w:before="152"/>
        <w:ind w:right="1130"/>
        <w:jc w:val="both"/>
      </w:pPr>
      <w:r>
        <w:rPr>
          <w:spacing w:val="-1"/>
        </w:rPr>
        <w:t>就未来可达到解锁</w:t>
      </w:r>
      <w:r>
        <w:rPr>
          <w:rFonts w:ascii="Times New Roman" w:hAnsi="Times New Roman" w:cs="Times New Roman" w:eastAsia="Times New Roman" w:hint="default"/>
          <w:spacing w:val="-1"/>
        </w:rPr>
        <w:t>/</w:t>
      </w:r>
      <w:r>
        <w:rPr>
          <w:spacing w:val="-1"/>
        </w:rPr>
        <w:t>行权条件的限制性股票</w:t>
      </w:r>
      <w:r>
        <w:rPr>
          <w:rFonts w:ascii="Times New Roman" w:hAnsi="Times New Roman" w:cs="Times New Roman" w:eastAsia="Times New Roman" w:hint="default"/>
          <w:spacing w:val="-1"/>
        </w:rPr>
        <w:t>/</w:t>
      </w:r>
      <w:r>
        <w:rPr>
          <w:spacing w:val="-1"/>
        </w:rPr>
        <w:t>股票期权数量，管理层基于截至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日止各项解锁</w:t>
      </w:r>
      <w:r>
        <w:rPr>
          <w:rFonts w:ascii="Times New Roman" w:hAnsi="Times New Roman" w:cs="Times New Roman" w:eastAsia="Times New Roman" w:hint="default"/>
          <w:spacing w:val="-1"/>
        </w:rPr>
        <w:t>/</w:t>
      </w:r>
      <w:r>
        <w:rPr>
          <w:spacing w:val="-1"/>
        </w:rPr>
        <w:t>行权条件实际完成情</w:t>
      </w:r>
      <w:r>
        <w:rPr>
          <w:spacing w:val="-87"/>
        </w:rPr>
        <w:t> </w:t>
      </w:r>
      <w:r>
        <w:rPr>
          <w:spacing w:val="-2"/>
        </w:rPr>
        <w:t>况及未来预期进行最佳估计，并将于等待期内的每个资产负债表日重新估计。于</w:t>
      </w:r>
      <w:r>
        <w:rPr>
          <w:rFonts w:ascii="Times New Roman" w:hAnsi="Times New Roman" w:cs="Times New Roman" w:eastAsia="Times New Roman" w:hint="default"/>
          <w:spacing w:val="-2"/>
        </w:rPr>
        <w:t>2018</w:t>
      </w:r>
      <w:r>
        <w:rPr>
          <w:spacing w:val="-2"/>
        </w:rPr>
        <w:t>年度，本集团因取得的上述激励对象的</w:t>
      </w:r>
      <w:r>
        <w:rPr>
          <w:spacing w:val="-61"/>
        </w:rPr>
        <w:t> </w:t>
      </w:r>
      <w:r>
        <w:rPr>
          <w:spacing w:val="-61"/>
        </w:rPr>
      </w:r>
      <w:r>
        <w:rPr/>
        <w:t>服务而计入相关成本或费用并相应增加资本公积</w:t>
      </w:r>
      <w:r>
        <w:rPr>
          <w:rFonts w:ascii="Times New Roman" w:hAnsi="Times New Roman" w:cs="Times New Roman" w:eastAsia="Times New Roman" w:hint="default"/>
        </w:rPr>
        <w:t>59,427,641.23</w:t>
      </w:r>
      <w:r>
        <w:rPr/>
        <w:t>元（</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7,965,462.95</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Heading3"/>
        <w:spacing w:line="240" w:lineRule="auto"/>
        <w:ind w:right="0"/>
        <w:jc w:val="both"/>
        <w:rPr>
          <w:b w:val="0"/>
          <w:bCs w:val="0"/>
        </w:rPr>
      </w:pPr>
      <w:bookmarkStart w:name="2、以权益结算的股份支付情况" w:id="455"/>
      <w:bookmarkEnd w:id="455"/>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2"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斯科尔期权定价模型</w:t>
            </w:r>
          </w:p>
        </w:tc>
      </w:tr>
      <w:tr>
        <w:trPr>
          <w:trHeight w:val="714"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50"/>
              <w:jc w:val="left"/>
              <w:rPr>
                <w:rFonts w:ascii="宋体" w:hAnsi="宋体" w:cs="宋体" w:eastAsia="宋体" w:hint="default"/>
                <w:sz w:val="18"/>
                <w:szCs w:val="18"/>
              </w:rPr>
            </w:pPr>
            <w:r>
              <w:rPr>
                <w:rFonts w:ascii="宋体" w:hAnsi="宋体" w:cs="宋体" w:eastAsia="宋体" w:hint="default"/>
                <w:sz w:val="18"/>
                <w:szCs w:val="18"/>
              </w:rPr>
              <w:t>根据最新取得的可行权职工数、业绩变动等后续信息进行 估计</w:t>
            </w:r>
          </w:p>
        </w:tc>
      </w:tr>
      <w:tr>
        <w:trPr>
          <w:trHeight w:val="402"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64,875,758.04</w:t>
            </w:r>
          </w:p>
        </w:tc>
      </w:tr>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59,427,641.23</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3、以现金结算的股份支付情况" w:id="456"/>
      <w:bookmarkEnd w:id="456"/>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4" w:lineRule="auto" w:before="0"/>
        <w:ind w:left="152" w:right="79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bookmarkStart w:name="4、股份支付的修改、终止情况" w:id="457"/>
      <w:bookmarkEnd w:id="457"/>
      <w:r>
        <w:rPr>
          <w:rFonts w:ascii="宋体" w:hAnsi="宋体" w:cs="宋体" w:eastAsia="宋体" w:hint="default"/>
          <w:sz w:val="18"/>
          <w:szCs w:val="18"/>
        </w:rPr>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pStyle w:val="Heading3"/>
        <w:spacing w:line="240" w:lineRule="auto" w:before="127"/>
        <w:ind w:right="1129"/>
        <w:jc w:val="left"/>
        <w:rPr>
          <w:b w:val="0"/>
          <w:bCs w:val="0"/>
        </w:rPr>
      </w:pPr>
      <w:bookmarkStart w:name="5、其他" w:id="458"/>
      <w:bookmarkEnd w:id="458"/>
      <w:r>
        <w:rPr>
          <w:b w:val="0"/>
          <w:bCs w:val="0"/>
        </w:rPr>
      </w:r>
      <w:r>
        <w:rPr>
          <w:rFonts w:ascii="Times New Roman" w:hAnsi="Times New Roman" w:cs="Times New Roman" w:eastAsia="Times New Roman" w:hint="default"/>
        </w:rPr>
        <w:t>5</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9"/>
        <w:jc w:val="left"/>
        <w:rPr>
          <w:b w:val="0"/>
          <w:bCs w:val="0"/>
        </w:rPr>
      </w:pPr>
      <w:bookmarkStart w:name="十四、承诺及或有事项" w:id="459"/>
      <w:bookmarkEnd w:id="459"/>
      <w:r>
        <w:rPr>
          <w:b w:val="0"/>
          <w:bCs w:val="0"/>
        </w:rPr>
      </w:r>
      <w:r>
        <w:rPr/>
        <w:t>十四、承诺及或有事项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9"/>
        <w:jc w:val="left"/>
        <w:rPr>
          <w:b w:val="0"/>
          <w:bCs w:val="0"/>
        </w:rPr>
      </w:pPr>
      <w:bookmarkStart w:name="1、重要承诺事项" w:id="460"/>
      <w:bookmarkEnd w:id="460"/>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t>资产负债表日存在的重要承诺</w:t>
      </w:r>
    </w:p>
    <w:p>
      <w:pPr>
        <w:pStyle w:val="BodyText"/>
        <w:spacing w:line="309" w:lineRule="auto" w:before="117"/>
        <w:ind w:right="6794"/>
        <w:jc w:val="left"/>
      </w:pPr>
      <w:r>
        <w:rPr>
          <w:rFonts w:ascii="Times New Roman" w:hAnsi="Times New Roman" w:cs="Times New Roman" w:eastAsia="Times New Roman" w:hint="default"/>
        </w:rPr>
        <w:t>(1)</w:t>
      </w:r>
      <w:r>
        <w:rPr/>
        <w:t>资本支出承诺事项</w:t>
      </w:r>
      <w:r>
        <w:rPr>
          <w:w w:val="99"/>
        </w:rPr>
        <w:t> </w:t>
      </w:r>
      <w:r>
        <w:rPr/>
        <w:t>截至报告日，本集团并无重大资本支出承诺事项。</w:t>
      </w:r>
      <w:r>
        <w:rPr>
          <w:w w:val="99"/>
        </w:rPr>
        <w:t> </w:t>
      </w:r>
      <w:r>
        <w:rPr>
          <w:rFonts w:ascii="Times New Roman" w:hAnsi="Times New Roman" w:cs="Times New Roman" w:eastAsia="Times New Roman" w:hint="default"/>
        </w:rPr>
        <w:t>(2)</w:t>
      </w:r>
      <w:r>
        <w:rPr/>
        <w:t>经营租赁承诺事项</w:t>
      </w:r>
    </w:p>
    <w:p>
      <w:pPr>
        <w:pStyle w:val="BodyText"/>
        <w:spacing w:line="240" w:lineRule="auto" w:before="5"/>
        <w:ind w:right="1129"/>
        <w:jc w:val="left"/>
      </w:pPr>
      <w:r>
        <w:rPr/>
        <w:t>根据已签订的不可撤销的经营性租赁合同，本集团未来最低应支付租金汇总如下：</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282"/>
        <w:gridCol w:w="2400"/>
        <w:gridCol w:w="2976"/>
      </w:tblGrid>
      <w:tr>
        <w:trPr>
          <w:trHeight w:val="341"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6"/>
                <w:szCs w:val="16"/>
              </w:rPr>
            </w:pPr>
            <w:r>
              <w:rPr>
                <w:rFonts w:ascii="宋体"/>
                <w:w w:val="100"/>
                <w:sz w:val="16"/>
              </w:rPr>
              <w:t> </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26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12</w:t>
            </w:r>
            <w:r>
              <w:rPr>
                <w:rFonts w:ascii="宋体" w:hAnsi="宋体" w:cs="宋体" w:eastAsia="宋体" w:hint="default"/>
                <w:sz w:val="16"/>
                <w:szCs w:val="16"/>
              </w:rPr>
              <w:t>月</w:t>
            </w:r>
            <w:r>
              <w:rPr>
                <w:rFonts w:ascii="Times New Roman" w:hAnsi="Times New Roman" w:cs="Times New Roman" w:eastAsia="Times New Roman" w:hint="default"/>
                <w:sz w:val="16"/>
                <w:szCs w:val="16"/>
              </w:rPr>
              <w:t>31</w:t>
            </w:r>
            <w:r>
              <w:rPr>
                <w:rFonts w:ascii="宋体" w:hAnsi="宋体" w:cs="宋体" w:eastAsia="宋体" w:hint="default"/>
                <w:sz w:val="16"/>
                <w:szCs w:val="16"/>
              </w:rPr>
              <w:t>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8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12</w:t>
            </w:r>
            <w:r>
              <w:rPr>
                <w:rFonts w:ascii="宋体" w:hAnsi="宋体" w:cs="宋体" w:eastAsia="宋体" w:hint="default"/>
                <w:sz w:val="16"/>
                <w:szCs w:val="16"/>
              </w:rPr>
              <w:t>月</w:t>
            </w:r>
            <w:r>
              <w:rPr>
                <w:rFonts w:ascii="Times New Roman" w:hAnsi="Times New Roman" w:cs="Times New Roman" w:eastAsia="Times New Roman" w:hint="default"/>
                <w:sz w:val="16"/>
                <w:szCs w:val="16"/>
              </w:rPr>
              <w:t>31</w:t>
            </w:r>
            <w:r>
              <w:rPr>
                <w:rFonts w:ascii="宋体" w:hAnsi="宋体" w:cs="宋体" w:eastAsia="宋体" w:hint="default"/>
                <w:sz w:val="16"/>
                <w:szCs w:val="16"/>
              </w:rPr>
              <w:t>日</w:t>
            </w:r>
          </w:p>
        </w:tc>
      </w:tr>
    </w:tbl>
    <w:p>
      <w:pPr>
        <w:spacing w:after="0" w:line="240" w:lineRule="auto"/>
        <w:jc w:val="left"/>
        <w:rPr>
          <w:rFonts w:ascii="宋体" w:hAnsi="宋体" w:cs="宋体" w:eastAsia="宋体" w:hint="default"/>
          <w:sz w:val="16"/>
          <w:szCs w:val="16"/>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4282"/>
        <w:gridCol w:w="2400"/>
        <w:gridCol w:w="2976"/>
      </w:tblGrid>
      <w:tr>
        <w:trPr>
          <w:trHeight w:val="341"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一年以内</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17,130,002.53</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13,989,154.85</w:t>
            </w:r>
          </w:p>
        </w:tc>
      </w:tr>
      <w:tr>
        <w:trPr>
          <w:trHeight w:val="343"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一到二年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Times New Roman" w:hAnsi="Times New Roman" w:cs="Times New Roman" w:eastAsia="Times New Roman" w:hint="default"/>
                <w:sz w:val="16"/>
                <w:szCs w:val="16"/>
              </w:rPr>
            </w:pPr>
            <w:r>
              <w:rPr>
                <w:rFonts w:ascii="Times New Roman"/>
                <w:spacing w:val="-1"/>
                <w:sz w:val="16"/>
              </w:rPr>
              <w:t>14,642,913.18</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6"/>
                <w:szCs w:val="16"/>
              </w:rPr>
            </w:pPr>
            <w:r>
              <w:rPr>
                <w:rFonts w:ascii="Times New Roman"/>
                <w:spacing w:val="-1"/>
                <w:sz w:val="16"/>
              </w:rPr>
              <w:t>8,712,408.40</w:t>
            </w:r>
            <w:r>
              <w:rPr>
                <w:rFonts w:ascii="Times New Roman"/>
                <w:sz w:val="16"/>
              </w:rPr>
            </w:r>
          </w:p>
        </w:tc>
      </w:tr>
      <w:tr>
        <w:trPr>
          <w:trHeight w:val="341"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二到三年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spacing w:val="-1"/>
                <w:sz w:val="16"/>
              </w:rPr>
              <w:t>6,818,698.95</w:t>
            </w:r>
            <w:r>
              <w:rPr>
                <w:rFonts w:ascii="Times New Roman"/>
                <w:sz w:val="16"/>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spacing w:val="-1"/>
                <w:sz w:val="16"/>
              </w:rPr>
              <w:t>5,308,249.58</w:t>
            </w:r>
            <w:r>
              <w:rPr>
                <w:rFonts w:ascii="Times New Roman"/>
                <w:sz w:val="16"/>
              </w:rPr>
            </w:r>
          </w:p>
        </w:tc>
      </w:tr>
      <w:tr>
        <w:trPr>
          <w:trHeight w:val="343"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三年以上</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6"/>
                <w:szCs w:val="16"/>
              </w:rPr>
            </w:pPr>
            <w:r>
              <w:rPr>
                <w:rFonts w:ascii="Times New Roman"/>
                <w:spacing w:val="-1"/>
                <w:sz w:val="16"/>
              </w:rPr>
              <w:t>2,968,380.00</w:t>
            </w:r>
            <w:r>
              <w:rPr>
                <w:rFonts w:ascii="Times New Roman"/>
                <w:sz w:val="16"/>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Times New Roman" w:hAnsi="Times New Roman" w:cs="Times New Roman" w:eastAsia="Times New Roman" w:hint="default"/>
                <w:sz w:val="16"/>
                <w:szCs w:val="16"/>
              </w:rPr>
            </w:pPr>
            <w:r>
              <w:rPr>
                <w:rFonts w:ascii="Times New Roman"/>
                <w:spacing w:val="-1"/>
                <w:sz w:val="16"/>
              </w:rPr>
              <w:t>870,035.65</w:t>
            </w:r>
          </w:p>
        </w:tc>
      </w:tr>
      <w:tr>
        <w:trPr>
          <w:trHeight w:val="343"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41,559,994.66</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28,879,848.48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29"/>
        <w:jc w:val="left"/>
        <w:rPr>
          <w:b w:val="0"/>
          <w:bCs w:val="0"/>
        </w:rPr>
      </w:pPr>
      <w:bookmarkStart w:name="2、或有事项" w:id="461"/>
      <w:bookmarkEnd w:id="46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9"/>
        <w:jc w:val="left"/>
        <w:rPr>
          <w:b w:val="0"/>
          <w:bCs w:val="0"/>
        </w:rPr>
      </w:pPr>
      <w:bookmarkStart w:name="（1）资产负债表日存在的重要或有事项" w:id="462"/>
      <w:bookmarkEnd w:id="46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2）公司没有需要披露的重要或有事项，也应予以说明" w:id="463"/>
      <w:bookmarkEnd w:id="46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9"/>
        <w:jc w:val="left"/>
      </w:pPr>
      <w:r>
        <w:rPr/>
        <w:t>公司不存在需要披露的重要或有事项。</w:t>
      </w:r>
    </w:p>
    <w:p>
      <w:pPr>
        <w:spacing w:line="240" w:lineRule="auto" w:before="0"/>
        <w:rPr>
          <w:rFonts w:ascii="宋体" w:hAnsi="宋体" w:cs="宋体" w:eastAsia="宋体" w:hint="default"/>
          <w:sz w:val="18"/>
          <w:szCs w:val="18"/>
        </w:rPr>
      </w:pPr>
    </w:p>
    <w:p>
      <w:pPr>
        <w:pStyle w:val="Heading3"/>
        <w:spacing w:line="240" w:lineRule="auto" w:before="120"/>
        <w:ind w:right="1129"/>
        <w:jc w:val="left"/>
        <w:rPr>
          <w:b w:val="0"/>
          <w:bCs w:val="0"/>
        </w:rPr>
      </w:pPr>
      <w:bookmarkStart w:name="3、其他" w:id="464"/>
      <w:bookmarkEnd w:id="464"/>
      <w:r>
        <w:rPr>
          <w:b w:val="0"/>
          <w:bCs w:val="0"/>
        </w:rPr>
      </w: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9"/>
        <w:jc w:val="left"/>
        <w:rPr>
          <w:b w:val="0"/>
          <w:bCs w:val="0"/>
        </w:rPr>
      </w:pPr>
      <w:bookmarkStart w:name="十五、资产负债表日后事项" w:id="465"/>
      <w:bookmarkEnd w:id="465"/>
      <w:r>
        <w:rPr>
          <w:b w:val="0"/>
          <w:bCs w:val="0"/>
        </w:rPr>
      </w: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9"/>
        <w:jc w:val="left"/>
        <w:rPr>
          <w:b w:val="0"/>
          <w:bCs w:val="0"/>
        </w:rPr>
      </w:pPr>
      <w:bookmarkStart w:name="1、重要的非调整事项" w:id="466"/>
      <w:bookmarkEnd w:id="466"/>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71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2、利润分配情况" w:id="467"/>
      <w:bookmarkEnd w:id="467"/>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34,969,389.82</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bookmarkStart w:name="3、销售退回" w:id="468"/>
      <w:bookmarkEnd w:id="468"/>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4、其他资产负债表日后事项说明" w:id="469"/>
      <w:bookmarkEnd w:id="469"/>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7"/>
          <w:szCs w:val="27"/>
        </w:rPr>
      </w:pPr>
    </w:p>
    <w:p>
      <w:pPr>
        <w:spacing w:line="350" w:lineRule="auto" w:before="0"/>
        <w:ind w:left="152" w:right="1169" w:firstLine="0"/>
        <w:jc w:val="both"/>
        <w:rPr>
          <w:rFonts w:ascii="宋体" w:hAnsi="宋体" w:cs="宋体" w:eastAsia="宋体" w:hint="default"/>
          <w:sz w:val="16"/>
          <w:szCs w:val="16"/>
        </w:rPr>
      </w:pPr>
      <w:r>
        <w:rPr>
          <w:rFonts w:ascii="宋体" w:hAnsi="宋体" w:cs="宋体" w:eastAsia="宋体" w:hint="default"/>
          <w:spacing w:val="-1"/>
          <w:sz w:val="16"/>
          <w:szCs w:val="16"/>
        </w:rPr>
        <w:t>根据本公司与易视腾科技全体股东、实际控制人签署的《朗新科技股份有限公司与易视腾科技股份有限公司全体股东、实际控制人之发行</w:t>
      </w:r>
      <w:r>
        <w:rPr>
          <w:rFonts w:ascii="宋体" w:hAnsi="宋体" w:cs="宋体" w:eastAsia="宋体" w:hint="default"/>
          <w:spacing w:val="-29"/>
          <w:sz w:val="16"/>
          <w:szCs w:val="16"/>
        </w:rPr>
        <w:t> </w:t>
      </w:r>
      <w:r>
        <w:rPr>
          <w:rFonts w:ascii="宋体" w:hAnsi="宋体" w:cs="宋体" w:eastAsia="宋体" w:hint="default"/>
          <w:spacing w:val="-29"/>
          <w:sz w:val="16"/>
          <w:szCs w:val="16"/>
        </w:rPr>
      </w:r>
      <w:r>
        <w:rPr>
          <w:rFonts w:ascii="宋体" w:hAnsi="宋体" w:cs="宋体" w:eastAsia="宋体" w:hint="default"/>
          <w:spacing w:val="-1"/>
          <w:sz w:val="16"/>
          <w:szCs w:val="16"/>
        </w:rPr>
        <w:t>股份购买资产协议》，与邦道科技股东上海云钜和无锡朴元签署的《朗新科技股份有限公司与上海云钜创业投资有限公司、无锡朴元投资</w:t>
      </w:r>
      <w:r>
        <w:rPr>
          <w:rFonts w:ascii="宋体" w:hAnsi="宋体" w:cs="宋体" w:eastAsia="宋体" w:hint="default"/>
          <w:spacing w:val="-29"/>
          <w:sz w:val="16"/>
          <w:szCs w:val="16"/>
        </w:rPr>
        <w:t> </w:t>
      </w:r>
      <w:r>
        <w:rPr>
          <w:rFonts w:ascii="宋体" w:hAnsi="宋体" w:cs="宋体" w:eastAsia="宋体" w:hint="default"/>
          <w:spacing w:val="-29"/>
          <w:sz w:val="16"/>
          <w:szCs w:val="16"/>
        </w:rPr>
      </w:r>
      <w:r>
        <w:rPr>
          <w:rFonts w:ascii="宋体" w:hAnsi="宋体" w:cs="宋体" w:eastAsia="宋体" w:hint="default"/>
          <w:spacing w:val="-1"/>
          <w:sz w:val="16"/>
          <w:szCs w:val="16"/>
        </w:rPr>
        <w:t>合伙企业（有限合伙）之发行股份购买资产协议》及相关补充协议（合称</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发行股份购买资产协议</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），本公司拟通过发行股份方式自原股</w:t>
      </w:r>
      <w:r>
        <w:rPr>
          <w:rFonts w:ascii="宋体" w:hAnsi="宋体" w:cs="宋体" w:eastAsia="宋体" w:hint="default"/>
          <w:spacing w:val="-27"/>
          <w:sz w:val="16"/>
          <w:szCs w:val="16"/>
        </w:rPr>
        <w:t> </w:t>
      </w:r>
      <w:r>
        <w:rPr>
          <w:rFonts w:ascii="宋体" w:hAnsi="宋体" w:cs="宋体" w:eastAsia="宋体" w:hint="default"/>
          <w:spacing w:val="-27"/>
          <w:sz w:val="16"/>
          <w:szCs w:val="16"/>
        </w:rPr>
      </w:r>
      <w:r>
        <w:rPr>
          <w:rFonts w:ascii="宋体" w:hAnsi="宋体" w:cs="宋体" w:eastAsia="宋体" w:hint="default"/>
          <w:sz w:val="16"/>
          <w:szCs w:val="16"/>
        </w:rPr>
        <w:t>东处购买易视腾科技</w:t>
      </w:r>
      <w:r>
        <w:rPr>
          <w:rFonts w:ascii="Times New Roman" w:hAnsi="Times New Roman" w:cs="Times New Roman" w:eastAsia="Times New Roman" w:hint="default"/>
          <w:sz w:val="16"/>
          <w:szCs w:val="16"/>
        </w:rPr>
        <w:t>96%</w:t>
      </w:r>
      <w:r>
        <w:rPr>
          <w:rFonts w:ascii="宋体" w:hAnsi="宋体" w:cs="宋体" w:eastAsia="宋体" w:hint="default"/>
          <w:sz w:val="16"/>
          <w:szCs w:val="16"/>
        </w:rPr>
        <w:t>的股权和邦道科技</w:t>
      </w:r>
      <w:r>
        <w:rPr>
          <w:rFonts w:ascii="Times New Roman" w:hAnsi="Times New Roman" w:cs="Times New Roman" w:eastAsia="Times New Roman" w:hint="default"/>
          <w:sz w:val="16"/>
          <w:szCs w:val="16"/>
        </w:rPr>
        <w:t>50%</w:t>
      </w:r>
      <w:r>
        <w:rPr>
          <w:rFonts w:ascii="宋体" w:hAnsi="宋体" w:cs="宋体" w:eastAsia="宋体" w:hint="default"/>
          <w:sz w:val="16"/>
          <w:szCs w:val="16"/>
        </w:rPr>
        <w:t>的股权。</w:t>
      </w:r>
    </w:p>
    <w:p>
      <w:pPr>
        <w:spacing w:after="0" w:line="350" w:lineRule="auto"/>
        <w:jc w:val="both"/>
        <w:rPr>
          <w:rFonts w:ascii="宋体" w:hAnsi="宋体" w:cs="宋体" w:eastAsia="宋体" w:hint="default"/>
          <w:sz w:val="16"/>
          <w:szCs w:val="16"/>
        </w:rPr>
        <w:sectPr>
          <w:footerReference w:type="default" r:id="rId21"/>
          <w:pgSz w:w="11910" w:h="16840"/>
          <w:pgMar w:footer="1436" w:header="745" w:top="1060" w:bottom="1620" w:left="980" w:right="0"/>
          <w:pgNumType w:start="176"/>
        </w:sectPr>
      </w:pPr>
    </w:p>
    <w:p>
      <w:pPr>
        <w:spacing w:line="240" w:lineRule="auto" w:before="8"/>
        <w:rPr>
          <w:rFonts w:ascii="宋体" w:hAnsi="宋体" w:cs="宋体" w:eastAsia="宋体" w:hint="default"/>
          <w:sz w:val="26"/>
          <w:szCs w:val="26"/>
        </w:rPr>
      </w:pPr>
    </w:p>
    <w:p>
      <w:pPr>
        <w:spacing w:line="338" w:lineRule="auto" w:before="51"/>
        <w:ind w:left="152" w:right="1129" w:firstLine="0"/>
        <w:jc w:val="left"/>
        <w:rPr>
          <w:rFonts w:ascii="宋体" w:hAnsi="宋体" w:cs="宋体" w:eastAsia="宋体" w:hint="default"/>
          <w:sz w:val="16"/>
          <w:szCs w:val="16"/>
        </w:rPr>
      </w:pPr>
      <w:r>
        <w:rPr>
          <w:rFonts w:ascii="宋体" w:hAnsi="宋体" w:cs="宋体" w:eastAsia="宋体" w:hint="default"/>
          <w:sz w:val="16"/>
          <w:szCs w:val="16"/>
        </w:rPr>
        <w:t>权益于</w:t>
      </w: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r>
        <w:rPr>
          <w:rFonts w:ascii="Times New Roman" w:hAnsi="Times New Roman" w:cs="Times New Roman" w:eastAsia="Times New Roman" w:hint="default"/>
          <w:sz w:val="16"/>
          <w:szCs w:val="16"/>
        </w:rPr>
        <w:t>30</w:t>
      </w:r>
      <w:r>
        <w:rPr>
          <w:rFonts w:ascii="宋体" w:hAnsi="宋体" w:cs="宋体" w:eastAsia="宋体" w:hint="default"/>
          <w:sz w:val="16"/>
          <w:szCs w:val="16"/>
        </w:rPr>
        <w:t>日的评估值为人民币</w:t>
      </w:r>
      <w:r>
        <w:rPr>
          <w:rFonts w:ascii="Times New Roman" w:hAnsi="Times New Roman" w:cs="Times New Roman" w:eastAsia="Times New Roman" w:hint="default"/>
          <w:sz w:val="16"/>
          <w:szCs w:val="16"/>
        </w:rPr>
        <w:t>16.00</w:t>
      </w:r>
      <w:r>
        <w:rPr>
          <w:rFonts w:ascii="宋体" w:hAnsi="宋体" w:cs="宋体" w:eastAsia="宋体" w:hint="default"/>
          <w:sz w:val="16"/>
          <w:szCs w:val="16"/>
        </w:rPr>
        <w:t>亿元。因此，本公司拟以每股</w:t>
      </w:r>
      <w:r>
        <w:rPr>
          <w:rFonts w:ascii="Times New Roman" w:hAnsi="Times New Roman" w:cs="Times New Roman" w:eastAsia="Times New Roman" w:hint="default"/>
          <w:sz w:val="16"/>
          <w:szCs w:val="16"/>
        </w:rPr>
        <w:t>15.20</w:t>
      </w:r>
      <w:r>
        <w:rPr>
          <w:rFonts w:ascii="宋体" w:hAnsi="宋体" w:cs="宋体" w:eastAsia="宋体" w:hint="default"/>
          <w:sz w:val="16"/>
          <w:szCs w:val="16"/>
        </w:rPr>
        <w:t>元的价格向易视腾科技的全体股东发行</w:t>
      </w:r>
      <w:r>
        <w:rPr>
          <w:rFonts w:ascii="Times New Roman" w:hAnsi="Times New Roman" w:cs="Times New Roman" w:eastAsia="Times New Roman" w:hint="default"/>
          <w:sz w:val="16"/>
          <w:szCs w:val="16"/>
        </w:rPr>
        <w:t>194,273,675</w:t>
      </w:r>
      <w:r>
        <w:rPr>
          <w:rFonts w:ascii="宋体" w:hAnsi="宋体" w:cs="宋体" w:eastAsia="宋体" w:hint="default"/>
          <w:sz w:val="16"/>
          <w:szCs w:val="16"/>
        </w:rPr>
        <w:t>股普通</w:t>
      </w:r>
      <w:r>
        <w:rPr>
          <w:rFonts w:ascii="宋体" w:hAnsi="宋体" w:cs="宋体" w:eastAsia="宋体" w:hint="default"/>
          <w:w w:val="100"/>
          <w:sz w:val="16"/>
          <w:szCs w:val="16"/>
        </w:rPr>
        <w:t> </w:t>
      </w:r>
      <w:r>
        <w:rPr>
          <w:rFonts w:ascii="宋体" w:hAnsi="宋体" w:cs="宋体" w:eastAsia="宋体" w:hint="default"/>
          <w:sz w:val="16"/>
          <w:szCs w:val="16"/>
        </w:rPr>
        <w:t>股以购买易视腾科技</w:t>
      </w:r>
      <w:r>
        <w:rPr>
          <w:rFonts w:ascii="Times New Roman" w:hAnsi="Times New Roman" w:cs="Times New Roman" w:eastAsia="Times New Roman" w:hint="default"/>
          <w:sz w:val="16"/>
          <w:szCs w:val="16"/>
        </w:rPr>
        <w:t>96%</w:t>
      </w:r>
      <w:r>
        <w:rPr>
          <w:rFonts w:ascii="宋体" w:hAnsi="宋体" w:cs="宋体" w:eastAsia="宋体" w:hint="default"/>
          <w:sz w:val="16"/>
          <w:szCs w:val="16"/>
        </w:rPr>
        <w:t>股份，发行股份总价人民币为</w:t>
      </w:r>
      <w:r>
        <w:rPr>
          <w:rFonts w:ascii="Times New Roman" w:hAnsi="Times New Roman" w:cs="Times New Roman" w:eastAsia="Times New Roman" w:hint="default"/>
          <w:sz w:val="16"/>
          <w:szCs w:val="16"/>
        </w:rPr>
        <w:t>2,952,959,860.00</w:t>
      </w:r>
      <w:r>
        <w:rPr>
          <w:rFonts w:ascii="Times New Roman" w:hAnsi="Times New Roman" w:cs="Times New Roman" w:eastAsia="Times New Roman" w:hint="default"/>
          <w:spacing w:val="17"/>
          <w:sz w:val="16"/>
          <w:szCs w:val="16"/>
        </w:rPr>
        <w:t> </w:t>
      </w:r>
      <w:r>
        <w:rPr>
          <w:rFonts w:ascii="宋体" w:hAnsi="宋体" w:cs="宋体" w:eastAsia="宋体" w:hint="default"/>
          <w:sz w:val="16"/>
          <w:szCs w:val="16"/>
        </w:rPr>
        <w:t>元，以每股</w:t>
      </w:r>
      <w:r>
        <w:rPr>
          <w:rFonts w:ascii="Times New Roman" w:hAnsi="Times New Roman" w:cs="Times New Roman" w:eastAsia="Times New Roman" w:hint="default"/>
          <w:sz w:val="16"/>
          <w:szCs w:val="16"/>
        </w:rPr>
        <w:t>15.20</w:t>
      </w:r>
      <w:r>
        <w:rPr>
          <w:rFonts w:ascii="宋体" w:hAnsi="宋体" w:cs="宋体" w:eastAsia="宋体" w:hint="default"/>
          <w:sz w:val="16"/>
          <w:szCs w:val="16"/>
        </w:rPr>
        <w:t>元的价格向上海云钜和无锡朴元发行</w:t>
      </w:r>
      <w:r>
        <w:rPr>
          <w:rFonts w:ascii="Times New Roman" w:hAnsi="Times New Roman" w:cs="Times New Roman" w:eastAsia="Times New Roman" w:hint="default"/>
          <w:sz w:val="16"/>
          <w:szCs w:val="16"/>
        </w:rPr>
        <w:t>52,631,578</w:t>
      </w:r>
      <w:r>
        <w:rPr>
          <w:rFonts w:ascii="宋体" w:hAnsi="宋体" w:cs="宋体" w:eastAsia="宋体" w:hint="default"/>
          <w:sz w:val="16"/>
          <w:szCs w:val="16"/>
        </w:rPr>
        <w:t>股</w:t>
      </w:r>
      <w:r>
        <w:rPr>
          <w:rFonts w:ascii="宋体" w:hAnsi="宋体" w:cs="宋体" w:eastAsia="宋体" w:hint="default"/>
          <w:w w:val="100"/>
          <w:sz w:val="16"/>
          <w:szCs w:val="16"/>
        </w:rPr>
        <w:t> </w:t>
      </w:r>
      <w:r>
        <w:rPr>
          <w:rFonts w:ascii="宋体" w:hAnsi="宋体" w:cs="宋体" w:eastAsia="宋体" w:hint="default"/>
          <w:sz w:val="16"/>
          <w:szCs w:val="16"/>
        </w:rPr>
        <w:t>普通股以购买邦道科技</w:t>
      </w:r>
      <w:r>
        <w:rPr>
          <w:rFonts w:ascii="Times New Roman" w:hAnsi="Times New Roman" w:cs="Times New Roman" w:eastAsia="Times New Roman" w:hint="default"/>
          <w:sz w:val="16"/>
          <w:szCs w:val="16"/>
        </w:rPr>
        <w:t>50%</w:t>
      </w:r>
      <w:r>
        <w:rPr>
          <w:rFonts w:ascii="宋体" w:hAnsi="宋体" w:cs="宋体" w:eastAsia="宋体" w:hint="default"/>
          <w:sz w:val="16"/>
          <w:szCs w:val="16"/>
        </w:rPr>
        <w:t>股权，发行股份总价为人民币</w:t>
      </w:r>
      <w:r>
        <w:rPr>
          <w:rFonts w:ascii="Times New Roman" w:hAnsi="Times New Roman" w:cs="Times New Roman" w:eastAsia="Times New Roman" w:hint="default"/>
          <w:sz w:val="16"/>
          <w:szCs w:val="16"/>
        </w:rPr>
        <w:t>799,999,985.60</w:t>
      </w:r>
      <w:r>
        <w:rPr>
          <w:rFonts w:ascii="宋体" w:hAnsi="宋体" w:cs="宋体" w:eastAsia="宋体" w:hint="default"/>
          <w:sz w:val="16"/>
          <w:szCs w:val="16"/>
        </w:rPr>
        <w:t>元。</w:t>
      </w:r>
    </w:p>
    <w:p>
      <w:pPr>
        <w:spacing w:line="240" w:lineRule="auto" w:before="0"/>
        <w:rPr>
          <w:rFonts w:ascii="宋体" w:hAnsi="宋体" w:cs="宋体" w:eastAsia="宋体" w:hint="default"/>
          <w:sz w:val="16"/>
          <w:szCs w:val="16"/>
        </w:rPr>
      </w:pPr>
    </w:p>
    <w:p>
      <w:pPr>
        <w:spacing w:before="120"/>
        <w:ind w:left="152" w:right="986" w:firstLine="0"/>
        <w:jc w:val="left"/>
        <w:rPr>
          <w:rFonts w:ascii="宋体" w:hAnsi="宋体" w:cs="宋体" w:eastAsia="宋体" w:hint="default"/>
          <w:sz w:val="16"/>
          <w:szCs w:val="16"/>
        </w:rPr>
      </w:pPr>
      <w:r>
        <w:rPr>
          <w:rFonts w:ascii="宋体" w:hAnsi="宋体" w:cs="宋体" w:eastAsia="宋体" w:hint="default"/>
          <w:sz w:val="16"/>
          <w:szCs w:val="16"/>
        </w:rPr>
        <w:t>中国证监监督管理委员会已于</w:t>
      </w:r>
      <w:r>
        <w:rPr>
          <w:rFonts w:ascii="Times New Roman" w:hAnsi="Times New Roman" w:cs="Times New Roman" w:eastAsia="Times New Roman" w:hint="default"/>
          <w:sz w:val="16"/>
          <w:szCs w:val="16"/>
        </w:rPr>
        <w:t>2019</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r>
        <w:rPr>
          <w:rFonts w:ascii="Times New Roman" w:hAnsi="Times New Roman" w:cs="Times New Roman" w:eastAsia="Times New Roman" w:hint="default"/>
          <w:sz w:val="16"/>
          <w:szCs w:val="16"/>
        </w:rPr>
        <w:t>22</w:t>
      </w:r>
      <w:r>
        <w:rPr>
          <w:rFonts w:ascii="宋体" w:hAnsi="宋体" w:cs="宋体" w:eastAsia="宋体" w:hint="default"/>
          <w:sz w:val="16"/>
          <w:szCs w:val="16"/>
        </w:rPr>
        <w:t>日对本公司提交的《上市公司发行股份购买资产核准》行政许可申请材料进行审查并予以受理。</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10"/>
        <w:rPr>
          <w:rFonts w:ascii="宋体" w:hAnsi="宋体" w:cs="宋体" w:eastAsia="宋体" w:hint="default"/>
          <w:sz w:val="16"/>
          <w:szCs w:val="16"/>
        </w:rPr>
      </w:pPr>
    </w:p>
    <w:p>
      <w:pPr>
        <w:pStyle w:val="Heading2"/>
        <w:spacing w:line="240" w:lineRule="auto"/>
        <w:ind w:right="1129"/>
        <w:jc w:val="left"/>
        <w:rPr>
          <w:b w:val="0"/>
          <w:bCs w:val="0"/>
        </w:rPr>
      </w:pPr>
      <w:bookmarkStart w:name="十六、其他重要事项" w:id="470"/>
      <w:bookmarkEnd w:id="470"/>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9"/>
        <w:jc w:val="left"/>
        <w:rPr>
          <w:b w:val="0"/>
          <w:bCs w:val="0"/>
        </w:rPr>
      </w:pPr>
      <w:bookmarkStart w:name="1、前期会计差错更正" w:id="471"/>
      <w:bookmarkEnd w:id="471"/>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9"/>
        <w:jc w:val="left"/>
        <w:rPr>
          <w:b w:val="0"/>
          <w:bCs w:val="0"/>
        </w:rPr>
      </w:pPr>
      <w:bookmarkStart w:name="（1）追溯重述法" w:id="472"/>
      <w:bookmarkEnd w:id="472"/>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715"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2）未来适用法" w:id="473"/>
      <w:bookmarkEnd w:id="473"/>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6"/>
        <w:ind w:right="1129"/>
        <w:jc w:val="left"/>
        <w:rPr>
          <w:b w:val="0"/>
          <w:bCs w:val="0"/>
        </w:rPr>
      </w:pPr>
      <w:bookmarkStart w:name="2、债务重组" w:id="474"/>
      <w:bookmarkEnd w:id="474"/>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3、资产置换" w:id="475"/>
      <w:bookmarkEnd w:id="475"/>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9"/>
        <w:jc w:val="left"/>
        <w:rPr>
          <w:b w:val="0"/>
          <w:bCs w:val="0"/>
        </w:rPr>
      </w:pPr>
      <w:bookmarkStart w:name="（1）非货币性资产交换" w:id="476"/>
      <w:bookmarkEnd w:id="476"/>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2）其他资产置换" w:id="477"/>
      <w:bookmarkEnd w:id="477"/>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9"/>
        <w:jc w:val="left"/>
        <w:rPr>
          <w:b w:val="0"/>
          <w:bCs w:val="0"/>
        </w:rPr>
      </w:pPr>
      <w:bookmarkStart w:name="4、年金计划" w:id="478"/>
      <w:bookmarkEnd w:id="478"/>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5、终止经营" w:id="479"/>
      <w:bookmarkEnd w:id="479"/>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8" w:right="3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6、分部信息" w:id="480"/>
      <w:bookmarkEnd w:id="480"/>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1）报告分部的确定依据与会计政策" w:id="481"/>
      <w:bookmarkEnd w:id="481"/>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t>本集团以内部组织结构、管理要求、内部报告制度为依据确定经营分部，以经营分部为基础确定报告分部并披露分部信息。</w:t>
      </w:r>
    </w:p>
    <w:p>
      <w:pPr>
        <w:spacing w:after="0" w:line="240" w:lineRule="auto"/>
        <w:jc w:val="left"/>
        <w:sectPr>
          <w:footerReference w:type="default" r:id="rId22"/>
          <w:pgSz w:w="11910" w:h="16840"/>
          <w:pgMar w:footer="982" w:header="745" w:top="1060" w:bottom="1180" w:left="980" w:right="0"/>
          <w:pgNumType w:start="177"/>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本公司董事会被视为经营决策机构。</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07" w:lineRule="auto"/>
        <w:ind w:right="1130" w:firstLine="72"/>
        <w:jc w:val="both"/>
      </w:pPr>
      <w:r>
        <w:rPr>
          <w:spacing w:val="-1"/>
        </w:rPr>
        <w:t>经营分部是指本集团内同时满足下列条件的组成部分：</w:t>
      </w:r>
      <w:r>
        <w:rPr>
          <w:rFonts w:ascii="Times New Roman" w:hAnsi="Times New Roman" w:cs="Times New Roman" w:eastAsia="Times New Roman" w:hint="default"/>
          <w:spacing w:val="-1"/>
        </w:rPr>
        <w:t>(1)</w:t>
      </w:r>
      <w:r>
        <w:rPr>
          <w:spacing w:val="-1"/>
        </w:rPr>
        <w:t>该组成部分能够在日常活动中产生收入、发生费用；</w:t>
      </w:r>
      <w:r>
        <w:rPr>
          <w:rFonts w:ascii="Times New Roman" w:hAnsi="Times New Roman" w:cs="Times New Roman" w:eastAsia="Times New Roman" w:hint="default"/>
          <w:spacing w:val="-1"/>
        </w:rPr>
        <w:t>(2)</w:t>
      </w:r>
      <w:r>
        <w:rPr>
          <w:spacing w:val="-1"/>
        </w:rPr>
        <w:t>本集团董</w:t>
      </w:r>
      <w:r>
        <w:rPr/>
        <w:t> </w:t>
      </w:r>
      <w:r>
        <w:rPr>
          <w:spacing w:val="-3"/>
        </w:rPr>
        <w:t>事会能够定期评价该组成部分的经营成果，以决定向其配置资源、评价其业绩；</w:t>
      </w:r>
      <w:r>
        <w:rPr>
          <w:rFonts w:ascii="Times New Roman" w:hAnsi="Times New Roman" w:cs="Times New Roman" w:eastAsia="Times New Roman" w:hint="default"/>
          <w:spacing w:val="-3"/>
        </w:rPr>
        <w:t>(3)</w:t>
      </w:r>
      <w:r>
        <w:rPr>
          <w:spacing w:val="-3"/>
        </w:rPr>
        <w:t>本集团能够取得该组成部分的财务状况、</w:t>
      </w:r>
      <w:r>
        <w:rPr>
          <w:spacing w:val="-36"/>
        </w:rPr>
        <w:t> </w:t>
      </w:r>
      <w:r>
        <w:rPr>
          <w:spacing w:val="-2"/>
        </w:rPr>
        <w:t>经营成果和现金流量等有关会计信息。两个或多个经营分部具有相似的经济特征，并且满足一定条件的，则可合并为一个经</w:t>
      </w:r>
      <w:r>
        <w:rPr>
          <w:spacing w:val="-63"/>
        </w:rPr>
        <w:t> </w:t>
      </w:r>
      <w:r>
        <w:rPr>
          <w:spacing w:val="-63"/>
        </w:rPr>
      </w:r>
      <w:r>
        <w:rPr/>
        <w:t>营分部。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Heading3"/>
        <w:spacing w:line="240" w:lineRule="auto"/>
        <w:ind w:right="0"/>
        <w:jc w:val="both"/>
        <w:rPr>
          <w:b w:val="0"/>
          <w:bCs w:val="0"/>
        </w:rPr>
      </w:pPr>
      <w:bookmarkStart w:name="（2）报告分部的财务信息" w:id="482"/>
      <w:bookmarkEnd w:id="482"/>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3"/>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3）公司无报告分部的，或者不能披露各报告分部的资产总额和负债总额的，应说明原因" w:id="483"/>
      <w:bookmarkEnd w:id="483"/>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9"/>
        <w:jc w:val="left"/>
        <w:rPr>
          <w:b w:val="0"/>
          <w:bCs w:val="0"/>
        </w:rPr>
      </w:pPr>
      <w:bookmarkStart w:name="（4）其他说明" w:id="484"/>
      <w:bookmarkEnd w:id="484"/>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7、其他对投资者决策有影响的重要交易和事项" w:id="485"/>
      <w:bookmarkEnd w:id="485"/>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6899" w:firstLine="0"/>
        <w:jc w:val="left"/>
        <w:rPr>
          <w:rFonts w:ascii="宋体" w:hAnsi="宋体" w:cs="宋体" w:eastAsia="宋体" w:hint="default"/>
          <w:sz w:val="21"/>
          <w:szCs w:val="21"/>
        </w:rPr>
      </w:pPr>
      <w:bookmarkStart w:name="8、其他" w:id="486"/>
      <w:bookmarkEnd w:id="48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七、母公司财务报表主要项目注释" w:id="487"/>
      <w:bookmarkEnd w:id="487"/>
      <w:r>
        <w:rPr>
          <w:rFonts w:ascii="宋体" w:hAnsi="宋体" w:cs="宋体" w:eastAsia="宋体" w:hint="default"/>
          <w:b/>
          <w:bCs/>
          <w:w w:val="100"/>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票据及应收账款" w:id="488"/>
      <w:bookmarkEnd w:id="48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2"/>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42,249,473.53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24,280,467.47</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832,820,119.95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638,945,288.60</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875,069,593.48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663,225,756.07</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1）应收票据" w:id="489"/>
      <w:bookmarkEnd w:id="489"/>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29"/>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42,249,473.53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24,280,467.47</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42,249,473.53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24,280,467.47</w:t>
            </w:r>
          </w:p>
        </w:tc>
      </w:tr>
    </w:tbl>
    <w:p>
      <w:pPr>
        <w:pStyle w:val="BodyText"/>
        <w:spacing w:line="240" w:lineRule="auto" w:before="49"/>
        <w:ind w:right="1129"/>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9"/>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4)期末公司因出票人未履约而将其转应收账款的票据" w:id="490"/>
      <w:bookmarkEnd w:id="490"/>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2）应收账款" w:id="491"/>
      <w:bookmarkEnd w:id="491"/>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9"/>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9" w:hRule="exact"/>
        </w:trPr>
        <w:tc>
          <w:tcPr>
            <w:tcW w:w="1612" w:type="dxa"/>
            <w:vMerge/>
            <w:tcBorders>
              <w:left w:val="single" w:sz="4" w:space="0" w:color="000000"/>
              <w:bottom w:val="single" w:sz="5"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0"/>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4D4D4"/>
          </w:tcPr>
          <w:p>
            <w:pPr/>
          </w:p>
        </w:tc>
        <w:tc>
          <w:tcPr>
            <w:tcW w:w="774"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869,816,</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839.88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36,996,7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19.93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4.25%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832,820,1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19.95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665,788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,250.80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26,842,96</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2.20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4.03%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638,945,28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8.60</w:t>
            </w:r>
          </w:p>
        </w:tc>
      </w:tr>
      <w:tr>
        <w:trPr>
          <w:trHeight w:val="163"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869,816,</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839.88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36,996,7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19.93</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4.25%</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832,820,1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19.95</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665,788</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,250.80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26,842,96</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2.20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4.03%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638,945,28</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8.60</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293" w:space="4534"/>
            <w:col w:w="2103"/>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4"/>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4D4D4"/>
          </w:tcPr>
          <w:p>
            <w:pPr/>
          </w:p>
        </w:tc>
        <w:tc>
          <w:tcPr>
            <w:tcW w:w="7075"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2482" w:type="dxa"/>
            <w:vMerge/>
            <w:tcBorders>
              <w:left w:val="single" w:sz="4" w:space="0" w:color="000000"/>
              <w:bottom w:val="nil" w:sz="6" w:space="0" w:color="auto"/>
              <w:right w:val="single" w:sz="4" w:space="0" w:color="000000"/>
            </w:tcBorders>
            <w:shd w:val="clear" w:color="auto" w:fill="D4D4D4"/>
          </w:tcPr>
          <w:p>
            <w:pPr/>
          </w:p>
        </w:tc>
        <w:tc>
          <w:tcPr>
            <w:tcW w:w="22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4D4D4"/>
          </w:tcPr>
          <w:p>
            <w:pPr/>
          </w:p>
        </w:tc>
        <w:tc>
          <w:tcPr>
            <w:tcW w:w="2294"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r>
      <w:tr>
        <w:trPr>
          <w:trHeight w:val="39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698,886,368.21</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5,589,882.85</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122,317,989.20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12,231,798.92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21,043,760.80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4,208,752.16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22,224,841.96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11,112,420.98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4,966,715.64</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3,476,700.95</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377,164.07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377,164.07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869,816,839.88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36,996,719.93</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2" w:top="1060" w:bottom="1180" w:left="920" w:right="0"/>
        </w:sectPr>
      </w:pPr>
    </w:p>
    <w:p>
      <w:pPr>
        <w:pStyle w:val="BodyText"/>
        <w:spacing w:line="360" w:lineRule="auto" w:before="44"/>
        <w:ind w:left="212" w:right="1821"/>
        <w:jc w:val="left"/>
      </w:pPr>
      <w:r>
        <w:rPr/>
        <w:t>确定该组合依据的说明： 组合中，采用余额百分比法计提坏账准备的应收账款：</w:t>
      </w:r>
    </w:p>
    <w:p>
      <w:pPr>
        <w:pStyle w:val="BodyText"/>
        <w:spacing w:line="350" w:lineRule="auto" w:before="25"/>
        <w:ind w:left="212" w:right="21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9"/>
        <w:ind w:left="212" w:right="-10"/>
        <w:jc w:val="left"/>
      </w:pPr>
      <w:r>
        <w:rPr/>
        <w:t>本期计提坏账准备金额</w:t>
      </w:r>
      <w:r>
        <w:rPr>
          <w:spacing w:val="-49"/>
        </w:rPr>
        <w:t> </w:t>
      </w:r>
      <w:r>
        <w:rPr>
          <w:rFonts w:ascii="Times New Roman" w:hAnsi="Times New Roman" w:cs="Times New Roman" w:eastAsia="Times New Roman" w:hint="default"/>
        </w:rPr>
        <w:t>11,667,937.73</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4"/>
        <w:ind w:left="212" w:right="0"/>
        <w:jc w:val="left"/>
      </w:pPr>
      <w:r>
        <w:rPr/>
        <w:t>单位：</w:t>
      </w:r>
      <w:r>
        <w:rPr>
          <w:spacing w:val="1"/>
        </w:rPr>
        <w:t> </w:t>
      </w:r>
      <w:r>
        <w:rPr/>
        <w:t>元</w:t>
      </w:r>
    </w:p>
    <w:p>
      <w:pPr>
        <w:spacing w:after="0" w:line="240" w:lineRule="auto"/>
        <w:jc w:val="left"/>
        <w:sectPr>
          <w:type w:val="continuous"/>
          <w:pgSz w:w="11910" w:h="16840"/>
          <w:pgMar w:top="1060" w:bottom="1180" w:left="920" w:right="0"/>
          <w:cols w:num="2" w:equalWidth="0">
            <w:col w:w="6374" w:space="2453"/>
            <w:col w:w="2163"/>
          </w:cols>
        </w:sectPr>
      </w:pPr>
    </w:p>
    <w:p>
      <w:pPr>
        <w:spacing w:line="240" w:lineRule="auto" w:before="2"/>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366"/>
        <w:gridCol w:w="3101"/>
        <w:gridCol w:w="3089"/>
      </w:tblGrid>
      <w:tr>
        <w:trPr>
          <w:trHeight w:val="403" w:hRule="exact"/>
        </w:trPr>
        <w:tc>
          <w:tcPr>
            <w:tcW w:w="3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left="212" w:right="745"/>
        <w:jc w:val="left"/>
      </w:pPr>
      <w:r>
        <w:rPr>
          <w:rFonts w:ascii="Times New Roman" w:hAnsi="Times New Roman" w:cs="Times New Roman" w:eastAsia="Times New Roman" w:hint="default"/>
        </w:rPr>
        <w:t>3)</w:t>
      </w:r>
      <w:r>
        <w:rPr/>
        <w:t>本期实际核销的应收账款情况</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4982"/>
        <w:gridCol w:w="4586"/>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实际核销的应收款项</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1,514,180.00</w:t>
            </w:r>
            <w:r>
              <w:rPr>
                <w:rFonts w:ascii="Times New Roman"/>
                <w:sz w:val="18"/>
              </w:rPr>
            </w:r>
          </w:p>
        </w:tc>
      </w:tr>
    </w:tbl>
    <w:p>
      <w:pPr>
        <w:pStyle w:val="BodyText"/>
        <w:spacing w:line="240" w:lineRule="auto" w:before="49"/>
        <w:ind w:left="212" w:right="745"/>
        <w:jc w:val="left"/>
      </w:pPr>
      <w:r>
        <w:rPr/>
        <w:t>其中重要的应收账款核销情况：</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left="212" w:right="745"/>
        <w:jc w:val="left"/>
      </w:pPr>
      <w:r>
        <w:rPr/>
        <w:t>应收账款核销说明：</w:t>
      </w:r>
    </w:p>
    <w:p>
      <w:pPr>
        <w:pStyle w:val="BodyText"/>
        <w:spacing w:line="240" w:lineRule="auto" w:before="115"/>
        <w:ind w:left="212" w:right="745"/>
        <w:jc w:val="left"/>
      </w:pPr>
      <w:r>
        <w:rPr>
          <w:rFonts w:ascii="Times New Roman" w:hAnsi="Times New Roman" w:cs="Times New Roman" w:eastAsia="Times New Roman" w:hint="default"/>
        </w:rPr>
        <w:t>4)</w:t>
      </w:r>
      <w:r>
        <w:rPr/>
        <w:t>按欠款方归集的期末余额前五名的应收账款情况</w:t>
      </w:r>
    </w:p>
    <w:p>
      <w:pPr>
        <w:spacing w:line="240" w:lineRule="auto" w:before="4"/>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328"/>
        <w:gridCol w:w="2575"/>
        <w:gridCol w:w="2551"/>
        <w:gridCol w:w="2400"/>
      </w:tblGrid>
      <w:tr>
        <w:trPr>
          <w:trHeight w:val="322" w:hRule="exact"/>
        </w:trPr>
        <w:tc>
          <w:tcPr>
            <w:tcW w:w="2328" w:type="dxa"/>
            <w:vMerge w:val="restart"/>
            <w:tcBorders>
              <w:top w:val="single" w:sz="4" w:space="0" w:color="000000"/>
              <w:left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575" w:type="dxa"/>
            <w:vMerge w:val="restart"/>
            <w:tcBorders>
              <w:top w:val="single" w:sz="4" w:space="0" w:color="000000"/>
              <w:left w:val="single" w:sz="4" w:space="0" w:color="000000"/>
              <w:right w:val="single" w:sz="4" w:space="0" w:color="000000"/>
            </w:tcBorders>
          </w:tcPr>
          <w:p>
            <w:pPr>
              <w:pStyle w:val="TableParagraph"/>
              <w:spacing w:line="240" w:lineRule="auto" w:before="8"/>
              <w:ind w:left="92" w:right="0"/>
              <w:jc w:val="center"/>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c>
          <w:tcPr>
            <w:tcW w:w="2551" w:type="dxa"/>
            <w:vMerge w:val="restart"/>
            <w:tcBorders>
              <w:top w:val="single" w:sz="4" w:space="0" w:color="000000"/>
              <w:left w:val="single" w:sz="4" w:space="0" w:color="000000"/>
              <w:right w:val="single" w:sz="4" w:space="0" w:color="000000"/>
            </w:tcBorders>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坏账准备金额</w:t>
            </w:r>
            <w:r>
              <w:rPr>
                <w:rFonts w:ascii="宋体" w:hAnsi="宋体" w:cs="宋体" w:eastAsia="宋体" w:hint="default"/>
                <w:sz w:val="18"/>
                <w:szCs w:val="18"/>
              </w:rPr>
              <w:t> </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5" w:right="0"/>
              <w:jc w:val="left"/>
              <w:rPr>
                <w:rFonts w:ascii="宋体" w:hAnsi="宋体" w:cs="宋体" w:eastAsia="宋体" w:hint="default"/>
                <w:sz w:val="18"/>
                <w:szCs w:val="18"/>
              </w:rPr>
            </w:pPr>
            <w:r>
              <w:rPr>
                <w:rFonts w:ascii="宋体" w:hAnsi="宋体" w:cs="宋体" w:eastAsia="宋体" w:hint="default"/>
                <w:sz w:val="18"/>
                <w:szCs w:val="18"/>
              </w:rPr>
              <w:t>占应收账款余</w:t>
            </w:r>
            <w:r>
              <w:rPr>
                <w:rFonts w:ascii="宋体" w:hAnsi="宋体" w:cs="宋体" w:eastAsia="宋体" w:hint="default"/>
                <w:sz w:val="18"/>
                <w:szCs w:val="18"/>
              </w:rPr>
              <w:t> </w:t>
            </w:r>
          </w:p>
        </w:tc>
      </w:tr>
      <w:tr>
        <w:trPr>
          <w:trHeight w:val="322" w:hRule="exact"/>
        </w:trPr>
        <w:tc>
          <w:tcPr>
            <w:tcW w:w="2328" w:type="dxa"/>
            <w:vMerge/>
            <w:tcBorders>
              <w:left w:val="single" w:sz="4" w:space="0" w:color="000000"/>
              <w:bottom w:val="single" w:sz="4" w:space="0" w:color="000000"/>
              <w:right w:val="single" w:sz="4" w:space="0" w:color="000000"/>
            </w:tcBorders>
          </w:tcPr>
          <w:p>
            <w:pPr/>
          </w:p>
        </w:tc>
        <w:tc>
          <w:tcPr>
            <w:tcW w:w="2575" w:type="dxa"/>
            <w:vMerge/>
            <w:tcBorders>
              <w:left w:val="single" w:sz="4" w:space="0" w:color="000000"/>
              <w:bottom w:val="single" w:sz="4" w:space="0" w:color="000000"/>
              <w:right w:val="single" w:sz="4" w:space="0" w:color="000000"/>
            </w:tcBorders>
          </w:tcPr>
          <w:p>
            <w:pPr/>
          </w:p>
        </w:tc>
        <w:tc>
          <w:tcPr>
            <w:tcW w:w="2551" w:type="dxa"/>
            <w:vMerge/>
            <w:tcBorders>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3" w:right="0"/>
              <w:jc w:val="left"/>
              <w:rPr>
                <w:rFonts w:ascii="宋体" w:hAnsi="宋体" w:cs="宋体" w:eastAsia="宋体" w:hint="default"/>
                <w:sz w:val="18"/>
                <w:szCs w:val="18"/>
              </w:rPr>
            </w:pPr>
            <w:r>
              <w:rPr>
                <w:rFonts w:ascii="宋体" w:hAnsi="宋体" w:cs="宋体" w:eastAsia="宋体" w:hint="default"/>
                <w:sz w:val="18"/>
                <w:szCs w:val="18"/>
              </w:rPr>
              <w:t>额总额比例</w:t>
            </w:r>
            <w:r>
              <w:rPr>
                <w:rFonts w:ascii="宋体" w:hAnsi="宋体" w:cs="宋体" w:eastAsia="宋体" w:hint="default"/>
                <w:sz w:val="18"/>
                <w:szCs w:val="18"/>
              </w:rPr>
              <w:t> </w:t>
            </w:r>
          </w:p>
        </w:tc>
      </w:tr>
      <w:tr>
        <w:trPr>
          <w:trHeight w:val="634" w:hRule="exac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9" w:firstLine="273"/>
              <w:jc w:val="left"/>
              <w:rPr>
                <w:rFonts w:ascii="宋体" w:hAnsi="宋体" w:cs="宋体" w:eastAsia="宋体" w:hint="default"/>
                <w:sz w:val="18"/>
                <w:szCs w:val="18"/>
              </w:rPr>
            </w:pPr>
            <w:r>
              <w:rPr>
                <w:rFonts w:ascii="宋体" w:hAnsi="宋体" w:cs="宋体" w:eastAsia="宋体" w:hint="default"/>
                <w:sz w:val="18"/>
                <w:szCs w:val="18"/>
              </w:rPr>
              <w:t>余额前五名的应收账款 总额</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14" w:right="0"/>
              <w:jc w:val="left"/>
              <w:rPr>
                <w:rFonts w:ascii="Arial" w:hAnsi="Arial" w:cs="Arial" w:eastAsia="Arial" w:hint="default"/>
                <w:sz w:val="18"/>
                <w:szCs w:val="18"/>
              </w:rPr>
            </w:pPr>
            <w:r>
              <w:rPr>
                <w:rFonts w:ascii="Arial"/>
                <w:sz w:val="18"/>
              </w:rPr>
              <w:t>215,122,422.94</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86" w:right="0"/>
              <w:jc w:val="left"/>
              <w:rPr>
                <w:rFonts w:ascii="Arial" w:hAnsi="Arial" w:cs="Arial" w:eastAsia="Arial" w:hint="default"/>
                <w:sz w:val="18"/>
                <w:szCs w:val="18"/>
              </w:rPr>
            </w:pPr>
            <w:r>
              <w:rPr>
                <w:rFonts w:ascii="Arial"/>
                <w:sz w:val="18"/>
              </w:rPr>
              <w:t>11,190,891.35</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Arial" w:hAnsi="Arial" w:cs="Arial" w:eastAsia="Arial" w:hint="default"/>
                <w:sz w:val="18"/>
                <w:szCs w:val="18"/>
              </w:rPr>
            </w:pPr>
            <w:r>
              <w:rPr>
                <w:rFonts w:ascii="Arial"/>
                <w:spacing w:val="-1"/>
                <w:sz w:val="18"/>
              </w:rPr>
              <w:t>24.73%</w:t>
            </w:r>
          </w:p>
        </w:tc>
      </w:tr>
    </w:tbl>
    <w:p>
      <w:pPr>
        <w:spacing w:line="240" w:lineRule="auto" w:before="2"/>
        <w:rPr>
          <w:rFonts w:ascii="宋体" w:hAnsi="宋体" w:cs="宋体" w:eastAsia="宋体" w:hint="default"/>
          <w:sz w:val="24"/>
          <w:szCs w:val="24"/>
        </w:rPr>
      </w:pPr>
    </w:p>
    <w:p>
      <w:pPr>
        <w:pStyle w:val="BodyText"/>
        <w:spacing w:line="240" w:lineRule="auto" w:before="44"/>
        <w:ind w:left="212" w:right="745"/>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left="212" w:right="6824"/>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7"/>
        <w:rPr>
          <w:rFonts w:ascii="宋体" w:hAnsi="宋体" w:cs="宋体" w:eastAsia="宋体" w:hint="default"/>
          <w:sz w:val="21"/>
          <w:szCs w:val="21"/>
        </w:rPr>
      </w:pPr>
    </w:p>
    <w:p>
      <w:pPr>
        <w:pStyle w:val="Heading3"/>
        <w:spacing w:line="240" w:lineRule="auto"/>
        <w:ind w:left="212" w:right="745"/>
        <w:jc w:val="left"/>
        <w:rPr>
          <w:b w:val="0"/>
          <w:bCs w:val="0"/>
        </w:rPr>
      </w:pPr>
      <w:bookmarkStart w:name="2、其他应收款" w:id="492"/>
      <w:bookmarkEnd w:id="49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1,124,733.73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116,779,716.99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38,434,178.43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117,904,450.72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38,434,178.43</w:t>
            </w:r>
          </w:p>
        </w:tc>
      </w:tr>
    </w:tbl>
    <w:p>
      <w:pPr>
        <w:spacing w:line="240" w:lineRule="auto" w:before="3"/>
        <w:rPr>
          <w:rFonts w:ascii="宋体" w:hAnsi="宋体" w:cs="宋体" w:eastAsia="宋体" w:hint="default"/>
          <w:sz w:val="19"/>
          <w:szCs w:val="19"/>
        </w:rPr>
      </w:pPr>
    </w:p>
    <w:p>
      <w:pPr>
        <w:pStyle w:val="Heading3"/>
        <w:spacing w:line="240" w:lineRule="auto" w:before="36"/>
        <w:ind w:left="212" w:right="745"/>
        <w:jc w:val="left"/>
        <w:rPr>
          <w:b w:val="0"/>
          <w:bCs w:val="0"/>
        </w:rPr>
      </w:pPr>
      <w:bookmarkStart w:name="（1）应收利息" w:id="493"/>
      <w:bookmarkEnd w:id="493"/>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212" w:right="745"/>
        <w:jc w:val="left"/>
      </w:pPr>
      <w:r>
        <w:rPr>
          <w:rFonts w:ascii="Times New Roman" w:hAnsi="Times New Roman" w:cs="Times New Roman" w:eastAsia="Times New Roman" w:hint="default"/>
        </w:rPr>
        <w:t>1)</w:t>
      </w:r>
      <w:r>
        <w:rPr/>
        <w:t>应收利息分类</w:t>
      </w:r>
    </w:p>
    <w:p>
      <w:pPr>
        <w:spacing w:after="0" w:line="240" w:lineRule="auto"/>
        <w:jc w:val="left"/>
        <w:sectPr>
          <w:type w:val="continuous"/>
          <w:pgSz w:w="11910" w:h="16840"/>
          <w:pgMar w:top="1060" w:bottom="1180" w:left="92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1,124,733.73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1,124,733.73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9"/>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2）应收股利" w:id="494"/>
      <w:bookmarkEnd w:id="494"/>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9"/>
        <w:jc w:val="left"/>
      </w:pPr>
      <w:r>
        <w:rPr>
          <w:rFonts w:ascii="Times New Roman" w:hAnsi="Times New Roman" w:cs="Times New Roman" w:eastAsia="Times New Roman" w:hint="default"/>
        </w:rPr>
        <w:t>1)</w:t>
      </w:r>
      <w:r>
        <w:rPr/>
        <w:t>应收股利</w:t>
      </w:r>
    </w:p>
    <w:p>
      <w:pPr>
        <w:pStyle w:val="BodyText"/>
        <w:spacing w:line="240" w:lineRule="auto" w:before="103"/>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29"/>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3）其他应收款" w:id="495"/>
      <w:bookmarkEnd w:id="495"/>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9"/>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9" w:hRule="exact"/>
        </w:trPr>
        <w:tc>
          <w:tcPr>
            <w:tcW w:w="1612" w:type="dxa"/>
            <w:vMerge/>
            <w:tcBorders>
              <w:left w:val="single" w:sz="4" w:space="0" w:color="000000"/>
              <w:bottom w:val="single" w:sz="5"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0"/>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4D4D4"/>
          </w:tcPr>
          <w:p>
            <w:pPr/>
          </w:p>
        </w:tc>
        <w:tc>
          <w:tcPr>
            <w:tcW w:w="774"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35,693,9</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74.54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30.16%</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427,954.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1.20%</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35,266,01</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9.80</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38,297,</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790.54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94.30%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2,177,866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5.69%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36,119,923.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93</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一般组合</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81,513,6</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97.19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69.84%</w:t>
            </w:r>
          </w:p>
        </w:tc>
        <w:tc>
          <w:tcPr>
            <w:tcW w:w="763"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81,513,69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7.19</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2,314,2</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54.50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5.70%</w:t>
            </w:r>
          </w:p>
        </w:tc>
        <w:tc>
          <w:tcPr>
            <w:tcW w:w="814"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2,314,254.5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63"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3"/>
              <w:ind w:left="94" w:right="0"/>
              <w:jc w:val="center"/>
              <w:rPr>
                <w:rFonts w:ascii="Times New Roman" w:hAnsi="Times New Roman" w:cs="Times New Roman" w:eastAsia="Times New Roman" w:hint="default"/>
                <w:sz w:val="18"/>
                <w:szCs w:val="18"/>
              </w:rPr>
            </w:pPr>
            <w:r>
              <w:rPr>
                <w:rFonts w:ascii="Times New Roman"/>
                <w:sz w:val="18"/>
              </w:rPr>
              <w:t>117,207,</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671.73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427,954.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1.20%</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116,779,7</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16.99</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40,612,</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045.04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2,177,866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5.69%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38,434,178.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43</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82" w:top="1060" w:bottom="1180" w:left="980" w:right="0"/>
        </w:sectPr>
      </w:pPr>
    </w:p>
    <w:p>
      <w:pPr>
        <w:spacing w:line="240" w:lineRule="auto" w:before="1"/>
        <w:rPr>
          <w:rFonts w:ascii="宋体" w:hAnsi="宋体" w:cs="宋体" w:eastAsia="宋体" w:hint="default"/>
          <w:sz w:val="16"/>
          <w:szCs w:val="16"/>
        </w:rPr>
      </w:pPr>
    </w:p>
    <w:p>
      <w:pPr>
        <w:pStyle w:val="BodyText"/>
        <w:spacing w:line="240" w:lineRule="auto"/>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473" w:space="4354"/>
            <w:col w:w="2103"/>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0"/>
        <w:gridCol w:w="2390"/>
      </w:tblGrid>
      <w:tr>
        <w:trPr>
          <w:trHeight w:val="206" w:hRule="exact"/>
        </w:trPr>
        <w:tc>
          <w:tcPr>
            <w:tcW w:w="247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80"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0" w:type="dxa"/>
            <w:gridSpan w:val="3"/>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2477" w:type="dxa"/>
            <w:vMerge/>
            <w:tcBorders>
              <w:left w:val="single" w:sz="4" w:space="0" w:color="000000"/>
              <w:bottom w:val="nil" w:sz="6" w:space="0" w:color="auto"/>
              <w:right w:val="single" w:sz="4" w:space="0" w:color="000000"/>
            </w:tcBorders>
            <w:shd w:val="clear" w:color="auto" w:fill="D4D4D4"/>
          </w:tcPr>
          <w:p>
            <w:pPr/>
          </w:p>
        </w:tc>
        <w:tc>
          <w:tcPr>
            <w:tcW w:w="230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4D4D4"/>
          </w:tcPr>
          <w:p>
            <w:pPr/>
          </w:p>
        </w:tc>
        <w:tc>
          <w:tcPr>
            <w:tcW w:w="2300"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35,466,219.75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354,662.20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35,584.16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3,558.42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137,170.63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27,434.12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35,693,974.54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427,954.74</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pStyle w:val="BodyText"/>
        <w:spacing w:line="357" w:lineRule="auto" w:before="49"/>
        <w:ind w:right="1559"/>
        <w:jc w:val="left"/>
      </w:pPr>
      <w:r>
        <w:rPr/>
        <w:t>确定该组合依据的说明： 组合中，采用余额百分比法计提坏账准备的其他应收款：</w:t>
      </w:r>
    </w:p>
    <w:p>
      <w:pPr>
        <w:pStyle w:val="BodyText"/>
        <w:spacing w:line="340" w:lineRule="auto" w:before="29"/>
        <w:ind w:right="19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0"/>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0"/>
        <w:jc w:val="left"/>
      </w:pPr>
      <w:r>
        <w:rPr/>
        <w:t>本期计提坏账准备金额</w:t>
      </w:r>
      <w:r>
        <w:rPr>
          <w:spacing w:val="-47"/>
        </w:rPr>
        <w:t> </w:t>
      </w:r>
      <w:r>
        <w:rPr>
          <w:rFonts w:ascii="Times New Roman" w:hAnsi="Times New Roman" w:cs="Times New Roman" w:eastAsia="Times New Roman" w:hint="default"/>
        </w:rPr>
        <w:t>3,126,696.65</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6232" w:space="2595"/>
            <w:col w:w="210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089"/>
      </w:tblGrid>
      <w:tr>
        <w:trPr>
          <w:trHeight w:val="401" w:hRule="exact"/>
        </w:trPr>
        <w:tc>
          <w:tcPr>
            <w:tcW w:w="3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1129"/>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2"/>
        <w:gridCol w:w="4586"/>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4,876,608.52</w:t>
            </w:r>
            <w:r>
              <w:rPr>
                <w:rFonts w:ascii="Times New Roman"/>
                <w:sz w:val="18"/>
              </w:rPr>
            </w:r>
          </w:p>
        </w:tc>
      </w:tr>
    </w:tbl>
    <w:p>
      <w:pPr>
        <w:pStyle w:val="BodyText"/>
        <w:spacing w:line="240" w:lineRule="auto" w:before="49"/>
        <w:ind w:right="1129"/>
        <w:jc w:val="left"/>
      </w:pPr>
      <w:r>
        <w:rPr/>
        <w:t>其中重要的其他应收款核销情况：</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从兴技术有限公司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4,856,608.52</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长账龄无法回收</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4,856,608.52</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9"/>
        <w:jc w:val="left"/>
      </w:pPr>
      <w:r>
        <w:rPr/>
        <w:t>其他应收款核销说明：</w:t>
      </w:r>
    </w:p>
    <w:p>
      <w:pPr>
        <w:spacing w:after="0" w:line="240" w:lineRule="auto"/>
        <w:jc w:val="left"/>
        <w:sectPr>
          <w:type w:val="continuous"/>
          <w:pgSz w:w="11910" w:h="16840"/>
          <w:pgMar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9"/>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应收押金及保证金款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31,615,587.18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30,482,788.99</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转入从兴电力业务应收款及代垫款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132,800.00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4,989,408.52</w:t>
            </w:r>
            <w:r>
              <w:rPr>
                <w:rFonts w:ascii="Times New Roman"/>
                <w:sz w:val="18"/>
              </w:rPr>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应收员工借款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1,524,789.60</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1,420,737.42</w:t>
            </w:r>
            <w:r>
              <w:rPr>
                <w:rFonts w:ascii="Times New Roman"/>
                <w:sz w:val="18"/>
              </w:rPr>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暂付及单位往来款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83,934,494.95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3,719,110.11</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117,207,671.73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40,612,045.04</w:t>
            </w:r>
          </w:p>
        </w:tc>
      </w:tr>
    </w:tbl>
    <w:p>
      <w:pPr>
        <w:pStyle w:val="BodyText"/>
        <w:spacing w:line="240" w:lineRule="auto" w:before="49"/>
        <w:ind w:right="1129"/>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4"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海关总署物资装备采 购中心</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应收押金及保证金 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3,793,320.00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37,933.20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邦道科技有限公司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2,272,342.72</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22,723.43</w:t>
            </w: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both"/>
              <w:rPr>
                <w:rFonts w:ascii="宋体" w:hAnsi="宋体" w:cs="宋体" w:eastAsia="宋体" w:hint="default"/>
                <w:sz w:val="18"/>
                <w:szCs w:val="18"/>
              </w:rPr>
            </w:pPr>
            <w:r>
              <w:rPr>
                <w:rFonts w:ascii="宋体" w:hAnsi="宋体" w:cs="宋体" w:eastAsia="宋体" w:hint="default"/>
                <w:sz w:val="18"/>
                <w:szCs w:val="18"/>
              </w:rPr>
              <w:t>北京北辰实业股份有 限公司写字楼经营管 理分公司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应收押金及保证金 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1,639,519.20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16,395.19</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国网浙江浙电招标咨 询有限公司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应收押金及保证金 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0.84%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国信招标集团股份有 限公司内蒙古分公司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应收押金及保证金 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955,000.00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9,550.00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9,660,181.92</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96,601.82</w:t>
            </w:r>
          </w:p>
        </w:tc>
      </w:tr>
    </w:tbl>
    <w:p>
      <w:pPr>
        <w:pStyle w:val="BodyText"/>
        <w:spacing w:line="240" w:lineRule="auto" w:before="49"/>
        <w:ind w:right="1129"/>
        <w:jc w:val="left"/>
      </w:pPr>
      <w:r>
        <w:rPr>
          <w:rFonts w:ascii="Times New Roman" w:hAnsi="Times New Roman" w:cs="Times New Roman" w:eastAsia="Times New Roman" w:hint="default"/>
        </w:rPr>
        <w:t>6)</w:t>
      </w:r>
      <w:r>
        <w:rPr/>
        <w:t>涉及政府补助的应收款项</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4"/>
        <w:gridCol w:w="1865"/>
        <w:gridCol w:w="1867"/>
        <w:gridCol w:w="1867"/>
        <w:gridCol w:w="1944"/>
      </w:tblGrid>
      <w:tr>
        <w:trPr>
          <w:trHeight w:val="715" w:hRule="exact"/>
        </w:trPr>
        <w:tc>
          <w:tcPr>
            <w:tcW w:w="20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49"/>
        <w:ind w:right="1129"/>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1"/>
        <w:ind w:right="6644"/>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3"/>
        <w:rPr>
          <w:rFonts w:ascii="宋体" w:hAnsi="宋体" w:cs="宋体" w:eastAsia="宋体" w:hint="default"/>
          <w:sz w:val="21"/>
          <w:szCs w:val="21"/>
        </w:rPr>
      </w:pPr>
    </w:p>
    <w:p>
      <w:pPr>
        <w:pStyle w:val="Heading3"/>
        <w:spacing w:line="240" w:lineRule="auto"/>
        <w:ind w:right="1129"/>
        <w:jc w:val="left"/>
        <w:rPr>
          <w:b w:val="0"/>
          <w:bCs w:val="0"/>
        </w:rPr>
      </w:pPr>
      <w:bookmarkStart w:name="3、长期股权投资" w:id="496"/>
      <w:bookmarkEnd w:id="49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68"/>
        <w:gridCol w:w="1356"/>
        <w:gridCol w:w="1368"/>
        <w:gridCol w:w="1367"/>
        <w:gridCol w:w="1367"/>
        <w:gridCol w:w="1366"/>
        <w:gridCol w:w="135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4091"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0"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项目</w:t>
            </w:r>
          </w:p>
        </w:tc>
        <w:tc>
          <w:tcPr>
            <w:tcW w:w="4091" w:type="dxa"/>
            <w:gridSpan w:val="3"/>
            <w:vMerge/>
            <w:tcBorders>
              <w:left w:val="single" w:sz="4" w:space="0" w:color="000000"/>
              <w:bottom w:val="single" w:sz="4" w:space="0" w:color="000000"/>
              <w:right w:val="single" w:sz="4" w:space="0" w:color="000000"/>
            </w:tcBorders>
            <w:shd w:val="clear" w:color="auto" w:fill="D4D4D4"/>
          </w:tcPr>
          <w:p>
            <w:pPr/>
          </w:p>
        </w:tc>
        <w:tc>
          <w:tcPr>
            <w:tcW w:w="4090" w:type="dxa"/>
            <w:gridSpan w:val="3"/>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135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5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7" w:type="dxa"/>
            <w:vMerge/>
            <w:tcBorders>
              <w:left w:val="single" w:sz="4" w:space="0" w:color="000000"/>
              <w:bottom w:val="single" w:sz="4" w:space="0" w:color="000000"/>
              <w:right w:val="single" w:sz="4" w:space="0" w:color="000000"/>
            </w:tcBorders>
            <w:shd w:val="clear" w:color="auto" w:fill="D4D4D4"/>
          </w:tcPr>
          <w:p>
            <w:pPr/>
          </w:p>
        </w:tc>
        <w:tc>
          <w:tcPr>
            <w:tcW w:w="1367"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57"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5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142,867,958.71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142,867,958.71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153,435,342.50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153,435,342.50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140,914,487.65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140,914,487.65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57,771,242.60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57,771,242.60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283,782,446.36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283,782,446.36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211,206,585.10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211,206,585.10</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1）对子公司投资" w:id="497"/>
      <w:bookmarkEnd w:id="49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599"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北京朗新科技有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杭州朗新智能技 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朗新科技有限公 司（厄瓜多尔）</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153,142.50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153,142.50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新耀能源科技有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1,553,807.86</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8,453,807.86</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北京天正信华科 </w:t>
            </w:r>
            <w:r>
              <w:rPr>
                <w:rFonts w:ascii="宋体" w:hAnsi="宋体" w:cs="宋体" w:eastAsia="宋体" w:hint="default"/>
                <w:spacing w:val="-6"/>
                <w:sz w:val="18"/>
                <w:szCs w:val="18"/>
              </w:rPr>
              <w:t>技有限公司（附注</w:t>
            </w:r>
            <w:r>
              <w:rPr>
                <w:rFonts w:ascii="宋体" w:hAnsi="宋体" w:cs="宋体" w:eastAsia="宋体" w:hint="default"/>
                <w:sz w:val="18"/>
                <w:szCs w:val="18"/>
              </w:rPr>
              <w:t> 八</w:t>
            </w:r>
            <w:r>
              <w:rPr>
                <w:rFonts w:ascii="Times New Roman" w:hAnsi="Times New Roman" w:cs="Times New Roman" w:eastAsia="Times New Roman" w:hint="default"/>
                <w:sz w:val="18"/>
                <w:szCs w:val="18"/>
              </w:rPr>
              <w:t>(4))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20,822,100.00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20,822,100.00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朗新金关信息科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76,936.95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15,076,936.95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朗新云商科技有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963,528.45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3,513,528.45</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朗新数据科技有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2,248,240.97</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5,248,240.97</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朗新投资管理无 </w:t>
            </w:r>
            <w:r>
              <w:rPr>
                <w:rFonts w:ascii="宋体" w:hAnsi="宋体" w:cs="宋体" w:eastAsia="宋体" w:hint="default"/>
                <w:spacing w:val="-6"/>
                <w:sz w:val="18"/>
                <w:szCs w:val="18"/>
              </w:rPr>
              <w:t>锡有限公司（附注</w:t>
            </w:r>
            <w:r>
              <w:rPr>
                <w:rFonts w:ascii="宋体" w:hAnsi="宋体" w:cs="宋体" w:eastAsia="宋体" w:hint="default"/>
                <w:sz w:val="18"/>
                <w:szCs w:val="18"/>
              </w:rPr>
              <w:t> 九</w:t>
            </w:r>
            <w:r>
              <w:rPr>
                <w:rFonts w:ascii="Times New Roman" w:hAnsi="Times New Roman" w:cs="Times New Roman" w:eastAsia="Times New Roman" w:hint="default"/>
                <w:sz w:val="18"/>
                <w:szCs w:val="18"/>
              </w:rPr>
              <w:t>(1))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1,056,999.00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1,067,099.00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瀚云科技有限公 司（附注九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4,355,202.98</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4,355,202.98</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153,435,342.50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10,254,716.21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20,822,100.00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142,867,958.71</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2）对联营、合营企业投资" w:id="498"/>
      <w:bookmarkEnd w:id="49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5" w:hRule="exact"/>
        </w:trPr>
        <w:tc>
          <w:tcPr>
            <w:tcW w:w="796"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0"/>
              <w:ind w:left="33" w:right="35"/>
              <w:jc w:val="left"/>
              <w:rPr>
                <w:rFonts w:ascii="宋体" w:hAnsi="宋体" w:cs="宋体" w:eastAsia="宋体" w:hint="default"/>
                <w:sz w:val="18"/>
                <w:szCs w:val="18"/>
              </w:rPr>
            </w:pPr>
            <w:r>
              <w:rPr>
                <w:rFonts w:ascii="宋体" w:hAnsi="宋体" w:cs="宋体" w:eastAsia="宋体" w:hint="default"/>
                <w:sz w:val="18"/>
                <w:szCs w:val="18"/>
              </w:rPr>
              <w:t>权益法下 确认的投</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0"/>
              <w:ind w:left="33" w:right="31"/>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362"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邦道科技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57,771,24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50,407,11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1,884,472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110,062,8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31.29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无锡物联 网创新中 心有限公 司（附注 七</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视加慧联 科技有限 公司（附 注七 </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-648,343.</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851,656.3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10" w:space="0" w:color="D4D4D4"/>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57,771,24</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2.60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49,758,77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2.35</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1,884,472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140,914,4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87.65</w:t>
            </w:r>
          </w:p>
        </w:tc>
        <w:tc>
          <w:tcPr>
            <w:tcW w:w="797" w:type="dxa"/>
            <w:vMerge w:val="restart"/>
            <w:tcBorders>
              <w:top w:val="single" w:sz="4" w:space="0" w:color="000000"/>
              <w:left w:val="single" w:sz="4" w:space="0" w:color="000000"/>
              <w:right w:val="single" w:sz="4" w:space="0" w:color="000000"/>
            </w:tcBorders>
          </w:tcPr>
          <w:p>
            <w:pPr/>
          </w:p>
        </w:tc>
      </w:tr>
      <w:tr>
        <w:trPr>
          <w:trHeight w:val="391" w:hRule="exact"/>
        </w:trPr>
        <w:tc>
          <w:tcPr>
            <w:tcW w:w="7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4D4D4"/>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10" w:space="0" w:color="D4D4D4"/>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10" w:space="0" w:color="D4D4D4"/>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57,771,24</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2.60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49,758,77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2.35</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1,884,472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140,914,4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87.65</w:t>
            </w:r>
          </w:p>
        </w:tc>
        <w:tc>
          <w:tcPr>
            <w:tcW w:w="797" w:type="dxa"/>
            <w:vMerge w:val="restart"/>
            <w:tcBorders>
              <w:top w:val="single" w:sz="4" w:space="0" w:color="000000"/>
              <w:left w:val="single" w:sz="4" w:space="0" w:color="000000"/>
              <w:right w:val="single" w:sz="4" w:space="0" w:color="000000"/>
            </w:tcBorders>
          </w:tcPr>
          <w:p>
            <w:pPr/>
          </w:p>
        </w:tc>
      </w:tr>
      <w:tr>
        <w:trPr>
          <w:trHeight w:val="391" w:hRule="exact"/>
        </w:trPr>
        <w:tc>
          <w:tcPr>
            <w:tcW w:w="7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vMerge/>
            <w:tcBorders>
              <w:left w:val="single" w:sz="10" w:space="0" w:color="D4D4D4"/>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10" w:space="0" w:color="D4D4D4"/>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3）其他说明" w:id="499"/>
      <w:bookmarkEnd w:id="49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9"/>
        <w:jc w:val="left"/>
        <w:rPr>
          <w:b w:val="0"/>
          <w:bCs w:val="0"/>
        </w:rPr>
      </w:pPr>
      <w:bookmarkStart w:name="4、营业收入和营业成本" w:id="500"/>
      <w:bookmarkEnd w:id="50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5"/>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4D4D4"/>
          </w:tcPr>
          <w:p>
            <w:pPr/>
          </w:p>
        </w:tc>
        <w:tc>
          <w:tcPr>
            <w:tcW w:w="374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8"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984" w:type="dxa"/>
            <w:vMerge/>
            <w:tcBorders>
              <w:left w:val="single" w:sz="4" w:space="0" w:color="000000"/>
              <w:bottom w:val="nil" w:sz="6" w:space="0" w:color="auto"/>
              <w:right w:val="single" w:sz="4" w:space="0" w:color="000000"/>
            </w:tcBorders>
            <w:shd w:val="clear" w:color="auto" w:fill="D4D4D4"/>
          </w:tcPr>
          <w:p>
            <w:pPr/>
          </w:p>
        </w:tc>
        <w:tc>
          <w:tcPr>
            <w:tcW w:w="183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4D4D4"/>
          </w:tcPr>
          <w:p>
            <w:pPr/>
          </w:p>
        </w:tc>
        <w:tc>
          <w:tcPr>
            <w:tcW w:w="183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991,529,672.28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511,601,110.22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771,957,915.71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387,401,097.75</w:t>
            </w:r>
            <w:r>
              <w:rPr>
                <w:rFonts w:ascii="Times New Roman"/>
                <w:sz w:val="18"/>
              </w:rPr>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9,597,270.25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9,597,270.25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2,518,011.81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1,421,618.47</w:t>
            </w:r>
            <w:r>
              <w:rPr>
                <w:rFonts w:ascii="Times New Roman"/>
                <w:sz w:val="18"/>
              </w:rPr>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1,001,126,942.53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521,198,380.47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774,475,927.52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388,822,716.22</w:t>
            </w:r>
            <w:r>
              <w:rPr>
                <w:rFonts w:ascii="Times New Roman"/>
                <w:sz w:val="18"/>
              </w:rPr>
            </w:r>
          </w:p>
        </w:tc>
      </w:tr>
    </w:tbl>
    <w:p>
      <w:pPr>
        <w:pStyle w:val="BodyText"/>
        <w:spacing w:line="240" w:lineRule="auto" w:before="49"/>
        <w:ind w:right="112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9"/>
        <w:jc w:val="left"/>
        <w:rPr>
          <w:b w:val="0"/>
          <w:bCs w:val="0"/>
        </w:rPr>
      </w:pPr>
      <w:bookmarkStart w:name="5、投资收益" w:id="501"/>
      <w:bookmarkEnd w:id="50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49,758,772.35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36,134,422.97</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4D4D4"/>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505,028.34</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7,445,278.02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2,048,861.55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1" w:right="0"/>
              <w:jc w:val="left"/>
              <w:rPr>
                <w:rFonts w:ascii="Times New Roman" w:hAnsi="Times New Roman" w:cs="Times New Roman" w:eastAsia="Times New Roman" w:hint="default"/>
                <w:sz w:val="18"/>
                <w:szCs w:val="18"/>
              </w:rPr>
            </w:pPr>
            <w:r>
              <w:rPr>
                <w:rFonts w:ascii="Times New Roman"/>
                <w:sz w:val="18"/>
              </w:rPr>
              <w:t>57,204,050.37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38,688,312.86</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6、其他" w:id="502"/>
      <w:bookmarkEnd w:id="502"/>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129"/>
        <w:jc w:val="left"/>
        <w:rPr>
          <w:b w:val="0"/>
          <w:bCs w:val="0"/>
        </w:rPr>
      </w:pPr>
      <w:bookmarkStart w:name="十八、补充资料" w:id="503"/>
      <w:bookmarkEnd w:id="503"/>
      <w:r>
        <w:rPr>
          <w:b w:val="0"/>
          <w:bCs w:val="0"/>
        </w:rPr>
      </w: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9"/>
        <w:jc w:val="left"/>
        <w:rPr>
          <w:b w:val="0"/>
          <w:bCs w:val="0"/>
        </w:rPr>
      </w:pPr>
      <w:bookmarkStart w:name="1、当期非经常性损益明细表" w:id="504"/>
      <w:bookmarkEnd w:id="50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404"/>
              <w:jc w:val="right"/>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-38,405.49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18,860,400.00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8,309,451.72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-1,051,772.17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42"/>
              <w:jc w:val="right"/>
              <w:rPr>
                <w:rFonts w:ascii="宋体" w:hAnsi="宋体" w:cs="宋体" w:eastAsia="宋体" w:hint="default"/>
                <w:sz w:val="18"/>
                <w:szCs w:val="18"/>
              </w:rPr>
            </w:pPr>
            <w:r>
              <w:rPr>
                <w:rFonts w:ascii="Times New Roman" w:hAnsi="Times New Roman" w:cs="Times New Roman" w:eastAsia="Times New Roman" w:hint="default"/>
                <w:sz w:val="18"/>
                <w:szCs w:val="18"/>
              </w:rPr>
              <w:t>112.5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万元的捐赠支出</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2,506,558.35</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69,966.07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4D4D4"/>
              <w:bottom w:val="single" w:sz="4" w:space="0" w:color="000000"/>
              <w:right w:val="single" w:sz="10"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23,503,149.64</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2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44"/>
        <w:ind w:left="0" w:right="1138"/>
        <w:jc w:val="right"/>
      </w:pPr>
      <w:r>
        <w:rPr/>
        <w:pict>
          <v:shape style="position:absolute;margin-left:56.400002pt;margin-top:-181.328278pt;width:479.2pt;height:199.2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95"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651"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亏损合同</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181,162.34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本集团在日常经营业务过程中，会对可 能存在潜在损失的部分定制软件开发等 业务的合同亏损进行预计并计入营业外 </w:t>
                        </w:r>
                        <w:r>
                          <w:rPr>
                            <w:rFonts w:ascii="宋体" w:hAnsi="宋体" w:cs="宋体" w:eastAsia="宋体" w:hint="default"/>
                            <w:spacing w:val="-5"/>
                            <w:sz w:val="18"/>
                            <w:szCs w:val="18"/>
                          </w:rPr>
                          <w:t>支出的</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亏损合同</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项下，该等合同亏损项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目并未计入本集团的非经常性损益。</w:t>
                        </w:r>
                      </w:p>
                    </w:tc>
                  </w:tr>
                  <w:tr>
                    <w:trPr>
                      <w:trHeight w:val="192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税收返还</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6,764,101.02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根据财政部和国家税务总局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304"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日发出《关于软件产品增值税政策 </w:t>
                        </w:r>
                        <w:r>
                          <w:rPr>
                            <w:rFonts w:ascii="宋体" w:hAnsi="宋体" w:cs="宋体" w:eastAsia="宋体" w:hint="default"/>
                            <w:spacing w:val="-7"/>
                            <w:sz w:val="18"/>
                            <w:szCs w:val="18"/>
                          </w:rPr>
                          <w:t>的通知》（财税</w:t>
                        </w:r>
                        <w:r>
                          <w:rPr>
                            <w:rFonts w:ascii="Times New Roman" w:hAnsi="Times New Roman" w:cs="Times New Roman" w:eastAsia="Times New Roman" w:hint="default"/>
                            <w:spacing w:val="-7"/>
                            <w:sz w:val="18"/>
                            <w:szCs w:val="18"/>
                          </w:rPr>
                          <w:t>[2011]100</w:t>
                        </w:r>
                        <w:r>
                          <w:rPr>
                            <w:rFonts w:ascii="Times New Roman" w:hAnsi="Times New Roman" w:cs="Times New Roman" w:eastAsia="Times New Roman" w:hint="default"/>
                            <w:sz w:val="18"/>
                            <w:szCs w:val="18"/>
                          </w:rPr>
                          <w:t> </w:t>
                        </w:r>
                        <w:r>
                          <w:rPr>
                            <w:rFonts w:ascii="宋体" w:hAnsi="宋体" w:cs="宋体" w:eastAsia="宋体" w:hint="default"/>
                            <w:spacing w:val="-14"/>
                            <w:sz w:val="18"/>
                            <w:szCs w:val="18"/>
                          </w:rPr>
                          <w:t>号），本集团销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售的经认证的自行开发软件在获得主管 税务机关审批并按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税率（</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4"/>
                            <w:sz w:val="18"/>
                            <w:szCs w:val="18"/>
                          </w:rPr>
                          <w:t>日前，本集团适用于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销项税率</w:t>
                        </w:r>
                      </w:p>
                    </w:tc>
                  </w:tr>
                </w:tbl>
                <w:p>
                  <w:pPr/>
                </w:p>
              </w:txbxContent>
            </v:textbox>
            <w10:wrap type="none"/>
          </v:shape>
        </w:pict>
      </w:r>
      <w:r>
        <w:rPr/>
        <w:t>）</w:t>
      </w:r>
    </w:p>
    <w:p>
      <w:pPr>
        <w:spacing w:after="0" w:line="240" w:lineRule="auto"/>
        <w:jc w:val="right"/>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315" w:hRule="exact"/>
        </w:trPr>
        <w:tc>
          <w:tcPr>
            <w:tcW w:w="3324" w:type="dxa"/>
            <w:vMerge w:val="restart"/>
            <w:tcBorders>
              <w:top w:val="single" w:sz="4" w:space="0" w:color="000000"/>
              <w:left w:val="single" w:sz="4" w:space="0" w:color="000000"/>
              <w:right w:val="single" w:sz="4" w:space="0" w:color="000000"/>
            </w:tcBorders>
          </w:tcPr>
          <w:p>
            <w:pPr/>
          </w:p>
        </w:tc>
        <w:tc>
          <w:tcPr>
            <w:tcW w:w="3060" w:type="dxa"/>
            <w:vMerge w:val="restart"/>
            <w:tcBorders>
              <w:top w:val="single" w:sz="4" w:space="0" w:color="000000"/>
              <w:left w:val="single" w:sz="4" w:space="0" w:color="000000"/>
              <w:right w:val="single" w:sz="4" w:space="0" w:color="000000"/>
            </w:tcBorders>
          </w:tcPr>
          <w:p>
            <w:pPr/>
          </w:p>
        </w:tc>
        <w:tc>
          <w:tcPr>
            <w:tcW w:w="31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征收增值税后，对增值税实际税负超过</w:t>
            </w:r>
          </w:p>
        </w:tc>
      </w:tr>
      <w:tr>
        <w:trPr>
          <w:trHeight w:val="317" w:hRule="exact"/>
        </w:trPr>
        <w:tc>
          <w:tcPr>
            <w:tcW w:w="3324" w:type="dxa"/>
            <w:vMerge/>
            <w:tcBorders>
              <w:left w:val="single" w:sz="4" w:space="0" w:color="000000"/>
              <w:right w:val="single" w:sz="4" w:space="0" w:color="000000"/>
            </w:tcBorders>
          </w:tcPr>
          <w:p>
            <w:pPr/>
          </w:p>
        </w:tc>
        <w:tc>
          <w:tcPr>
            <w:tcW w:w="3060" w:type="dxa"/>
            <w:vMerge/>
            <w:tcBorders>
              <w:left w:val="single" w:sz="4" w:space="0" w:color="000000"/>
              <w:right w:val="single" w:sz="4" w:space="0" w:color="000000"/>
            </w:tcBorders>
          </w:tcPr>
          <w:p>
            <w:pPr/>
          </w:p>
        </w:tc>
        <w:tc>
          <w:tcPr>
            <w:tcW w:w="31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的部分实行即征即退政策。前述即征</w:t>
            </w:r>
          </w:p>
        </w:tc>
      </w:tr>
      <w:tr>
        <w:trPr>
          <w:trHeight w:val="307" w:hRule="exact"/>
        </w:trPr>
        <w:tc>
          <w:tcPr>
            <w:tcW w:w="3324" w:type="dxa"/>
            <w:vMerge/>
            <w:tcBorders>
              <w:left w:val="single" w:sz="4" w:space="0" w:color="000000"/>
              <w:right w:val="single" w:sz="4" w:space="0" w:color="000000"/>
            </w:tcBorders>
          </w:tcPr>
          <w:p>
            <w:pPr/>
          </w:p>
        </w:tc>
        <w:tc>
          <w:tcPr>
            <w:tcW w:w="3060" w:type="dxa"/>
            <w:vMerge/>
            <w:tcBorders>
              <w:left w:val="single" w:sz="4" w:space="0" w:color="000000"/>
              <w:right w:val="single" w:sz="4" w:space="0" w:color="000000"/>
            </w:tcBorders>
          </w:tcPr>
          <w:p>
            <w:pPr/>
          </w:p>
        </w:tc>
        <w:tc>
          <w:tcPr>
            <w:tcW w:w="31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即退的增值税退税被计入本集团的其他</w:t>
            </w:r>
          </w:p>
        </w:tc>
      </w:tr>
      <w:tr>
        <w:trPr>
          <w:trHeight w:val="312" w:hRule="exact"/>
        </w:trPr>
        <w:tc>
          <w:tcPr>
            <w:tcW w:w="3324" w:type="dxa"/>
            <w:vMerge/>
            <w:tcBorders>
              <w:left w:val="single" w:sz="4" w:space="0" w:color="000000"/>
              <w:right w:val="single" w:sz="4" w:space="0" w:color="000000"/>
            </w:tcBorders>
          </w:tcPr>
          <w:p>
            <w:pPr/>
          </w:p>
        </w:tc>
        <w:tc>
          <w:tcPr>
            <w:tcW w:w="3060" w:type="dxa"/>
            <w:vMerge/>
            <w:tcBorders>
              <w:left w:val="single" w:sz="4" w:space="0" w:color="000000"/>
              <w:right w:val="single" w:sz="4" w:space="0" w:color="000000"/>
            </w:tcBorders>
          </w:tcPr>
          <w:p>
            <w:pPr/>
          </w:p>
        </w:tc>
        <w:tc>
          <w:tcPr>
            <w:tcW w:w="31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收益，本集团认为该等增值税退税属于</w:t>
            </w:r>
          </w:p>
        </w:tc>
      </w:tr>
      <w:tr>
        <w:trPr>
          <w:trHeight w:val="312" w:hRule="exact"/>
        </w:trPr>
        <w:tc>
          <w:tcPr>
            <w:tcW w:w="3324" w:type="dxa"/>
            <w:vMerge/>
            <w:tcBorders>
              <w:left w:val="single" w:sz="4" w:space="0" w:color="000000"/>
              <w:right w:val="single" w:sz="4" w:space="0" w:color="000000"/>
            </w:tcBorders>
          </w:tcPr>
          <w:p>
            <w:pPr/>
          </w:p>
        </w:tc>
        <w:tc>
          <w:tcPr>
            <w:tcW w:w="3060" w:type="dxa"/>
            <w:vMerge/>
            <w:tcBorders>
              <w:left w:val="single" w:sz="4" w:space="0" w:color="000000"/>
              <w:right w:val="single" w:sz="4" w:space="0" w:color="000000"/>
            </w:tcBorders>
          </w:tcPr>
          <w:p>
            <w:pPr/>
          </w:p>
        </w:tc>
        <w:tc>
          <w:tcPr>
            <w:tcW w:w="31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与本集团正常主营的软件开发业务密切</w:t>
            </w:r>
          </w:p>
        </w:tc>
      </w:tr>
      <w:tr>
        <w:trPr>
          <w:trHeight w:val="312" w:hRule="exact"/>
        </w:trPr>
        <w:tc>
          <w:tcPr>
            <w:tcW w:w="3324" w:type="dxa"/>
            <w:vMerge/>
            <w:tcBorders>
              <w:left w:val="single" w:sz="4" w:space="0" w:color="000000"/>
              <w:right w:val="single" w:sz="4" w:space="0" w:color="000000"/>
            </w:tcBorders>
          </w:tcPr>
          <w:p>
            <w:pPr/>
          </w:p>
        </w:tc>
        <w:tc>
          <w:tcPr>
            <w:tcW w:w="3060" w:type="dxa"/>
            <w:vMerge/>
            <w:tcBorders>
              <w:left w:val="single" w:sz="4" w:space="0" w:color="000000"/>
              <w:right w:val="single" w:sz="4" w:space="0" w:color="000000"/>
            </w:tcBorders>
          </w:tcPr>
          <w:p>
            <w:pPr/>
          </w:p>
        </w:tc>
        <w:tc>
          <w:tcPr>
            <w:tcW w:w="31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相关，并符合国家政策规定、按照一定</w:t>
            </w:r>
          </w:p>
        </w:tc>
      </w:tr>
      <w:tr>
        <w:trPr>
          <w:trHeight w:val="312" w:hRule="exact"/>
        </w:trPr>
        <w:tc>
          <w:tcPr>
            <w:tcW w:w="3324" w:type="dxa"/>
            <w:vMerge/>
            <w:tcBorders>
              <w:left w:val="single" w:sz="4" w:space="0" w:color="000000"/>
              <w:right w:val="single" w:sz="4" w:space="0" w:color="000000"/>
            </w:tcBorders>
          </w:tcPr>
          <w:p>
            <w:pPr/>
          </w:p>
        </w:tc>
        <w:tc>
          <w:tcPr>
            <w:tcW w:w="3060" w:type="dxa"/>
            <w:vMerge/>
            <w:tcBorders>
              <w:left w:val="single" w:sz="4" w:space="0" w:color="000000"/>
              <w:right w:val="single" w:sz="4" w:space="0" w:color="000000"/>
            </w:tcBorders>
          </w:tcPr>
          <w:p>
            <w:pPr/>
          </w:p>
        </w:tc>
        <w:tc>
          <w:tcPr>
            <w:tcW w:w="31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标准定额或定量享受的政府补助，故未</w:t>
            </w:r>
          </w:p>
        </w:tc>
      </w:tr>
      <w:tr>
        <w:trPr>
          <w:trHeight w:val="360" w:hRule="exact"/>
        </w:trPr>
        <w:tc>
          <w:tcPr>
            <w:tcW w:w="3324" w:type="dxa"/>
            <w:vMerge/>
            <w:tcBorders>
              <w:left w:val="single" w:sz="4" w:space="0" w:color="000000"/>
              <w:bottom w:val="single" w:sz="4" w:space="0" w:color="000000"/>
              <w:right w:val="single" w:sz="4" w:space="0" w:color="000000"/>
            </w:tcBorders>
          </w:tcPr>
          <w:p>
            <w:pPr/>
          </w:p>
        </w:tc>
        <w:tc>
          <w:tcPr>
            <w:tcW w:w="3060" w:type="dxa"/>
            <w:vMerge/>
            <w:tcBorders>
              <w:left w:val="single" w:sz="4" w:space="0" w:color="000000"/>
              <w:bottom w:val="single" w:sz="4" w:space="0" w:color="000000"/>
              <w:right w:val="single" w:sz="4" w:space="0" w:color="000000"/>
            </w:tcBorders>
          </w:tcPr>
          <w:p>
            <w:pPr/>
          </w:p>
        </w:tc>
        <w:tc>
          <w:tcPr>
            <w:tcW w:w="31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计入本集团非经常性损益。</w:t>
            </w:r>
          </w:p>
        </w:tc>
      </w:tr>
    </w:tbl>
    <w:p>
      <w:pPr>
        <w:spacing w:line="240" w:lineRule="auto" w:before="3"/>
        <w:rPr>
          <w:rFonts w:ascii="宋体" w:hAnsi="宋体" w:cs="宋体" w:eastAsia="宋体" w:hint="default"/>
          <w:sz w:val="19"/>
          <w:szCs w:val="19"/>
        </w:rPr>
      </w:pPr>
    </w:p>
    <w:p>
      <w:pPr>
        <w:pStyle w:val="Heading3"/>
        <w:spacing w:line="240" w:lineRule="auto" w:before="36"/>
        <w:ind w:right="1129"/>
        <w:jc w:val="left"/>
        <w:rPr>
          <w:b w:val="0"/>
          <w:bCs w:val="0"/>
        </w:rPr>
      </w:pPr>
      <w:bookmarkStart w:name="2、净资产收益率及每股收益" w:id="505"/>
      <w:bookmarkEnd w:id="50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2"/>
        <w:gridCol w:w="1913"/>
        <w:gridCol w:w="1913"/>
      </w:tblGrid>
      <w:tr>
        <w:trPr>
          <w:trHeight w:val="204" w:hRule="exact"/>
        </w:trPr>
        <w:tc>
          <w:tcPr>
            <w:tcW w:w="2650" w:type="dxa"/>
            <w:tcBorders>
              <w:top w:val="single" w:sz="4" w:space="0" w:color="000000"/>
              <w:left w:val="single" w:sz="4" w:space="0" w:color="000000"/>
              <w:bottom w:val="nil" w:sz="6" w:space="0" w:color="auto"/>
              <w:right w:val="single" w:sz="4" w:space="0" w:color="000000"/>
            </w:tcBorders>
            <w:shd w:val="clear" w:color="auto" w:fill="D4D4D4"/>
          </w:tcPr>
          <w:p>
            <w:pPr/>
          </w:p>
        </w:tc>
        <w:tc>
          <w:tcPr>
            <w:tcW w:w="3082" w:type="dxa"/>
            <w:tcBorders>
              <w:top w:val="single" w:sz="4" w:space="0" w:color="000000"/>
              <w:left w:val="single" w:sz="4" w:space="0" w:color="000000"/>
              <w:bottom w:val="nil" w:sz="6" w:space="0" w:color="auto"/>
              <w:right w:val="single" w:sz="4" w:space="0" w:color="000000"/>
            </w:tcBorders>
            <w:shd w:val="clear" w:color="auto" w:fill="D4D4D4"/>
          </w:tcPr>
          <w:p>
            <w:pPr/>
          </w:p>
        </w:tc>
        <w:tc>
          <w:tcPr>
            <w:tcW w:w="38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4D4D4"/>
          </w:tcPr>
          <w:p>
            <w:pPr/>
          </w:p>
        </w:tc>
        <w:tc>
          <w:tcPr>
            <w:tcW w:w="3082" w:type="dxa"/>
            <w:vMerge/>
            <w:tcBorders>
              <w:left w:val="single" w:sz="4" w:space="0" w:color="000000"/>
              <w:bottom w:val="nil" w:sz="6" w:space="0" w:color="auto"/>
              <w:right w:val="single" w:sz="4" w:space="0" w:color="000000"/>
            </w:tcBorders>
            <w:shd w:val="clear" w:color="auto" w:fill="D4D4D4"/>
          </w:tcPr>
          <w:p>
            <w:pP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4D4D4"/>
          </w:tcPr>
          <w:p>
            <w:pPr/>
          </w:p>
        </w:tc>
        <w:tc>
          <w:tcPr>
            <w:tcW w:w="308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0.3295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0.3290</w:t>
            </w:r>
            <w:r>
              <w:rPr>
                <w:rFonts w:ascii="Times New Roman"/>
                <w:sz w:val="18"/>
              </w:rPr>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0.2715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0.2712</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before="36"/>
        <w:ind w:right="1129"/>
        <w:jc w:val="left"/>
        <w:rPr>
          <w:b w:val="0"/>
          <w:bCs w:val="0"/>
        </w:rPr>
      </w:pPr>
      <w:bookmarkStart w:name="3、境内外会计准则下会计数据差异" w:id="506"/>
      <w:bookmarkEnd w:id="50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9"/>
        <w:jc w:val="left"/>
        <w:rPr>
          <w:b w:val="0"/>
          <w:bCs w:val="0"/>
        </w:rPr>
      </w:pPr>
      <w:bookmarkStart w:name="（1）同时按照国际会计准则与按中国会计准则披露的财务报告中净利润和净资产差异情况" w:id="507"/>
      <w:bookmarkEnd w:id="50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9"/>
        <w:jc w:val="left"/>
        <w:rPr>
          <w:b w:val="0"/>
          <w:bCs w:val="0"/>
        </w:rPr>
      </w:pPr>
      <w:bookmarkStart w:name="（2）同时按照境外会计准则与按中国会计准则披露的财务报告中净利润和净资产差异情况" w:id="508"/>
      <w:bookmarkEnd w:id="50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59" w:lineRule="auto"/>
        <w:ind w:right="1129"/>
        <w:jc w:val="left"/>
        <w:rPr>
          <w:b w:val="0"/>
          <w:bCs w:val="0"/>
        </w:rPr>
      </w:pPr>
      <w:bookmarkStart w:name="（3）境内外会计准则下会计数据差异原因说明，对已经境外审计机构审计的数据进行差异" w:id="509"/>
      <w:bookmarkEnd w:id="50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1129"/>
        <w:jc w:val="left"/>
        <w:rPr>
          <w:b w:val="0"/>
          <w:bCs w:val="0"/>
        </w:rPr>
      </w:pPr>
      <w:bookmarkStart w:name="4、其他" w:id="510"/>
      <w:bookmarkEnd w:id="510"/>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2" w:top="1060" w:bottom="118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4" w:right="1129"/>
        <w:jc w:val="left"/>
        <w:rPr>
          <w:b w:val="0"/>
          <w:bCs w:val="0"/>
        </w:rPr>
      </w:pPr>
      <w:bookmarkStart w:name="第十二节 备查文件目录" w:id="511"/>
      <w:bookmarkEnd w:id="511"/>
      <w:r>
        <w:rPr>
          <w:b w:val="0"/>
          <w:bCs w:val="0"/>
        </w:rPr>
      </w:r>
      <w:bookmarkStart w:name="_bookmark10" w:id="512"/>
      <w:bookmarkEnd w:id="512"/>
      <w:r>
        <w:rPr>
          <w:b w:val="0"/>
          <w:bCs w:val="0"/>
        </w:rPr>
      </w:r>
      <w:r>
        <w:rPr/>
        <w:t>第十二节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57" w:lineRule="auto"/>
        <w:ind w:right="2654"/>
        <w:jc w:val="left"/>
      </w:pPr>
      <w:r>
        <w:rPr/>
        <w:t>一、载有公司法定代表人、主管会计工作的公司负责人、公司会计机构负责人签名并盖章的财务报表。 二、载有会计师事务所签章、注册会计师签名并盖章的审计报告原件。 三、报告期内在中国证监会指定网站上公开披露过的所有公司文件的正本及公告的原稿。 四、以上备查文件的备置地点：公司证券投资部、深圳交易所。</w:t>
      </w:r>
    </w:p>
    <w:sectPr>
      <w:pgSz w:w="11910" w:h="16840"/>
      <w:pgMar w:header="745" w:footer="982" w:top="1060" w:bottom="11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7616" type="#_x0000_t75" stroked="false">
          <v:imagedata r:id="rId1" o:title=""/>
        </v:shape>
      </w:pict>
    </w:r>
    <w:r>
      <w:rPr/>
      <w:pict>
        <v:shape style="position:absolute;margin-left:533pt;margin-top:795.517944pt;width:6.5pt;height:11pt;mso-position-horizontal-relative:page;mso-position-vertical-relative:page;z-index:-11075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7568" type="#_x0000_t75" stroked="false">
          <v:imagedata r:id="rId1" o:title=""/>
        </v:shape>
      </w:pict>
    </w:r>
    <w:r>
      <w:rPr/>
      <w:pict>
        <v:shape style="position:absolute;margin-left:527.559998pt;margin-top:781.837891pt;width:13.15pt;height:11pt;mso-position-horizontal-relative:page;mso-position-vertical-relative:page;z-index:-11075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7520" type="#_x0000_t75" stroked="false">
          <v:imagedata r:id="rId1" o:title=""/>
        </v:shape>
      </w:pict>
    </w:r>
    <w:r>
      <w:rPr/>
      <w:pict>
        <v:shape style="position:absolute;margin-left:524pt;margin-top:781.837891pt;width:15.7pt;height:11pt;mso-position-horizontal-relative:page;mso-position-vertical-relative:page;z-index:-11074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7472" type="#_x0000_t75" stroked="false">
          <v:imagedata r:id="rId1" o:title=""/>
        </v:shape>
      </w:pict>
    </w:r>
    <w:r>
      <w:rPr/>
      <w:pict>
        <v:shape style="position:absolute;margin-left:523pt;margin-top:781.837891pt;width:17.7pt;height:11pt;mso-position-horizontal-relative:page;mso-position-vertical-relative:page;z-index:-11074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7424" type="#_x0000_t75" stroked="false">
          <v:imagedata r:id="rId1" o:title=""/>
        </v:shape>
      </w:pict>
    </w:r>
    <w:r>
      <w:rPr/>
      <w:pict>
        <v:shape style="position:absolute;margin-left:523.359985pt;margin-top:781.837891pt;width:17.3pt;height:11pt;mso-position-horizontal-relative:page;mso-position-vertical-relative:page;z-index:-11074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7376" type="#_x0000_t75" stroked="false">
          <v:imagedata r:id="rId1" o:title=""/>
        </v:shape>
      </w:pict>
    </w:r>
    <w:r>
      <w:rPr/>
      <w:pict>
        <v:shape style="position:absolute;margin-left:523pt;margin-top:781.837891pt;width:17.7pt;height:11pt;mso-position-horizontal-relative:page;mso-position-vertical-relative:page;z-index:-11073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7328" type="#_x0000_t75" stroked="false">
          <v:imagedata r:id="rId1" o:title=""/>
        </v:shape>
      </w:pict>
    </w:r>
    <w:r>
      <w:rPr/>
      <w:pict>
        <v:shape style="position:absolute;margin-left:55.639999pt;margin-top:759.118591pt;width:483.8pt;height:10.5pt;mso-position-horizontal-relative:page;mso-position-vertical-relative:page;z-index:-1107304" type="#_x0000_t202" filled="false" stroked="false">
          <v:textbox inset="0,0,0,0">
            <w:txbxContent>
              <w:p>
                <w:pPr>
                  <w:spacing w:line="193" w:lineRule="exact" w:before="0"/>
                  <w:ind w:left="20" w:right="0" w:firstLine="0"/>
                  <w:jc w:val="left"/>
                  <w:rPr>
                    <w:rFonts w:ascii="宋体" w:hAnsi="宋体" w:cs="宋体" w:eastAsia="宋体" w:hint="default"/>
                    <w:sz w:val="16"/>
                    <w:szCs w:val="16"/>
                  </w:rPr>
                </w:pPr>
                <w:r>
                  <w:rPr>
                    <w:rFonts w:ascii="宋体" w:hAnsi="宋体" w:cs="宋体" w:eastAsia="宋体" w:hint="default"/>
                    <w:spacing w:val="-2"/>
                    <w:sz w:val="16"/>
                    <w:szCs w:val="16"/>
                  </w:rPr>
                  <w:t>经评估机构北京卓信大华资产评估有限公司评估，易视腾科技</w:t>
                </w:r>
                <w:r>
                  <w:rPr>
                    <w:rFonts w:ascii="Times New Roman" w:hAnsi="Times New Roman" w:cs="Times New Roman" w:eastAsia="Times New Roman" w:hint="default"/>
                    <w:spacing w:val="-2"/>
                    <w:sz w:val="16"/>
                    <w:szCs w:val="16"/>
                  </w:rPr>
                  <w:t>100%</w:t>
                </w:r>
                <w:r>
                  <w:rPr>
                    <w:rFonts w:ascii="宋体" w:hAnsi="宋体" w:cs="宋体" w:eastAsia="宋体" w:hint="default"/>
                    <w:spacing w:val="-2"/>
                    <w:sz w:val="16"/>
                    <w:szCs w:val="16"/>
                  </w:rPr>
                  <w:t>股份于</w:t>
                </w:r>
                <w:r>
                  <w:rPr>
                    <w:rFonts w:ascii="Times New Roman" w:hAnsi="Times New Roman" w:cs="Times New Roman" w:eastAsia="Times New Roman" w:hint="default"/>
                    <w:spacing w:val="-2"/>
                    <w:sz w:val="16"/>
                    <w:szCs w:val="16"/>
                  </w:rPr>
                  <w:t>2018</w:t>
                </w:r>
                <w:r>
                  <w:rPr>
                    <w:rFonts w:ascii="宋体" w:hAnsi="宋体" w:cs="宋体" w:eastAsia="宋体" w:hint="default"/>
                    <w:spacing w:val="-2"/>
                    <w:sz w:val="16"/>
                    <w:szCs w:val="16"/>
                  </w:rPr>
                  <w:t>年</w:t>
                </w:r>
                <w:r>
                  <w:rPr>
                    <w:rFonts w:ascii="Times New Roman" w:hAnsi="Times New Roman" w:cs="Times New Roman" w:eastAsia="Times New Roman" w:hint="default"/>
                    <w:spacing w:val="-2"/>
                    <w:sz w:val="16"/>
                    <w:szCs w:val="16"/>
                  </w:rPr>
                  <w:t>9</w:t>
                </w:r>
                <w:r>
                  <w:rPr>
                    <w:rFonts w:ascii="宋体" w:hAnsi="宋体" w:cs="宋体" w:eastAsia="宋体" w:hint="default"/>
                    <w:spacing w:val="-2"/>
                    <w:sz w:val="16"/>
                    <w:szCs w:val="16"/>
                  </w:rPr>
                  <w:t>月</w:t>
                </w:r>
                <w:r>
                  <w:rPr>
                    <w:rFonts w:ascii="Times New Roman" w:hAnsi="Times New Roman" w:cs="Times New Roman" w:eastAsia="Times New Roman" w:hint="default"/>
                    <w:spacing w:val="-2"/>
                    <w:sz w:val="16"/>
                    <w:szCs w:val="16"/>
                  </w:rPr>
                  <w:t>30</w:t>
                </w:r>
                <w:r>
                  <w:rPr>
                    <w:rFonts w:ascii="宋体" w:hAnsi="宋体" w:cs="宋体" w:eastAsia="宋体" w:hint="default"/>
                    <w:spacing w:val="-2"/>
                    <w:sz w:val="16"/>
                    <w:szCs w:val="16"/>
                  </w:rPr>
                  <w:t>日的评估值为人民币</w:t>
                </w:r>
                <w:r>
                  <w:rPr>
                    <w:rFonts w:ascii="Times New Roman" w:hAnsi="Times New Roman" w:cs="Times New Roman" w:eastAsia="Times New Roman" w:hint="default"/>
                    <w:spacing w:val="-2"/>
                    <w:sz w:val="16"/>
                    <w:szCs w:val="16"/>
                  </w:rPr>
                  <w:t>30.76</w:t>
                </w:r>
                <w:r>
                  <w:rPr>
                    <w:rFonts w:ascii="宋体" w:hAnsi="宋体" w:cs="宋体" w:eastAsia="宋体" w:hint="default"/>
                    <w:spacing w:val="-2"/>
                    <w:sz w:val="16"/>
                    <w:szCs w:val="16"/>
                  </w:rPr>
                  <w:t>亿元，邦道科技</w:t>
                </w:r>
                <w:r>
                  <w:rPr>
                    <w:rFonts w:ascii="Times New Roman" w:hAnsi="Times New Roman" w:cs="Times New Roman" w:eastAsia="Times New Roman" w:hint="default"/>
                    <w:spacing w:val="-2"/>
                    <w:sz w:val="16"/>
                    <w:szCs w:val="16"/>
                  </w:rPr>
                  <w:t>100%</w:t>
                </w:r>
                <w:r>
                  <w:rPr>
                    <w:rFonts w:ascii="宋体" w:hAnsi="宋体" w:cs="宋体" w:eastAsia="宋体" w:hint="default"/>
                    <w:spacing w:val="-2"/>
                    <w:sz w:val="16"/>
                    <w:szCs w:val="16"/>
                  </w:rPr>
                  <w:t>股东</w:t>
                </w:r>
                <w:r>
                  <w:rPr>
                    <w:rFonts w:ascii="宋体" w:hAnsi="宋体" w:cs="宋体" w:eastAsia="宋体" w:hint="default"/>
                    <w:sz w:val="16"/>
                    <w:szCs w:val="16"/>
                  </w:rPr>
                </w:r>
              </w:p>
            </w:txbxContent>
          </v:textbox>
          <w10:wrap type="none"/>
        </v:shape>
      </w:pict>
    </w:r>
    <w:r>
      <w:rPr/>
      <w:pict>
        <v:shape style="position:absolute;margin-left:523pt;margin-top:781.837891pt;width:17.7pt;height:11pt;mso-position-horizontal-relative:page;mso-position-vertical-relative:page;z-index:-11072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176</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7256" type="#_x0000_t75" stroked="false">
          <v:imagedata r:id="rId1" o:title=""/>
        </v:shape>
      </w:pict>
    </w:r>
    <w:r>
      <w:rPr/>
      <w:pict>
        <v:shape style="position:absolute;margin-left:523pt;margin-top:781.837891pt;width:17.7pt;height:11pt;mso-position-horizontal-relative:page;mso-position-vertical-relative:page;z-index:-1107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177</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pt;margin-top:36.265610pt;width:177.6pt;height:11.5pt;mso-position-horizontal-relative:page;mso-position-vertical-relative:page;z-index:-1107640" type="#_x0000_t202" filled="false" stroked="false">
          <v:textbox inset="0,0,0,0">
            <w:txbxContent>
              <w:p>
                <w:pPr>
                  <w:pStyle w:val="BodyText"/>
                  <w:spacing w:line="214" w:lineRule="exact"/>
                  <w:ind w:left="20" w:right="0"/>
                  <w:jc w:val="left"/>
                </w:pPr>
                <w:r>
                  <w:rPr/>
                  <w:t>朗新科技股份有限公司</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16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44"/>
      <w:ind w:left="152"/>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longshine.com/" TargetMode="External"/><Relationship Id="rId10" Type="http://schemas.openxmlformats.org/officeDocument/2006/relationships/hyperlink" Target="mailto:ir@longshine.com" TargetMode="External"/><Relationship Id="rId11" Type="http://schemas.openxmlformats.org/officeDocument/2006/relationships/hyperlink" Target="http://www.cninfo.com.cn/" TargetMode="External"/><Relationship Id="rId12" Type="http://schemas.openxmlformats.org/officeDocument/2006/relationships/hyperlink" Target="https://bg.qianzhan.com/report/detail/1608181725452101.html" TargetMode="External"/><Relationship Id="rId13" Type="http://schemas.openxmlformats.org/officeDocument/2006/relationships/hyperlink" Target="http://w/" TargetMode="External"/><Relationship Id="rId14" Type="http://schemas.openxmlformats.org/officeDocument/2006/relationships/image" Target="media/image3.png"/><Relationship Id="rId15" Type="http://schemas.openxmlformats.org/officeDocument/2006/relationships/hyperlink" Target="http://www.cninfo.com/" TargetMode="External"/><Relationship Id="rId16" Type="http://schemas.openxmlformats.org/officeDocument/2006/relationships/hyperlink" Target="http://www.cninfo.com.cn/cninfo-new/index" TargetMode="Externa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朗新科技股份有限公司</dc:creator>
  <dc:title>朗新科技股份有限公司2018年年度报告全文</dc:title>
  <dcterms:created xsi:type="dcterms:W3CDTF">2020-05-04T21:23:13Z</dcterms:created>
  <dcterms:modified xsi:type="dcterms:W3CDTF">2020-05-04T21:23:13Z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2019-03-29T00:00:00Z</vt:filetime>
  </property>
  <property fmtid="{D5CDD505-2E9C-101B-9397-08002B2CF9AE}" pid="3" name="Creator">
    <vt:lpwstr>Acrobat PDFMaker 15 Word 版</vt:lpwstr>
  </property>
  <property fmtid="{D5CDD505-2E9C-101B-9397-08002B2CF9AE}" pid="4" name="LastSaved">
    <vt:filetime>2020-05-04T00:00:00Z</vt:filetime>
  </property>
</Properties>
</file>