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575001pt;margin-top:49.174999pt;width:485.85pt;height:.1pt;mso-position-horizontal-relative:page;mso-position-vertical-relative:page;z-index:0" coordorigin="1112,983" coordsize="9717,2">
            <v:shape style="position:absolute;left:1112;top:983;width:9717;height:2" coordorigin="1112,983" coordsize="9717,0" path="m1112,983l10829,983e" filled="false" stroked="true" strokeweight=".75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spacing w:line="675" w:lineRule="exact"/>
        <w:ind w:left="384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1409700" cy="4286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700" cy="428625"/>
                    </a:xfrm>
                    <a:prstGeom prst="rect">
                      <a:avLst/>
                    </a:prstGeom>
                  </pic:spPr>
                </pic:pic>
              </a:graphicData>
            </a:graphic>
          </wp:inline>
        </w:drawing>
      </w:r>
      <w:r>
        <w:rPr>
          <w:rFonts w:ascii="Times New Roman" w:hAnsi="Times New Roman" w:cs="Times New Roman" w:eastAsia="Times New Roman" w:hint="default"/>
          <w:position w:val="-13"/>
          <w:sz w:val="20"/>
          <w:szCs w:val="20"/>
        </w:rPr>
      </w:r>
    </w:p>
    <w:p>
      <w:pPr>
        <w:spacing w:line="240" w:lineRule="auto" w:before="11"/>
        <w:rPr>
          <w:rFonts w:ascii="Times New Roman" w:hAnsi="Times New Roman" w:cs="Times New Roman" w:eastAsia="Times New Roman" w:hint="default"/>
          <w:sz w:val="12"/>
          <w:szCs w:val="12"/>
        </w:rPr>
      </w:pPr>
    </w:p>
    <w:p>
      <w:pPr>
        <w:spacing w:line="460" w:lineRule="exact" w:before="0"/>
        <w:ind w:left="2782" w:right="3750" w:firstLine="0"/>
        <w:jc w:val="center"/>
        <w:rPr>
          <w:rFonts w:ascii="宋体" w:hAnsi="宋体" w:cs="宋体" w:eastAsia="宋体" w:hint="default"/>
          <w:sz w:val="36"/>
          <w:szCs w:val="36"/>
        </w:rPr>
      </w:pPr>
      <w:r>
        <w:rPr>
          <w:rFonts w:ascii="宋体" w:hAnsi="宋体" w:cs="宋体" w:eastAsia="宋体" w:hint="default"/>
          <w:b/>
          <w:bCs/>
          <w:sz w:val="36"/>
          <w:szCs w:val="36"/>
        </w:rPr>
        <w:t>朗新科技集团股份有限公司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2"/>
          <w:szCs w:val="32"/>
        </w:rPr>
      </w:pPr>
    </w:p>
    <w:p>
      <w:pPr>
        <w:spacing w:before="0"/>
        <w:ind w:left="2782" w:right="3749" w:firstLine="0"/>
        <w:jc w:val="center"/>
        <w:rPr>
          <w:rFonts w:ascii="宋体" w:hAnsi="宋体" w:cs="宋体" w:eastAsia="宋体" w:hint="default"/>
          <w:sz w:val="31"/>
          <w:szCs w:val="31"/>
        </w:rPr>
      </w:pPr>
      <w:r>
        <w:rPr>
          <w:rFonts w:ascii="Times New Roman" w:hAnsi="Times New Roman" w:cs="Times New Roman" w:eastAsia="Times New Roman" w:hint="default"/>
          <w:b/>
          <w:bCs/>
          <w:spacing w:val="4"/>
          <w:sz w:val="31"/>
          <w:szCs w:val="31"/>
        </w:rPr>
        <w:t>2019</w:t>
      </w:r>
      <w:r>
        <w:rPr>
          <w:rFonts w:ascii="Times New Roman" w:hAnsi="Times New Roman" w:cs="Times New Roman" w:eastAsia="Times New Roman" w:hint="default"/>
          <w:b/>
          <w:bCs/>
          <w:spacing w:val="30"/>
          <w:sz w:val="31"/>
          <w:szCs w:val="31"/>
        </w:rPr>
        <w:t> </w:t>
      </w:r>
      <w:r>
        <w:rPr>
          <w:rFonts w:ascii="宋体" w:hAnsi="宋体" w:cs="宋体" w:eastAsia="宋体" w:hint="default"/>
          <w:b/>
          <w:bCs/>
          <w:spacing w:val="5"/>
          <w:sz w:val="31"/>
          <w:szCs w:val="31"/>
        </w:rPr>
        <w:t>年年度报告</w:t>
      </w:r>
      <w:r>
        <w:rPr>
          <w:rFonts w:ascii="宋体" w:hAnsi="宋体" w:cs="宋体" w:eastAsia="宋体" w:hint="default"/>
          <w:spacing w:val="5"/>
          <w:sz w:val="31"/>
          <w:szCs w:val="31"/>
        </w:rPr>
      </w:r>
    </w:p>
    <w:p>
      <w:pPr>
        <w:spacing w:line="240" w:lineRule="auto" w:before="2"/>
        <w:rPr>
          <w:rFonts w:ascii="宋体" w:hAnsi="宋体" w:cs="宋体" w:eastAsia="宋体" w:hint="default"/>
          <w:b/>
          <w:bCs/>
          <w:sz w:val="29"/>
          <w:szCs w:val="29"/>
        </w:rPr>
      </w:pPr>
    </w:p>
    <w:p>
      <w:pPr>
        <w:spacing w:before="0"/>
        <w:ind w:left="2782" w:right="3743" w:firstLine="0"/>
        <w:jc w:val="center"/>
        <w:rPr>
          <w:rFonts w:ascii="Times New Roman" w:hAnsi="Times New Roman" w:cs="Times New Roman" w:eastAsia="Times New Roman" w:hint="default"/>
          <w:sz w:val="31"/>
          <w:szCs w:val="31"/>
        </w:rPr>
      </w:pPr>
      <w:r>
        <w:rPr>
          <w:rFonts w:ascii="宋体" w:hAnsi="宋体" w:cs="宋体" w:eastAsia="宋体" w:hint="default"/>
          <w:b/>
          <w:bCs/>
          <w:spacing w:val="3"/>
          <w:sz w:val="31"/>
          <w:szCs w:val="31"/>
        </w:rPr>
        <w:t>公告编号：</w:t>
      </w:r>
      <w:r>
        <w:rPr>
          <w:rFonts w:ascii="Times New Roman" w:hAnsi="Times New Roman" w:cs="Times New Roman" w:eastAsia="Times New Roman" w:hint="default"/>
          <w:b/>
          <w:bCs/>
          <w:spacing w:val="3"/>
          <w:sz w:val="31"/>
          <w:szCs w:val="31"/>
        </w:rPr>
        <w:t>2020-029</w:t>
      </w:r>
      <w:r>
        <w:rPr>
          <w:rFonts w:ascii="Times New Roman" w:hAnsi="Times New Roman" w:cs="Times New Roman" w:eastAsia="Times New Roman" w:hint="default"/>
          <w:spacing w:val="3"/>
          <w:sz w:val="31"/>
          <w:szCs w:val="31"/>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2"/>
        <w:rPr>
          <w:rFonts w:ascii="Times New Roman" w:hAnsi="Times New Roman" w:cs="Times New Roman" w:eastAsia="Times New Roman" w:hint="default"/>
          <w:b/>
          <w:bCs/>
          <w:sz w:val="40"/>
          <w:szCs w:val="40"/>
        </w:rPr>
      </w:pPr>
    </w:p>
    <w:p>
      <w:pPr>
        <w:spacing w:before="0"/>
        <w:ind w:left="2782" w:right="3749" w:firstLine="0"/>
        <w:jc w:val="center"/>
        <w:rPr>
          <w:rFonts w:ascii="宋体" w:hAnsi="宋体" w:cs="宋体" w:eastAsia="宋体" w:hint="default"/>
          <w:sz w:val="31"/>
          <w:szCs w:val="31"/>
        </w:rPr>
      </w:pPr>
      <w:r>
        <w:rPr>
          <w:rFonts w:ascii="Times New Roman" w:hAnsi="Times New Roman" w:cs="Times New Roman" w:eastAsia="Times New Roman" w:hint="default"/>
          <w:b/>
          <w:bCs/>
          <w:spacing w:val="4"/>
          <w:sz w:val="31"/>
          <w:szCs w:val="31"/>
        </w:rPr>
        <w:t>2020 </w:t>
      </w:r>
      <w:r>
        <w:rPr>
          <w:rFonts w:ascii="宋体" w:hAnsi="宋体" w:cs="宋体" w:eastAsia="宋体" w:hint="default"/>
          <w:b/>
          <w:bCs/>
          <w:sz w:val="31"/>
          <w:szCs w:val="31"/>
        </w:rPr>
        <w:t>年 </w:t>
      </w:r>
      <w:r>
        <w:rPr>
          <w:rFonts w:ascii="Times New Roman" w:hAnsi="Times New Roman" w:cs="Times New Roman" w:eastAsia="Times New Roman" w:hint="default"/>
          <w:b/>
          <w:bCs/>
          <w:spacing w:val="3"/>
          <w:sz w:val="31"/>
          <w:szCs w:val="31"/>
        </w:rPr>
        <w:t>03</w:t>
      </w:r>
      <w:r>
        <w:rPr>
          <w:rFonts w:ascii="Times New Roman" w:hAnsi="Times New Roman" w:cs="Times New Roman" w:eastAsia="Times New Roman" w:hint="default"/>
          <w:b/>
          <w:bCs/>
          <w:spacing w:val="-45"/>
          <w:sz w:val="31"/>
          <w:szCs w:val="31"/>
        </w:rPr>
        <w:t> </w:t>
      </w:r>
      <w:r>
        <w:rPr>
          <w:rFonts w:ascii="宋体" w:hAnsi="宋体" w:cs="宋体" w:eastAsia="宋体" w:hint="default"/>
          <w:b/>
          <w:bCs/>
          <w:sz w:val="31"/>
          <w:szCs w:val="31"/>
        </w:rPr>
        <w:t>月</w:t>
      </w:r>
      <w:r>
        <w:rPr>
          <w:rFonts w:ascii="宋体" w:hAnsi="宋体" w:cs="宋体" w:eastAsia="宋体" w:hint="default"/>
          <w:sz w:val="31"/>
          <w:szCs w:val="31"/>
        </w:rPr>
      </w:r>
    </w:p>
    <w:p>
      <w:pPr>
        <w:spacing w:after="0"/>
        <w:jc w:val="center"/>
        <w:rPr>
          <w:rFonts w:ascii="宋体" w:hAnsi="宋体" w:cs="宋体" w:eastAsia="宋体" w:hint="default"/>
          <w:sz w:val="31"/>
          <w:szCs w:val="31"/>
        </w:rPr>
        <w:sectPr>
          <w:headerReference w:type="default" r:id="rId5"/>
          <w:footerReference w:type="default" r:id="rId6"/>
          <w:type w:val="continuous"/>
          <w:pgSz w:w="11910" w:h="16850"/>
          <w:pgMar w:header="731" w:footer="981" w:top="1040" w:bottom="1180" w:left="1000" w:right="0"/>
        </w:sectPr>
      </w:pPr>
    </w:p>
    <w:p>
      <w:pPr>
        <w:spacing w:line="240" w:lineRule="auto" w:before="2"/>
        <w:rPr>
          <w:rFonts w:ascii="宋体" w:hAnsi="宋体" w:cs="宋体" w:eastAsia="宋体" w:hint="default"/>
          <w:b/>
          <w:bCs/>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Heading1"/>
        <w:spacing w:line="240" w:lineRule="auto"/>
        <w:ind w:left="2875" w:right="1105"/>
        <w:jc w:val="left"/>
        <w:rPr>
          <w:b w:val="0"/>
          <w:bCs w:val="0"/>
        </w:rPr>
      </w:pPr>
      <w:bookmarkStart w:name="_TOC_250012" w:id="1"/>
      <w:bookmarkStart w:name="第一节重要提示、目录和释义" w:id="2"/>
      <w:r>
        <w:rPr>
          <w:b w:val="0"/>
          <w:bCs w:val="0"/>
        </w:rPr>
      </w:r>
      <w:r>
        <w:rPr>
          <w:spacing w:val="6"/>
        </w:rPr>
        <w:t>第一节重要提示、目录和释义</w:t>
      </w:r>
      <w:bookmarkEnd w:id="1"/>
      <w:r>
        <w:rPr>
          <w:b w:val="0"/>
          <w:bCs w:val="0"/>
          <w:spacing w:val="6"/>
        </w:rPr>
      </w:r>
    </w:p>
    <w:p>
      <w:pPr>
        <w:spacing w:line="240" w:lineRule="auto" w:before="0"/>
        <w:rPr>
          <w:rFonts w:ascii="宋体" w:hAnsi="宋体" w:cs="宋体" w:eastAsia="宋体" w:hint="default"/>
          <w:b/>
          <w:bCs/>
          <w:sz w:val="32"/>
          <w:szCs w:val="32"/>
        </w:rPr>
      </w:pPr>
    </w:p>
    <w:p>
      <w:pPr>
        <w:spacing w:line="408" w:lineRule="auto" w:before="216"/>
        <w:ind w:left="141" w:right="1089" w:firstLine="555"/>
        <w:jc w:val="both"/>
        <w:rPr>
          <w:rFonts w:ascii="宋体" w:hAnsi="宋体" w:cs="宋体" w:eastAsia="宋体" w:hint="default"/>
          <w:sz w:val="28"/>
          <w:szCs w:val="28"/>
        </w:rPr>
      </w:pPr>
      <w:r>
        <w:rPr>
          <w:rFonts w:ascii="宋体" w:hAnsi="宋体" w:cs="宋体" w:eastAsia="宋体" w:hint="default"/>
          <w:b/>
          <w:bCs/>
          <w:spacing w:val="-1"/>
          <w:sz w:val="28"/>
          <w:szCs w:val="28"/>
        </w:rPr>
        <w:t>公司董事会、监事会及董事、监事、高级管理人员保证年度报告内容的真</w:t>
      </w:r>
      <w:r>
        <w:rPr>
          <w:rFonts w:ascii="宋体" w:hAnsi="宋体" w:cs="宋体" w:eastAsia="宋体" w:hint="default"/>
          <w:b/>
          <w:bCs/>
          <w:w w:val="101"/>
          <w:sz w:val="28"/>
          <w:szCs w:val="28"/>
        </w:rPr>
        <w:t> </w:t>
      </w:r>
      <w:r>
        <w:rPr>
          <w:rFonts w:ascii="宋体" w:hAnsi="宋体" w:cs="宋体" w:eastAsia="宋体" w:hint="default"/>
          <w:b/>
          <w:bCs/>
          <w:spacing w:val="-1"/>
          <w:sz w:val="28"/>
          <w:szCs w:val="28"/>
        </w:rPr>
        <w:t>实、准确、完整，不存在虚假记载、误导性陈述或重大遗漏，并承担个别和连</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3"/>
          <w:sz w:val="28"/>
          <w:szCs w:val="28"/>
        </w:rPr>
        <w:t>带的法律责任。</w:t>
      </w:r>
      <w:r>
        <w:rPr>
          <w:rFonts w:ascii="宋体" w:hAnsi="宋体" w:cs="宋体" w:eastAsia="宋体" w:hint="default"/>
          <w:spacing w:val="-3"/>
          <w:sz w:val="28"/>
          <w:szCs w:val="28"/>
        </w:rPr>
      </w:r>
    </w:p>
    <w:p>
      <w:pPr>
        <w:spacing w:line="391" w:lineRule="auto" w:before="158"/>
        <w:ind w:left="141" w:right="1108" w:firstLine="555"/>
        <w:jc w:val="both"/>
        <w:rPr>
          <w:rFonts w:ascii="宋体" w:hAnsi="宋体" w:cs="宋体" w:eastAsia="宋体" w:hint="default"/>
          <w:sz w:val="28"/>
          <w:szCs w:val="28"/>
        </w:rPr>
      </w:pPr>
      <w:r>
        <w:rPr>
          <w:rFonts w:ascii="宋体" w:hAnsi="宋体" w:cs="宋体" w:eastAsia="宋体" w:hint="default"/>
          <w:b/>
          <w:bCs/>
          <w:spacing w:val="-5"/>
          <w:sz w:val="28"/>
          <w:szCs w:val="28"/>
        </w:rPr>
        <w:t>公司负责人郑新标、主管会计工作负责人鲁清芳及会计机构负责人</w:t>
      </w:r>
      <w:r>
        <w:rPr>
          <w:rFonts w:ascii="Times New Roman" w:hAnsi="Times New Roman" w:cs="Times New Roman" w:eastAsia="Times New Roman" w:hint="default"/>
          <w:b/>
          <w:bCs/>
          <w:spacing w:val="-5"/>
          <w:sz w:val="28"/>
          <w:szCs w:val="28"/>
        </w:rPr>
        <w:t>(</w:t>
      </w:r>
      <w:r>
        <w:rPr>
          <w:rFonts w:ascii="宋体" w:hAnsi="宋体" w:cs="宋体" w:eastAsia="宋体" w:hint="default"/>
          <w:b/>
          <w:bCs/>
          <w:spacing w:val="-5"/>
          <w:sz w:val="28"/>
          <w:szCs w:val="28"/>
        </w:rPr>
        <w:t>会计主</w:t>
      </w:r>
      <w:r>
        <w:rPr>
          <w:rFonts w:ascii="宋体" w:hAnsi="宋体" w:cs="宋体" w:eastAsia="宋体" w:hint="default"/>
          <w:b/>
          <w:bCs/>
          <w:w w:val="101"/>
          <w:sz w:val="28"/>
          <w:szCs w:val="28"/>
        </w:rPr>
        <w:t> </w:t>
      </w:r>
      <w:r>
        <w:rPr>
          <w:rFonts w:ascii="宋体" w:hAnsi="宋体" w:cs="宋体" w:eastAsia="宋体" w:hint="default"/>
          <w:b/>
          <w:bCs/>
          <w:spacing w:val="-4"/>
          <w:sz w:val="28"/>
          <w:szCs w:val="28"/>
        </w:rPr>
        <w:t>管人员</w:t>
      </w:r>
      <w:r>
        <w:rPr>
          <w:rFonts w:ascii="Times New Roman" w:hAnsi="Times New Roman" w:cs="Times New Roman" w:eastAsia="Times New Roman" w:hint="default"/>
          <w:b/>
          <w:bCs/>
          <w:spacing w:val="-4"/>
          <w:sz w:val="28"/>
          <w:szCs w:val="28"/>
        </w:rPr>
        <w:t>)</w:t>
      </w:r>
      <w:r>
        <w:rPr>
          <w:rFonts w:ascii="宋体" w:hAnsi="宋体" w:cs="宋体" w:eastAsia="宋体" w:hint="default"/>
          <w:b/>
          <w:bCs/>
          <w:spacing w:val="-4"/>
          <w:sz w:val="28"/>
          <w:szCs w:val="28"/>
        </w:rPr>
        <w:t>鲁清芳声明：保证年度报告中财务报告的真实、准确、完整。</w:t>
      </w:r>
      <w:r>
        <w:rPr>
          <w:rFonts w:ascii="宋体" w:hAnsi="宋体" w:cs="宋体" w:eastAsia="宋体" w:hint="default"/>
          <w:spacing w:val="-4"/>
          <w:sz w:val="28"/>
          <w:szCs w:val="28"/>
        </w:rPr>
      </w:r>
    </w:p>
    <w:p>
      <w:pPr>
        <w:spacing w:line="472" w:lineRule="auto" w:before="138"/>
        <w:ind w:left="696" w:right="1105" w:firstLine="0"/>
        <w:jc w:val="left"/>
        <w:rPr>
          <w:rFonts w:ascii="宋体" w:hAnsi="宋体" w:cs="宋体" w:eastAsia="宋体" w:hint="default"/>
          <w:sz w:val="28"/>
          <w:szCs w:val="28"/>
        </w:rPr>
      </w:pPr>
      <w:r>
        <w:rPr>
          <w:rFonts w:ascii="宋体" w:hAnsi="宋体" w:cs="宋体" w:eastAsia="宋体" w:hint="default"/>
          <w:b/>
          <w:bCs/>
          <w:spacing w:val="-4"/>
          <w:sz w:val="28"/>
          <w:szCs w:val="28"/>
        </w:rPr>
        <w:t>所有董事均已出席了审议本报告的董事会会议。</w:t>
      </w:r>
      <w:r>
        <w:rPr>
          <w:rFonts w:ascii="宋体" w:hAnsi="宋体" w:cs="宋体" w:eastAsia="宋体" w:hint="default"/>
          <w:b/>
          <w:bCs/>
          <w:spacing w:val="-29"/>
          <w:sz w:val="28"/>
          <w:szCs w:val="28"/>
        </w:rPr>
        <w:t> </w:t>
      </w:r>
      <w:r>
        <w:rPr>
          <w:rFonts w:ascii="宋体" w:hAnsi="宋体" w:cs="宋体" w:eastAsia="宋体" w:hint="default"/>
          <w:b/>
          <w:bCs/>
          <w:spacing w:val="-29"/>
          <w:sz w:val="28"/>
          <w:szCs w:val="28"/>
        </w:rPr>
      </w:r>
      <w:r>
        <w:rPr>
          <w:rFonts w:ascii="宋体" w:hAnsi="宋体" w:cs="宋体" w:eastAsia="宋体" w:hint="default"/>
          <w:b/>
          <w:bCs/>
          <w:spacing w:val="-1"/>
          <w:sz w:val="28"/>
          <w:szCs w:val="28"/>
        </w:rPr>
        <w:t>公司敬请投资者注意：本年度报告可能涉及未来计划等前瞻性陈述，该等</w:t>
      </w:r>
      <w:r>
        <w:rPr>
          <w:rFonts w:ascii="宋体" w:hAnsi="宋体" w:cs="宋体" w:eastAsia="宋体" w:hint="default"/>
          <w:spacing w:val="-1"/>
          <w:sz w:val="28"/>
          <w:szCs w:val="28"/>
        </w:rPr>
      </w:r>
    </w:p>
    <w:p>
      <w:pPr>
        <w:spacing w:line="412" w:lineRule="auto" w:before="0"/>
        <w:ind w:left="141" w:right="1089" w:firstLine="0"/>
        <w:jc w:val="both"/>
        <w:rPr>
          <w:rFonts w:ascii="宋体" w:hAnsi="宋体" w:cs="宋体" w:eastAsia="宋体" w:hint="default"/>
          <w:sz w:val="28"/>
          <w:szCs w:val="28"/>
        </w:rPr>
      </w:pPr>
      <w:r>
        <w:rPr>
          <w:rFonts w:ascii="宋体" w:hAnsi="宋体" w:cs="宋体" w:eastAsia="宋体" w:hint="default"/>
          <w:b/>
          <w:bCs/>
          <w:spacing w:val="-1"/>
          <w:sz w:val="28"/>
          <w:szCs w:val="28"/>
        </w:rPr>
        <w:t>计划并不构成公司对投资者的实质承诺，投资者及相关人士均应对此保持足够</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4"/>
          <w:sz w:val="28"/>
          <w:szCs w:val="28"/>
        </w:rPr>
        <w:t>的风险意识，并且应当理解计划、预测与承诺之间的差异。</w:t>
      </w:r>
      <w:r>
        <w:rPr>
          <w:rFonts w:ascii="宋体" w:hAnsi="宋体" w:cs="宋体" w:eastAsia="宋体" w:hint="default"/>
          <w:spacing w:val="-4"/>
          <w:sz w:val="28"/>
          <w:szCs w:val="28"/>
        </w:rPr>
      </w:r>
    </w:p>
    <w:p>
      <w:pPr>
        <w:spacing w:before="152"/>
        <w:ind w:left="696" w:right="1105" w:firstLine="0"/>
        <w:jc w:val="left"/>
        <w:rPr>
          <w:rFonts w:ascii="宋体" w:hAnsi="宋体" w:cs="宋体" w:eastAsia="宋体" w:hint="default"/>
          <w:sz w:val="28"/>
          <w:szCs w:val="28"/>
        </w:rPr>
      </w:pPr>
      <w:r>
        <w:rPr>
          <w:rFonts w:ascii="宋体" w:hAnsi="宋体" w:cs="宋体" w:eastAsia="宋体" w:hint="default"/>
          <w:b/>
          <w:bCs/>
          <w:spacing w:val="-4"/>
          <w:sz w:val="28"/>
          <w:szCs w:val="28"/>
        </w:rPr>
        <w:t>本公司请投资者认真阅读本年度报告全文，并特别注意下列风险：</w:t>
      </w:r>
      <w:r>
        <w:rPr>
          <w:rFonts w:ascii="宋体" w:hAnsi="宋体" w:cs="宋体" w:eastAsia="宋体" w:hint="default"/>
          <w:spacing w:val="-4"/>
          <w:sz w:val="28"/>
          <w:szCs w:val="28"/>
        </w:rPr>
      </w:r>
    </w:p>
    <w:p>
      <w:pPr>
        <w:spacing w:line="240" w:lineRule="auto" w:before="1"/>
        <w:rPr>
          <w:rFonts w:ascii="宋体" w:hAnsi="宋体" w:cs="宋体" w:eastAsia="宋体" w:hint="default"/>
          <w:b/>
          <w:bCs/>
          <w:sz w:val="27"/>
          <w:szCs w:val="27"/>
        </w:rPr>
      </w:pPr>
    </w:p>
    <w:p>
      <w:pPr>
        <w:tabs>
          <w:tab w:pos="1402" w:val="left" w:leader="none"/>
        </w:tabs>
        <w:spacing w:line="446" w:lineRule="auto" w:before="0"/>
        <w:ind w:left="696" w:right="1105" w:firstLine="0"/>
        <w:jc w:val="left"/>
        <w:rPr>
          <w:rFonts w:ascii="宋体" w:hAnsi="宋体" w:cs="宋体" w:eastAsia="宋体" w:hint="default"/>
          <w:sz w:val="28"/>
          <w:szCs w:val="28"/>
        </w:rPr>
      </w:pPr>
      <w:r>
        <w:rPr>
          <w:rFonts w:ascii="Times New Roman" w:hAnsi="Times New Roman" w:cs="Times New Roman" w:eastAsia="Times New Roman" w:hint="default"/>
          <w:b/>
          <w:bCs/>
          <w:spacing w:val="-4"/>
          <w:sz w:val="28"/>
          <w:szCs w:val="28"/>
        </w:rPr>
        <w:t>1</w:t>
      </w:r>
      <w:r>
        <w:rPr>
          <w:rFonts w:ascii="宋体" w:hAnsi="宋体" w:cs="宋体" w:eastAsia="宋体" w:hint="default"/>
          <w:b/>
          <w:bCs/>
          <w:spacing w:val="-4"/>
          <w:sz w:val="28"/>
          <w:szCs w:val="28"/>
        </w:rPr>
        <w:t>、</w:t>
        <w:tab/>
      </w:r>
      <w:r>
        <w:rPr>
          <w:rFonts w:ascii="宋体" w:hAnsi="宋体" w:cs="宋体" w:eastAsia="宋体" w:hint="default"/>
          <w:b/>
          <w:bCs/>
          <w:spacing w:val="-3"/>
          <w:sz w:val="28"/>
          <w:szCs w:val="28"/>
        </w:rPr>
        <w:t>对少数集团客户依赖的风险</w:t>
      </w:r>
      <w:r>
        <w:rPr>
          <w:rFonts w:ascii="宋体" w:hAnsi="宋体" w:cs="宋体" w:eastAsia="宋体" w:hint="default"/>
          <w:b/>
          <w:bCs/>
          <w:spacing w:val="-85"/>
          <w:sz w:val="28"/>
          <w:szCs w:val="28"/>
        </w:rPr>
        <w:t> </w:t>
      </w:r>
      <w:r>
        <w:rPr>
          <w:rFonts w:ascii="宋体" w:hAnsi="宋体" w:cs="宋体" w:eastAsia="宋体" w:hint="default"/>
          <w:b/>
          <w:bCs/>
          <w:spacing w:val="-85"/>
          <w:sz w:val="28"/>
          <w:szCs w:val="28"/>
        </w:rPr>
      </w:r>
      <w:r>
        <w:rPr>
          <w:rFonts w:ascii="宋体" w:hAnsi="宋体" w:cs="宋体" w:eastAsia="宋体" w:hint="default"/>
          <w:b/>
          <w:bCs/>
          <w:spacing w:val="-1"/>
          <w:sz w:val="28"/>
          <w:szCs w:val="28"/>
        </w:rPr>
        <w:t>随着公司产业互联网创新型业务的发展以及完成对易视腾科技与邦道科技</w:t>
      </w:r>
      <w:r>
        <w:rPr>
          <w:rFonts w:ascii="宋体" w:hAnsi="宋体" w:cs="宋体" w:eastAsia="宋体" w:hint="default"/>
          <w:spacing w:val="-1"/>
          <w:sz w:val="28"/>
          <w:szCs w:val="28"/>
        </w:rPr>
      </w:r>
    </w:p>
    <w:p>
      <w:pPr>
        <w:spacing w:line="405" w:lineRule="auto" w:before="23"/>
        <w:ind w:left="141" w:right="1089" w:firstLine="0"/>
        <w:jc w:val="both"/>
        <w:rPr>
          <w:rFonts w:ascii="宋体" w:hAnsi="宋体" w:cs="宋体" w:eastAsia="宋体" w:hint="default"/>
          <w:sz w:val="28"/>
          <w:szCs w:val="28"/>
        </w:rPr>
      </w:pPr>
      <w:r>
        <w:rPr>
          <w:rFonts w:ascii="宋体" w:hAnsi="宋体" w:cs="宋体" w:eastAsia="宋体" w:hint="default"/>
          <w:b/>
          <w:bCs/>
          <w:spacing w:val="-1"/>
          <w:sz w:val="28"/>
          <w:szCs w:val="28"/>
        </w:rPr>
        <w:t>的重组，公司收入来源的客户类型更为多样，收入来源的业务类型也更加趋向</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4"/>
          <w:sz w:val="28"/>
          <w:szCs w:val="28"/>
        </w:rPr>
        <w:t>长期运营和服务性收入。但公司目前的主营业务收入中，仍有超过 </w:t>
      </w:r>
      <w:r>
        <w:rPr>
          <w:rFonts w:ascii="Times New Roman" w:hAnsi="Times New Roman" w:cs="Times New Roman" w:eastAsia="Times New Roman" w:hint="default"/>
          <w:b/>
          <w:bCs/>
          <w:spacing w:val="-6"/>
          <w:sz w:val="28"/>
          <w:szCs w:val="28"/>
        </w:rPr>
        <w:t>50%</w:t>
      </w:r>
      <w:r>
        <w:rPr>
          <w:rFonts w:ascii="宋体" w:hAnsi="宋体" w:cs="宋体" w:eastAsia="宋体" w:hint="default"/>
          <w:b/>
          <w:bCs/>
          <w:spacing w:val="-6"/>
          <w:sz w:val="28"/>
          <w:szCs w:val="28"/>
        </w:rPr>
        <w:t>是来自</w:t>
      </w:r>
      <w:r>
        <w:rPr>
          <w:rFonts w:ascii="宋体" w:hAnsi="宋体" w:cs="宋体" w:eastAsia="宋体" w:hint="default"/>
          <w:b/>
          <w:bCs/>
          <w:spacing w:val="-32"/>
          <w:sz w:val="28"/>
          <w:szCs w:val="28"/>
        </w:rPr>
        <w:t> </w:t>
      </w:r>
      <w:r>
        <w:rPr>
          <w:rFonts w:ascii="宋体" w:hAnsi="宋体" w:cs="宋体" w:eastAsia="宋体" w:hint="default"/>
          <w:b/>
          <w:bCs/>
          <w:spacing w:val="-1"/>
          <w:sz w:val="28"/>
          <w:szCs w:val="28"/>
        </w:rPr>
        <w:t>于为中国移动提供智能终端产品以及为国家电网、南方电网各个省级电力公司</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1"/>
          <w:sz w:val="28"/>
          <w:szCs w:val="28"/>
        </w:rPr>
        <w:t>或其它业务单位提供软件服务的收入，而中国移动以及国家电网和南方电网内</w:t>
      </w:r>
      <w:r>
        <w:rPr>
          <w:rFonts w:ascii="宋体" w:hAnsi="宋体" w:cs="宋体" w:eastAsia="宋体" w:hint="default"/>
          <w:b/>
          <w:bCs/>
          <w:spacing w:val="8"/>
          <w:sz w:val="28"/>
          <w:szCs w:val="28"/>
        </w:rPr>
        <w:t> </w:t>
      </w:r>
      <w:r>
        <w:rPr>
          <w:rFonts w:ascii="宋体" w:hAnsi="宋体" w:cs="宋体" w:eastAsia="宋体" w:hint="default"/>
          <w:b/>
          <w:bCs/>
          <w:spacing w:val="8"/>
          <w:sz w:val="28"/>
          <w:szCs w:val="28"/>
        </w:rPr>
      </w:r>
      <w:r>
        <w:rPr>
          <w:rFonts w:ascii="宋体" w:hAnsi="宋体" w:cs="宋体" w:eastAsia="宋体" w:hint="default"/>
          <w:b/>
          <w:bCs/>
          <w:spacing w:val="-1"/>
          <w:sz w:val="28"/>
          <w:szCs w:val="28"/>
        </w:rPr>
        <w:t>部具有一定程度的政策、计划一致性。因此，公司对少数集团客户仍存在一定</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1"/>
          <w:sz w:val="28"/>
          <w:szCs w:val="28"/>
        </w:rPr>
        <w:t>程度的依赖。如中国移动以及国家电网、南方电网调整公司所在业务领域的投</w:t>
      </w:r>
      <w:r>
        <w:rPr>
          <w:rFonts w:ascii="宋体" w:hAnsi="宋体" w:cs="宋体" w:eastAsia="宋体" w:hint="default"/>
          <w:spacing w:val="-1"/>
          <w:sz w:val="28"/>
          <w:szCs w:val="28"/>
        </w:rPr>
      </w:r>
    </w:p>
    <w:p>
      <w:pPr>
        <w:spacing w:before="71"/>
        <w:ind w:left="141" w:right="0" w:firstLine="0"/>
        <w:jc w:val="both"/>
        <w:rPr>
          <w:rFonts w:ascii="宋体" w:hAnsi="宋体" w:cs="宋体" w:eastAsia="宋体" w:hint="default"/>
          <w:sz w:val="28"/>
          <w:szCs w:val="28"/>
        </w:rPr>
      </w:pPr>
      <w:r>
        <w:rPr>
          <w:rFonts w:ascii="宋体" w:hAnsi="宋体" w:cs="宋体" w:eastAsia="宋体" w:hint="default"/>
          <w:b/>
          <w:bCs/>
          <w:sz w:val="28"/>
          <w:szCs w:val="28"/>
        </w:rPr>
        <w:t>资计划、采购模式或公司产品服务不能满足客户需求，将可能导致中国移动以</w:t>
      </w:r>
      <w:r>
        <w:rPr>
          <w:rFonts w:ascii="宋体" w:hAnsi="宋体" w:cs="宋体" w:eastAsia="宋体" w:hint="default"/>
          <w:sz w:val="28"/>
          <w:szCs w:val="28"/>
        </w:rPr>
      </w:r>
    </w:p>
    <w:p>
      <w:pPr>
        <w:spacing w:after="0"/>
        <w:jc w:val="both"/>
        <w:rPr>
          <w:rFonts w:ascii="宋体" w:hAnsi="宋体" w:cs="宋体" w:eastAsia="宋体" w:hint="default"/>
          <w:sz w:val="28"/>
          <w:szCs w:val="28"/>
        </w:rPr>
        <w:sectPr>
          <w:footerReference w:type="default" r:id="rId8"/>
          <w:pgSz w:w="11910" w:h="16850"/>
          <w:pgMar w:footer="981" w:header="731" w:top="1040" w:bottom="1180" w:left="1000" w:right="0"/>
          <w:pgNumType w:start="2"/>
        </w:sectPr>
      </w:pPr>
    </w:p>
    <w:p>
      <w:pPr>
        <w:spacing w:line="240" w:lineRule="auto" w:before="2"/>
        <w:rPr>
          <w:rFonts w:ascii="宋体" w:hAnsi="宋体" w:cs="宋体" w:eastAsia="宋体" w:hint="default"/>
          <w:b/>
          <w:bCs/>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28"/>
          <w:szCs w:val="28"/>
        </w:rPr>
      </w:pPr>
    </w:p>
    <w:p>
      <w:pPr>
        <w:spacing w:line="412" w:lineRule="auto" w:before="18"/>
        <w:ind w:left="141" w:right="1089" w:firstLine="0"/>
        <w:jc w:val="both"/>
        <w:rPr>
          <w:rFonts w:ascii="宋体" w:hAnsi="宋体" w:cs="宋体" w:eastAsia="宋体" w:hint="default"/>
          <w:sz w:val="28"/>
          <w:szCs w:val="28"/>
        </w:rPr>
      </w:pPr>
      <w:r>
        <w:rPr>
          <w:rFonts w:ascii="宋体" w:hAnsi="宋体" w:cs="宋体" w:eastAsia="宋体" w:hint="default"/>
          <w:b/>
          <w:bCs/>
          <w:spacing w:val="-1"/>
          <w:sz w:val="28"/>
          <w:szCs w:val="28"/>
        </w:rPr>
        <w:t>及国家电网、南方电网向公司采购规模下降或公司已投入开发的项目不能实现</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4"/>
          <w:sz w:val="28"/>
          <w:szCs w:val="28"/>
        </w:rPr>
        <w:t>销售，最终对公司盈利能力产生不利影响。</w:t>
      </w:r>
      <w:r>
        <w:rPr>
          <w:rFonts w:ascii="宋体" w:hAnsi="宋体" w:cs="宋体" w:eastAsia="宋体" w:hint="default"/>
          <w:spacing w:val="-4"/>
          <w:sz w:val="28"/>
          <w:szCs w:val="28"/>
        </w:rPr>
      </w:r>
    </w:p>
    <w:p>
      <w:pPr>
        <w:spacing w:line="410" w:lineRule="auto" w:before="153"/>
        <w:ind w:left="141" w:right="955" w:firstLine="555"/>
        <w:jc w:val="both"/>
        <w:rPr>
          <w:rFonts w:ascii="宋体" w:hAnsi="宋体" w:cs="宋体" w:eastAsia="宋体" w:hint="default"/>
          <w:sz w:val="28"/>
          <w:szCs w:val="28"/>
        </w:rPr>
      </w:pPr>
      <w:r>
        <w:rPr>
          <w:rFonts w:ascii="宋体" w:hAnsi="宋体" w:cs="宋体" w:eastAsia="宋体" w:hint="default"/>
          <w:b/>
          <w:bCs/>
          <w:sz w:val="28"/>
          <w:szCs w:val="28"/>
        </w:rPr>
        <w:t>对此，公司将加快发展在公共服务、智慧家庭、数字城市、工业互联网、</w:t>
      </w:r>
      <w:r>
        <w:rPr>
          <w:rFonts w:ascii="宋体" w:hAnsi="宋体" w:cs="宋体" w:eastAsia="宋体" w:hint="default"/>
          <w:b/>
          <w:bCs/>
          <w:w w:val="101"/>
          <w:sz w:val="28"/>
          <w:szCs w:val="28"/>
        </w:rPr>
        <w:t> </w:t>
      </w:r>
      <w:r>
        <w:rPr>
          <w:rFonts w:ascii="宋体" w:hAnsi="宋体" w:cs="宋体" w:eastAsia="宋体" w:hint="default"/>
          <w:b/>
          <w:bCs/>
          <w:sz w:val="28"/>
          <w:szCs w:val="28"/>
        </w:rPr>
        <w:t>新外贸等领域的以运营服务为主的新型产业互联网业务。在国家电网、南方电</w:t>
      </w:r>
      <w:r>
        <w:rPr>
          <w:rFonts w:ascii="宋体" w:hAnsi="宋体" w:cs="宋体" w:eastAsia="宋体" w:hint="default"/>
          <w:b/>
          <w:bCs/>
          <w:spacing w:val="-24"/>
          <w:sz w:val="28"/>
          <w:szCs w:val="28"/>
        </w:rPr>
        <w:t> </w:t>
      </w:r>
      <w:r>
        <w:rPr>
          <w:rFonts w:ascii="宋体" w:hAnsi="宋体" w:cs="宋体" w:eastAsia="宋体" w:hint="default"/>
          <w:b/>
          <w:bCs/>
          <w:spacing w:val="-24"/>
          <w:sz w:val="28"/>
          <w:szCs w:val="28"/>
        </w:rPr>
      </w:r>
      <w:r>
        <w:rPr>
          <w:rFonts w:ascii="宋体" w:hAnsi="宋体" w:cs="宋体" w:eastAsia="宋体" w:hint="default"/>
          <w:b/>
          <w:bCs/>
          <w:sz w:val="28"/>
          <w:szCs w:val="28"/>
        </w:rPr>
        <w:t>网市场，公司作为领先的技术与服务提供商，将继续加强研究与研发投入，保</w:t>
      </w:r>
      <w:r>
        <w:rPr>
          <w:rFonts w:ascii="宋体" w:hAnsi="宋体" w:cs="宋体" w:eastAsia="宋体" w:hint="default"/>
          <w:b/>
          <w:bCs/>
          <w:spacing w:val="-26"/>
          <w:sz w:val="28"/>
          <w:szCs w:val="28"/>
        </w:rPr>
        <w:t> </w:t>
      </w:r>
      <w:r>
        <w:rPr>
          <w:rFonts w:ascii="宋体" w:hAnsi="宋体" w:cs="宋体" w:eastAsia="宋体" w:hint="default"/>
          <w:b/>
          <w:bCs/>
          <w:spacing w:val="-26"/>
          <w:sz w:val="28"/>
          <w:szCs w:val="28"/>
        </w:rPr>
      </w:r>
      <w:r>
        <w:rPr>
          <w:rFonts w:ascii="宋体" w:hAnsi="宋体" w:cs="宋体" w:eastAsia="宋体" w:hint="default"/>
          <w:b/>
          <w:bCs/>
          <w:spacing w:val="-6"/>
          <w:sz w:val="28"/>
          <w:szCs w:val="28"/>
        </w:rPr>
        <w:t>持业务与技术的领先，以成就客户为导向，积极创新，保持业务健康稳定发展。</w:t>
      </w:r>
      <w:r>
        <w:rPr>
          <w:rFonts w:ascii="宋体" w:hAnsi="宋体" w:cs="宋体" w:eastAsia="宋体" w:hint="default"/>
          <w:spacing w:val="-6"/>
          <w:sz w:val="28"/>
          <w:szCs w:val="28"/>
        </w:rPr>
      </w:r>
    </w:p>
    <w:p>
      <w:pPr>
        <w:tabs>
          <w:tab w:pos="1402" w:val="left" w:leader="none"/>
        </w:tabs>
        <w:spacing w:line="446" w:lineRule="auto" w:before="155"/>
        <w:ind w:left="696" w:right="1105" w:firstLine="0"/>
        <w:jc w:val="left"/>
        <w:rPr>
          <w:rFonts w:ascii="宋体" w:hAnsi="宋体" w:cs="宋体" w:eastAsia="宋体" w:hint="default"/>
          <w:sz w:val="28"/>
          <w:szCs w:val="28"/>
        </w:rPr>
      </w:pPr>
      <w:r>
        <w:rPr>
          <w:rFonts w:ascii="Times New Roman" w:hAnsi="Times New Roman" w:cs="Times New Roman" w:eastAsia="Times New Roman" w:hint="default"/>
          <w:b/>
          <w:bCs/>
          <w:spacing w:val="-4"/>
          <w:sz w:val="28"/>
          <w:szCs w:val="28"/>
        </w:rPr>
        <w:t>2</w:t>
      </w:r>
      <w:r>
        <w:rPr>
          <w:rFonts w:ascii="宋体" w:hAnsi="宋体" w:cs="宋体" w:eastAsia="宋体" w:hint="default"/>
          <w:b/>
          <w:bCs/>
          <w:spacing w:val="-4"/>
          <w:sz w:val="28"/>
          <w:szCs w:val="28"/>
        </w:rPr>
        <w:t>、</w:t>
        <w:tab/>
      </w:r>
      <w:r>
        <w:rPr>
          <w:rFonts w:ascii="宋体" w:hAnsi="宋体" w:cs="宋体" w:eastAsia="宋体" w:hint="default"/>
          <w:b/>
          <w:bCs/>
          <w:spacing w:val="-3"/>
          <w:sz w:val="28"/>
          <w:szCs w:val="28"/>
        </w:rPr>
        <w:t>经营业绩季节性波动风险</w:t>
      </w:r>
      <w:r>
        <w:rPr>
          <w:rFonts w:ascii="宋体" w:hAnsi="宋体" w:cs="宋体" w:eastAsia="宋体" w:hint="default"/>
          <w:b/>
          <w:bCs/>
          <w:spacing w:val="-92"/>
          <w:sz w:val="28"/>
          <w:szCs w:val="28"/>
        </w:rPr>
        <w:t> </w:t>
      </w:r>
      <w:r>
        <w:rPr>
          <w:rFonts w:ascii="宋体" w:hAnsi="宋体" w:cs="宋体" w:eastAsia="宋体" w:hint="default"/>
          <w:b/>
          <w:bCs/>
          <w:spacing w:val="-92"/>
          <w:sz w:val="28"/>
          <w:szCs w:val="28"/>
        </w:rPr>
      </w:r>
      <w:r>
        <w:rPr>
          <w:rFonts w:ascii="宋体" w:hAnsi="宋体" w:cs="宋体" w:eastAsia="宋体" w:hint="default"/>
          <w:b/>
          <w:bCs/>
          <w:spacing w:val="-1"/>
          <w:sz w:val="28"/>
          <w:szCs w:val="28"/>
        </w:rPr>
        <w:t>由于公司仍有相当比例软件及技术服务收入来自电网公司及其下属企业，</w:t>
      </w:r>
      <w:r>
        <w:rPr>
          <w:rFonts w:ascii="宋体" w:hAnsi="宋体" w:cs="宋体" w:eastAsia="宋体" w:hint="default"/>
          <w:spacing w:val="-1"/>
          <w:sz w:val="28"/>
          <w:szCs w:val="28"/>
        </w:rPr>
      </w:r>
    </w:p>
    <w:p>
      <w:pPr>
        <w:spacing w:line="410" w:lineRule="auto" w:before="23"/>
        <w:ind w:left="141" w:right="1089" w:firstLine="0"/>
        <w:jc w:val="both"/>
        <w:rPr>
          <w:rFonts w:ascii="宋体" w:hAnsi="宋体" w:cs="宋体" w:eastAsia="宋体" w:hint="default"/>
          <w:sz w:val="28"/>
          <w:szCs w:val="28"/>
        </w:rPr>
      </w:pPr>
      <w:r>
        <w:rPr>
          <w:rFonts w:ascii="宋体" w:hAnsi="宋体" w:cs="宋体" w:eastAsia="宋体" w:hint="default"/>
          <w:b/>
          <w:bCs/>
          <w:spacing w:val="-1"/>
          <w:sz w:val="28"/>
          <w:szCs w:val="28"/>
        </w:rPr>
        <w:t>电网公司垂直管理的特性，决定了电网公司内部投资审批决策、管理流程都有</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1"/>
          <w:sz w:val="28"/>
          <w:szCs w:val="28"/>
        </w:rPr>
        <w:t>较强的计划性。一般来看，电网公司在前一年年底制订下一年的各类（含信息</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1"/>
          <w:sz w:val="28"/>
          <w:szCs w:val="28"/>
        </w:rPr>
        <w:t>化）项目的计划，经集团公司总部各部门审批后，第二年分批逐步开展项目招</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1"/>
          <w:sz w:val="28"/>
          <w:szCs w:val="28"/>
        </w:rPr>
        <w:t>标和项目启动及建设。对于提供软件及技术服务的业务，公司根据不同类别项</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1"/>
          <w:sz w:val="28"/>
          <w:szCs w:val="28"/>
        </w:rPr>
        <w:t>目在签订合同后按完工百分比法确认收入或根据服务期确认收入。受电网公司</w:t>
      </w:r>
      <w:r>
        <w:rPr>
          <w:rFonts w:ascii="宋体" w:hAnsi="宋体" w:cs="宋体" w:eastAsia="宋体" w:hint="default"/>
          <w:b/>
          <w:bCs/>
          <w:spacing w:val="8"/>
          <w:sz w:val="28"/>
          <w:szCs w:val="28"/>
        </w:rPr>
        <w:t> </w:t>
      </w:r>
      <w:r>
        <w:rPr>
          <w:rFonts w:ascii="宋体" w:hAnsi="宋体" w:cs="宋体" w:eastAsia="宋体" w:hint="default"/>
          <w:b/>
          <w:bCs/>
          <w:spacing w:val="8"/>
          <w:sz w:val="28"/>
          <w:szCs w:val="28"/>
        </w:rPr>
      </w:r>
      <w:r>
        <w:rPr>
          <w:rFonts w:ascii="宋体" w:hAnsi="宋体" w:cs="宋体" w:eastAsia="宋体" w:hint="default"/>
          <w:b/>
          <w:bCs/>
          <w:spacing w:val="-1"/>
          <w:sz w:val="28"/>
          <w:szCs w:val="28"/>
        </w:rPr>
        <w:t>内部年度工作计划以及合同流程管理的限制，下半年签署合同较多，项目验收</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1"/>
          <w:sz w:val="28"/>
          <w:szCs w:val="28"/>
        </w:rPr>
        <w:t>报告也主要在下本年完成，造成公司下半年确认收入较多。公司经营业绩呈现</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1"/>
          <w:sz w:val="28"/>
          <w:szCs w:val="28"/>
        </w:rPr>
        <w:t>较强的季节性波动风险。这也导致了公司第一季度、上半年甚至前三季度净利</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4"/>
          <w:sz w:val="28"/>
          <w:szCs w:val="28"/>
        </w:rPr>
        <w:t>润占全年净利润比例较小，对投资者投资决策可能产生不利影响。</w:t>
      </w:r>
      <w:r>
        <w:rPr>
          <w:rFonts w:ascii="宋体" w:hAnsi="宋体" w:cs="宋体" w:eastAsia="宋体" w:hint="default"/>
          <w:spacing w:val="-4"/>
          <w:sz w:val="28"/>
          <w:szCs w:val="28"/>
        </w:rPr>
      </w:r>
    </w:p>
    <w:p>
      <w:pPr>
        <w:spacing w:line="403" w:lineRule="auto" w:before="155"/>
        <w:ind w:left="141" w:right="1089" w:firstLine="555"/>
        <w:jc w:val="both"/>
        <w:rPr>
          <w:rFonts w:ascii="宋体" w:hAnsi="宋体" w:cs="宋体" w:eastAsia="宋体" w:hint="default"/>
          <w:sz w:val="28"/>
          <w:szCs w:val="28"/>
        </w:rPr>
      </w:pPr>
      <w:r>
        <w:rPr>
          <w:rFonts w:ascii="宋体" w:hAnsi="宋体" w:cs="宋体" w:eastAsia="宋体" w:hint="default"/>
          <w:b/>
          <w:bCs/>
          <w:spacing w:val="-1"/>
          <w:sz w:val="28"/>
          <w:szCs w:val="28"/>
        </w:rPr>
        <w:t>对此，公司已积极对接电网客户计划和流程，主动沟通，与电网客户建立</w:t>
      </w:r>
      <w:r>
        <w:rPr>
          <w:rFonts w:ascii="宋体" w:hAnsi="宋体" w:cs="宋体" w:eastAsia="宋体" w:hint="default"/>
          <w:b/>
          <w:bCs/>
          <w:w w:val="101"/>
          <w:sz w:val="28"/>
          <w:szCs w:val="28"/>
        </w:rPr>
        <w:t> </w:t>
      </w:r>
      <w:r>
        <w:rPr>
          <w:rFonts w:ascii="宋体" w:hAnsi="宋体" w:cs="宋体" w:eastAsia="宋体" w:hint="default"/>
          <w:b/>
          <w:bCs/>
          <w:spacing w:val="-4"/>
          <w:sz w:val="28"/>
          <w:szCs w:val="28"/>
        </w:rPr>
        <w:t>紧密的协作机制，增加业务计划的可预期性。</w:t>
      </w:r>
      <w:r>
        <w:rPr>
          <w:rFonts w:ascii="Times New Roman" w:hAnsi="Times New Roman" w:cs="Times New Roman" w:eastAsia="Times New Roman" w:hint="default"/>
          <w:b/>
          <w:bCs/>
          <w:spacing w:val="-4"/>
          <w:sz w:val="28"/>
          <w:szCs w:val="28"/>
        </w:rPr>
        <w:t>2019</w:t>
      </w:r>
      <w:r>
        <w:rPr>
          <w:rFonts w:ascii="Times New Roman" w:hAnsi="Times New Roman" w:cs="Times New Roman" w:eastAsia="Times New Roman" w:hint="default"/>
          <w:b/>
          <w:bCs/>
          <w:spacing w:val="62"/>
          <w:sz w:val="28"/>
          <w:szCs w:val="28"/>
        </w:rPr>
        <w:t> </w:t>
      </w:r>
      <w:r>
        <w:rPr>
          <w:rFonts w:ascii="宋体" w:hAnsi="宋体" w:cs="宋体" w:eastAsia="宋体" w:hint="default"/>
          <w:b/>
          <w:bCs/>
          <w:spacing w:val="-3"/>
          <w:sz w:val="28"/>
          <w:szCs w:val="28"/>
        </w:rPr>
        <w:t>年公司季度业绩明显改善，</w:t>
      </w:r>
      <w:r>
        <w:rPr>
          <w:rFonts w:ascii="宋体" w:hAnsi="宋体" w:cs="宋体" w:eastAsia="宋体" w:hint="default"/>
          <w:b/>
          <w:bCs/>
          <w:spacing w:val="-96"/>
          <w:sz w:val="28"/>
          <w:szCs w:val="28"/>
        </w:rPr>
        <w:t> </w:t>
      </w:r>
      <w:r>
        <w:rPr>
          <w:rFonts w:ascii="宋体" w:hAnsi="宋体" w:cs="宋体" w:eastAsia="宋体" w:hint="default"/>
          <w:b/>
          <w:bCs/>
          <w:spacing w:val="-96"/>
          <w:sz w:val="28"/>
          <w:szCs w:val="28"/>
        </w:rPr>
      </w:r>
      <w:r>
        <w:rPr>
          <w:rFonts w:ascii="宋体" w:hAnsi="宋体" w:cs="宋体" w:eastAsia="宋体" w:hint="default"/>
          <w:b/>
          <w:bCs/>
          <w:spacing w:val="-1"/>
          <w:sz w:val="28"/>
          <w:szCs w:val="28"/>
        </w:rPr>
        <w:t>主要得益于并购标的良好的业绩，平滑了上市公司的部分季节性波动。同时，</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1"/>
          <w:sz w:val="28"/>
          <w:szCs w:val="28"/>
        </w:rPr>
        <w:t>公司也在加快数字城市、工业互联网、新外贸等新型产业互联网业务的发展，</w:t>
      </w:r>
      <w:r>
        <w:rPr>
          <w:rFonts w:ascii="宋体" w:hAnsi="宋体" w:cs="宋体" w:eastAsia="宋体" w:hint="default"/>
          <w:spacing w:val="-1"/>
          <w:sz w:val="28"/>
          <w:szCs w:val="28"/>
        </w:rPr>
      </w:r>
    </w:p>
    <w:p>
      <w:pPr>
        <w:spacing w:after="0" w:line="403" w:lineRule="auto"/>
        <w:jc w:val="both"/>
        <w:rPr>
          <w:rFonts w:ascii="宋体" w:hAnsi="宋体" w:cs="宋体" w:eastAsia="宋体" w:hint="default"/>
          <w:sz w:val="28"/>
          <w:szCs w:val="28"/>
        </w:rPr>
        <w:sectPr>
          <w:pgSz w:w="11910" w:h="16850"/>
          <w:pgMar w:header="731" w:footer="981" w:top="1040" w:bottom="1180" w:left="100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before="18"/>
        <w:ind w:left="141" w:right="0" w:firstLine="0"/>
        <w:jc w:val="both"/>
        <w:rPr>
          <w:rFonts w:ascii="宋体" w:hAnsi="宋体" w:cs="宋体" w:eastAsia="宋体" w:hint="default"/>
          <w:sz w:val="28"/>
          <w:szCs w:val="28"/>
        </w:rPr>
      </w:pPr>
      <w:r>
        <w:rPr>
          <w:rFonts w:ascii="宋体" w:hAnsi="宋体" w:cs="宋体" w:eastAsia="宋体" w:hint="default"/>
          <w:b/>
          <w:bCs/>
          <w:spacing w:val="-3"/>
          <w:sz w:val="28"/>
          <w:szCs w:val="28"/>
        </w:rPr>
        <w:t>将进一步改善经营业绩的季节性波动。</w:t>
      </w:r>
      <w:r>
        <w:rPr>
          <w:rFonts w:ascii="宋体" w:hAnsi="宋体" w:cs="宋体" w:eastAsia="宋体" w:hint="default"/>
          <w:spacing w:val="-3"/>
          <w:sz w:val="28"/>
          <w:szCs w:val="28"/>
        </w:rPr>
      </w:r>
    </w:p>
    <w:p>
      <w:pPr>
        <w:spacing w:line="240" w:lineRule="auto" w:before="1"/>
        <w:rPr>
          <w:rFonts w:ascii="宋体" w:hAnsi="宋体" w:cs="宋体" w:eastAsia="宋体" w:hint="default"/>
          <w:b/>
          <w:bCs/>
          <w:sz w:val="27"/>
          <w:szCs w:val="27"/>
        </w:rPr>
      </w:pPr>
    </w:p>
    <w:p>
      <w:pPr>
        <w:tabs>
          <w:tab w:pos="1402" w:val="left" w:leader="none"/>
        </w:tabs>
        <w:spacing w:line="456" w:lineRule="auto" w:before="0"/>
        <w:ind w:left="696" w:right="1094" w:firstLine="0"/>
        <w:jc w:val="left"/>
        <w:rPr>
          <w:rFonts w:ascii="Times New Roman" w:hAnsi="Times New Roman" w:cs="Times New Roman" w:eastAsia="Times New Roman" w:hint="default"/>
          <w:sz w:val="28"/>
          <w:szCs w:val="28"/>
        </w:rPr>
      </w:pPr>
      <w:r>
        <w:rPr>
          <w:rFonts w:ascii="Times New Roman" w:hAnsi="Times New Roman" w:cs="Times New Roman" w:eastAsia="Times New Roman" w:hint="default"/>
          <w:b/>
          <w:bCs/>
          <w:spacing w:val="-4"/>
          <w:sz w:val="28"/>
          <w:szCs w:val="28"/>
        </w:rPr>
        <w:t>3</w:t>
      </w:r>
      <w:r>
        <w:rPr>
          <w:rFonts w:ascii="宋体" w:hAnsi="宋体" w:cs="宋体" w:eastAsia="宋体" w:hint="default"/>
          <w:b/>
          <w:bCs/>
          <w:spacing w:val="-4"/>
          <w:sz w:val="28"/>
          <w:szCs w:val="28"/>
        </w:rPr>
        <w:t>、</w:t>
        <w:tab/>
        <w:t>业务和技术创新带来的成本费用上升风险</w:t>
      </w:r>
      <w:r>
        <w:rPr>
          <w:rFonts w:ascii="宋体" w:hAnsi="宋体" w:cs="宋体" w:eastAsia="宋体" w:hint="default"/>
          <w:b/>
          <w:bCs/>
          <w:spacing w:val="-54"/>
          <w:sz w:val="28"/>
          <w:szCs w:val="28"/>
        </w:rPr>
        <w:t> </w:t>
      </w:r>
      <w:r>
        <w:rPr>
          <w:rFonts w:ascii="宋体" w:hAnsi="宋体" w:cs="宋体" w:eastAsia="宋体" w:hint="default"/>
          <w:b/>
          <w:bCs/>
          <w:spacing w:val="-54"/>
          <w:sz w:val="28"/>
          <w:szCs w:val="28"/>
        </w:rPr>
      </w:r>
      <w:r>
        <w:rPr>
          <w:rFonts w:ascii="宋体" w:hAnsi="宋体" w:cs="宋体" w:eastAsia="宋体" w:hint="default"/>
          <w:b/>
          <w:bCs/>
          <w:spacing w:val="-4"/>
          <w:sz w:val="28"/>
          <w:szCs w:val="28"/>
        </w:rPr>
        <w:t>公司一贯重视技术与业务创新，每年研发费用占总收入比一直保持在</w:t>
      </w:r>
      <w:r>
        <w:rPr>
          <w:rFonts w:ascii="宋体" w:hAnsi="宋体" w:cs="宋体" w:eastAsia="宋体" w:hint="default"/>
          <w:b/>
          <w:bCs/>
          <w:spacing w:val="94"/>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sz w:val="28"/>
          <w:szCs w:val="28"/>
        </w:rPr>
      </w:r>
    </w:p>
    <w:p>
      <w:pPr>
        <w:spacing w:line="315" w:lineRule="exact" w:before="0"/>
        <w:ind w:left="141" w:right="0" w:firstLine="0"/>
        <w:jc w:val="both"/>
        <w:rPr>
          <w:rFonts w:ascii="宋体" w:hAnsi="宋体" w:cs="宋体" w:eastAsia="宋体" w:hint="default"/>
          <w:sz w:val="28"/>
          <w:szCs w:val="28"/>
        </w:rPr>
      </w:pPr>
      <w:r>
        <w:rPr>
          <w:rFonts w:ascii="宋体" w:hAnsi="宋体" w:cs="宋体" w:eastAsia="宋体" w:hint="default"/>
          <w:b/>
          <w:bCs/>
          <w:sz w:val="28"/>
          <w:szCs w:val="28"/>
        </w:rPr>
        <w:t>左右，通过大力度的创新投入，公司保持了技术和业务创新的领先优势，产业</w:t>
      </w:r>
      <w:r>
        <w:rPr>
          <w:rFonts w:ascii="宋体" w:hAnsi="宋体" w:cs="宋体" w:eastAsia="宋体" w:hint="default"/>
          <w:sz w:val="28"/>
          <w:szCs w:val="28"/>
        </w:rPr>
      </w:r>
    </w:p>
    <w:p>
      <w:pPr>
        <w:spacing w:line="240" w:lineRule="auto" w:before="2"/>
        <w:rPr>
          <w:rFonts w:ascii="宋体" w:hAnsi="宋体" w:cs="宋体" w:eastAsia="宋体" w:hint="default"/>
          <w:b/>
          <w:bCs/>
          <w:sz w:val="20"/>
          <w:szCs w:val="20"/>
        </w:rPr>
      </w:pPr>
    </w:p>
    <w:p>
      <w:pPr>
        <w:spacing w:line="408" w:lineRule="auto" w:before="0"/>
        <w:ind w:left="141" w:right="955" w:firstLine="0"/>
        <w:jc w:val="both"/>
        <w:rPr>
          <w:rFonts w:ascii="宋体" w:hAnsi="宋体" w:cs="宋体" w:eastAsia="宋体" w:hint="default"/>
          <w:sz w:val="28"/>
          <w:szCs w:val="28"/>
        </w:rPr>
      </w:pPr>
      <w:r>
        <w:rPr>
          <w:rFonts w:ascii="宋体" w:hAnsi="宋体" w:cs="宋体" w:eastAsia="宋体" w:hint="default"/>
          <w:b/>
          <w:bCs/>
          <w:sz w:val="28"/>
          <w:szCs w:val="28"/>
        </w:rPr>
        <w:t>互联网创新型业务也在快速发展，为公司的持续发展打下了坚实的基础。未来</w:t>
      </w:r>
      <w:r>
        <w:rPr>
          <w:rFonts w:ascii="宋体" w:hAnsi="宋体" w:cs="宋体" w:eastAsia="宋体" w:hint="default"/>
          <w:b/>
          <w:bCs/>
          <w:spacing w:val="-24"/>
          <w:sz w:val="28"/>
          <w:szCs w:val="28"/>
        </w:rPr>
        <w:t> </w:t>
      </w:r>
      <w:r>
        <w:rPr>
          <w:rFonts w:ascii="宋体" w:hAnsi="宋体" w:cs="宋体" w:eastAsia="宋体" w:hint="default"/>
          <w:b/>
          <w:bCs/>
          <w:spacing w:val="-24"/>
          <w:sz w:val="28"/>
          <w:szCs w:val="28"/>
        </w:rPr>
      </w:r>
      <w:r>
        <w:rPr>
          <w:rFonts w:ascii="宋体" w:hAnsi="宋体" w:cs="宋体" w:eastAsia="宋体" w:hint="default"/>
          <w:b/>
          <w:bCs/>
          <w:sz w:val="28"/>
          <w:szCs w:val="28"/>
        </w:rPr>
        <w:t>公司仍将会加大创新业务研发和技术研发投入，必将产生一定的成本和费用，</w:t>
      </w:r>
      <w:r>
        <w:rPr>
          <w:rFonts w:ascii="宋体" w:hAnsi="宋体" w:cs="宋体" w:eastAsia="宋体" w:hint="default"/>
          <w:b/>
          <w:bCs/>
          <w:spacing w:val="-24"/>
          <w:sz w:val="28"/>
          <w:szCs w:val="28"/>
        </w:rPr>
        <w:t> </w:t>
      </w:r>
      <w:r>
        <w:rPr>
          <w:rFonts w:ascii="宋体" w:hAnsi="宋体" w:cs="宋体" w:eastAsia="宋体" w:hint="default"/>
          <w:b/>
          <w:bCs/>
          <w:spacing w:val="-24"/>
          <w:sz w:val="28"/>
          <w:szCs w:val="28"/>
        </w:rPr>
      </w:r>
      <w:r>
        <w:rPr>
          <w:rFonts w:ascii="宋体" w:hAnsi="宋体" w:cs="宋体" w:eastAsia="宋体" w:hint="default"/>
          <w:b/>
          <w:bCs/>
          <w:spacing w:val="-6"/>
          <w:sz w:val="28"/>
          <w:szCs w:val="28"/>
        </w:rPr>
        <w:t>如果相关业务短期之内不能为公司带来收入，将对公司盈利能力产生不利影响。</w:t>
      </w:r>
      <w:r>
        <w:rPr>
          <w:rFonts w:ascii="宋体" w:hAnsi="宋体" w:cs="宋体" w:eastAsia="宋体" w:hint="default"/>
          <w:spacing w:val="-6"/>
          <w:sz w:val="28"/>
          <w:szCs w:val="28"/>
        </w:rPr>
      </w:r>
    </w:p>
    <w:p>
      <w:pPr>
        <w:spacing w:line="410" w:lineRule="auto" w:before="158"/>
        <w:ind w:left="141" w:right="1089" w:firstLine="555"/>
        <w:jc w:val="both"/>
        <w:rPr>
          <w:rFonts w:ascii="宋体" w:hAnsi="宋体" w:cs="宋体" w:eastAsia="宋体" w:hint="default"/>
          <w:sz w:val="28"/>
          <w:szCs w:val="28"/>
        </w:rPr>
      </w:pPr>
      <w:r>
        <w:rPr>
          <w:rFonts w:ascii="宋体" w:hAnsi="宋体" w:cs="宋体" w:eastAsia="宋体" w:hint="default"/>
          <w:b/>
          <w:bCs/>
          <w:spacing w:val="-2"/>
          <w:sz w:val="28"/>
          <w:szCs w:val="28"/>
        </w:rPr>
        <w:t>对此，公司将紧密跟踪技术变革和发展趋势，确保公司处于技术领先。同</w:t>
      </w:r>
      <w:r>
        <w:rPr>
          <w:rFonts w:ascii="宋体" w:hAnsi="宋体" w:cs="宋体" w:eastAsia="宋体" w:hint="default"/>
          <w:b/>
          <w:bCs/>
          <w:w w:val="101"/>
          <w:sz w:val="28"/>
          <w:szCs w:val="28"/>
        </w:rPr>
        <w:t> </w:t>
      </w:r>
      <w:r>
        <w:rPr>
          <w:rFonts w:ascii="宋体" w:hAnsi="宋体" w:cs="宋体" w:eastAsia="宋体" w:hint="default"/>
          <w:b/>
          <w:bCs/>
          <w:spacing w:val="-1"/>
          <w:sz w:val="28"/>
          <w:szCs w:val="28"/>
        </w:rPr>
        <w:t>时，紧贴市场，深刻洞察客户需求，以创造客户价值为核心调整研发方向，不</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1"/>
          <w:sz w:val="28"/>
          <w:szCs w:val="28"/>
        </w:rPr>
        <w:t>至于造成研发浪费，公司在创新型业务发展领域将采取稳健的模式，降低创新</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3"/>
          <w:sz w:val="28"/>
          <w:szCs w:val="28"/>
        </w:rPr>
        <w:t>型业务不确定性所带来的投入风险。</w:t>
      </w:r>
      <w:r>
        <w:rPr>
          <w:rFonts w:ascii="宋体" w:hAnsi="宋体" w:cs="宋体" w:eastAsia="宋体" w:hint="default"/>
          <w:spacing w:val="-3"/>
          <w:sz w:val="28"/>
          <w:szCs w:val="28"/>
        </w:rPr>
      </w:r>
    </w:p>
    <w:p>
      <w:pPr>
        <w:tabs>
          <w:tab w:pos="1402" w:val="left" w:leader="none"/>
        </w:tabs>
        <w:spacing w:line="456" w:lineRule="auto" w:before="155"/>
        <w:ind w:left="696" w:right="1105" w:firstLine="0"/>
        <w:jc w:val="left"/>
        <w:rPr>
          <w:rFonts w:ascii="宋体" w:hAnsi="宋体" w:cs="宋体" w:eastAsia="宋体" w:hint="default"/>
          <w:sz w:val="28"/>
          <w:szCs w:val="28"/>
        </w:rPr>
      </w:pPr>
      <w:r>
        <w:rPr>
          <w:rFonts w:ascii="Times New Roman" w:hAnsi="Times New Roman" w:cs="Times New Roman" w:eastAsia="Times New Roman" w:hint="default"/>
          <w:b/>
          <w:bCs/>
          <w:spacing w:val="-4"/>
          <w:sz w:val="28"/>
          <w:szCs w:val="28"/>
        </w:rPr>
        <w:t>4</w:t>
      </w:r>
      <w:r>
        <w:rPr>
          <w:rFonts w:ascii="宋体" w:hAnsi="宋体" w:cs="宋体" w:eastAsia="宋体" w:hint="default"/>
          <w:b/>
          <w:bCs/>
          <w:spacing w:val="-4"/>
          <w:sz w:val="28"/>
          <w:szCs w:val="28"/>
        </w:rPr>
        <w:t>、</w:t>
        <w:tab/>
      </w:r>
      <w:r>
        <w:rPr>
          <w:rFonts w:ascii="宋体" w:hAnsi="宋体" w:cs="宋体" w:eastAsia="宋体" w:hint="default"/>
          <w:b/>
          <w:bCs/>
          <w:spacing w:val="-2"/>
          <w:sz w:val="28"/>
          <w:szCs w:val="28"/>
        </w:rPr>
        <w:t>劳动力成本上升风险</w:t>
      </w:r>
      <w:r>
        <w:rPr>
          <w:rFonts w:ascii="宋体" w:hAnsi="宋体" w:cs="宋体" w:eastAsia="宋体" w:hint="default"/>
          <w:b/>
          <w:bCs/>
          <w:spacing w:val="-100"/>
          <w:sz w:val="28"/>
          <w:szCs w:val="28"/>
        </w:rPr>
        <w:t> </w:t>
      </w:r>
      <w:r>
        <w:rPr>
          <w:rFonts w:ascii="宋体" w:hAnsi="宋体" w:cs="宋体" w:eastAsia="宋体" w:hint="default"/>
          <w:b/>
          <w:bCs/>
          <w:spacing w:val="-100"/>
          <w:sz w:val="28"/>
          <w:szCs w:val="28"/>
        </w:rPr>
      </w:r>
      <w:r>
        <w:rPr>
          <w:rFonts w:ascii="宋体" w:hAnsi="宋体" w:cs="宋体" w:eastAsia="宋体" w:hint="default"/>
          <w:b/>
          <w:bCs/>
          <w:spacing w:val="-1"/>
          <w:sz w:val="28"/>
          <w:szCs w:val="28"/>
        </w:rPr>
        <w:t>公司是一家以技术创新和运营服务为主的轻资产型公司，人力资源相关费</w:t>
      </w:r>
      <w:r>
        <w:rPr>
          <w:rFonts w:ascii="宋体" w:hAnsi="宋体" w:cs="宋体" w:eastAsia="宋体" w:hint="default"/>
          <w:spacing w:val="-1"/>
          <w:sz w:val="28"/>
          <w:szCs w:val="28"/>
        </w:rPr>
      </w:r>
    </w:p>
    <w:p>
      <w:pPr>
        <w:spacing w:line="412" w:lineRule="auto" w:before="0"/>
        <w:ind w:left="141" w:right="1105" w:firstLine="0"/>
        <w:jc w:val="left"/>
        <w:rPr>
          <w:rFonts w:ascii="宋体" w:hAnsi="宋体" w:cs="宋体" w:eastAsia="宋体" w:hint="default"/>
          <w:sz w:val="28"/>
          <w:szCs w:val="28"/>
        </w:rPr>
      </w:pPr>
      <w:r>
        <w:rPr>
          <w:rFonts w:ascii="宋体" w:hAnsi="宋体" w:cs="宋体" w:eastAsia="宋体" w:hint="default"/>
          <w:b/>
          <w:bCs/>
          <w:spacing w:val="-1"/>
          <w:sz w:val="28"/>
          <w:szCs w:val="28"/>
        </w:rPr>
        <w:t>用是公司成本费用的重要组成部分，如相关领域人员劳动力成本持续提升，将</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4"/>
          <w:sz w:val="28"/>
          <w:szCs w:val="28"/>
        </w:rPr>
        <w:t>对公司盈利能力产生不利影响。</w:t>
      </w:r>
      <w:r>
        <w:rPr>
          <w:rFonts w:ascii="宋体" w:hAnsi="宋体" w:cs="宋体" w:eastAsia="宋体" w:hint="default"/>
          <w:spacing w:val="-4"/>
          <w:sz w:val="28"/>
          <w:szCs w:val="28"/>
        </w:rPr>
      </w:r>
    </w:p>
    <w:p>
      <w:pPr>
        <w:spacing w:line="408" w:lineRule="auto" w:before="152"/>
        <w:ind w:left="141" w:right="1093" w:firstLine="555"/>
        <w:jc w:val="both"/>
        <w:rPr>
          <w:rFonts w:ascii="宋体" w:hAnsi="宋体" w:cs="宋体" w:eastAsia="宋体" w:hint="default"/>
          <w:sz w:val="28"/>
          <w:szCs w:val="28"/>
        </w:rPr>
      </w:pPr>
      <w:r>
        <w:rPr>
          <w:rFonts w:ascii="宋体" w:hAnsi="宋体" w:cs="宋体" w:eastAsia="宋体" w:hint="default"/>
          <w:b/>
          <w:bCs/>
          <w:spacing w:val="-1"/>
          <w:sz w:val="28"/>
          <w:szCs w:val="28"/>
        </w:rPr>
        <w:t>对此，公司将持续优化业务结构，优化内部组织与机制，加强人员培养与</w:t>
      </w:r>
      <w:r>
        <w:rPr>
          <w:rFonts w:ascii="宋体" w:hAnsi="宋体" w:cs="宋体" w:eastAsia="宋体" w:hint="default"/>
          <w:b/>
          <w:bCs/>
          <w:w w:val="101"/>
          <w:sz w:val="28"/>
          <w:szCs w:val="28"/>
        </w:rPr>
        <w:t> </w:t>
      </w:r>
      <w:r>
        <w:rPr>
          <w:rFonts w:ascii="宋体" w:hAnsi="宋体" w:cs="宋体" w:eastAsia="宋体" w:hint="default"/>
          <w:b/>
          <w:bCs/>
          <w:spacing w:val="-2"/>
          <w:sz w:val="28"/>
          <w:szCs w:val="28"/>
        </w:rPr>
        <w:t>培训，提高生产运营技术支撑力度，持续提升人员生产效率，从而在不断提升</w:t>
      </w:r>
      <w:r>
        <w:rPr>
          <w:rFonts w:ascii="宋体" w:hAnsi="宋体" w:cs="宋体" w:eastAsia="宋体" w:hint="default"/>
          <w:b/>
          <w:bCs/>
          <w:spacing w:val="39"/>
          <w:sz w:val="28"/>
          <w:szCs w:val="28"/>
        </w:rPr>
        <w:t> </w:t>
      </w:r>
      <w:r>
        <w:rPr>
          <w:rFonts w:ascii="宋体" w:hAnsi="宋体" w:cs="宋体" w:eastAsia="宋体" w:hint="default"/>
          <w:b/>
          <w:bCs/>
          <w:spacing w:val="39"/>
          <w:sz w:val="28"/>
          <w:szCs w:val="28"/>
        </w:rPr>
      </w:r>
      <w:r>
        <w:rPr>
          <w:rFonts w:ascii="宋体" w:hAnsi="宋体" w:cs="宋体" w:eastAsia="宋体" w:hint="default"/>
          <w:b/>
          <w:bCs/>
          <w:spacing w:val="-4"/>
          <w:sz w:val="28"/>
          <w:szCs w:val="28"/>
        </w:rPr>
        <w:t>员工待遇的同时，确保公司盈利能力不受影响甚至逐步增强。</w:t>
      </w:r>
      <w:r>
        <w:rPr>
          <w:rFonts w:ascii="宋体" w:hAnsi="宋体" w:cs="宋体" w:eastAsia="宋体" w:hint="default"/>
          <w:spacing w:val="-4"/>
          <w:sz w:val="28"/>
          <w:szCs w:val="28"/>
        </w:rPr>
      </w:r>
    </w:p>
    <w:p>
      <w:pPr>
        <w:tabs>
          <w:tab w:pos="1402" w:val="left" w:leader="none"/>
        </w:tabs>
        <w:spacing w:line="456" w:lineRule="auto" w:before="158"/>
        <w:ind w:left="696" w:right="1105" w:firstLine="0"/>
        <w:jc w:val="left"/>
        <w:rPr>
          <w:rFonts w:ascii="宋体" w:hAnsi="宋体" w:cs="宋体" w:eastAsia="宋体" w:hint="default"/>
          <w:sz w:val="28"/>
          <w:szCs w:val="28"/>
        </w:rPr>
      </w:pPr>
      <w:r>
        <w:rPr>
          <w:rFonts w:ascii="Times New Roman" w:hAnsi="Times New Roman" w:cs="Times New Roman" w:eastAsia="Times New Roman" w:hint="default"/>
          <w:b/>
          <w:bCs/>
          <w:spacing w:val="-4"/>
          <w:sz w:val="28"/>
          <w:szCs w:val="28"/>
        </w:rPr>
        <w:t>5</w:t>
      </w:r>
      <w:r>
        <w:rPr>
          <w:rFonts w:ascii="宋体" w:hAnsi="宋体" w:cs="宋体" w:eastAsia="宋体" w:hint="default"/>
          <w:b/>
          <w:bCs/>
          <w:spacing w:val="-4"/>
          <w:sz w:val="28"/>
          <w:szCs w:val="28"/>
        </w:rPr>
        <w:t>、</w:t>
        <w:tab/>
      </w:r>
      <w:r>
        <w:rPr>
          <w:rFonts w:ascii="宋体" w:hAnsi="宋体" w:cs="宋体" w:eastAsia="宋体" w:hint="default"/>
          <w:b/>
          <w:bCs/>
          <w:spacing w:val="-3"/>
          <w:sz w:val="28"/>
          <w:szCs w:val="28"/>
        </w:rPr>
        <w:t>人才流失风险</w:t>
      </w:r>
      <w:r>
        <w:rPr>
          <w:rFonts w:ascii="宋体" w:hAnsi="宋体" w:cs="宋体" w:eastAsia="宋体" w:hint="default"/>
          <w:b/>
          <w:bCs/>
          <w:spacing w:val="-113"/>
          <w:sz w:val="28"/>
          <w:szCs w:val="28"/>
        </w:rPr>
        <w:t> </w:t>
      </w:r>
      <w:r>
        <w:rPr>
          <w:rFonts w:ascii="宋体" w:hAnsi="宋体" w:cs="宋体" w:eastAsia="宋体" w:hint="default"/>
          <w:b/>
          <w:bCs/>
          <w:spacing w:val="-113"/>
          <w:sz w:val="28"/>
          <w:szCs w:val="28"/>
        </w:rPr>
      </w:r>
      <w:r>
        <w:rPr>
          <w:rFonts w:ascii="宋体" w:hAnsi="宋体" w:cs="宋体" w:eastAsia="宋体" w:hint="default"/>
          <w:b/>
          <w:bCs/>
          <w:spacing w:val="-1"/>
          <w:sz w:val="28"/>
          <w:szCs w:val="28"/>
        </w:rPr>
        <w:t>高素质的人才是公司事业成功的根本，随着行业竞争的日趋激烈，对人才</w:t>
      </w:r>
      <w:r>
        <w:rPr>
          <w:rFonts w:ascii="宋体" w:hAnsi="宋体" w:cs="宋体" w:eastAsia="宋体" w:hint="default"/>
          <w:spacing w:val="-1"/>
          <w:sz w:val="28"/>
          <w:szCs w:val="28"/>
        </w:rPr>
      </w:r>
    </w:p>
    <w:p>
      <w:pPr>
        <w:spacing w:line="364" w:lineRule="exact" w:before="0"/>
        <w:ind w:left="141" w:right="0" w:firstLine="0"/>
        <w:jc w:val="both"/>
        <w:rPr>
          <w:rFonts w:ascii="宋体" w:hAnsi="宋体" w:cs="宋体" w:eastAsia="宋体" w:hint="default"/>
          <w:sz w:val="28"/>
          <w:szCs w:val="28"/>
        </w:rPr>
      </w:pPr>
      <w:r>
        <w:rPr>
          <w:rFonts w:ascii="宋体" w:hAnsi="宋体" w:cs="宋体" w:eastAsia="宋体" w:hint="default"/>
          <w:b/>
          <w:bCs/>
          <w:sz w:val="28"/>
          <w:szCs w:val="28"/>
        </w:rPr>
        <w:t>的争夺亦趋于白热化，一旦公司核心人才流失，且不能及时获得相应补充，将</w:t>
      </w:r>
      <w:r>
        <w:rPr>
          <w:rFonts w:ascii="宋体" w:hAnsi="宋体" w:cs="宋体" w:eastAsia="宋体" w:hint="default"/>
          <w:sz w:val="28"/>
          <w:szCs w:val="28"/>
        </w:rPr>
      </w:r>
    </w:p>
    <w:p>
      <w:pPr>
        <w:spacing w:after="0" w:line="364" w:lineRule="exact"/>
        <w:jc w:val="both"/>
        <w:rPr>
          <w:rFonts w:ascii="宋体" w:hAnsi="宋体" w:cs="宋体" w:eastAsia="宋体" w:hint="default"/>
          <w:sz w:val="28"/>
          <w:szCs w:val="28"/>
        </w:rPr>
        <w:sectPr>
          <w:pgSz w:w="11910" w:h="16850"/>
          <w:pgMar w:header="731" w:footer="981" w:top="1040" w:bottom="1180" w:left="100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line="472" w:lineRule="auto" w:before="18"/>
        <w:ind w:left="696" w:right="1094" w:hanging="556"/>
        <w:jc w:val="left"/>
        <w:rPr>
          <w:rFonts w:ascii="宋体" w:hAnsi="宋体" w:cs="宋体" w:eastAsia="宋体" w:hint="default"/>
          <w:sz w:val="28"/>
          <w:szCs w:val="28"/>
        </w:rPr>
      </w:pPr>
      <w:r>
        <w:rPr>
          <w:rFonts w:ascii="宋体" w:hAnsi="宋体" w:cs="宋体" w:eastAsia="宋体" w:hint="default"/>
          <w:b/>
          <w:bCs/>
          <w:spacing w:val="-4"/>
          <w:sz w:val="28"/>
          <w:szCs w:val="28"/>
        </w:rPr>
        <w:t>对公司的盈利能力产生不利影响。</w:t>
      </w:r>
      <w:r>
        <w:rPr>
          <w:rFonts w:ascii="宋体" w:hAnsi="宋体" w:cs="宋体" w:eastAsia="宋体" w:hint="default"/>
          <w:b/>
          <w:bCs/>
          <w:spacing w:val="-63"/>
          <w:sz w:val="28"/>
          <w:szCs w:val="28"/>
        </w:rPr>
        <w:t> </w:t>
      </w:r>
      <w:r>
        <w:rPr>
          <w:rFonts w:ascii="宋体" w:hAnsi="宋体" w:cs="宋体" w:eastAsia="宋体" w:hint="default"/>
          <w:b/>
          <w:bCs/>
          <w:spacing w:val="-63"/>
          <w:sz w:val="28"/>
          <w:szCs w:val="28"/>
        </w:rPr>
      </w:r>
      <w:r>
        <w:rPr>
          <w:rFonts w:ascii="宋体" w:hAnsi="宋体" w:cs="宋体" w:eastAsia="宋体" w:hint="default"/>
          <w:b/>
          <w:bCs/>
          <w:spacing w:val="-6"/>
          <w:sz w:val="28"/>
          <w:szCs w:val="28"/>
        </w:rPr>
        <w:t>对此，公司通过搭建职业发展与事业追求融合一致的组织与激励约束机制，</w:t>
      </w:r>
      <w:r>
        <w:rPr>
          <w:rFonts w:ascii="宋体" w:hAnsi="宋体" w:cs="宋体" w:eastAsia="宋体" w:hint="default"/>
          <w:spacing w:val="-6"/>
          <w:sz w:val="28"/>
          <w:szCs w:val="28"/>
        </w:rPr>
      </w:r>
    </w:p>
    <w:p>
      <w:pPr>
        <w:spacing w:line="408" w:lineRule="auto" w:before="0"/>
        <w:ind w:left="141" w:right="1089" w:firstLine="0"/>
        <w:jc w:val="both"/>
        <w:rPr>
          <w:rFonts w:ascii="宋体" w:hAnsi="宋体" w:cs="宋体" w:eastAsia="宋体" w:hint="default"/>
          <w:sz w:val="28"/>
          <w:szCs w:val="28"/>
        </w:rPr>
      </w:pPr>
      <w:r>
        <w:rPr>
          <w:rFonts w:ascii="宋体" w:hAnsi="宋体" w:cs="宋体" w:eastAsia="宋体" w:hint="default"/>
          <w:b/>
          <w:bCs/>
          <w:spacing w:val="-1"/>
          <w:sz w:val="28"/>
          <w:szCs w:val="28"/>
        </w:rPr>
        <w:t>并提供有竞争力的薪酬、福利以及股权激励，建立公平的竞争晋升机制，让优</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1"/>
          <w:sz w:val="28"/>
          <w:szCs w:val="28"/>
        </w:rPr>
        <w:t>秀的人才既有良好的短期工作与生活保障，又有长远的事业追求和长期发展，</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4"/>
          <w:sz w:val="28"/>
          <w:szCs w:val="28"/>
        </w:rPr>
        <w:t>从而保证人才稳定性。</w:t>
      </w:r>
      <w:r>
        <w:rPr>
          <w:rFonts w:ascii="宋体" w:hAnsi="宋体" w:cs="宋体" w:eastAsia="宋体" w:hint="default"/>
          <w:spacing w:val="-4"/>
          <w:sz w:val="28"/>
          <w:szCs w:val="28"/>
        </w:rPr>
      </w:r>
    </w:p>
    <w:p>
      <w:pPr>
        <w:tabs>
          <w:tab w:pos="1402" w:val="left" w:leader="none"/>
        </w:tabs>
        <w:spacing w:before="158"/>
        <w:ind w:left="696" w:right="1105" w:firstLine="0"/>
        <w:jc w:val="left"/>
        <w:rPr>
          <w:rFonts w:ascii="宋体" w:hAnsi="宋体" w:cs="宋体" w:eastAsia="宋体" w:hint="default"/>
          <w:sz w:val="28"/>
          <w:szCs w:val="28"/>
        </w:rPr>
      </w:pPr>
      <w:r>
        <w:rPr>
          <w:rFonts w:ascii="Times New Roman" w:hAnsi="Times New Roman" w:cs="Times New Roman" w:eastAsia="Times New Roman" w:hint="default"/>
          <w:b/>
          <w:bCs/>
          <w:spacing w:val="-4"/>
          <w:sz w:val="28"/>
          <w:szCs w:val="28"/>
        </w:rPr>
        <w:t>6</w:t>
      </w:r>
      <w:r>
        <w:rPr>
          <w:rFonts w:ascii="宋体" w:hAnsi="宋体" w:cs="宋体" w:eastAsia="宋体" w:hint="default"/>
          <w:b/>
          <w:bCs/>
          <w:spacing w:val="-4"/>
          <w:sz w:val="28"/>
          <w:szCs w:val="28"/>
        </w:rPr>
        <w:t>、</w:t>
        <w:tab/>
      </w:r>
      <w:r>
        <w:rPr>
          <w:rFonts w:ascii="宋体" w:hAnsi="宋体" w:cs="宋体" w:eastAsia="宋体" w:hint="default"/>
          <w:b/>
          <w:bCs/>
          <w:spacing w:val="-2"/>
          <w:sz w:val="28"/>
          <w:szCs w:val="28"/>
        </w:rPr>
        <w:t>新冠疫情影响的风险</w:t>
      </w:r>
      <w:r>
        <w:rPr>
          <w:rFonts w:ascii="宋体" w:hAnsi="宋体" w:cs="宋体" w:eastAsia="宋体" w:hint="default"/>
          <w:spacing w:val="-2"/>
          <w:sz w:val="28"/>
          <w:szCs w:val="28"/>
        </w:rPr>
      </w:r>
    </w:p>
    <w:p>
      <w:pPr>
        <w:spacing w:line="240" w:lineRule="auto" w:before="8"/>
        <w:rPr>
          <w:rFonts w:ascii="宋体" w:hAnsi="宋体" w:cs="宋体" w:eastAsia="宋体" w:hint="default"/>
          <w:b/>
          <w:bCs/>
          <w:sz w:val="26"/>
          <w:szCs w:val="26"/>
        </w:rPr>
      </w:pPr>
    </w:p>
    <w:p>
      <w:pPr>
        <w:spacing w:line="398" w:lineRule="auto" w:before="0"/>
        <w:ind w:left="141" w:right="1094" w:firstLine="555"/>
        <w:jc w:val="left"/>
        <w:rPr>
          <w:rFonts w:ascii="宋体" w:hAnsi="宋体" w:cs="宋体" w:eastAsia="宋体" w:hint="default"/>
          <w:sz w:val="28"/>
          <w:szCs w:val="28"/>
        </w:rPr>
      </w:pPr>
      <w:r>
        <w:rPr>
          <w:rFonts w:ascii="Times New Roman" w:hAnsi="Times New Roman" w:cs="Times New Roman" w:eastAsia="Times New Roman" w:hint="default"/>
          <w:b/>
          <w:bCs/>
          <w:spacing w:val="-3"/>
          <w:sz w:val="28"/>
          <w:szCs w:val="28"/>
        </w:rPr>
        <w:t>2020 </w:t>
      </w:r>
      <w:r>
        <w:rPr>
          <w:rFonts w:ascii="宋体" w:hAnsi="宋体" w:cs="宋体" w:eastAsia="宋体" w:hint="default"/>
          <w:b/>
          <w:bCs/>
          <w:spacing w:val="-4"/>
          <w:sz w:val="28"/>
          <w:szCs w:val="28"/>
        </w:rPr>
        <w:t>年初开始爆发的新冠疫情对社会造成了广泛而深刻的影响。为对抗疫</w:t>
      </w:r>
      <w:r>
        <w:rPr>
          <w:rFonts w:ascii="宋体" w:hAnsi="宋体" w:cs="宋体" w:eastAsia="宋体" w:hint="default"/>
          <w:b/>
          <w:bCs/>
          <w:w w:val="101"/>
          <w:sz w:val="28"/>
          <w:szCs w:val="28"/>
        </w:rPr>
        <w:t> </w:t>
      </w:r>
      <w:r>
        <w:rPr>
          <w:rFonts w:ascii="宋体" w:hAnsi="宋体" w:cs="宋体" w:eastAsia="宋体" w:hint="default"/>
          <w:b/>
          <w:bCs/>
          <w:spacing w:val="-6"/>
          <w:sz w:val="28"/>
          <w:szCs w:val="28"/>
        </w:rPr>
        <w:t>情的蔓延，政府实施了严格的人员流动管制，造成公司在产品交付、项目实施、</w:t>
      </w:r>
      <w:r>
        <w:rPr>
          <w:rFonts w:ascii="宋体" w:hAnsi="宋体" w:cs="宋体" w:eastAsia="宋体" w:hint="default"/>
          <w:b/>
          <w:bCs/>
          <w:spacing w:val="31"/>
          <w:sz w:val="28"/>
          <w:szCs w:val="28"/>
        </w:rPr>
        <w:t> </w:t>
      </w:r>
      <w:r>
        <w:rPr>
          <w:rFonts w:ascii="宋体" w:hAnsi="宋体" w:cs="宋体" w:eastAsia="宋体" w:hint="default"/>
          <w:b/>
          <w:bCs/>
          <w:spacing w:val="31"/>
          <w:sz w:val="28"/>
          <w:szCs w:val="28"/>
        </w:rPr>
      </w:r>
      <w:r>
        <w:rPr>
          <w:rFonts w:ascii="宋体" w:hAnsi="宋体" w:cs="宋体" w:eastAsia="宋体" w:hint="default"/>
          <w:b/>
          <w:bCs/>
          <w:spacing w:val="-6"/>
          <w:sz w:val="28"/>
          <w:szCs w:val="28"/>
        </w:rPr>
        <w:t>商务谈判及业务推广等方面的效率下降。若疫情在短期内不能得到有效的控制，</w:t>
      </w:r>
      <w:r>
        <w:rPr>
          <w:rFonts w:ascii="宋体" w:hAnsi="宋体" w:cs="宋体" w:eastAsia="宋体" w:hint="default"/>
          <w:b/>
          <w:bCs/>
          <w:spacing w:val="35"/>
          <w:sz w:val="28"/>
          <w:szCs w:val="28"/>
        </w:rPr>
        <w:t> </w:t>
      </w:r>
      <w:r>
        <w:rPr>
          <w:rFonts w:ascii="宋体" w:hAnsi="宋体" w:cs="宋体" w:eastAsia="宋体" w:hint="default"/>
          <w:b/>
          <w:bCs/>
          <w:spacing w:val="35"/>
          <w:sz w:val="28"/>
          <w:szCs w:val="28"/>
        </w:rPr>
      </w:r>
      <w:r>
        <w:rPr>
          <w:rFonts w:ascii="宋体" w:hAnsi="宋体" w:cs="宋体" w:eastAsia="宋体" w:hint="default"/>
          <w:b/>
          <w:bCs/>
          <w:spacing w:val="-4"/>
          <w:sz w:val="28"/>
          <w:szCs w:val="28"/>
        </w:rPr>
        <w:t>相关工作效率的下降将导致公司产生收入增长放缓甚至下降的风险。</w:t>
      </w:r>
      <w:r>
        <w:rPr>
          <w:rFonts w:ascii="宋体" w:hAnsi="宋体" w:cs="宋体" w:eastAsia="宋体" w:hint="default"/>
          <w:spacing w:val="-4"/>
          <w:sz w:val="28"/>
          <w:szCs w:val="28"/>
        </w:rPr>
      </w:r>
    </w:p>
    <w:p>
      <w:pPr>
        <w:spacing w:line="408" w:lineRule="auto" w:before="184"/>
        <w:ind w:left="141" w:right="1089" w:firstLine="555"/>
        <w:jc w:val="both"/>
        <w:rPr>
          <w:rFonts w:ascii="宋体" w:hAnsi="宋体" w:cs="宋体" w:eastAsia="宋体" w:hint="default"/>
          <w:sz w:val="28"/>
          <w:szCs w:val="28"/>
        </w:rPr>
      </w:pPr>
      <w:r>
        <w:rPr>
          <w:rFonts w:ascii="宋体" w:hAnsi="宋体" w:cs="宋体" w:eastAsia="宋体" w:hint="default"/>
          <w:b/>
          <w:bCs/>
          <w:spacing w:val="-1"/>
          <w:sz w:val="28"/>
          <w:szCs w:val="28"/>
        </w:rPr>
        <w:t>对此，公司一方面加强组织管理能力的提升，保证远程办公的效率。另一</w:t>
      </w:r>
      <w:r>
        <w:rPr>
          <w:rFonts w:ascii="宋体" w:hAnsi="宋体" w:cs="宋体" w:eastAsia="宋体" w:hint="default"/>
          <w:b/>
          <w:bCs/>
          <w:w w:val="101"/>
          <w:sz w:val="28"/>
          <w:szCs w:val="28"/>
        </w:rPr>
        <w:t> </w:t>
      </w:r>
      <w:r>
        <w:rPr>
          <w:rFonts w:ascii="宋体" w:hAnsi="宋体" w:cs="宋体" w:eastAsia="宋体" w:hint="default"/>
          <w:b/>
          <w:bCs/>
          <w:spacing w:val="-1"/>
          <w:sz w:val="28"/>
          <w:szCs w:val="28"/>
        </w:rPr>
        <w:t>方面依托公司本地化服务团队部署的便利，在保证人员安全的前提下，公司将</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4"/>
          <w:sz w:val="28"/>
          <w:szCs w:val="28"/>
        </w:rPr>
        <w:t>积极响应、满足客户的服务需求。</w:t>
      </w:r>
      <w:r>
        <w:rPr>
          <w:rFonts w:ascii="宋体" w:hAnsi="宋体" w:cs="宋体" w:eastAsia="宋体" w:hint="default"/>
          <w:spacing w:val="-4"/>
          <w:sz w:val="28"/>
          <w:szCs w:val="28"/>
        </w:rPr>
      </w:r>
    </w:p>
    <w:p>
      <w:pPr>
        <w:spacing w:before="158"/>
        <w:ind w:left="696" w:right="0" w:firstLine="0"/>
        <w:jc w:val="left"/>
        <w:rPr>
          <w:rFonts w:ascii="宋体" w:hAnsi="宋体" w:cs="宋体" w:eastAsia="宋体" w:hint="default"/>
          <w:sz w:val="28"/>
          <w:szCs w:val="28"/>
        </w:rPr>
      </w:pPr>
      <w:r>
        <w:rPr>
          <w:rFonts w:ascii="宋体" w:hAnsi="宋体" w:cs="宋体" w:eastAsia="宋体" w:hint="default"/>
          <w:b/>
          <w:bCs/>
          <w:spacing w:val="-5"/>
          <w:sz w:val="28"/>
          <w:szCs w:val="28"/>
        </w:rPr>
        <w:t>公司经本次董事会审议通过的利润分配预案为：以 </w:t>
      </w:r>
      <w:r>
        <w:rPr>
          <w:rFonts w:ascii="Times New Roman" w:hAnsi="Times New Roman" w:cs="Times New Roman" w:eastAsia="Times New Roman" w:hint="default"/>
          <w:b/>
          <w:bCs/>
          <w:spacing w:val="-5"/>
          <w:sz w:val="28"/>
          <w:szCs w:val="28"/>
        </w:rPr>
        <w:t>680,468,891 </w:t>
      </w:r>
      <w:r>
        <w:rPr>
          <w:rFonts w:ascii="Times New Roman" w:hAnsi="Times New Roman" w:cs="Times New Roman" w:eastAsia="Times New Roman" w:hint="default"/>
          <w:b/>
          <w:bCs/>
          <w:spacing w:val="25"/>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43"/>
        <w:ind w:left="141" w:right="0" w:firstLine="0"/>
        <w:jc w:val="both"/>
        <w:rPr>
          <w:rFonts w:ascii="宋体" w:hAnsi="宋体" w:cs="宋体" w:eastAsia="宋体" w:hint="default"/>
          <w:sz w:val="28"/>
          <w:szCs w:val="28"/>
        </w:rPr>
      </w:pPr>
      <w:r>
        <w:rPr>
          <w:rFonts w:ascii="宋体" w:hAnsi="宋体" w:cs="宋体" w:eastAsia="宋体" w:hint="default"/>
          <w:b/>
          <w:bCs/>
          <w:w w:val="101"/>
          <w:sz w:val="28"/>
          <w:szCs w:val="28"/>
        </w:rPr>
        <w:t>全体股</w:t>
      </w:r>
      <w:r>
        <w:rPr>
          <w:rFonts w:ascii="宋体" w:hAnsi="宋体" w:cs="宋体" w:eastAsia="宋体" w:hint="default"/>
          <w:b/>
          <w:bCs/>
          <w:spacing w:val="-16"/>
          <w:w w:val="101"/>
          <w:sz w:val="28"/>
          <w:szCs w:val="28"/>
        </w:rPr>
        <w:t>东</w:t>
      </w:r>
      <w:r>
        <w:rPr>
          <w:rFonts w:ascii="宋体" w:hAnsi="宋体" w:cs="宋体" w:eastAsia="宋体" w:hint="default"/>
          <w:b/>
          <w:bCs/>
          <w:w w:val="101"/>
          <w:sz w:val="28"/>
          <w:szCs w:val="28"/>
        </w:rPr>
        <w:t>每</w:t>
      </w:r>
      <w:r>
        <w:rPr>
          <w:rFonts w:ascii="宋体" w:hAnsi="宋体" w:cs="宋体" w:eastAsia="宋体" w:hint="default"/>
          <w:b/>
          <w:bCs/>
          <w:spacing w:val="-67"/>
          <w:sz w:val="28"/>
          <w:szCs w:val="28"/>
        </w:rPr>
        <w:t> </w:t>
      </w:r>
      <w:r>
        <w:rPr>
          <w:rFonts w:ascii="Times New Roman" w:hAnsi="Times New Roman" w:cs="Times New Roman" w:eastAsia="Times New Roman" w:hint="default"/>
          <w:b/>
          <w:bCs/>
          <w:spacing w:val="-8"/>
          <w:w w:val="101"/>
          <w:sz w:val="28"/>
          <w:szCs w:val="28"/>
        </w:rPr>
        <w:t>1</w:t>
      </w:r>
      <w:r>
        <w:rPr>
          <w:rFonts w:ascii="Times New Roman" w:hAnsi="Times New Roman" w:cs="Times New Roman" w:eastAsia="Times New Roman" w:hint="default"/>
          <w:b/>
          <w:bCs/>
          <w:w w:val="101"/>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101"/>
          <w:sz w:val="28"/>
          <w:szCs w:val="28"/>
        </w:rPr>
        <w:t>股派发现</w:t>
      </w:r>
      <w:r>
        <w:rPr>
          <w:rFonts w:ascii="宋体" w:hAnsi="宋体" w:cs="宋体" w:eastAsia="宋体" w:hint="default"/>
          <w:b/>
          <w:bCs/>
          <w:spacing w:val="-16"/>
          <w:w w:val="101"/>
          <w:sz w:val="28"/>
          <w:szCs w:val="28"/>
        </w:rPr>
        <w:t>金</w:t>
      </w:r>
      <w:r>
        <w:rPr>
          <w:rFonts w:ascii="宋体" w:hAnsi="宋体" w:cs="宋体" w:eastAsia="宋体" w:hint="default"/>
          <w:b/>
          <w:bCs/>
          <w:w w:val="101"/>
          <w:sz w:val="28"/>
          <w:szCs w:val="28"/>
        </w:rPr>
        <w:t>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101"/>
          <w:sz w:val="28"/>
          <w:szCs w:val="28"/>
        </w:rPr>
        <w:t>1</w:t>
      </w:r>
      <w:r>
        <w:rPr>
          <w:rFonts w:ascii="Times New Roman" w:hAnsi="Times New Roman" w:cs="Times New Roman" w:eastAsia="Times New Roman" w:hint="default"/>
          <w:b/>
          <w:bCs/>
          <w:spacing w:val="-18"/>
          <w:sz w:val="28"/>
          <w:szCs w:val="28"/>
        </w:rPr>
        <w:t> </w:t>
      </w:r>
      <w:r>
        <w:rPr>
          <w:rFonts w:ascii="宋体" w:hAnsi="宋体" w:cs="宋体" w:eastAsia="宋体" w:hint="default"/>
          <w:b/>
          <w:bCs/>
          <w:spacing w:val="-16"/>
          <w:w w:val="101"/>
          <w:sz w:val="28"/>
          <w:szCs w:val="28"/>
        </w:rPr>
        <w:t>元</w:t>
      </w:r>
      <w:r>
        <w:rPr>
          <w:rFonts w:ascii="宋体" w:hAnsi="宋体" w:cs="宋体" w:eastAsia="宋体" w:hint="default"/>
          <w:b/>
          <w:bCs/>
          <w:w w:val="101"/>
          <w:sz w:val="28"/>
          <w:szCs w:val="28"/>
        </w:rPr>
        <w:t>（含</w:t>
      </w:r>
      <w:r>
        <w:rPr>
          <w:rFonts w:ascii="宋体" w:hAnsi="宋体" w:cs="宋体" w:eastAsia="宋体" w:hint="default"/>
          <w:b/>
          <w:bCs/>
          <w:spacing w:val="-16"/>
          <w:w w:val="101"/>
          <w:sz w:val="28"/>
          <w:szCs w:val="28"/>
        </w:rPr>
        <w:t>税</w:t>
      </w:r>
      <w:r>
        <w:rPr>
          <w:rFonts w:ascii="宋体" w:hAnsi="宋体" w:cs="宋体" w:eastAsia="宋体" w:hint="default"/>
          <w:b/>
          <w:bCs/>
          <w:spacing w:val="-136"/>
          <w:w w:val="101"/>
          <w:sz w:val="28"/>
          <w:szCs w:val="28"/>
        </w:rPr>
        <w:t>）</w:t>
      </w:r>
      <w:r>
        <w:rPr>
          <w:rFonts w:ascii="宋体" w:hAnsi="宋体" w:cs="宋体" w:eastAsia="宋体" w:hint="default"/>
          <w:b/>
          <w:bCs/>
          <w:spacing w:val="-16"/>
          <w:w w:val="101"/>
          <w:sz w:val="28"/>
          <w:szCs w:val="28"/>
        </w:rPr>
        <w:t>，送</w:t>
      </w:r>
      <w:r>
        <w:rPr>
          <w:rFonts w:ascii="宋体" w:hAnsi="宋体" w:cs="宋体" w:eastAsia="宋体" w:hint="default"/>
          <w:b/>
          <w:bCs/>
          <w:w w:val="101"/>
          <w:sz w:val="28"/>
          <w:szCs w:val="28"/>
        </w:rPr>
        <w:t>红股</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101"/>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30"/>
          <w:w w:val="101"/>
          <w:sz w:val="28"/>
          <w:szCs w:val="28"/>
        </w:rPr>
        <w:t>股</w:t>
      </w:r>
      <w:r>
        <w:rPr>
          <w:rFonts w:ascii="宋体" w:hAnsi="宋体" w:cs="宋体" w:eastAsia="宋体" w:hint="default"/>
          <w:b/>
          <w:bCs/>
          <w:w w:val="101"/>
          <w:sz w:val="28"/>
          <w:szCs w:val="28"/>
        </w:rPr>
        <w:t>（含</w:t>
      </w:r>
      <w:r>
        <w:rPr>
          <w:rFonts w:ascii="宋体" w:hAnsi="宋体" w:cs="宋体" w:eastAsia="宋体" w:hint="default"/>
          <w:b/>
          <w:bCs/>
          <w:spacing w:val="-16"/>
          <w:w w:val="101"/>
          <w:sz w:val="28"/>
          <w:szCs w:val="28"/>
        </w:rPr>
        <w:t>税</w:t>
      </w:r>
      <w:r>
        <w:rPr>
          <w:rFonts w:ascii="宋体" w:hAnsi="宋体" w:cs="宋体" w:eastAsia="宋体" w:hint="default"/>
          <w:b/>
          <w:bCs/>
          <w:spacing w:val="-136"/>
          <w:w w:val="101"/>
          <w:sz w:val="28"/>
          <w:szCs w:val="28"/>
        </w:rPr>
        <w:t>）</w:t>
      </w:r>
      <w:r>
        <w:rPr>
          <w:rFonts w:ascii="宋体" w:hAnsi="宋体" w:cs="宋体" w:eastAsia="宋体" w:hint="default"/>
          <w:b/>
          <w:bCs/>
          <w:spacing w:val="-16"/>
          <w:w w:val="101"/>
          <w:sz w:val="28"/>
          <w:szCs w:val="28"/>
        </w:rPr>
        <w:t>，</w:t>
      </w:r>
      <w:r>
        <w:rPr>
          <w:rFonts w:ascii="宋体" w:hAnsi="宋体" w:cs="宋体" w:eastAsia="宋体" w:hint="default"/>
          <w:b/>
          <w:bCs/>
          <w:w w:val="101"/>
          <w:sz w:val="28"/>
          <w:szCs w:val="28"/>
        </w:rPr>
        <w:t>以</w:t>
      </w:r>
      <w:r>
        <w:rPr>
          <w:rFonts w:ascii="宋体" w:hAnsi="宋体" w:cs="宋体" w:eastAsia="宋体" w:hint="default"/>
          <w:b/>
          <w:bCs/>
          <w:spacing w:val="-16"/>
          <w:w w:val="101"/>
          <w:sz w:val="28"/>
          <w:szCs w:val="28"/>
        </w:rPr>
        <w:t>资</w:t>
      </w:r>
      <w:r>
        <w:rPr>
          <w:rFonts w:ascii="宋体" w:hAnsi="宋体" w:cs="宋体" w:eastAsia="宋体" w:hint="default"/>
          <w:b/>
          <w:bCs/>
          <w:w w:val="101"/>
          <w:sz w:val="28"/>
          <w:szCs w:val="28"/>
        </w:rPr>
        <w:t>本公积</w:t>
      </w:r>
      <w:r>
        <w:rPr>
          <w:rFonts w:ascii="宋体" w:hAnsi="宋体" w:cs="宋体" w:eastAsia="宋体" w:hint="default"/>
          <w:sz w:val="28"/>
          <w:szCs w:val="28"/>
        </w:rPr>
      </w:r>
    </w:p>
    <w:p>
      <w:pPr>
        <w:spacing w:before="228"/>
        <w:ind w:left="141" w:right="0" w:firstLine="0"/>
        <w:jc w:val="both"/>
        <w:rPr>
          <w:rFonts w:ascii="宋体" w:hAnsi="宋体" w:cs="宋体" w:eastAsia="宋体" w:hint="default"/>
          <w:sz w:val="28"/>
          <w:szCs w:val="28"/>
        </w:rPr>
      </w:pPr>
      <w:r>
        <w:rPr>
          <w:rFonts w:ascii="宋体" w:hAnsi="宋体" w:cs="宋体" w:eastAsia="宋体" w:hint="default"/>
          <w:b/>
          <w:bCs/>
          <w:spacing w:val="-3"/>
          <w:sz w:val="28"/>
          <w:szCs w:val="28"/>
        </w:rPr>
        <w:t>金向全体股东每</w:t>
      </w:r>
      <w:r>
        <w:rPr>
          <w:rFonts w:ascii="宋体" w:hAnsi="宋体" w:cs="宋体" w:eastAsia="宋体" w:hint="default"/>
          <w:b/>
          <w:bCs/>
          <w:spacing w:val="-50"/>
          <w:sz w:val="28"/>
          <w:szCs w:val="28"/>
        </w:rPr>
        <w:t> </w:t>
      </w:r>
      <w:r>
        <w:rPr>
          <w:rFonts w:ascii="Times New Roman" w:hAnsi="Times New Roman" w:cs="Times New Roman" w:eastAsia="Times New Roman" w:hint="default"/>
          <w:b/>
          <w:bCs/>
          <w:spacing w:val="-4"/>
          <w:sz w:val="28"/>
          <w:szCs w:val="28"/>
        </w:rPr>
        <w:t>10</w:t>
      </w:r>
      <w:r>
        <w:rPr>
          <w:rFonts w:ascii="Times New Roman" w:hAnsi="Times New Roman" w:cs="Times New Roman" w:eastAsia="Times New Roman" w:hint="default"/>
          <w:b/>
          <w:bCs/>
          <w:spacing w:val="13"/>
          <w:sz w:val="28"/>
          <w:szCs w:val="28"/>
        </w:rPr>
        <w:t> </w:t>
      </w:r>
      <w:r>
        <w:rPr>
          <w:rFonts w:ascii="宋体" w:hAnsi="宋体" w:cs="宋体" w:eastAsia="宋体" w:hint="default"/>
          <w:b/>
          <w:bCs/>
          <w:spacing w:val="-6"/>
          <w:sz w:val="28"/>
          <w:szCs w:val="28"/>
        </w:rPr>
        <w:t>股转增</w:t>
      </w:r>
      <w:r>
        <w:rPr>
          <w:rFonts w:ascii="宋体" w:hAnsi="宋体" w:cs="宋体" w:eastAsia="宋体" w:hint="default"/>
          <w:b/>
          <w:bCs/>
          <w:spacing w:val="-50"/>
          <w:sz w:val="28"/>
          <w:szCs w:val="28"/>
        </w:rPr>
        <w:t> </w:t>
      </w:r>
      <w:r>
        <w:rPr>
          <w:rFonts w:ascii="Times New Roman" w:hAnsi="Times New Roman" w:cs="Times New Roman" w:eastAsia="Times New Roman" w:hint="default"/>
          <w:b/>
          <w:bCs/>
          <w:sz w:val="28"/>
          <w:szCs w:val="28"/>
        </w:rPr>
        <w:t>5</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50"/>
          <w:pgMar w:header="731" w:footer="981" w:top="1040" w:bottom="1180" w:left="100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51"/>
        <w:ind w:left="2766" w:right="375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2">
            <w:r>
              <w:rPr/>
              <w:t>第一节</w:t>
            </w:r>
            <w:r>
              <w:rPr>
                <w:spacing w:val="-16"/>
              </w:rPr>
              <w:t> </w:t>
            </w:r>
            <w:r>
              <w:rPr/>
              <w:t>重要提示、目录和释义</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before="148"/>
            <w:ind w:right="0"/>
            <w:jc w:val="left"/>
            <w:rPr>
              <w:rFonts w:ascii="Times New Roman" w:hAnsi="Times New Roman" w:cs="Times New Roman" w:eastAsia="Times New Roman" w:hint="default"/>
              <w:b w:val="0"/>
              <w:bCs w:val="0"/>
            </w:rPr>
          </w:pPr>
          <w:hyperlink w:history="true" w:anchor="_TOC_250011">
            <w:r>
              <w:rPr/>
              <w:t>第二节</w:t>
            </w:r>
            <w:r>
              <w:rPr>
                <w:spacing w:val="-16"/>
              </w:rPr>
              <w:t> </w:t>
            </w:r>
            <w:r>
              <w:rPr/>
              <w:t>公司简介和主要财务指标</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第三节</w:t>
            </w:r>
            <w:r>
              <w:rPr>
                <w:spacing w:val="-17"/>
              </w:rPr>
              <w:t> </w:t>
            </w:r>
            <w:r>
              <w:rPr/>
              <w:t>公司业务概要</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9782" w:val="right" w:leader="dot"/>
            </w:tabs>
            <w:spacing w:line="240" w:lineRule="auto" w:before="162"/>
            <w:ind w:right="0"/>
            <w:jc w:val="left"/>
            <w:rPr>
              <w:rFonts w:ascii="Times New Roman" w:hAnsi="Times New Roman" w:cs="Times New Roman" w:eastAsia="Times New Roman" w:hint="default"/>
              <w:b w:val="0"/>
              <w:bCs w:val="0"/>
            </w:rPr>
          </w:pPr>
          <w:hyperlink w:history="true" w:anchor="_TOC_250009">
            <w:r>
              <w:rPr/>
              <w:t>第四节</w:t>
            </w:r>
            <w:r>
              <w:rPr>
                <w:spacing w:val="-16"/>
              </w:rPr>
              <w:t> </w:t>
            </w:r>
            <w:r>
              <w:rPr/>
              <w:t>经营情况讨论与分析</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第五节</w:t>
            </w:r>
            <w:r>
              <w:rPr>
                <w:spacing w:val="-17"/>
              </w:rPr>
              <w:t> </w:t>
            </w:r>
            <w:r>
              <w:rPr/>
              <w:t>重要事项</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第六节</w:t>
            </w:r>
            <w:r>
              <w:rPr>
                <w:spacing w:val="-16"/>
              </w:rPr>
              <w:t> </w:t>
            </w:r>
            <w:r>
              <w:rPr/>
              <w:t>股份变动及股东情况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2" w:val="right" w:leader="dot"/>
            </w:tabs>
            <w:spacing w:line="240" w:lineRule="auto" w:before="148"/>
            <w:ind w:right="0"/>
            <w:jc w:val="left"/>
            <w:rPr>
              <w:rFonts w:ascii="Times New Roman" w:hAnsi="Times New Roman" w:cs="Times New Roman" w:eastAsia="Times New Roman" w:hint="default"/>
              <w:b w:val="0"/>
              <w:bCs w:val="0"/>
            </w:rPr>
          </w:pPr>
          <w:hyperlink w:history="true" w:anchor="_TOC_250006">
            <w:r>
              <w:rPr/>
              <w:t>第七节</w:t>
            </w:r>
            <w:r>
              <w:rPr>
                <w:spacing w:val="-17"/>
              </w:rPr>
              <w:t> </w:t>
            </w:r>
            <w:r>
              <w:rPr>
                <w:spacing w:val="2"/>
              </w:rPr>
              <w:t>优先股相关情况</w:t>
            </w:r>
            <w:r>
              <w:rPr>
                <w:rFonts w:ascii="Times New Roman" w:hAnsi="Times New Roman" w:cs="Times New Roman" w:eastAsia="Times New Roman" w:hint="default"/>
                <w:spacing w:val="2"/>
              </w:rPr>
              <w:tab/>
            </w:r>
            <w:r>
              <w:rPr>
                <w:rFonts w:ascii="Times New Roman" w:hAnsi="Times New Roman" w:cs="Times New Roman" w:eastAsia="Times New Roman" w:hint="default"/>
              </w:rPr>
              <w:t>73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第八节</w:t>
            </w:r>
            <w:r>
              <w:rPr>
                <w:spacing w:val="-16"/>
              </w:rPr>
              <w:t> </w:t>
            </w:r>
            <w:r>
              <w:rPr/>
              <w:t>可转换公司债券相关情况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第九节</w:t>
            </w:r>
            <w:r>
              <w:rPr>
                <w:spacing w:val="-17"/>
              </w:rPr>
              <w:t> </w:t>
            </w:r>
            <w:r>
              <w:rPr/>
              <w:t>董事、监事、高级管理人员和员工情况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第十节</w:t>
            </w:r>
            <w:r>
              <w:rPr>
                <w:spacing w:val="-17"/>
              </w:rPr>
              <w:t> </w:t>
            </w:r>
            <w:r>
              <w:rPr/>
              <w:t>公司治理</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2" w:val="right" w:leader="dot"/>
            </w:tabs>
            <w:spacing w:line="240" w:lineRule="auto" w:before="162"/>
            <w:ind w:right="0"/>
            <w:jc w:val="left"/>
            <w:rPr>
              <w:rFonts w:ascii="Times New Roman" w:hAnsi="Times New Roman" w:cs="Times New Roman" w:eastAsia="Times New Roman" w:hint="default"/>
              <w:b w:val="0"/>
              <w:bCs w:val="0"/>
            </w:rPr>
          </w:pPr>
          <w:hyperlink w:history="true" w:anchor="_TOC_250002">
            <w:r>
              <w:rPr/>
              <w:t>第十一节</w:t>
            </w:r>
            <w:r>
              <w:rPr>
                <w:spacing w:val="-16"/>
              </w:rPr>
              <w:t> </w:t>
            </w:r>
            <w:r>
              <w:rPr/>
              <w:t>公司债券相关情况</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782" w:val="right" w:leader="dot"/>
            </w:tabs>
            <w:spacing w:line="240" w:lineRule="auto" w:before="148"/>
            <w:ind w:right="0"/>
            <w:jc w:val="left"/>
            <w:rPr>
              <w:rFonts w:ascii="Times New Roman" w:hAnsi="Times New Roman" w:cs="Times New Roman" w:eastAsia="Times New Roman" w:hint="default"/>
              <w:b w:val="0"/>
              <w:bCs w:val="0"/>
            </w:rPr>
          </w:pPr>
          <w:hyperlink w:history="true" w:anchor="_TOC_250001">
            <w:r>
              <w:rPr/>
              <w:t>第十二节</w:t>
            </w:r>
            <w:r>
              <w:rPr>
                <w:spacing w:val="-17"/>
              </w:rPr>
              <w:t> </w:t>
            </w:r>
            <w:r>
              <w:rPr/>
              <w:t>财务报告</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第十三节</w:t>
            </w:r>
            <w:r>
              <w:rPr>
                <w:spacing w:val="-17"/>
              </w:rPr>
              <w:t> </w:t>
            </w:r>
            <w:r>
              <w:rPr>
                <w:spacing w:val="2"/>
              </w:rPr>
              <w:t>备查文件目录</w:t>
            </w:r>
            <w:r>
              <w:rPr>
                <w:rFonts w:ascii="Times New Roman" w:hAnsi="Times New Roman" w:cs="Times New Roman" w:eastAsia="Times New Roman" w:hint="default"/>
                <w:spacing w:val="2"/>
              </w:rPr>
              <w:tab/>
            </w:r>
            <w:r>
              <w:rPr>
                <w:rFonts w:ascii="Times New Roman" w:hAnsi="Times New Roman" w:cs="Times New Roman" w:eastAsia="Times New Roman" w:hint="default"/>
              </w:rPr>
              <w:t>89</w:t>
            </w:r>
            <w:r>
              <w:rPr>
                <w:rFonts w:ascii="Times New Roman" w:hAnsi="Times New Roman" w:cs="Times New Roman" w:eastAsia="Times New Roman" w:hint="default"/>
                <w:b w:val="0"/>
                <w:bCs w:val="0"/>
              </w:rPr>
            </w:r>
          </w:hyperlink>
        </w:p>
        <w:p>
          <w:pPr/>
          <w:r>
            <w:fldChar w:fldCharType="end"/>
          </w:r>
        </w:p>
      </w:sdtContent>
    </w:sdt>
    <w:p>
      <w:pPr>
        <w:spacing w:after="0"/>
        <w:sectPr>
          <w:pgSz w:w="11910" w:h="16850"/>
          <w:pgMar w:header="731" w:footer="981" w:top="1040" w:bottom="1180" w:left="1000" w:right="0"/>
        </w:sectPr>
      </w:pPr>
    </w:p>
    <w:p>
      <w:pPr>
        <w:spacing w:before="953"/>
        <w:ind w:left="2782" w:right="3736" w:firstLine="0"/>
        <w:jc w:val="center"/>
        <w:rPr>
          <w:rFonts w:ascii="宋体" w:hAnsi="宋体" w:cs="宋体" w:eastAsia="宋体" w:hint="default"/>
          <w:sz w:val="31"/>
          <w:szCs w:val="31"/>
        </w:rPr>
      </w:pPr>
      <w:r>
        <w:rPr>
          <w:rFonts w:ascii="宋体" w:hAnsi="宋体" w:cs="宋体" w:eastAsia="宋体" w:hint="default"/>
          <w:b/>
          <w:bCs/>
          <w:spacing w:val="14"/>
          <w:sz w:val="31"/>
          <w:szCs w:val="31"/>
        </w:rPr>
        <w:t>释义</w:t>
      </w:r>
      <w:r>
        <w:rPr>
          <w:rFonts w:ascii="宋体" w:hAnsi="宋体" w:cs="宋体" w:eastAsia="宋体" w:hint="default"/>
          <w:sz w:val="31"/>
          <w:szCs w:val="3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545"/>
        <w:gridCol w:w="593"/>
        <w:gridCol w:w="5444"/>
      </w:tblGrid>
      <w:tr>
        <w:trPr>
          <w:trHeight w:val="405" w:hRule="exact"/>
        </w:trPr>
        <w:tc>
          <w:tcPr>
            <w:tcW w:w="35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一、简称</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
        </w:tc>
      </w:tr>
      <w:tr>
        <w:trPr>
          <w:trHeight w:val="391"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朗新科技、本公司、公司</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朗新科技集团股份有限公司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朗新科技集团、本集团、集团</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朗新科技集团股份有限公司及子公司的合称</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国网、国家电网</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国家电网公司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南网、南方电网</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中国南方电网有限责任公司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390"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朗新科技集团股份有限公司董事会</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朗新科技集团股份有限公司监事会</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朗新科技集团股份有限公司股东大会</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r>
        <w:trPr>
          <w:trHeight w:val="390"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朗新金关</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朗新金关信息科技有限公司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天正信华</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北京天正信华科技有限公司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易视腾、易视腾科技</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易视腾科技股份有限公司</w:t>
            </w:r>
          </w:p>
        </w:tc>
      </w:tr>
      <w:tr>
        <w:trPr>
          <w:trHeight w:val="391"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众畅科技</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众畅科技有限公司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邦道科技</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邦道科技有限公司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北京朗新</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北京朗新科技有限公司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朗新智能</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杭州朗新智能技术有限公司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新耀能源</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新耀能源科技有限公司</w:t>
            </w:r>
          </w:p>
        </w:tc>
      </w:tr>
      <w:tr>
        <w:trPr>
          <w:trHeight w:val="390"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合肥新耀</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合肥新耀科技有限公司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朗新投资管理</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朗新投资管理无锡有限公司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朗新数据</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朗新数据科技有限公司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朗新云商</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朗新云商科技有限公司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瀚云科技</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瀚云科技有限公司</w:t>
            </w:r>
          </w:p>
        </w:tc>
      </w:tr>
      <w:tr>
        <w:trPr>
          <w:trHeight w:val="391"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朗新智元</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朗新智元有限公司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云筑智联</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云筑智联有限公司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涵谷科技</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涵谷科技有限公司</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pStyle w:val="BodyText"/>
        <w:spacing w:line="240" w:lineRule="auto"/>
        <w:ind w:left="0" w:right="1127"/>
        <w:jc w:val="right"/>
      </w:pPr>
      <w:r>
        <w:rPr/>
        <w:pict>
          <v:shape style="position:absolute;margin-left:56.325001pt;margin-top:-251.458267pt;width:480.25pt;height:469.1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0"/>
                    <w:gridCol w:w="616"/>
                    <w:gridCol w:w="5437"/>
                  </w:tblGrid>
                  <w:tr>
                    <w:trPr>
                      <w:trHeight w:val="405"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无锡智丰</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无锡智丰投资合伙企业（有限合伙）</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视加慧联</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视加慧联科技有限公司</w:t>
                        </w:r>
                      </w:p>
                    </w:tc>
                  </w:tr>
                  <w:tr>
                    <w:trPr>
                      <w:trHeight w:val="390"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深圳云之尚</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深圳市云之尚网络科技有限公司</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数联互动</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数联互动网络科技有限公司</w:t>
                        </w:r>
                      </w:p>
                    </w:tc>
                  </w:tr>
                  <w:tr>
                    <w:trPr>
                      <w:trHeight w:val="406"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易视星空</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易视星空科技无锡有限公司</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普华永道</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普华永道中天会计师事务所（特殊普通合伙）</w:t>
                        </w:r>
                      </w:p>
                    </w:tc>
                  </w:tr>
                  <w:tr>
                    <w:trPr>
                      <w:trHeight w:val="406"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上海云钜</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上海云钜创业投资有限公司</w:t>
                        </w:r>
                      </w:p>
                    </w:tc>
                  </w:tr>
                  <w:tr>
                    <w:trPr>
                      <w:trHeight w:val="390"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无锡朴元</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无锡朴元投资合伙企业（有限合伙）</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二、专业术语</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CMMI</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30"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Capability Maturity </w:t>
                        </w:r>
                        <w:r>
                          <w:rPr>
                            <w:rFonts w:ascii="Times New Roman" w:hAnsi="Times New Roman" w:cs="Times New Roman" w:eastAsia="Times New Roman" w:hint="default"/>
                            <w:spacing w:val="2"/>
                            <w:sz w:val="18"/>
                            <w:szCs w:val="18"/>
                          </w:rPr>
                          <w:t>Model</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Integration</w:t>
                        </w:r>
                        <w:r>
                          <w:rPr>
                            <w:rFonts w:ascii="宋体" w:hAnsi="宋体" w:cs="宋体" w:eastAsia="宋体" w:hint="default"/>
                            <w:sz w:val="18"/>
                            <w:szCs w:val="18"/>
                          </w:rPr>
                          <w:t>（软件能力成熟度模型集成）的 </w:t>
                        </w:r>
                        <w:r>
                          <w:rPr>
                            <w:rFonts w:ascii="宋体" w:hAnsi="宋体" w:cs="宋体" w:eastAsia="宋体" w:hint="default"/>
                            <w:spacing w:val="-2"/>
                            <w:sz w:val="18"/>
                            <w:szCs w:val="18"/>
                          </w:rPr>
                          <w:t>简称，是一套融合多学科的、可扩充的产品集合，其研制的初步动机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是为了利用两个或多个单一学科的模型实现一个组织的集成化过程</w:t>
                        </w:r>
                      </w:p>
                      <w:p>
                        <w:pPr>
                          <w:pStyle w:val="TableParagraph"/>
                          <w:spacing w:line="240" w:lineRule="auto" w:before="37"/>
                          <w:ind w:left="30" w:right="0"/>
                          <w:jc w:val="left"/>
                          <w:rPr>
                            <w:rFonts w:ascii="宋体" w:hAnsi="宋体" w:cs="宋体" w:eastAsia="宋体" w:hint="default"/>
                            <w:sz w:val="18"/>
                            <w:szCs w:val="18"/>
                          </w:rPr>
                        </w:pPr>
                        <w:r>
                          <w:rPr>
                            <w:rFonts w:ascii="宋体" w:hAnsi="宋体" w:cs="宋体" w:eastAsia="宋体" w:hint="default"/>
                            <w:sz w:val="18"/>
                            <w:szCs w:val="18"/>
                          </w:rPr>
                          <w:t>改进，本质是软件管理工程的一个部分。</w:t>
                        </w:r>
                      </w:p>
                    </w:tc>
                  </w:tr>
                  <w:tr>
                    <w:trPr>
                      <w:trHeight w:val="1036"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pacing w:val="2"/>
                            <w:sz w:val="18"/>
                          </w:rPr>
                          <w:t>PMBOK</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30"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Project </w:t>
                        </w:r>
                        <w:r>
                          <w:rPr>
                            <w:rFonts w:ascii="Times New Roman" w:hAnsi="Times New Roman" w:cs="Times New Roman" w:eastAsia="Times New Roman" w:hint="default"/>
                            <w:spacing w:val="-3"/>
                            <w:sz w:val="18"/>
                            <w:szCs w:val="18"/>
                          </w:rPr>
                          <w:t>Management </w:t>
                        </w:r>
                        <w:r>
                          <w:rPr>
                            <w:rFonts w:ascii="Times New Roman" w:hAnsi="Times New Roman" w:cs="Times New Roman" w:eastAsia="Times New Roman" w:hint="default"/>
                            <w:sz w:val="18"/>
                            <w:szCs w:val="18"/>
                          </w:rPr>
                          <w:t>Body Of</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5"/>
                            <w:sz w:val="18"/>
                            <w:szCs w:val="18"/>
                          </w:rPr>
                          <w:t>Knowledge</w:t>
                        </w:r>
                        <w:r>
                          <w:rPr>
                            <w:rFonts w:ascii="宋体" w:hAnsi="宋体" w:cs="宋体" w:eastAsia="宋体" w:hint="default"/>
                            <w:spacing w:val="-5"/>
                            <w:sz w:val="18"/>
                            <w:szCs w:val="18"/>
                          </w:rPr>
                          <w:t>（项目管理知识体系）的简称</w:t>
                        </w:r>
                        <w:r>
                          <w:rPr>
                            <w:rFonts w:ascii="宋体" w:hAnsi="宋体" w:cs="宋体" w:eastAsia="宋体" w:hint="default"/>
                            <w:w w:val="99"/>
                            <w:sz w:val="18"/>
                            <w:szCs w:val="18"/>
                          </w:rPr>
                          <w:t> </w:t>
                        </w:r>
                        <w:r>
                          <w:rPr>
                            <w:rFonts w:ascii="宋体" w:hAnsi="宋体" w:cs="宋体" w:eastAsia="宋体" w:hint="default"/>
                            <w:sz w:val="18"/>
                            <w:szCs w:val="18"/>
                          </w:rPr>
                          <w:t>是美国项目管理协会（</w:t>
                        </w:r>
                        <w:r>
                          <w:rPr>
                            <w:rFonts w:ascii="Times New Roman" w:hAnsi="Times New Roman" w:cs="Times New Roman" w:eastAsia="Times New Roman" w:hint="default"/>
                            <w:sz w:val="18"/>
                            <w:szCs w:val="18"/>
                          </w:rPr>
                          <w:t>PMI</w:t>
                        </w:r>
                        <w:r>
                          <w:rPr>
                            <w:rFonts w:ascii="宋体" w:hAnsi="宋体" w:cs="宋体" w:eastAsia="宋体" w:hint="default"/>
                            <w:sz w:val="18"/>
                            <w:szCs w:val="18"/>
                          </w:rPr>
                          <w:t>）对项目管理所需的知识、技能和工具进</w:t>
                        </w:r>
                        <w:r>
                          <w:rPr>
                            <w:rFonts w:ascii="宋体" w:hAnsi="宋体" w:cs="宋体" w:eastAsia="宋体" w:hint="default"/>
                            <w:spacing w:val="-81"/>
                            <w:sz w:val="18"/>
                            <w:szCs w:val="18"/>
                          </w:rPr>
                          <w:t> </w:t>
                        </w:r>
                        <w:r>
                          <w:rPr>
                            <w:rFonts w:ascii="宋体" w:hAnsi="宋体" w:cs="宋体" w:eastAsia="宋体" w:hint="default"/>
                            <w:sz w:val="18"/>
                            <w:szCs w:val="18"/>
                          </w:rPr>
                          <w:t>行的概括性描述，把项目管理划分为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个知识领域。</w:t>
                        </w:r>
                      </w:p>
                    </w:tc>
                  </w:tr>
                  <w:tr>
                    <w:trPr>
                      <w:trHeight w:val="1336"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5"/>
                          <w:ind w:left="30"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Cloudcomputing</w:t>
                        </w:r>
                        <w:r>
                          <w:rPr>
                            <w:rFonts w:ascii="宋体" w:hAnsi="宋体" w:cs="宋体" w:eastAsia="宋体" w:hint="default"/>
                            <w:sz w:val="18"/>
                            <w:szCs w:val="18"/>
                          </w:rPr>
                          <w:t>，是基于互联网的相关服务的增加、使用和交付模式 </w:t>
                        </w:r>
                        <w:r>
                          <w:rPr>
                            <w:rFonts w:ascii="宋体" w:hAnsi="宋体" w:cs="宋体" w:eastAsia="宋体" w:hint="default"/>
                            <w:spacing w:val="-2"/>
                            <w:sz w:val="18"/>
                            <w:szCs w:val="18"/>
                          </w:rPr>
                          <w:t>通常涉及通过互联网来提供动态易扩展且经常是虚拟化的资源，是分</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1"/>
                            <w:sz w:val="18"/>
                            <w:szCs w:val="18"/>
                          </w:rPr>
                          <w:t>布式计算、并行计算、效用计算、网络存储、虚拟化、负载均衡、热</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备份冗余等传统计算机和网络技术发展融合的产物。</w:t>
                        </w:r>
                      </w:p>
                    </w:tc>
                  </w:tr>
                  <w:tr>
                    <w:trPr>
                      <w:trHeight w:val="1021"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19"/>
                          <w:jc w:val="both"/>
                          <w:rPr>
                            <w:rFonts w:ascii="宋体" w:hAnsi="宋体" w:cs="宋体" w:eastAsia="宋体" w:hint="default"/>
                            <w:sz w:val="18"/>
                            <w:szCs w:val="18"/>
                          </w:rPr>
                        </w:pPr>
                        <w:r>
                          <w:rPr>
                            <w:rFonts w:ascii="宋体" w:hAnsi="宋体" w:cs="宋体" w:eastAsia="宋体" w:hint="default"/>
                            <w:spacing w:val="-1"/>
                            <w:sz w:val="18"/>
                            <w:szCs w:val="18"/>
                          </w:rPr>
                          <w:t>一个基于互联网、传统电信网等信息承载体，让所有能够被独立寻址</w:t>
                        </w:r>
                        <w:r>
                          <w:rPr>
                            <w:rFonts w:ascii="宋体" w:hAnsi="宋体" w:cs="宋体" w:eastAsia="宋体" w:hint="default"/>
                            <w:sz w:val="18"/>
                            <w:szCs w:val="18"/>
                          </w:rPr>
                          <w:t> </w:t>
                        </w:r>
                        <w:r>
                          <w:rPr>
                            <w:rFonts w:ascii="宋体" w:hAnsi="宋体" w:cs="宋体" w:eastAsia="宋体" w:hint="default"/>
                            <w:spacing w:val="-2"/>
                            <w:sz w:val="18"/>
                            <w:szCs w:val="18"/>
                          </w:rPr>
                          <w:t>的普通物理对象实现互联互通的网络，其具有智能、先进、互联的三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个重要特征。</w:t>
                        </w:r>
                      </w:p>
                    </w:tc>
                  </w:tr>
                  <w:tr>
                    <w:trPr>
                      <w:trHeight w:val="1021"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30" w:right="34"/>
                          <w:jc w:val="both"/>
                          <w:rPr>
                            <w:rFonts w:ascii="宋体" w:hAnsi="宋体" w:cs="宋体" w:eastAsia="宋体" w:hint="default"/>
                            <w:sz w:val="18"/>
                            <w:szCs w:val="18"/>
                          </w:rPr>
                        </w:pPr>
                        <w:r>
                          <w:rPr>
                            <w:rFonts w:ascii="Times New Roman" w:hAnsi="Times New Roman" w:cs="Times New Roman" w:eastAsia="Times New Roman" w:hint="default"/>
                            <w:sz w:val="18"/>
                            <w:szCs w:val="18"/>
                          </w:rPr>
                          <w:t>Big</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Data</w:t>
                        </w:r>
                        <w:r>
                          <w:rPr>
                            <w:rFonts w:ascii="宋体" w:hAnsi="宋体" w:cs="宋体" w:eastAsia="宋体" w:hint="default"/>
                            <w:sz w:val="18"/>
                            <w:szCs w:val="18"/>
                          </w:rPr>
                          <w:t>，或称巨量资料，指的是所涉及的资料量规模巨大到无法通 </w:t>
                        </w:r>
                        <w:r>
                          <w:rPr>
                            <w:rFonts w:ascii="宋体" w:hAnsi="宋体" w:cs="宋体" w:eastAsia="宋体" w:hint="default"/>
                            <w:spacing w:val="-2"/>
                            <w:sz w:val="18"/>
                            <w:szCs w:val="18"/>
                          </w:rPr>
                          <w:t>过目前主流软件工具，在合理时间内达到撷取、管理、处理、并整理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成为帮助企业经营决策更积极目的的资讯。</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44"/>
        <w:ind w:left="0" w:right="1130"/>
        <w:jc w:val="right"/>
      </w:pPr>
      <w:r>
        <w:rPr/>
        <w:t>，</w:t>
      </w:r>
    </w:p>
    <w:p>
      <w:pPr>
        <w:spacing w:after="0" w:line="240" w:lineRule="auto"/>
        <w:jc w:val="righ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2709" w:right="1105"/>
        <w:jc w:val="left"/>
        <w:rPr>
          <w:b w:val="0"/>
          <w:bCs w:val="0"/>
        </w:rPr>
      </w:pPr>
      <w:bookmarkStart w:name="_TOC_250011" w:id="3"/>
      <w:bookmarkStart w:name="第二节公司简介和主要财务指标" w:id="4"/>
      <w:r>
        <w:rPr>
          <w:b w:val="0"/>
          <w:bCs w:val="0"/>
        </w:rPr>
      </w:r>
      <w:r>
        <w:rPr>
          <w:spacing w:val="5"/>
        </w:rPr>
        <w:t>第二节公司简介和主要财务指标</w:t>
      </w:r>
      <w:bookmarkEnd w:id="3"/>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105"/>
        <w:jc w:val="left"/>
        <w:rPr>
          <w:b w:val="0"/>
          <w:bCs w:val="0"/>
        </w:rPr>
      </w:pPr>
      <w:r>
        <w:rPr/>
        <w:pict>
          <v:group style="position:absolute;margin-left:171.229996pt;margin-top:115.170631pt;width:363.45pt;height:19.55pt;mso-position-horizontal-relative:page;mso-position-vertical-relative:paragraph;z-index:-1326088" coordorigin="3425,2303" coordsize="7269,391">
            <v:group style="position:absolute;left:3425;top:2303;width:30;height:391" coordorigin="3425,2303" coordsize="30,391">
              <v:shape style="position:absolute;left:3425;top:2303;width:30;height:391" coordorigin="3425,2303" coordsize="30,391" path="m3425,2694l3455,2694,3455,2303,3425,2303,3425,2694xe" filled="true" fillcolor="#ffffff" stroked="false">
                <v:path arrowok="t"/>
                <v:fill type="solid"/>
              </v:shape>
            </v:group>
            <v:group style="position:absolute;left:3455;top:2303;width:7239;height:391" coordorigin="3455,2303" coordsize="7239,391">
              <v:shape style="position:absolute;left:3455;top:2303;width:7239;height:391" coordorigin="3455,2303" coordsize="7239,391" path="m3455,2694l10694,2694,10694,2303,3455,2303,3455,2694xe" filled="true" fillcolor="#ffffff" stroked="false">
                <v:path arrowok="t"/>
                <v:fill type="solid"/>
              </v:shape>
            </v:group>
            <w10:wrap type="none"/>
          </v:group>
        </w:pict>
      </w:r>
      <w:bookmarkStart w:name="一、公司信息" w:id="5"/>
      <w:bookmarkEnd w:id="5"/>
      <w:r>
        <w:rPr>
          <w:b w:val="0"/>
          <w:bCs w:val="0"/>
        </w:rPr>
      </w:r>
      <w:r>
        <w:rPr/>
        <w:t>一、公司信息</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2275"/>
        <w:gridCol w:w="2966"/>
        <w:gridCol w:w="2162"/>
        <w:gridCol w:w="2178"/>
      </w:tblGrid>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朗新科技</w:t>
            </w:r>
          </w:p>
        </w:tc>
        <w:tc>
          <w:tcPr>
            <w:tcW w:w="21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300682</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朗新科技集团股份有限公司</w:t>
            </w:r>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朗新科技</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Longshine </w:t>
            </w:r>
            <w:r>
              <w:rPr>
                <w:rFonts w:ascii="Times New Roman"/>
                <w:spacing w:val="-3"/>
                <w:sz w:val="18"/>
              </w:rPr>
              <w:t>Technology </w:t>
            </w:r>
            <w:r>
              <w:rPr>
                <w:rFonts w:ascii="Times New Roman"/>
                <w:sz w:val="18"/>
              </w:rPr>
              <w:t>Group Co.,</w:t>
            </w:r>
            <w:r>
              <w:rPr>
                <w:rFonts w:ascii="Times New Roman"/>
                <w:spacing w:val="32"/>
                <w:sz w:val="18"/>
              </w:rPr>
              <w:t> </w:t>
            </w:r>
            <w:r>
              <w:rPr>
                <w:rFonts w:ascii="Times New Roman"/>
                <w:spacing w:val="-3"/>
                <w:sz w:val="18"/>
              </w:rPr>
              <w:t>Ltd.</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9"/>
              <w:ind w:left="-96" w:right="0"/>
              <w:jc w:val="left"/>
              <w:rPr>
                <w:rFonts w:ascii="Times New Roman" w:hAnsi="Times New Roman" w:cs="Times New Roman" w:eastAsia="Times New Roman" w:hint="default"/>
                <w:sz w:val="18"/>
                <w:szCs w:val="18"/>
              </w:rPr>
            </w:pPr>
            <w:r>
              <w:rPr>
                <w:rFonts w:ascii="宋体" w:hAnsi="宋体" w:cs="宋体" w:eastAsia="宋体" w:hint="default"/>
                <w:spacing w:val="-5"/>
                <w:position w:val="1"/>
                <w:sz w:val="18"/>
                <w:szCs w:val="18"/>
              </w:rPr>
              <w:t>）</w:t>
            </w:r>
            <w:r>
              <w:rPr>
                <w:rFonts w:ascii="Times New Roman" w:hAnsi="Times New Roman" w:cs="Times New Roman" w:eastAsia="Times New Roman" w:hint="default"/>
                <w:spacing w:val="-5"/>
                <w:sz w:val="18"/>
                <w:szCs w:val="18"/>
              </w:rPr>
              <w:t>LONGSHINE</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郑新标</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无锡新吴区净慧东路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90 </w:t>
            </w:r>
            <w:r>
              <w:rPr>
                <w:rFonts w:ascii="宋体" w:hAnsi="宋体" w:cs="宋体" w:eastAsia="宋体" w:hint="default"/>
                <w:sz w:val="18"/>
                <w:szCs w:val="18"/>
              </w:rPr>
              <w:t>号无锡软件园天鹅座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11 </w:t>
            </w:r>
            <w:r>
              <w:rPr>
                <w:rFonts w:ascii="宋体" w:hAnsi="宋体" w:cs="宋体" w:eastAsia="宋体" w:hint="default"/>
                <w:sz w:val="18"/>
                <w:szCs w:val="18"/>
              </w:rPr>
              <w:t>楼</w:t>
            </w:r>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214000</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无锡新吴区净慧东路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90 </w:t>
            </w:r>
            <w:r>
              <w:rPr>
                <w:rFonts w:ascii="宋体" w:hAnsi="宋体" w:cs="宋体" w:eastAsia="宋体" w:hint="default"/>
                <w:sz w:val="18"/>
                <w:szCs w:val="18"/>
              </w:rPr>
              <w:t>号无锡软件园天鹅座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11 </w:t>
            </w:r>
            <w:r>
              <w:rPr>
                <w:rFonts w:ascii="宋体" w:hAnsi="宋体" w:cs="宋体" w:eastAsia="宋体" w:hint="default"/>
                <w:sz w:val="18"/>
                <w:szCs w:val="18"/>
              </w:rPr>
              <w:t>楼</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214000</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hyperlink r:id="rId9">
              <w:r>
                <w:rPr>
                  <w:rFonts w:ascii="Times New Roman"/>
                  <w:sz w:val="18"/>
                </w:rPr>
                <w:t>http://www.longshine.com/</w:t>
              </w:r>
            </w:hyperlink>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hyperlink r:id="rId10">
              <w:r>
                <w:rPr>
                  <w:rFonts w:ascii="Times New Roman"/>
                  <w:sz w:val="18"/>
                </w:rPr>
                <w:t>ir@longshine.com</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1105"/>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
        <w:rPr>
          <w:rFonts w:ascii="宋体" w:hAnsi="宋体" w:cs="宋体" w:eastAsia="宋体" w:hint="default"/>
          <w:b/>
          <w:bCs/>
          <w:sz w:val="26"/>
          <w:szCs w:val="26"/>
        </w:rPr>
      </w:pPr>
    </w:p>
    <w:tbl>
      <w:tblPr>
        <w:tblW w:w="0" w:type="auto"/>
        <w:jc w:val="left"/>
        <w:tblInd w:w="133" w:type="dxa"/>
        <w:tblLayout w:type="fixed"/>
        <w:tblCellMar>
          <w:top w:w="0" w:type="dxa"/>
          <w:left w:w="0" w:type="dxa"/>
          <w:bottom w:w="0" w:type="dxa"/>
          <w:right w:w="0" w:type="dxa"/>
        </w:tblCellMar>
        <w:tblLook w:val="01E0"/>
      </w:tblPr>
      <w:tblGrid>
        <w:gridCol w:w="3192"/>
        <w:gridCol w:w="3184"/>
        <w:gridCol w:w="3199"/>
      </w:tblGrid>
      <w:tr>
        <w:trPr>
          <w:trHeight w:val="406"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 w:right="0"/>
              <w:jc w:val="left"/>
              <w:rPr>
                <w:rFonts w:ascii="宋体" w:hAnsi="宋体" w:cs="宋体" w:eastAsia="宋体" w:hint="default"/>
                <w:sz w:val="18"/>
                <w:szCs w:val="18"/>
              </w:rPr>
            </w:pPr>
            <w:r>
              <w:rPr>
                <w:rFonts w:ascii="宋体" w:hAnsi="宋体" w:cs="宋体" w:eastAsia="宋体" w:hint="default"/>
                <w:sz w:val="18"/>
                <w:szCs w:val="18"/>
              </w:rPr>
              <w:t>王慎勇</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季悦</w:t>
            </w:r>
          </w:p>
        </w:tc>
      </w:tr>
      <w:tr>
        <w:trPr>
          <w:trHeight w:val="158" w:hRule="exact"/>
        </w:trPr>
        <w:tc>
          <w:tcPr>
            <w:tcW w:w="319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vMerge w:val="restart"/>
            <w:tcBorders>
              <w:top w:val="single" w:sz="6" w:space="0" w:color="000000"/>
              <w:left w:val="single" w:sz="18" w:space="0" w:color="D2D2D2"/>
              <w:right w:val="single" w:sz="6" w:space="0" w:color="000000"/>
            </w:tcBorders>
          </w:tcPr>
          <w:p>
            <w:pPr>
              <w:pStyle w:val="TableParagraph"/>
              <w:spacing w:line="240" w:lineRule="auto" w:before="44"/>
              <w:ind w:left="-1" w:right="0"/>
              <w:jc w:val="left"/>
              <w:rPr>
                <w:rFonts w:ascii="宋体" w:hAnsi="宋体" w:cs="宋体" w:eastAsia="宋体" w:hint="default"/>
                <w:sz w:val="18"/>
                <w:szCs w:val="18"/>
              </w:rPr>
            </w:pPr>
            <w:r>
              <w:rPr>
                <w:rFonts w:ascii="宋体" w:hAnsi="宋体" w:cs="宋体" w:eastAsia="宋体" w:hint="default"/>
                <w:sz w:val="18"/>
                <w:szCs w:val="18"/>
              </w:rPr>
              <w:t>北京市朝阳区北辰东路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号院北辰时代</w:t>
            </w:r>
          </w:p>
          <w:p>
            <w:pPr>
              <w:pStyle w:val="TableParagraph"/>
              <w:spacing w:line="240" w:lineRule="auto" w:before="66"/>
              <w:ind w:left="-1"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层</w:t>
            </w:r>
          </w:p>
        </w:tc>
        <w:tc>
          <w:tcPr>
            <w:tcW w:w="3199" w:type="dxa"/>
            <w:vMerge w:val="restart"/>
            <w:tcBorders>
              <w:top w:val="single" w:sz="6" w:space="0" w:color="000000"/>
              <w:left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北京市朝阳区北辰东路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号院北辰时代</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层</w:t>
            </w:r>
          </w:p>
        </w:tc>
      </w:tr>
      <w:tr>
        <w:trPr>
          <w:trHeight w:val="391" w:hRule="exact"/>
        </w:trPr>
        <w:tc>
          <w:tcPr>
            <w:tcW w:w="319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84" w:type="dxa"/>
            <w:vMerge/>
            <w:tcBorders>
              <w:left w:val="single" w:sz="18" w:space="0" w:color="D2D2D2"/>
              <w:right w:val="single" w:sz="6" w:space="0" w:color="000000"/>
            </w:tcBorders>
          </w:tcPr>
          <w:p>
            <w:pPr/>
          </w:p>
        </w:tc>
        <w:tc>
          <w:tcPr>
            <w:tcW w:w="3199" w:type="dxa"/>
            <w:vMerge/>
            <w:tcBorders>
              <w:left w:val="single" w:sz="6" w:space="0" w:color="000000"/>
              <w:right w:val="single" w:sz="6" w:space="0" w:color="000000"/>
            </w:tcBorders>
          </w:tcPr>
          <w:p>
            <w:pPr/>
          </w:p>
        </w:tc>
      </w:tr>
      <w:tr>
        <w:trPr>
          <w:trHeight w:val="158" w:hRule="exact"/>
        </w:trPr>
        <w:tc>
          <w:tcPr>
            <w:tcW w:w="3192"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18" w:space="0" w:color="D2D2D2"/>
              <w:bottom w:val="single" w:sz="6" w:space="0" w:color="000000"/>
              <w:right w:val="single" w:sz="6" w:space="0" w:color="000000"/>
            </w:tcBorders>
          </w:tcPr>
          <w:p>
            <w:pPr/>
          </w:p>
        </w:tc>
        <w:tc>
          <w:tcPr>
            <w:tcW w:w="3199" w:type="dxa"/>
            <w:vMerge/>
            <w:tcBorders>
              <w:left w:val="single" w:sz="6" w:space="0" w:color="000000"/>
              <w:bottom w:val="single" w:sz="6" w:space="0" w:color="000000"/>
              <w:right w:val="single" w:sz="6" w:space="0" w:color="000000"/>
            </w:tcBorders>
          </w:tcPr>
          <w:p>
            <w:pP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left="-1" w:right="0"/>
              <w:jc w:val="left"/>
              <w:rPr>
                <w:rFonts w:ascii="Times New Roman" w:hAnsi="Times New Roman" w:cs="Times New Roman" w:eastAsia="Times New Roman" w:hint="default"/>
                <w:sz w:val="18"/>
                <w:szCs w:val="18"/>
              </w:rPr>
            </w:pPr>
            <w:r>
              <w:rPr>
                <w:rFonts w:ascii="Times New Roman"/>
                <w:sz w:val="18"/>
              </w:rPr>
              <w:t>010-82430888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0" w:right="0"/>
              <w:jc w:val="left"/>
              <w:rPr>
                <w:rFonts w:ascii="Times New Roman" w:hAnsi="Times New Roman" w:cs="Times New Roman" w:eastAsia="Times New Roman" w:hint="default"/>
                <w:sz w:val="18"/>
                <w:szCs w:val="18"/>
              </w:rPr>
            </w:pPr>
            <w:r>
              <w:rPr>
                <w:rFonts w:ascii="Times New Roman"/>
                <w:sz w:val="18"/>
              </w:rPr>
              <w:t>010-82430888</w:t>
            </w: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 w:right="0"/>
              <w:jc w:val="left"/>
              <w:rPr>
                <w:rFonts w:ascii="Times New Roman" w:hAnsi="Times New Roman" w:cs="Times New Roman" w:eastAsia="Times New Roman" w:hint="default"/>
                <w:sz w:val="18"/>
                <w:szCs w:val="18"/>
              </w:rPr>
            </w:pPr>
            <w:r>
              <w:rPr>
                <w:rFonts w:ascii="Times New Roman"/>
                <w:sz w:val="18"/>
              </w:rPr>
              <w:t>010-82430999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010-82430999</w:t>
            </w:r>
          </w:p>
        </w:tc>
      </w:tr>
      <w:tr>
        <w:trPr>
          <w:trHeight w:val="391"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 w:right="0"/>
              <w:jc w:val="left"/>
              <w:rPr>
                <w:rFonts w:ascii="Times New Roman" w:hAnsi="Times New Roman" w:cs="Times New Roman" w:eastAsia="Times New Roman" w:hint="default"/>
                <w:sz w:val="18"/>
                <w:szCs w:val="18"/>
              </w:rPr>
            </w:pPr>
            <w:hyperlink r:id="rId10">
              <w:r>
                <w:rPr>
                  <w:rFonts w:ascii="Times New Roman"/>
                  <w:sz w:val="18"/>
                </w:rPr>
                <w:t>ir@longshine.com</w:t>
              </w:r>
            </w:hyperlink>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hyperlink r:id="rId10">
              <w:r>
                <w:rPr>
                  <w:rFonts w:ascii="Times New Roman"/>
                  <w:sz w:val="18"/>
                </w:rPr>
                <w:t>ir@longshine.com</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1105"/>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988"/>
        <w:gridCol w:w="5594"/>
      </w:tblGrid>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7" w:right="0"/>
              <w:jc w:val="left"/>
              <w:rPr>
                <w:rFonts w:ascii="宋体" w:hAnsi="宋体" w:cs="宋体" w:eastAsia="宋体" w:hint="default"/>
                <w:sz w:val="18"/>
                <w:szCs w:val="18"/>
              </w:rPr>
            </w:pPr>
            <w:r>
              <w:rPr>
                <w:rFonts w:ascii="宋体" w:hAnsi="宋体" w:cs="宋体" w:eastAsia="宋体" w:hint="default"/>
                <w:sz w:val="18"/>
                <w:szCs w:val="18"/>
              </w:rPr>
              <w:t>证券时报、证券日报、中国证券报、上海证券报</w:t>
            </w:r>
          </w:p>
        </w:tc>
      </w:tr>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72"/>
                <w:sz w:val="18"/>
                <w:szCs w:val="18"/>
              </w:rPr>
              <w:t> </w:t>
            </w:r>
            <w:hyperlink r:id="rId11">
              <w:r>
                <w:rPr>
                  <w:rFonts w:ascii="Times New Roman" w:hAnsi="Times New Roman" w:cs="Times New Roman" w:eastAsia="Times New Roman" w:hint="default"/>
                  <w:sz w:val="18"/>
                  <w:szCs w:val="18"/>
                </w:rPr>
                <w:t>www.cninfo.com.cn</w:t>
              </w:r>
            </w:hyperlink>
          </w:p>
        </w:tc>
      </w:tr>
      <w:tr>
        <w:trPr>
          <w:trHeight w:val="390"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7"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2"/>
        <w:rPr>
          <w:rFonts w:ascii="宋体" w:hAnsi="宋体" w:cs="宋体" w:eastAsia="宋体" w:hint="default"/>
          <w:b/>
          <w:bCs/>
          <w:sz w:val="17"/>
          <w:szCs w:val="17"/>
        </w:rPr>
      </w:pPr>
    </w:p>
    <w:p>
      <w:pPr>
        <w:pStyle w:val="Heading2"/>
        <w:spacing w:line="240" w:lineRule="auto" w:before="26"/>
        <w:ind w:right="1105"/>
        <w:jc w:val="left"/>
        <w:rPr>
          <w:b w:val="0"/>
          <w:bCs w:val="0"/>
        </w:rPr>
      </w:pPr>
      <w:bookmarkStart w:name="四、其他有关资料" w:id="8"/>
      <w:bookmarkEnd w:id="8"/>
      <w:r>
        <w:rPr>
          <w:b w:val="0"/>
          <w:bCs w:val="0"/>
        </w:rPr>
      </w:r>
      <w:r>
        <w:rPr/>
        <w:t>四、其他有关资料</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05"/>
        <w:jc w:val="left"/>
      </w:pPr>
      <w:r>
        <w:rPr/>
        <w:t>公司聘请的会计师事务所</w:t>
      </w:r>
    </w:p>
    <w:p>
      <w:pPr>
        <w:spacing w:after="0" w:line="240" w:lineRule="auto"/>
        <w:jc w:val="lef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651"/>
        <w:gridCol w:w="6931"/>
      </w:tblGrid>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普华永道中天会计师事务所（特殊普通合伙）</w:t>
            </w:r>
          </w:p>
        </w:tc>
      </w:tr>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北京市朝阳区东三环中路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号北京财富中心写字楼</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楼</w:t>
            </w:r>
          </w:p>
        </w:tc>
      </w:tr>
      <w:tr>
        <w:trPr>
          <w:trHeight w:val="390"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李雪梅、赵育鹏</w:t>
            </w:r>
          </w:p>
        </w:tc>
      </w:tr>
    </w:tbl>
    <w:p>
      <w:pPr>
        <w:pStyle w:val="BodyText"/>
        <w:spacing w:line="240" w:lineRule="auto" w:before="44"/>
        <w:ind w:right="1105"/>
        <w:jc w:val="left"/>
      </w:pPr>
      <w:r>
        <w:rPr/>
        <w:t>公司聘请的报告期内履行持续督导职责的保荐机构</w:t>
      </w:r>
    </w:p>
    <w:p>
      <w:pPr>
        <w:pStyle w:val="BodyText"/>
        <w:spacing w:line="240" w:lineRule="auto" w:before="125"/>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45"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8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55"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6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48 </w:t>
            </w:r>
            <w:r>
              <w:rPr>
                <w:rFonts w:ascii="宋体" w:hAnsi="宋体" w:cs="宋体" w:eastAsia="宋体" w:hint="default"/>
                <w:sz w:val="18"/>
                <w:szCs w:val="18"/>
              </w:rPr>
              <w:t>号</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中信证券大厦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层</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赵亮、彭捷</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Style w:val="BodyText"/>
        <w:spacing w:line="240" w:lineRule="auto" w:before="44"/>
        <w:ind w:right="1105"/>
        <w:jc w:val="left"/>
      </w:pPr>
      <w:r>
        <w:rPr/>
        <w:t>公司聘请的报告期内履行持续督导职责的财务顾问</w:t>
      </w:r>
    </w:p>
    <w:p>
      <w:pPr>
        <w:pStyle w:val="BodyText"/>
        <w:spacing w:line="240" w:lineRule="auto" w:before="125"/>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1105"/>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05"/>
        <w:jc w:val="left"/>
      </w:pPr>
      <w:r>
        <w:rPr/>
        <w:t>公司是否需追溯调整或重述以前年度会计数据</w:t>
      </w:r>
    </w:p>
    <w:p>
      <w:pPr>
        <w:pStyle w:val="BodyText"/>
        <w:spacing w:line="316" w:lineRule="auto" w:before="125"/>
        <w:ind w:right="91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追溯调整或重述原因</w:t>
      </w:r>
    </w:p>
    <w:p>
      <w:pPr>
        <w:pStyle w:val="BodyText"/>
        <w:spacing w:line="240" w:lineRule="auto" w:before="82"/>
        <w:ind w:right="1105"/>
        <w:jc w:val="left"/>
      </w:pPr>
      <w:r>
        <w:rPr/>
        <w:t>会计政策变更</w:t>
      </w:r>
      <w:r>
        <w:rPr>
          <w:rFonts w:ascii="Times New Roman" w:hAnsi="Times New Roman" w:cs="Times New Roman" w:eastAsia="Times New Roman" w:hint="default"/>
        </w:rPr>
        <w:t>;</w:t>
      </w:r>
      <w:r>
        <w:rPr/>
        <w:t>同一控制下企业合并</w:t>
      </w: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2351"/>
        <w:gridCol w:w="1201"/>
        <w:gridCol w:w="1202"/>
        <w:gridCol w:w="1201"/>
        <w:gridCol w:w="1216"/>
        <w:gridCol w:w="1202"/>
        <w:gridCol w:w="1201"/>
      </w:tblGrid>
      <w:tr>
        <w:trPr>
          <w:trHeight w:val="158" w:hRule="exact"/>
        </w:trPr>
        <w:tc>
          <w:tcPr>
            <w:tcW w:w="2351" w:type="dxa"/>
            <w:vMerge w:val="restart"/>
            <w:tcBorders>
              <w:top w:val="single" w:sz="6" w:space="0" w:color="000000"/>
              <w:left w:val="single" w:sz="6" w:space="0" w:color="000000"/>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shd w:val="clear" w:color="auto" w:fill="D2D2D2"/>
          </w:tcPr>
          <w:p>
            <w:pPr/>
          </w:p>
        </w:tc>
        <w:tc>
          <w:tcPr>
            <w:tcW w:w="2403"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121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45"/>
              <w:ind w:left="510" w:right="59" w:hanging="451"/>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3" w:type="dxa"/>
            <w:gridSpan w:val="2"/>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10" w:hRule="exact"/>
        </w:trPr>
        <w:tc>
          <w:tcPr>
            <w:tcW w:w="2351" w:type="dxa"/>
            <w:vMerge/>
            <w:tcBorders>
              <w:left w:val="single" w:sz="6" w:space="0" w:color="000000"/>
              <w:bottom w:val="nil" w:sz="6" w:space="0" w:color="auto"/>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2403"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216" w:type="dxa"/>
            <w:vMerge/>
            <w:tcBorders>
              <w:left w:val="single" w:sz="6" w:space="0" w:color="000000"/>
              <w:right w:val="single" w:sz="6" w:space="0" w:color="000000"/>
            </w:tcBorders>
            <w:shd w:val="clear" w:color="auto" w:fill="D2D2D2"/>
          </w:tcPr>
          <w:p>
            <w:pPr/>
          </w:p>
        </w:tc>
        <w:tc>
          <w:tcPr>
            <w:tcW w:w="2403"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r>
      <w:tr>
        <w:trPr>
          <w:trHeight w:val="195" w:hRule="exact"/>
        </w:trPr>
        <w:tc>
          <w:tcPr>
            <w:tcW w:w="2351" w:type="dxa"/>
            <w:vMerge w:val="restart"/>
            <w:tcBorders>
              <w:top w:val="nil" w:sz="6" w:space="0" w:color="auto"/>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60"/>
              <w:ind w:left="3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403" w:type="dxa"/>
            <w:gridSpan w:val="2"/>
            <w:vMerge/>
            <w:tcBorders>
              <w:left w:val="single" w:sz="6" w:space="0" w:color="000000"/>
              <w:bottom w:val="nil" w:sz="6" w:space="0" w:color="auto"/>
              <w:right w:val="single" w:sz="6" w:space="0" w:color="000000"/>
            </w:tcBorders>
            <w:shd w:val="clear" w:color="auto" w:fill="D2D2D2"/>
          </w:tcPr>
          <w:p>
            <w:pPr/>
          </w:p>
        </w:tc>
        <w:tc>
          <w:tcPr>
            <w:tcW w:w="1216" w:type="dxa"/>
            <w:vMerge/>
            <w:tcBorders>
              <w:left w:val="single" w:sz="6" w:space="0" w:color="000000"/>
              <w:right w:val="single" w:sz="6" w:space="0" w:color="000000"/>
            </w:tcBorders>
            <w:shd w:val="clear" w:color="auto" w:fill="D2D2D2"/>
          </w:tcPr>
          <w:p>
            <w:pPr/>
          </w:p>
        </w:tc>
        <w:tc>
          <w:tcPr>
            <w:tcW w:w="2403" w:type="dxa"/>
            <w:gridSpan w:val="2"/>
            <w:vMerge/>
            <w:tcBorders>
              <w:left w:val="single" w:sz="6" w:space="0" w:color="000000"/>
              <w:bottom w:val="nil" w:sz="6" w:space="0" w:color="auto"/>
              <w:right w:val="single" w:sz="6" w:space="0" w:color="000000"/>
            </w:tcBorders>
            <w:shd w:val="clear" w:color="auto" w:fill="D2D2D2"/>
          </w:tcPr>
          <w:p>
            <w:pPr/>
          </w:p>
        </w:tc>
      </w:tr>
      <w:tr>
        <w:trPr>
          <w:trHeight w:val="158" w:hRule="exact"/>
        </w:trPr>
        <w:tc>
          <w:tcPr>
            <w:tcW w:w="2351" w:type="dxa"/>
            <w:vMerge/>
            <w:tcBorders>
              <w:left w:val="single" w:sz="6" w:space="0" w:color="000000"/>
              <w:bottom w:val="nil" w:sz="6" w:space="0" w:color="auto"/>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2403"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1216" w:type="dxa"/>
            <w:vMerge/>
            <w:tcBorders>
              <w:left w:val="single" w:sz="6" w:space="0" w:color="000000"/>
              <w:bottom w:val="single" w:sz="6" w:space="0" w:color="000000"/>
              <w:right w:val="single" w:sz="6" w:space="0" w:color="000000"/>
            </w:tcBorders>
            <w:shd w:val="clear" w:color="auto" w:fill="D2D2D2"/>
          </w:tcPr>
          <w:p>
            <w:pPr/>
          </w:p>
        </w:tc>
        <w:tc>
          <w:tcPr>
            <w:tcW w:w="2403" w:type="dxa"/>
            <w:gridSpan w:val="2"/>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2351"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58" w:hRule="exact"/>
        </w:trPr>
        <w:tc>
          <w:tcPr>
            <w:tcW w:w="2351"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vMerge w:val="restart"/>
            <w:tcBorders>
              <w:top w:val="single" w:sz="6" w:space="0" w:color="000000"/>
              <w:left w:val="single" w:sz="12" w:space="0" w:color="D2D2D2"/>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2,968,330,140.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42</w:t>
            </w: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1,015,475,539.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46</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2,671,680,074.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85</w:t>
            </w:r>
          </w:p>
        </w:tc>
        <w:tc>
          <w:tcPr>
            <w:tcW w:w="121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11.10%</w:t>
            </w: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782,935,041.04</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1,182,028,376.</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72</w:t>
            </w:r>
          </w:p>
        </w:tc>
      </w:tr>
      <w:tr>
        <w:trPr>
          <w:trHeight w:val="390" w:hRule="exact"/>
        </w:trPr>
        <w:tc>
          <w:tcPr>
            <w:tcW w:w="235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1" w:type="dxa"/>
            <w:vMerge/>
            <w:tcBorders>
              <w:left w:val="single" w:sz="12" w:space="0" w:color="D2D2D2"/>
              <w:right w:val="single" w:sz="6" w:space="0" w:color="000000"/>
            </w:tcBorders>
          </w:tcPr>
          <w:p>
            <w:pPr/>
          </w:p>
        </w:tc>
        <w:tc>
          <w:tcPr>
            <w:tcW w:w="1202" w:type="dxa"/>
            <w:vMerge/>
            <w:tcBorders>
              <w:left w:val="single" w:sz="6" w:space="0" w:color="000000"/>
              <w:right w:val="single" w:sz="6" w:space="0" w:color="000000"/>
            </w:tcBorders>
          </w:tcPr>
          <w:p>
            <w:pPr/>
          </w:p>
        </w:tc>
        <w:tc>
          <w:tcPr>
            <w:tcW w:w="1201" w:type="dxa"/>
            <w:vMerge/>
            <w:tcBorders>
              <w:left w:val="single" w:sz="6" w:space="0" w:color="000000"/>
              <w:right w:val="single" w:sz="6" w:space="0" w:color="000000"/>
            </w:tcBorders>
          </w:tcPr>
          <w:p>
            <w:pPr/>
          </w:p>
        </w:tc>
        <w:tc>
          <w:tcPr>
            <w:tcW w:w="1216" w:type="dxa"/>
            <w:vMerge/>
            <w:tcBorders>
              <w:left w:val="single" w:sz="6" w:space="0" w:color="000000"/>
              <w:right w:val="single" w:sz="6" w:space="0" w:color="000000"/>
            </w:tcBorders>
          </w:tcPr>
          <w:p>
            <w:pPr/>
          </w:p>
        </w:tc>
        <w:tc>
          <w:tcPr>
            <w:tcW w:w="1202" w:type="dxa"/>
            <w:vMerge/>
            <w:tcBorders>
              <w:left w:val="single" w:sz="6" w:space="0" w:color="000000"/>
              <w:right w:val="single" w:sz="6" w:space="0" w:color="000000"/>
            </w:tcBorders>
          </w:tcPr>
          <w:p>
            <w:pPr/>
          </w:p>
        </w:tc>
        <w:tc>
          <w:tcPr>
            <w:tcW w:w="1201" w:type="dxa"/>
            <w:vMerge/>
            <w:tcBorders>
              <w:left w:val="single" w:sz="6" w:space="0" w:color="000000"/>
              <w:right w:val="single" w:sz="6" w:space="0" w:color="000000"/>
            </w:tcBorders>
          </w:tcPr>
          <w:p>
            <w:pPr/>
          </w:p>
        </w:tc>
      </w:tr>
      <w:tr>
        <w:trPr>
          <w:trHeight w:val="158" w:hRule="exact"/>
        </w:trPr>
        <w:tc>
          <w:tcPr>
            <w:tcW w:w="2351"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vMerge/>
            <w:tcBorders>
              <w:left w:val="single" w:sz="12" w:space="0" w:color="D2D2D2"/>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c>
          <w:tcPr>
            <w:tcW w:w="1216"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r>
      <w:tr>
        <w:trPr>
          <w:trHeight w:val="720" w:hRule="exact"/>
        </w:trPr>
        <w:tc>
          <w:tcPr>
            <w:tcW w:w="23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1,020,167,786.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133,683,046.76</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187,391,547.30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444.40%</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139,136,836.46</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144,836,710.40</w:t>
            </w:r>
          </w:p>
        </w:tc>
      </w:tr>
      <w:tr>
        <w:trPr>
          <w:trHeight w:val="721" w:hRule="exact"/>
        </w:trPr>
        <w:tc>
          <w:tcPr>
            <w:tcW w:w="23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2"/>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405,660,848.62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110,179,897.12</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110,179,897.12</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268.18%</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110,705,406.18</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110,705,406.18</w:t>
            </w:r>
          </w:p>
        </w:tc>
      </w:tr>
      <w:tr>
        <w:trPr>
          <w:trHeight w:val="705" w:hRule="exact"/>
        </w:trPr>
        <w:tc>
          <w:tcPr>
            <w:tcW w:w="23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66"/>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559,833,505.69</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2,641,988.87</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20,021,717.75</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2,696.13%</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48,714,313.54</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-66,933,937.14</w:t>
            </w:r>
            <w:r>
              <w:rPr>
                <w:rFonts w:ascii="Times New Roman"/>
                <w:sz w:val="18"/>
              </w:rPr>
            </w:r>
          </w:p>
        </w:tc>
      </w:tr>
      <w:tr>
        <w:trPr>
          <w:trHeight w:val="406" w:hRule="exact"/>
        </w:trPr>
        <w:tc>
          <w:tcPr>
            <w:tcW w:w="23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1.7805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0.3295</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0.4040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340.72%</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0.3710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0.3711</w:t>
            </w:r>
          </w:p>
        </w:tc>
      </w:tr>
      <w:tr>
        <w:trPr>
          <w:trHeight w:val="405" w:hRule="exact"/>
        </w:trPr>
        <w:tc>
          <w:tcPr>
            <w:tcW w:w="23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1.7678</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0.3290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0.4034</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338.23%</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0.3710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0.3711</w:t>
            </w:r>
          </w:p>
        </w:tc>
      </w:tr>
      <w:tr>
        <w:trPr>
          <w:trHeight w:val="405" w:hRule="exact"/>
        </w:trPr>
        <w:tc>
          <w:tcPr>
            <w:tcW w:w="23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31.16%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10.72%</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12.88%</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18.28%</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14.70%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14.70%</w:t>
            </w:r>
          </w:p>
        </w:tc>
      </w:tr>
      <w:tr>
        <w:trPr>
          <w:trHeight w:val="158" w:hRule="exact"/>
        </w:trPr>
        <w:tc>
          <w:tcPr>
            <w:tcW w:w="2351" w:type="dxa"/>
            <w:vMerge w:val="restart"/>
            <w:tcBorders>
              <w:top w:val="single" w:sz="6" w:space="0" w:color="000000"/>
              <w:left w:val="single" w:sz="6" w:space="0" w:color="000000"/>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shd w:val="clear" w:color="auto" w:fill="D2D2D2"/>
          </w:tcPr>
          <w:p>
            <w:pPr/>
          </w:p>
        </w:tc>
        <w:tc>
          <w:tcPr>
            <w:tcW w:w="2403"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121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330" w:right="59" w:hanging="271"/>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3" w:type="dxa"/>
            <w:gridSpan w:val="2"/>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95" w:hRule="exact"/>
        </w:trPr>
        <w:tc>
          <w:tcPr>
            <w:tcW w:w="2351" w:type="dxa"/>
            <w:vMerge/>
            <w:tcBorders>
              <w:left w:val="single" w:sz="6" w:space="0" w:color="000000"/>
              <w:bottom w:val="nil" w:sz="6" w:space="0" w:color="auto"/>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2403"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年末</w:t>
            </w:r>
          </w:p>
        </w:tc>
        <w:tc>
          <w:tcPr>
            <w:tcW w:w="1216" w:type="dxa"/>
            <w:vMerge/>
            <w:tcBorders>
              <w:left w:val="single" w:sz="6" w:space="0" w:color="000000"/>
              <w:right w:val="single" w:sz="6" w:space="0" w:color="000000"/>
            </w:tcBorders>
            <w:shd w:val="clear" w:color="auto" w:fill="D2D2D2"/>
          </w:tcPr>
          <w:p>
            <w:pPr/>
          </w:p>
        </w:tc>
        <w:tc>
          <w:tcPr>
            <w:tcW w:w="2403"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年末</w:t>
            </w:r>
          </w:p>
        </w:tc>
      </w:tr>
      <w:tr>
        <w:trPr>
          <w:trHeight w:val="195" w:hRule="exact"/>
        </w:trPr>
        <w:tc>
          <w:tcPr>
            <w:tcW w:w="2351" w:type="dxa"/>
            <w:vMerge w:val="restart"/>
            <w:tcBorders>
              <w:top w:val="nil" w:sz="6" w:space="0" w:color="auto"/>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60"/>
              <w:ind w:left="2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年末</w:t>
            </w:r>
          </w:p>
        </w:tc>
        <w:tc>
          <w:tcPr>
            <w:tcW w:w="2403" w:type="dxa"/>
            <w:gridSpan w:val="2"/>
            <w:vMerge/>
            <w:tcBorders>
              <w:left w:val="single" w:sz="6" w:space="0" w:color="000000"/>
              <w:bottom w:val="nil" w:sz="6" w:space="0" w:color="auto"/>
              <w:right w:val="single" w:sz="6" w:space="0" w:color="000000"/>
            </w:tcBorders>
            <w:shd w:val="clear" w:color="auto" w:fill="D2D2D2"/>
          </w:tcPr>
          <w:p>
            <w:pPr/>
          </w:p>
        </w:tc>
        <w:tc>
          <w:tcPr>
            <w:tcW w:w="1216" w:type="dxa"/>
            <w:vMerge/>
            <w:tcBorders>
              <w:left w:val="single" w:sz="6" w:space="0" w:color="000000"/>
              <w:right w:val="single" w:sz="6" w:space="0" w:color="000000"/>
            </w:tcBorders>
            <w:shd w:val="clear" w:color="auto" w:fill="D2D2D2"/>
          </w:tcPr>
          <w:p>
            <w:pPr/>
          </w:p>
        </w:tc>
        <w:tc>
          <w:tcPr>
            <w:tcW w:w="2403" w:type="dxa"/>
            <w:gridSpan w:val="2"/>
            <w:vMerge/>
            <w:tcBorders>
              <w:left w:val="single" w:sz="6" w:space="0" w:color="000000"/>
              <w:bottom w:val="nil" w:sz="6" w:space="0" w:color="auto"/>
              <w:right w:val="single" w:sz="6" w:space="0" w:color="000000"/>
            </w:tcBorders>
            <w:shd w:val="clear" w:color="auto" w:fill="D2D2D2"/>
          </w:tcPr>
          <w:p>
            <w:pPr/>
          </w:p>
        </w:tc>
      </w:tr>
      <w:tr>
        <w:trPr>
          <w:trHeight w:val="158" w:hRule="exact"/>
        </w:trPr>
        <w:tc>
          <w:tcPr>
            <w:tcW w:w="2351" w:type="dxa"/>
            <w:vMerge/>
            <w:tcBorders>
              <w:left w:val="single" w:sz="6" w:space="0" w:color="000000"/>
              <w:bottom w:val="nil" w:sz="6" w:space="0" w:color="auto"/>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2403"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1216" w:type="dxa"/>
            <w:vMerge/>
            <w:tcBorders>
              <w:left w:val="single" w:sz="6" w:space="0" w:color="000000"/>
              <w:bottom w:val="single" w:sz="6" w:space="0" w:color="000000"/>
              <w:right w:val="single" w:sz="6" w:space="0" w:color="000000"/>
            </w:tcBorders>
            <w:shd w:val="clear" w:color="auto" w:fill="D2D2D2"/>
          </w:tcPr>
          <w:p>
            <w:pPr/>
          </w:p>
        </w:tc>
        <w:tc>
          <w:tcPr>
            <w:tcW w:w="2403" w:type="dxa"/>
            <w:gridSpan w:val="2"/>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2351"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58" w:hRule="exact"/>
        </w:trPr>
        <w:tc>
          <w:tcPr>
            <w:tcW w:w="2351"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vMerge w:val="restart"/>
            <w:tcBorders>
              <w:top w:val="single" w:sz="6" w:space="0" w:color="000000"/>
              <w:left w:val="single" w:sz="12" w:space="0" w:color="D2D2D2"/>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5,925,670,115.</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77</w:t>
            </w: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2,128,455,317.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84</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4,147,610,045.</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27</w:t>
            </w:r>
          </w:p>
        </w:tc>
        <w:tc>
          <w:tcPr>
            <w:tcW w:w="121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42.87%</w:t>
            </w: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1,645,026,121.</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93</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2,830,151,681.</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39</w:t>
            </w:r>
          </w:p>
        </w:tc>
      </w:tr>
      <w:tr>
        <w:trPr>
          <w:trHeight w:val="390" w:hRule="exact"/>
        </w:trPr>
        <w:tc>
          <w:tcPr>
            <w:tcW w:w="235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201" w:type="dxa"/>
            <w:vMerge/>
            <w:tcBorders>
              <w:left w:val="single" w:sz="12" w:space="0" w:color="D2D2D2"/>
              <w:right w:val="single" w:sz="6" w:space="0" w:color="000000"/>
            </w:tcBorders>
          </w:tcPr>
          <w:p>
            <w:pPr/>
          </w:p>
        </w:tc>
        <w:tc>
          <w:tcPr>
            <w:tcW w:w="1202" w:type="dxa"/>
            <w:vMerge/>
            <w:tcBorders>
              <w:left w:val="single" w:sz="6" w:space="0" w:color="000000"/>
              <w:right w:val="single" w:sz="6" w:space="0" w:color="000000"/>
            </w:tcBorders>
          </w:tcPr>
          <w:p>
            <w:pPr/>
          </w:p>
        </w:tc>
        <w:tc>
          <w:tcPr>
            <w:tcW w:w="1201" w:type="dxa"/>
            <w:vMerge/>
            <w:tcBorders>
              <w:left w:val="single" w:sz="6" w:space="0" w:color="000000"/>
              <w:right w:val="single" w:sz="6" w:space="0" w:color="000000"/>
            </w:tcBorders>
          </w:tcPr>
          <w:p>
            <w:pPr/>
          </w:p>
        </w:tc>
        <w:tc>
          <w:tcPr>
            <w:tcW w:w="1216" w:type="dxa"/>
            <w:vMerge/>
            <w:tcBorders>
              <w:left w:val="single" w:sz="6" w:space="0" w:color="000000"/>
              <w:right w:val="single" w:sz="6" w:space="0" w:color="000000"/>
            </w:tcBorders>
          </w:tcPr>
          <w:p>
            <w:pPr/>
          </w:p>
        </w:tc>
        <w:tc>
          <w:tcPr>
            <w:tcW w:w="1202" w:type="dxa"/>
            <w:vMerge/>
            <w:tcBorders>
              <w:left w:val="single" w:sz="6" w:space="0" w:color="000000"/>
              <w:right w:val="single" w:sz="6" w:space="0" w:color="000000"/>
            </w:tcBorders>
          </w:tcPr>
          <w:p>
            <w:pPr/>
          </w:p>
        </w:tc>
        <w:tc>
          <w:tcPr>
            <w:tcW w:w="1201" w:type="dxa"/>
            <w:vMerge/>
            <w:tcBorders>
              <w:left w:val="single" w:sz="6" w:space="0" w:color="000000"/>
              <w:right w:val="single" w:sz="6" w:space="0" w:color="000000"/>
            </w:tcBorders>
          </w:tcPr>
          <w:p>
            <w:pPr/>
          </w:p>
        </w:tc>
      </w:tr>
      <w:tr>
        <w:trPr>
          <w:trHeight w:val="173" w:hRule="exact"/>
        </w:trPr>
        <w:tc>
          <w:tcPr>
            <w:tcW w:w="2351"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vMerge/>
            <w:tcBorders>
              <w:left w:val="single" w:sz="12" w:space="0" w:color="D2D2D2"/>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c>
          <w:tcPr>
            <w:tcW w:w="1216"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r>
      <w:tr>
        <w:trPr>
          <w:trHeight w:val="705" w:hRule="exact"/>
        </w:trPr>
        <w:tc>
          <w:tcPr>
            <w:tcW w:w="23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4,639,018,773.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1,360,337,297.</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93</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1,678,193,852.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96</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176.43%</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1,158,277,487.</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44</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1,311,729,071.</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55</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67" w:lineRule="auto" w:before="44"/>
        <w:ind w:right="6877"/>
        <w:jc w:val="left"/>
      </w:pPr>
      <w:r>
        <w:rPr/>
        <w:t>会计政策变更的原因及会计差错更正的情况 新金融工具准则自</w:t>
      </w:r>
      <w:r>
        <w:rPr>
          <w:spacing w:val="-43"/>
        </w:rPr>
        <w:t> </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1 </w:t>
      </w:r>
      <w:r>
        <w:rPr/>
        <w:t>月</w:t>
      </w:r>
      <w:r>
        <w:rPr>
          <w:spacing w:val="-45"/>
        </w:rPr>
        <w:t> </w:t>
      </w:r>
      <w:r>
        <w:rPr>
          <w:rFonts w:ascii="Times New Roman" w:hAnsi="Times New Roman" w:cs="Times New Roman" w:eastAsia="Times New Roman" w:hint="default"/>
        </w:rPr>
        <w:t>1 </w:t>
      </w:r>
      <w:r>
        <w:rPr/>
        <w:t>日起开始适用。</w:t>
      </w:r>
    </w:p>
    <w:p>
      <w:pPr>
        <w:pStyle w:val="BodyText"/>
        <w:spacing w:line="321" w:lineRule="auto"/>
        <w:ind w:right="1105"/>
        <w:jc w:val="left"/>
      </w:pPr>
      <w:r>
        <w:rPr>
          <w:spacing w:val="-2"/>
        </w:rPr>
        <w:t>公司报告期末至年度报告披露日股本是否因发行新股、增发、配股、股权激励行权、回购等原因发生变化且影响所有者权益</w:t>
      </w:r>
      <w:r>
        <w:rPr>
          <w:spacing w:val="-42"/>
        </w:rPr>
        <w:t> </w:t>
      </w:r>
      <w:r>
        <w:rPr>
          <w:spacing w:val="-42"/>
        </w:rPr>
      </w:r>
      <w:r>
        <w:rPr/>
        <w:t>金额</w:t>
      </w:r>
    </w:p>
    <w:p>
      <w:pPr>
        <w:pStyle w:val="BodyText"/>
        <w:spacing w:line="240" w:lineRule="auto" w:before="63"/>
        <w:ind w:right="110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5"/>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4536"/>
        <w:gridCol w:w="5046"/>
      </w:tblGrid>
      <w:tr>
        <w:trPr>
          <w:trHeight w:val="390" w:hRule="exact"/>
        </w:trPr>
        <w:tc>
          <w:tcPr>
            <w:tcW w:w="45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支付的优先股股利</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45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1.4992</w:t>
            </w:r>
          </w:p>
        </w:tc>
      </w:tr>
    </w:tbl>
    <w:p>
      <w:pPr>
        <w:spacing w:line="240" w:lineRule="auto" w:before="12"/>
        <w:rPr>
          <w:rFonts w:ascii="宋体" w:hAnsi="宋体" w:cs="宋体" w:eastAsia="宋体" w:hint="default"/>
          <w:sz w:val="17"/>
          <w:szCs w:val="17"/>
        </w:rPr>
      </w:pPr>
    </w:p>
    <w:p>
      <w:pPr>
        <w:pStyle w:val="Heading2"/>
        <w:spacing w:line="240" w:lineRule="auto" w:before="26"/>
        <w:ind w:right="1105"/>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613"/>
        <w:gridCol w:w="1757"/>
        <w:gridCol w:w="1742"/>
        <w:gridCol w:w="1742"/>
        <w:gridCol w:w="1727"/>
      </w:tblGrid>
      <w:tr>
        <w:trPr>
          <w:trHeight w:val="4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0"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398,366,944.26</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395,363,465.72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490,061,964.28</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1,684,537,766.16</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-14,847,461.27</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493,822,089.17</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36,975,341.34</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504,217,817.71</w:t>
            </w:r>
          </w:p>
        </w:tc>
      </w:tr>
      <w:tr>
        <w:trPr>
          <w:trHeight w:val="7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6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-28,799,977.71</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-20,898,811.81</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33,987,029.14</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421,372,609.00</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-53,661,120.99</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205,774,141.35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86,316,225.23</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321,404,260.10</w:t>
            </w:r>
          </w:p>
        </w:tc>
      </w:tr>
    </w:tbl>
    <w:p>
      <w:pPr>
        <w:pStyle w:val="BodyText"/>
        <w:spacing w:line="240" w:lineRule="auto" w:before="45"/>
        <w:ind w:right="1105"/>
        <w:jc w:val="left"/>
      </w:pPr>
      <w:r>
        <w:rPr/>
        <w:t>上述财务指标或其加总数是否与公司已披露季度报告、半年度报告相关财务指标存在重大差异</w:t>
      </w:r>
    </w:p>
    <w:p>
      <w:pPr>
        <w:pStyle w:val="BodyText"/>
        <w:spacing w:line="319" w:lineRule="auto" w:before="124"/>
        <w:ind w:right="110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w:t>
      </w:r>
      <w:r>
        <w:rPr>
          <w:spacing w:val="-2"/>
        </w:rPr>
        <w:t>归属于上市公司股东的净利润与已披露季度报告、半年度报告的数有较大差异，主要是同一控制下合并易视腾科技，经审计</w:t>
      </w:r>
      <w:r>
        <w:rPr>
          <w:spacing w:val="-75"/>
        </w:rPr>
        <w:t> </w:t>
      </w:r>
      <w:r>
        <w:rPr>
          <w:spacing w:val="-75"/>
        </w:rPr>
      </w:r>
      <w:r>
        <w:rPr/>
        <w:t>后收购日之前按实际控制人的比例合并，收购日之后按收购比例合并所致，现在全部改为按审计口径来列示。</w:t>
      </w:r>
    </w:p>
    <w:p>
      <w:pPr>
        <w:spacing w:line="240" w:lineRule="auto" w:before="6"/>
        <w:rPr>
          <w:rFonts w:ascii="宋体" w:hAnsi="宋体" w:cs="宋体" w:eastAsia="宋体" w:hint="default"/>
          <w:sz w:val="21"/>
          <w:szCs w:val="21"/>
        </w:rPr>
      </w:pPr>
    </w:p>
    <w:p>
      <w:pPr>
        <w:pStyle w:val="Heading2"/>
        <w:spacing w:line="240" w:lineRule="auto"/>
        <w:ind w:right="1105"/>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05"/>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22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公司报告期不存在按照国际会计准则与按照中国会计准则披露的财务报告中净利润和净资产差异情况。</w:t>
      </w:r>
    </w:p>
    <w:p>
      <w:pPr>
        <w:spacing w:line="240" w:lineRule="auto" w:before="6"/>
        <w:rPr>
          <w:rFonts w:ascii="宋体" w:hAnsi="宋体" w:cs="宋体" w:eastAsia="宋体" w:hint="default"/>
          <w:sz w:val="25"/>
          <w:szCs w:val="25"/>
        </w:rPr>
      </w:pPr>
    </w:p>
    <w:p>
      <w:pPr>
        <w:pStyle w:val="Heading3"/>
        <w:spacing w:line="240" w:lineRule="auto"/>
        <w:ind w:right="1105"/>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3"/>
        <w:rPr>
          <w:rFonts w:ascii="宋体" w:hAnsi="宋体" w:cs="宋体" w:eastAsia="宋体" w:hint="default"/>
          <w:b/>
          <w:bCs/>
          <w:sz w:val="25"/>
          <w:szCs w:val="25"/>
        </w:rPr>
      </w:pPr>
    </w:p>
    <w:p>
      <w:pPr>
        <w:pStyle w:val="BodyText"/>
        <w:spacing w:line="316" w:lineRule="auto"/>
        <w:ind w:right="26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公司报告期不存在按照境外会计准则与按照中国会计准则披露的财务报告中净利润和净资产差异情况。</w:t>
      </w:r>
    </w:p>
    <w:p>
      <w:pPr>
        <w:spacing w:line="240" w:lineRule="auto" w:before="9"/>
        <w:rPr>
          <w:rFonts w:ascii="宋体" w:hAnsi="宋体" w:cs="宋体" w:eastAsia="宋体" w:hint="default"/>
          <w:sz w:val="22"/>
          <w:szCs w:val="22"/>
        </w:rPr>
      </w:pPr>
    </w:p>
    <w:p>
      <w:pPr>
        <w:pStyle w:val="Heading2"/>
        <w:spacing w:line="240" w:lineRule="auto"/>
        <w:ind w:right="1105"/>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289"/>
        <w:gridCol w:w="1532"/>
        <w:gridCol w:w="1517"/>
        <w:gridCol w:w="1532"/>
        <w:gridCol w:w="1712"/>
      </w:tblGrid>
      <w:tr>
        <w:trPr>
          <w:trHeight w:val="390"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年金额</w:t>
            </w:r>
          </w:p>
        </w:tc>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年金额</w:t>
            </w:r>
          </w:p>
        </w:tc>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年金额</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304"/>
        <w:gridCol w:w="1517"/>
        <w:gridCol w:w="1517"/>
        <w:gridCol w:w="1532"/>
        <w:gridCol w:w="1712"/>
      </w:tblGrid>
      <w:tr>
        <w:trPr>
          <w:trHeight w:val="720" w:hRule="exact"/>
        </w:trPr>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3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-898.93</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-38,405.49</w:t>
            </w:r>
            <w:r>
              <w:rPr>
                <w:rFonts w:ascii="Times New Roman"/>
                <w:sz w:val="18"/>
              </w:rPr>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-28,040.09</w:t>
            </w:r>
            <w:r>
              <w:rPr>
                <w:rFonts w:ascii="Times New Roman"/>
                <w:sz w:val="18"/>
              </w:rPr>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3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102,701,376.46</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18,860,400.00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29,555,375.00</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32"/>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2,031,747.57</w:t>
            </w:r>
          </w:p>
        </w:tc>
        <w:tc>
          <w:tcPr>
            <w:tcW w:w="151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2,048,861.55</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32"/>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109,579,163.42</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187,791,806.09</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18,903,494.60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29"/>
              <w:ind w:left="15" w:right="59"/>
              <w:jc w:val="left"/>
              <w:rPr>
                <w:rFonts w:ascii="宋体" w:hAnsi="宋体" w:cs="宋体" w:eastAsia="宋体" w:hint="default"/>
                <w:sz w:val="18"/>
                <w:szCs w:val="18"/>
              </w:rPr>
            </w:pPr>
            <w:r>
              <w:rPr>
                <w:rFonts w:ascii="宋体" w:hAnsi="宋体" w:cs="宋体" w:eastAsia="宋体" w:hint="default"/>
                <w:sz w:val="18"/>
                <w:szCs w:val="18"/>
              </w:rPr>
              <w:t>同一控制下合并易视 腾科技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月净利润</w:t>
            </w:r>
          </w:p>
        </w:tc>
      </w:tr>
      <w:tr>
        <w:trPr>
          <w:trHeight w:val="2282" w:hRule="exact"/>
        </w:trPr>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15" w:right="3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1,977,152.60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8,309,451.72</w:t>
            </w:r>
          </w:p>
        </w:tc>
        <w:tc>
          <w:tcPr>
            <w:tcW w:w="153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32"/>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499,885,773.84</w:t>
            </w:r>
          </w:p>
        </w:tc>
        <w:tc>
          <w:tcPr>
            <w:tcW w:w="151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59"/>
              <w:jc w:val="both"/>
              <w:rPr>
                <w:rFonts w:ascii="宋体" w:hAnsi="宋体" w:cs="宋体" w:eastAsia="宋体" w:hint="default"/>
                <w:sz w:val="18"/>
                <w:szCs w:val="18"/>
              </w:rPr>
            </w:pPr>
            <w:r>
              <w:rPr>
                <w:rFonts w:ascii="宋体" w:hAnsi="宋体" w:cs="宋体" w:eastAsia="宋体" w:hint="default"/>
                <w:sz w:val="18"/>
                <w:szCs w:val="18"/>
              </w:rPr>
              <w:t>非同一控制下企业合 并邦道科技和数联领 航带来的</w:t>
            </w:r>
          </w:p>
        </w:tc>
      </w:tr>
      <w:tr>
        <w:trPr>
          <w:trHeight w:val="405" w:hRule="exact"/>
        </w:trPr>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-990,922.68</w:t>
            </w:r>
            <w:r>
              <w:rPr>
                <w:rFonts w:ascii="Times New Roman"/>
                <w:sz w:val="18"/>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-1,051,772.17</w:t>
            </w:r>
            <w:r>
              <w:rPr>
                <w:rFonts w:ascii="Times New Roman"/>
                <w:sz w:val="18"/>
              </w:rPr>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6,691.39</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-862,584.19</w:t>
            </w:r>
            <w:r>
              <w:rPr>
                <w:rFonts w:ascii="Times New Roman"/>
                <w:sz w:val="18"/>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-540,286.37</w:t>
            </w:r>
            <w:r>
              <w:rPr>
                <w:rFonts w:ascii="Times New Roman"/>
                <w:sz w:val="18"/>
              </w:rPr>
            </w:r>
          </w:p>
        </w:tc>
        <w:tc>
          <w:tcPr>
            <w:tcW w:w="153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12,430,564.84</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2,506,558.35</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3,151,353.49</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87,383,304.92</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133,612,985.25</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13,203,724.74</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614,506,938.33</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77,211,650.18</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34,131,304.22</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13"/>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0"/>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90" w:lineRule="auto" w:before="51"/>
        <w:ind w:right="1118"/>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102"/>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2268"/>
        <w:gridCol w:w="2133"/>
        <w:gridCol w:w="5181"/>
      </w:tblGrid>
      <w:tr>
        <w:trPr>
          <w:trHeight w:val="406" w:hRule="exact"/>
        </w:trPr>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1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289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1140" w:right="0"/>
              <w:jc w:val="left"/>
              <w:rPr>
                <w:rFonts w:ascii="Times New Roman" w:hAnsi="Times New Roman" w:cs="Times New Roman" w:eastAsia="Times New Roman" w:hint="default"/>
                <w:sz w:val="18"/>
                <w:szCs w:val="18"/>
              </w:rPr>
            </w:pPr>
            <w:r>
              <w:rPr>
                <w:rFonts w:ascii="Times New Roman"/>
                <w:sz w:val="18"/>
              </w:rPr>
              <w:t>6,281,071.66</w:t>
            </w:r>
          </w:p>
        </w:tc>
        <w:tc>
          <w:tcPr>
            <w:tcW w:w="5181"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59"/>
              <w:ind w:left="15" w:right="14"/>
              <w:jc w:val="left"/>
              <w:rPr>
                <w:rFonts w:ascii="宋体" w:hAnsi="宋体" w:cs="宋体" w:eastAsia="宋体" w:hint="default"/>
                <w:sz w:val="18"/>
                <w:szCs w:val="18"/>
              </w:rPr>
            </w:pPr>
            <w:r>
              <w:rPr>
                <w:rFonts w:ascii="宋体" w:hAnsi="宋体" w:cs="宋体" w:eastAsia="宋体" w:hint="default"/>
                <w:sz w:val="18"/>
                <w:szCs w:val="18"/>
              </w:rPr>
              <w:t>根据财政部和国家税务总局</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日发出《关于软件产 </w:t>
            </w:r>
            <w:r>
              <w:rPr>
                <w:rFonts w:ascii="宋体" w:hAnsi="宋体" w:cs="宋体" w:eastAsia="宋体" w:hint="default"/>
                <w:spacing w:val="-4"/>
                <w:sz w:val="18"/>
                <w:szCs w:val="18"/>
              </w:rPr>
              <w:t>品增值税政策的通知》（财税</w:t>
            </w:r>
            <w:r>
              <w:rPr>
                <w:rFonts w:ascii="Times New Roman" w:hAnsi="Times New Roman" w:cs="Times New Roman" w:eastAsia="Times New Roman" w:hint="default"/>
                <w:spacing w:val="-4"/>
                <w:sz w:val="18"/>
                <w:szCs w:val="18"/>
              </w:rPr>
              <w:t>[2011]100</w:t>
            </w:r>
            <w:r>
              <w:rPr>
                <w:rFonts w:ascii="Times New Roman" w:hAnsi="Times New Roman" w:cs="Times New Roman" w:eastAsia="Times New Roman" w:hint="default"/>
                <w:sz w:val="18"/>
                <w:szCs w:val="18"/>
              </w:rPr>
              <w:t> </w:t>
            </w:r>
            <w:r>
              <w:rPr>
                <w:rFonts w:ascii="宋体" w:hAnsi="宋体" w:cs="宋体" w:eastAsia="宋体" w:hint="default"/>
                <w:spacing w:val="-8"/>
                <w:sz w:val="18"/>
                <w:szCs w:val="18"/>
              </w:rPr>
              <w:t>号），本集团销售的经认证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的自行开发软件在获得主管税务机关审批并按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税率（</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日前，本集团适用于</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销项税率）征收增值税后，对增值</w:t>
            </w:r>
            <w:r>
              <w:rPr>
                <w:rFonts w:ascii="宋体" w:hAnsi="宋体" w:cs="宋体" w:eastAsia="宋体" w:hint="default"/>
                <w:sz w:val="18"/>
                <w:szCs w:val="18"/>
              </w:rPr>
              <w:t> 税实际税负超过</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的部分实行即征即退政策。前述即征即退的增 值税退税被计入本集团的其他收益，本集团认为该等增值税退税 属于与本集团正常主营的软件开发业务密切相关，并符合国家政 策规定、按照一定标准定额或定量享受的政府补助，故未计入本 集团非经常性损益。</w:t>
            </w:r>
          </w:p>
        </w:tc>
      </w:tr>
    </w:tbl>
    <w:p>
      <w:pPr>
        <w:spacing w:after="0" w:line="304"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520" w:right="1105"/>
        <w:jc w:val="left"/>
        <w:rPr>
          <w:b w:val="0"/>
          <w:bCs w:val="0"/>
        </w:rPr>
      </w:pPr>
      <w:bookmarkStart w:name="_TOC_250010" w:id="15"/>
      <w:bookmarkStart w:name="第三节公司业务概要" w:id="16"/>
      <w:r>
        <w:rPr>
          <w:b w:val="0"/>
          <w:bCs w:val="0"/>
        </w:rPr>
      </w:r>
      <w:r>
        <w:rPr>
          <w:spacing w:val="5"/>
        </w:rPr>
        <w:t>第三节公司业务概要</w:t>
      </w:r>
      <w:bookmarkEnd w:id="15"/>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1105"/>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3"/>
        <w:rPr>
          <w:rFonts w:ascii="宋体" w:hAnsi="宋体" w:cs="宋体" w:eastAsia="宋体" w:hint="default"/>
          <w:b/>
          <w:bCs/>
          <w:sz w:val="27"/>
          <w:szCs w:val="27"/>
        </w:rPr>
      </w:pPr>
    </w:p>
    <w:p>
      <w:pPr>
        <w:pStyle w:val="BodyText"/>
        <w:spacing w:line="333" w:lineRule="auto"/>
        <w:ind w:left="501" w:right="0" w:hanging="361"/>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spacing w:val="-3"/>
        </w:rPr>
        <w:t>朗新科技集团聚焦产业互联网，采用新一代信息技术打造</w:t>
      </w:r>
      <w:r>
        <w:rPr>
          <w:rFonts w:ascii="Times New Roman" w:hAnsi="Times New Roman" w:cs="Times New Roman" w:eastAsia="Times New Roman" w:hint="default"/>
          <w:spacing w:val="-3"/>
        </w:rPr>
        <w:t>“</w:t>
      </w:r>
      <w:r>
        <w:rPr>
          <w:spacing w:val="-3"/>
        </w:rPr>
        <w:t>产业互联网应用引擎</w:t>
      </w:r>
      <w:r>
        <w:rPr>
          <w:rFonts w:ascii="Times New Roman" w:hAnsi="Times New Roman" w:cs="Times New Roman" w:eastAsia="Times New Roman" w:hint="default"/>
          <w:spacing w:val="-3"/>
        </w:rPr>
        <w:t>”</w:t>
      </w:r>
      <w:r>
        <w:rPr>
          <w:spacing w:val="-3"/>
        </w:rPr>
        <w:t>，以</w:t>
      </w:r>
      <w:r>
        <w:rPr>
          <w:rFonts w:ascii="Times New Roman" w:hAnsi="Times New Roman" w:cs="Times New Roman" w:eastAsia="Times New Roman" w:hint="default"/>
          <w:spacing w:val="-3"/>
        </w:rPr>
        <w:t>B2B2C</w:t>
      </w:r>
      <w:r>
        <w:rPr>
          <w:spacing w:val="-3"/>
        </w:rPr>
        <w:t>的业务模式，赋能智慧能源、</w:t>
      </w:r>
    </w:p>
    <w:p>
      <w:pPr>
        <w:pStyle w:val="BodyText"/>
        <w:spacing w:line="209" w:lineRule="exact"/>
        <w:ind w:right="0"/>
        <w:jc w:val="left"/>
      </w:pPr>
      <w:r>
        <w:rPr/>
        <w:t>智慧家庭、公共服务、工业互联网、数字城市、新外贸等行业，助力产业创新和升级，提升客户体验，创造并分享新的客户</w:t>
      </w:r>
    </w:p>
    <w:p>
      <w:pPr>
        <w:pStyle w:val="BodyText"/>
        <w:spacing w:line="240" w:lineRule="auto" w:before="79"/>
        <w:ind w:right="1105"/>
        <w:jc w:val="left"/>
      </w:pPr>
      <w:r>
        <w:rPr/>
        <w:t>价值。</w:t>
      </w:r>
    </w:p>
    <w:p>
      <w:pPr>
        <w:pStyle w:val="BodyText"/>
        <w:spacing w:line="314" w:lineRule="auto" w:before="125"/>
        <w:ind w:right="1046" w:firstLine="360"/>
        <w:jc w:val="both"/>
      </w:pPr>
      <w:r>
        <w:rPr>
          <w:spacing w:val="-2"/>
        </w:rPr>
        <w:t>朗新科技集团主要业务收入来源于软件服务、运营服务和智能终端研发销售。集团通过软件服务和智能终端产品帮助客</w:t>
      </w:r>
      <w:r>
        <w:rPr/>
        <w:t> </w:t>
      </w:r>
      <w:r>
        <w:rPr>
          <w:spacing w:val="-2"/>
        </w:rPr>
        <w:t>户完成信息化与产业互联网基础服务能力的建设与升级，并共建行业或业务运营服务平台，通过持续的运营服务保障客户服</w:t>
      </w:r>
      <w:r>
        <w:rPr>
          <w:spacing w:val="-72"/>
        </w:rPr>
        <w:t> </w:t>
      </w:r>
      <w:r>
        <w:rPr>
          <w:spacing w:val="-72"/>
        </w:rPr>
      </w:r>
      <w:r>
        <w:rPr/>
        <w:t>务能力的持续提升，并不断地进行业务创新和服务升级，改善最终用户的体验，实现协同发展，创造并分享新的用户价值。</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5400" w:lineRule="exact"/>
        <w:ind w:left="500" w:right="0" w:firstLine="0"/>
        <w:rPr>
          <w:rFonts w:ascii="宋体" w:hAnsi="宋体" w:cs="宋体" w:eastAsia="宋体" w:hint="default"/>
          <w:sz w:val="20"/>
          <w:szCs w:val="20"/>
        </w:rPr>
      </w:pPr>
      <w:r>
        <w:rPr>
          <w:rFonts w:ascii="宋体" w:hAnsi="宋体" w:cs="宋体" w:eastAsia="宋体" w:hint="default"/>
          <w:position w:val="-107"/>
          <w:sz w:val="20"/>
          <w:szCs w:val="20"/>
        </w:rPr>
        <w:drawing>
          <wp:inline distT="0" distB="0" distL="0" distR="0">
            <wp:extent cx="6096000" cy="34290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6096000" cy="3429000"/>
                    </a:xfrm>
                    <a:prstGeom prst="rect">
                      <a:avLst/>
                    </a:prstGeom>
                  </pic:spPr>
                </pic:pic>
              </a:graphicData>
            </a:graphic>
          </wp:inline>
        </w:drawing>
      </w:r>
      <w:r>
        <w:rPr>
          <w:rFonts w:ascii="宋体" w:hAnsi="宋体" w:cs="宋体" w:eastAsia="宋体" w:hint="default"/>
          <w:position w:val="-107"/>
          <w:sz w:val="20"/>
          <w:szCs w:val="20"/>
        </w:rPr>
      </w:r>
    </w:p>
    <w:p>
      <w:pPr>
        <w:spacing w:line="240" w:lineRule="auto" w:before="0"/>
        <w:rPr>
          <w:rFonts w:ascii="宋体" w:hAnsi="宋体" w:cs="宋体" w:eastAsia="宋体" w:hint="default"/>
          <w:sz w:val="10"/>
          <w:szCs w:val="10"/>
        </w:rPr>
      </w:pPr>
    </w:p>
    <w:p>
      <w:pPr>
        <w:pStyle w:val="BodyText"/>
        <w:spacing w:line="348" w:lineRule="auto" w:before="44"/>
        <w:ind w:left="501" w:right="1105"/>
        <w:jc w:val="left"/>
      </w:pPr>
      <w:r>
        <w:rPr>
          <w:rFonts w:ascii="Times New Roman" w:hAnsi="Times New Roman" w:cs="Times New Roman" w:eastAsia="Times New Roman" w:hint="default"/>
        </w:rPr>
        <w:t>1</w:t>
      </w:r>
      <w:r>
        <w:rPr/>
        <w:t>、软件服务业务 </w:t>
      </w:r>
      <w:r>
        <w:rPr>
          <w:spacing w:val="-2"/>
        </w:rPr>
        <w:t>软件服务业务包括咨询规划、软件产品销售、软件开发、软件运行维护以及</w:t>
      </w:r>
      <w:r>
        <w:rPr>
          <w:rFonts w:ascii="Times New Roman" w:hAnsi="Times New Roman" w:cs="Times New Roman" w:eastAsia="Times New Roman" w:hint="default"/>
          <w:spacing w:val="-2"/>
        </w:rPr>
        <w:t>SaaS</w:t>
      </w:r>
      <w:r>
        <w:rPr>
          <w:spacing w:val="-2"/>
        </w:rPr>
        <w:t>服务等，主要面向电力、燃气等能源企</w:t>
      </w:r>
    </w:p>
    <w:p>
      <w:pPr>
        <w:pStyle w:val="BodyText"/>
        <w:spacing w:line="182" w:lineRule="exact"/>
        <w:ind w:right="0"/>
        <w:jc w:val="left"/>
      </w:pPr>
      <w:r>
        <w:rPr/>
        <w:t>业、公共服务机构、政府以及大型企业集团等，为其构建基于新一代信息技术的核心业务系统和开放业务服务能力，从而更</w:t>
      </w:r>
    </w:p>
    <w:p>
      <w:pPr>
        <w:pStyle w:val="BodyText"/>
        <w:spacing w:line="240" w:lineRule="auto" w:before="80"/>
        <w:ind w:right="1105"/>
        <w:jc w:val="left"/>
      </w:pPr>
      <w:r>
        <w:rPr/>
        <w:t>好地助其融入产业互联网发展。</w:t>
      </w:r>
    </w:p>
    <w:p>
      <w:pPr>
        <w:pStyle w:val="BodyText"/>
        <w:spacing w:line="319" w:lineRule="auto" w:before="139"/>
        <w:ind w:left="501" w:right="1133"/>
        <w:jc w:val="left"/>
      </w:pPr>
      <w:r>
        <w:rPr>
          <w:rFonts w:ascii="Times New Roman" w:hAnsi="Times New Roman" w:cs="Times New Roman" w:eastAsia="Times New Roman" w:hint="default"/>
        </w:rPr>
        <w:t>2</w:t>
      </w:r>
      <w:r>
        <w:rPr/>
        <w:t>、运营服务业务 </w:t>
      </w:r>
      <w:r>
        <w:rPr>
          <w:spacing w:val="-2"/>
        </w:rPr>
        <w:t>运营服务包括平台运营服务、互联网运营服务和用户运营服务等，目前主要开展的有面向公用事业机构缴费和城市生活</w:t>
      </w:r>
    </w:p>
    <w:p>
      <w:pPr>
        <w:pStyle w:val="BodyText"/>
        <w:spacing w:line="321" w:lineRule="auto" w:before="20"/>
        <w:ind w:right="1105"/>
        <w:jc w:val="left"/>
      </w:pPr>
      <w:r>
        <w:rPr>
          <w:spacing w:val="-2"/>
        </w:rPr>
        <w:t>公共服务领域的移动支付云平台服务、互联网电视用户运营服务、公共服务行业互联网运营服务、工业互联网平台服务、新</w:t>
      </w:r>
      <w:r>
        <w:rPr>
          <w:spacing w:val="-42"/>
        </w:rPr>
        <w:t> </w:t>
      </w:r>
      <w:r>
        <w:rPr>
          <w:spacing w:val="-42"/>
        </w:rPr>
      </w:r>
      <w:r>
        <w:rPr/>
        <w:t>外贸综合云平台服务等。</w:t>
      </w:r>
    </w:p>
    <w:p>
      <w:pPr>
        <w:pStyle w:val="BodyText"/>
        <w:spacing w:line="345" w:lineRule="auto" w:before="64"/>
        <w:ind w:left="426" w:right="1105"/>
        <w:jc w:val="left"/>
      </w:pPr>
      <w:r>
        <w:rPr>
          <w:rFonts w:ascii="Times New Roman" w:hAnsi="Times New Roman" w:cs="Times New Roman" w:eastAsia="Times New Roman" w:hint="default"/>
        </w:rPr>
        <w:t>3</w:t>
      </w:r>
      <w:r>
        <w:rPr/>
        <w:t>、智能终端业务 智能终端业务主要包括面向电信运营商的互联网电视</w:t>
      </w:r>
      <w:r>
        <w:rPr>
          <w:rFonts w:ascii="Times New Roman" w:hAnsi="Times New Roman" w:cs="Times New Roman" w:eastAsia="Times New Roman" w:hint="default"/>
        </w:rPr>
        <w:t>OTT</w:t>
      </w:r>
      <w:r>
        <w:rPr/>
        <w:t>智能终端以及面向工业企业的工业互联网网关等产品的研发与</w:t>
      </w:r>
    </w:p>
    <w:p>
      <w:pPr>
        <w:pStyle w:val="BodyText"/>
        <w:spacing w:line="213" w:lineRule="exact"/>
        <w:ind w:right="1105"/>
        <w:jc w:val="left"/>
      </w:pPr>
      <w:r>
        <w:rPr/>
        <w:t>销售，围绕运营服务和</w:t>
      </w:r>
      <w:r>
        <w:rPr>
          <w:rFonts w:ascii="Times New Roman" w:hAnsi="Times New Roman" w:cs="Times New Roman" w:eastAsia="Times New Roman" w:hint="default"/>
        </w:rPr>
        <w:t>SaaS</w:t>
      </w:r>
      <w:r>
        <w:rPr/>
        <w:t>服务开展业务，集团的运营服务和多项</w:t>
      </w:r>
      <w:r>
        <w:rPr>
          <w:rFonts w:ascii="Times New Roman" w:hAnsi="Times New Roman" w:cs="Times New Roman" w:eastAsia="Times New Roman" w:hint="default"/>
        </w:rPr>
        <w:t>SaaS</w:t>
      </w:r>
      <w:r>
        <w:rPr/>
        <w:t>服务均以</w:t>
      </w:r>
      <w:r>
        <w:rPr>
          <w:rFonts w:ascii="Times New Roman" w:hAnsi="Times New Roman" w:cs="Times New Roman" w:eastAsia="Times New Roman" w:hint="default"/>
        </w:rPr>
        <w:t>“</w:t>
      </w:r>
      <w:r>
        <w:rPr/>
        <w:t>云</w:t>
      </w:r>
      <w:r>
        <w:rPr>
          <w:rFonts w:ascii="Times New Roman" w:hAnsi="Times New Roman" w:cs="Times New Roman" w:eastAsia="Times New Roman" w:hint="default"/>
        </w:rPr>
        <w:t>”+“</w:t>
      </w:r>
      <w:r>
        <w:rPr/>
        <w:t>端</w:t>
      </w:r>
      <w:r>
        <w:rPr>
          <w:rFonts w:ascii="Times New Roman" w:hAnsi="Times New Roman" w:cs="Times New Roman" w:eastAsia="Times New Roman" w:hint="default"/>
        </w:rPr>
        <w:t>”</w:t>
      </w:r>
      <w:r>
        <w:rPr/>
        <w:t>形式开展，具有边缘计算能力、</w:t>
      </w:r>
    </w:p>
    <w:p>
      <w:pPr>
        <w:spacing w:after="0" w:line="213" w:lineRule="exact"/>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67" w:lineRule="auto" w:before="44"/>
        <w:ind w:left="501" w:right="1105" w:hanging="361"/>
        <w:jc w:val="left"/>
      </w:pPr>
      <w:r>
        <w:rPr/>
        <w:t>多种交互体验和广泛适配能力的智能终端，极大提升了服务效率和服务能力，为最终用户提供了良好的体验。 </w:t>
      </w:r>
      <w:r>
        <w:rPr>
          <w:spacing w:val="-2"/>
        </w:rPr>
        <w:t>进入</w:t>
      </w:r>
      <w:r>
        <w:rPr>
          <w:rFonts w:ascii="Times New Roman" w:hAnsi="Times New Roman" w:cs="Times New Roman" w:eastAsia="Times New Roman" w:hint="default"/>
          <w:spacing w:val="-2"/>
        </w:rPr>
        <w:t>21</w:t>
      </w:r>
      <w:r>
        <w:rPr>
          <w:spacing w:val="-2"/>
        </w:rPr>
        <w:t>世纪以来，信息技术已逐渐成为推动国民经济发展和促进全社会生产效率提升的强大动力，信息技术产业作为关</w:t>
      </w:r>
    </w:p>
    <w:p>
      <w:pPr>
        <w:pStyle w:val="BodyText"/>
        <w:spacing w:line="181" w:lineRule="exact"/>
        <w:ind w:right="0"/>
        <w:jc w:val="left"/>
      </w:pPr>
      <w:r>
        <w:rPr/>
        <w:t>系到国民经济和社会发展全局的基础性、战略性、先导性产业受到了越来越多国家和地区的重视。而中国互联网产业的发展</w:t>
      </w:r>
    </w:p>
    <w:p>
      <w:pPr>
        <w:pStyle w:val="BodyText"/>
        <w:spacing w:line="302" w:lineRule="auto" w:before="95"/>
        <w:ind w:right="1019"/>
        <w:jc w:val="left"/>
      </w:pPr>
      <w:r>
        <w:rPr>
          <w:spacing w:val="-4"/>
        </w:rPr>
        <w:t>重点正在由消费互联网转向产业互联网。</w:t>
      </w:r>
      <w:r>
        <w:rPr>
          <w:rFonts w:ascii="Times New Roman" w:hAnsi="Times New Roman" w:cs="Times New Roman" w:eastAsia="Times New Roman" w:hint="default"/>
          <w:spacing w:val="-4"/>
        </w:rPr>
        <w:t>2018</w:t>
      </w:r>
      <w:r>
        <w:rPr>
          <w:spacing w:val="-4"/>
        </w:rPr>
        <w:t>年底中央经济工作会议，谈及</w:t>
      </w:r>
      <w:r>
        <w:rPr>
          <w:rFonts w:ascii="Times New Roman" w:hAnsi="Times New Roman" w:cs="Times New Roman" w:eastAsia="Times New Roman" w:hint="default"/>
          <w:spacing w:val="-4"/>
        </w:rPr>
        <w:t>2019</w:t>
      </w:r>
      <w:r>
        <w:rPr>
          <w:spacing w:val="-4"/>
        </w:rPr>
        <w:t>年工作任务时，会议指出</w:t>
      </w:r>
      <w:r>
        <w:rPr>
          <w:spacing w:val="-50"/>
        </w:rPr>
        <w:t> </w:t>
      </w:r>
      <w:r>
        <w:rPr>
          <w:rFonts w:ascii="Times New Roman" w:hAnsi="Times New Roman" w:cs="Times New Roman" w:eastAsia="Times New Roman" w:hint="default"/>
        </w:rPr>
        <w:t>:“</w:t>
      </w:r>
      <w:r>
        <w:rPr/>
        <w:t>加快</w:t>
      </w:r>
      <w:r>
        <w:rPr>
          <w:rFonts w:ascii="Times New Roman" w:hAnsi="Times New Roman" w:cs="Times New Roman" w:eastAsia="Times New Roman" w:hint="default"/>
        </w:rPr>
        <w:t>5G</w:t>
      </w:r>
      <w:r>
        <w:rPr/>
        <w:t>商用步伐，</w:t>
      </w:r>
      <w:r>
        <w:rPr>
          <w:spacing w:val="-80"/>
        </w:rPr>
        <w:t> </w:t>
      </w:r>
      <w:r>
        <w:rPr/>
        <w:t>加强人工智能、工业互联网、物联网等新型基础设施建设</w:t>
      </w:r>
      <w:r>
        <w:rPr>
          <w:rFonts w:ascii="Times New Roman" w:hAnsi="Times New Roman" w:cs="Times New Roman" w:eastAsia="Times New Roman" w:hint="default"/>
        </w:rPr>
        <w:t>”</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日，开年首次国务院常务会议要求：</w:t>
      </w:r>
      <w:r>
        <w:rPr>
          <w:rFonts w:ascii="Times New Roman" w:hAnsi="Times New Roman" w:cs="Times New Roman" w:eastAsia="Times New Roman" w:hint="default"/>
        </w:rPr>
        <w:t>“</w:t>
      </w:r>
      <w:r>
        <w:rPr/>
        <w:t>要大力发展先 进制造业，出台信息网络等新型基础设施投资支持政策，推进智能、绿色制造</w:t>
      </w:r>
      <w:r>
        <w:rPr>
          <w:rFonts w:ascii="Times New Roman" w:hAnsi="Times New Roman" w:cs="Times New Roman" w:eastAsia="Times New Roman" w:hint="default"/>
        </w:rPr>
        <w:t>”</w:t>
      </w:r>
      <w:r>
        <w:rPr/>
        <w:t>。</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日，中共中央政治局常务委员会会议</w:t>
      </w:r>
      <w:r>
        <w:rPr>
          <w:spacing w:val="-88"/>
        </w:rPr>
        <w:t> </w:t>
      </w:r>
      <w:r>
        <w:rPr/>
        <w:t>强调，加快</w:t>
      </w:r>
      <w:r>
        <w:rPr>
          <w:rFonts w:ascii="Times New Roman" w:hAnsi="Times New Roman" w:cs="Times New Roman" w:eastAsia="Times New Roman" w:hint="default"/>
        </w:rPr>
        <w:t>5G</w:t>
      </w:r>
      <w:r>
        <w:rPr/>
        <w:t>网络、数据中心等新型基础设施建设进度。基于新一代信息技术应用的新信息</w:t>
      </w:r>
      <w:r>
        <w:rPr>
          <w:rFonts w:ascii="Times New Roman" w:hAnsi="Times New Roman" w:cs="Times New Roman" w:eastAsia="Times New Roman" w:hint="default"/>
        </w:rPr>
        <w:t>“</w:t>
      </w:r>
      <w:r>
        <w:rPr/>
        <w:t>基础设施建设</w:t>
      </w:r>
      <w:r>
        <w:rPr>
          <w:rFonts w:ascii="Times New Roman" w:hAnsi="Times New Roman" w:cs="Times New Roman" w:eastAsia="Times New Roman" w:hint="default"/>
        </w:rPr>
        <w:t>”</w:t>
      </w:r>
      <w:r>
        <w:rPr/>
        <w:t>对于推动技术</w:t>
      </w:r>
      <w:r>
        <w:rPr>
          <w:spacing w:val="-72"/>
        </w:rPr>
        <w:t> </w:t>
      </w:r>
      <w:r>
        <w:rPr>
          <w:spacing w:val="-2"/>
        </w:rPr>
        <w:t>进步和社会经济发展至关重要，产业互联网技术正成为各个行业寻求转型升级的关键技术支撑。在此大环境、大背景下，国</w:t>
      </w:r>
      <w:r>
        <w:rPr>
          <w:spacing w:val="-42"/>
        </w:rPr>
        <w:t> </w:t>
      </w:r>
      <w:r>
        <w:rPr>
          <w:spacing w:val="-42"/>
        </w:rPr>
      </w:r>
      <w:r>
        <w:rPr/>
        <w:t>内从政府到企业，信息化投资需求非常旺盛，为行业从业企业带来了较大的发展机遇。</w:t>
      </w:r>
    </w:p>
    <w:p>
      <w:pPr>
        <w:pStyle w:val="BodyText"/>
        <w:spacing w:line="304" w:lineRule="auto" w:before="78"/>
        <w:ind w:right="1112" w:firstLine="360"/>
        <w:jc w:val="both"/>
      </w:pPr>
      <w:r>
        <w:rPr>
          <w:spacing w:val="-2"/>
        </w:rPr>
        <w:t>多年来，朗新科技集团一直是中国行业信息化的领先企业，拥有深厚的技术与人才积累的同时，对行业与企业端信息技</w:t>
      </w:r>
      <w:r>
        <w:rPr/>
        <w:t> </w:t>
      </w:r>
      <w:r>
        <w:rPr>
          <w:spacing w:val="-2"/>
        </w:rPr>
        <w:t>术应用发展有着深刻的理解；随着行业信息化逐步进入更高一级的产业互联网发展阶段，公司自</w:t>
      </w:r>
      <w:r>
        <w:rPr>
          <w:rFonts w:ascii="Times New Roman" w:hAnsi="Times New Roman" w:cs="Times New Roman" w:eastAsia="Times New Roman" w:hint="default"/>
          <w:spacing w:val="-2"/>
        </w:rPr>
        <w:t>2013</w:t>
      </w:r>
      <w:r>
        <w:rPr>
          <w:spacing w:val="-2"/>
        </w:rPr>
        <w:t>年就确定了产业互联网</w:t>
      </w:r>
      <w:r>
        <w:rPr>
          <w:spacing w:val="-59"/>
        </w:rPr>
        <w:t> </w:t>
      </w:r>
      <w:r>
        <w:rPr>
          <w:spacing w:val="-2"/>
        </w:rPr>
        <w:t>业务升级战略，并从组织形式、机制建设、人才队伍、技术研究进行了全方位变革，基于公司的优势积累，逐渐孵化了公用</w:t>
      </w:r>
    </w:p>
    <w:p>
      <w:pPr>
        <w:pStyle w:val="BodyText"/>
        <w:spacing w:line="304" w:lineRule="auto" w:before="46"/>
        <w:ind w:right="1046"/>
        <w:jc w:val="both"/>
      </w:pPr>
      <w:r>
        <w:rPr>
          <w:spacing w:val="-2"/>
        </w:rPr>
        <w:t>事业互联网缴费业务、数字城市、工业互联网、新外贸等多项产业互联网新业务，</w:t>
      </w:r>
      <w:r>
        <w:rPr>
          <w:rFonts w:ascii="Times New Roman" w:hAnsi="Times New Roman" w:cs="Times New Roman" w:eastAsia="Times New Roman" w:hint="default"/>
          <w:spacing w:val="-2"/>
        </w:rPr>
        <w:t>2019</w:t>
      </w:r>
      <w:r>
        <w:rPr>
          <w:spacing w:val="-2"/>
        </w:rPr>
        <w:t>年，公司完成了对邦道科技和易视腾</w:t>
      </w:r>
      <w:r>
        <w:rPr>
          <w:spacing w:val="-46"/>
        </w:rPr>
        <w:t> </w:t>
      </w:r>
      <w:r>
        <w:rPr>
          <w:spacing w:val="-46"/>
        </w:rPr>
      </w:r>
      <w:r>
        <w:rPr/>
        <w:t>科技的重大资产重组，进一步提升了公司在产业互联网领域的运营服务能力。</w:t>
      </w:r>
      <w:r>
        <w:rPr>
          <w:rFonts w:ascii="Times New Roman" w:hAnsi="Times New Roman" w:cs="Times New Roman" w:eastAsia="Times New Roman" w:hint="default"/>
        </w:rPr>
        <w:t>2020</w:t>
      </w:r>
      <w:r>
        <w:rPr/>
        <w:t>年伊始，国家加速推进包括</w:t>
      </w:r>
      <w:r>
        <w:rPr>
          <w:rFonts w:ascii="Times New Roman" w:hAnsi="Times New Roman" w:cs="Times New Roman" w:eastAsia="Times New Roman" w:hint="default"/>
        </w:rPr>
        <w:t>5G</w:t>
      </w:r>
      <w:r>
        <w:rPr/>
        <w:t>基建、特</w:t>
      </w:r>
      <w:r>
        <w:rPr>
          <w:spacing w:val="-77"/>
        </w:rPr>
        <w:t> </w:t>
      </w:r>
      <w:r>
        <w:rPr>
          <w:spacing w:val="-2"/>
        </w:rPr>
        <w:t>高压、工业互联网、新能源汽车充电桩、大数据中心、人工智能等领域的新型基础设施建设，与集团多年的业务布局息息相</w:t>
      </w:r>
      <w:r>
        <w:rPr>
          <w:spacing w:val="-57"/>
        </w:rPr>
        <w:t> </w:t>
      </w:r>
      <w:r>
        <w:rPr>
          <w:spacing w:val="-57"/>
        </w:rPr>
      </w:r>
      <w:r>
        <w:rPr/>
        <w:t>关，</w:t>
      </w:r>
      <w:r>
        <w:rPr>
          <w:rFonts w:ascii="Times New Roman" w:hAnsi="Times New Roman" w:cs="Times New Roman" w:eastAsia="Times New Roman" w:hint="default"/>
        </w:rPr>
        <w:t>“</w:t>
      </w:r>
      <w:r>
        <w:rPr/>
        <w:t>新基建</w:t>
      </w:r>
      <w:r>
        <w:rPr>
          <w:rFonts w:ascii="Times New Roman" w:hAnsi="Times New Roman" w:cs="Times New Roman" w:eastAsia="Times New Roman" w:hint="default"/>
        </w:rPr>
        <w:t>”</w:t>
      </w:r>
      <w:r>
        <w:rPr/>
        <w:t>的大规模投资必将给公司带来更大的发展机遇，朗新科技集团将坚定产业互联网的发展战略，通过以云计算、</w:t>
      </w:r>
      <w:r>
        <w:rPr>
          <w:spacing w:val="-85"/>
        </w:rPr>
        <w:t> </w:t>
      </w:r>
      <w:r>
        <w:rPr>
          <w:spacing w:val="-4"/>
        </w:rPr>
        <w:t>大数据、物联网、人工智能、区块链等技术为代表的新一代信息技术的创新商业应用，持续助力企业和政府提升运营与管理、</w:t>
      </w:r>
      <w:r>
        <w:rPr>
          <w:spacing w:val="-50"/>
        </w:rPr>
        <w:t> </w:t>
      </w:r>
      <w:r>
        <w:rPr>
          <w:spacing w:val="-50"/>
        </w:rPr>
      </w:r>
      <w:r>
        <w:rPr/>
        <w:t>促进产品和服务创新的理念，让信息技术最终为社会和经济发展服务，让消费者持续享有技术进步带来的体验提升。</w:t>
      </w:r>
    </w:p>
    <w:p>
      <w:pPr>
        <w:spacing w:line="240" w:lineRule="auto" w:before="4"/>
        <w:rPr>
          <w:rFonts w:ascii="宋体" w:hAnsi="宋体" w:cs="宋体" w:eastAsia="宋体" w:hint="default"/>
          <w:sz w:val="22"/>
          <w:szCs w:val="22"/>
        </w:rPr>
      </w:pPr>
    </w:p>
    <w:p>
      <w:pPr>
        <w:pStyle w:val="Heading2"/>
        <w:spacing w:line="240" w:lineRule="auto"/>
        <w:ind w:right="1105"/>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05"/>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2"/>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3049"/>
        <w:gridCol w:w="6533"/>
      </w:tblGrid>
      <w:tr>
        <w:trPr>
          <w:trHeight w:val="173" w:hRule="exact"/>
        </w:trPr>
        <w:tc>
          <w:tcPr>
            <w:tcW w:w="3049" w:type="dxa"/>
            <w:tcBorders>
              <w:top w:val="single" w:sz="6" w:space="0" w:color="000000"/>
              <w:left w:val="single" w:sz="6" w:space="0" w:color="000000"/>
              <w:bottom w:val="nil" w:sz="6" w:space="0" w:color="auto"/>
              <w:right w:val="single" w:sz="6" w:space="0" w:color="000000"/>
            </w:tcBorders>
            <w:shd w:val="clear" w:color="auto" w:fill="D2D2D2"/>
          </w:tcPr>
          <w:p>
            <w:pPr/>
          </w:p>
        </w:tc>
        <w:tc>
          <w:tcPr>
            <w:tcW w:w="6533"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304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3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8" w:hRule="exact"/>
        </w:trPr>
        <w:tc>
          <w:tcPr>
            <w:tcW w:w="3049" w:type="dxa"/>
            <w:tcBorders>
              <w:top w:val="nil" w:sz="6" w:space="0" w:color="auto"/>
              <w:left w:val="single" w:sz="6" w:space="0" w:color="000000"/>
              <w:bottom w:val="single" w:sz="6" w:space="0" w:color="000000"/>
              <w:right w:val="single" w:sz="6" w:space="0" w:color="000000"/>
            </w:tcBorders>
            <w:shd w:val="clear" w:color="auto" w:fill="D2D2D2"/>
          </w:tcPr>
          <w:p>
            <w:pPr/>
          </w:p>
        </w:tc>
        <w:tc>
          <w:tcPr>
            <w:tcW w:w="6533"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42.14%</w:t>
            </w:r>
            <w:r>
              <w:rPr>
                <w:rFonts w:ascii="宋体" w:hAnsi="宋体" w:cs="宋体" w:eastAsia="宋体" w:hint="default"/>
                <w:sz w:val="18"/>
                <w:szCs w:val="18"/>
              </w:rPr>
              <w:t>，主要是原合营公司邦道科技变为控股子公司所致。</w:t>
            </w: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566.51%</w:t>
            </w:r>
            <w:r>
              <w:rPr>
                <w:rFonts w:ascii="宋体" w:hAnsi="宋体" w:cs="宋体" w:eastAsia="宋体" w:hint="default"/>
                <w:sz w:val="18"/>
                <w:szCs w:val="18"/>
              </w:rPr>
              <w:t>，主要是增加土地使用权所致。</w:t>
            </w:r>
          </w:p>
        </w:tc>
      </w:tr>
      <w:tr>
        <w:trPr>
          <w:trHeight w:val="40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42.27%</w:t>
            </w:r>
            <w:r>
              <w:rPr>
                <w:rFonts w:ascii="宋体" w:hAnsi="宋体" w:cs="宋体" w:eastAsia="宋体" w:hint="default"/>
                <w:sz w:val="18"/>
                <w:szCs w:val="18"/>
              </w:rPr>
              <w:t>，主要是盈利能力增强和资产重组带来现金流大幅增长所致。</w:t>
            </w: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，主要是减少理财产品所致。</w:t>
            </w:r>
          </w:p>
        </w:tc>
      </w:tr>
      <w:tr>
        <w:trPr>
          <w:trHeight w:val="390"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59.44%</w:t>
            </w:r>
            <w:r>
              <w:rPr>
                <w:rFonts w:ascii="宋体" w:hAnsi="宋体" w:cs="宋体" w:eastAsia="宋体" w:hint="default"/>
                <w:sz w:val="18"/>
                <w:szCs w:val="18"/>
              </w:rPr>
              <w:t>，主要是票据到期承兑所致。</w:t>
            </w:r>
          </w:p>
        </w:tc>
      </w:tr>
      <w:tr>
        <w:trPr>
          <w:trHeight w:val="40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37.34%</w:t>
            </w:r>
            <w:r>
              <w:rPr>
                <w:rFonts w:ascii="宋体" w:hAnsi="宋体" w:cs="宋体" w:eastAsia="宋体" w:hint="default"/>
                <w:sz w:val="18"/>
                <w:szCs w:val="18"/>
              </w:rPr>
              <w:t>，主要是朗新科技母公司收入较上年同期增长所致。</w:t>
            </w: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90.85%</w:t>
            </w:r>
            <w:r>
              <w:rPr>
                <w:rFonts w:ascii="宋体" w:hAnsi="宋体" w:cs="宋体" w:eastAsia="宋体" w:hint="default"/>
                <w:sz w:val="18"/>
                <w:szCs w:val="18"/>
              </w:rPr>
              <w:t>，主要是因第三方采购款支付增加所致。</w:t>
            </w: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150.86%</w:t>
            </w:r>
            <w:r>
              <w:rPr>
                <w:rFonts w:ascii="宋体" w:hAnsi="宋体" w:cs="宋体" w:eastAsia="宋体" w:hint="default"/>
                <w:sz w:val="18"/>
                <w:szCs w:val="18"/>
              </w:rPr>
              <w:t>，主要是易视腾科技下属投资公司增加应收债权所致。</w:t>
            </w:r>
          </w:p>
        </w:tc>
      </w:tr>
      <w:tr>
        <w:trPr>
          <w:trHeight w:val="40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83.25%</w:t>
            </w:r>
            <w:r>
              <w:rPr>
                <w:rFonts w:ascii="宋体" w:hAnsi="宋体" w:cs="宋体" w:eastAsia="宋体" w:hint="default"/>
                <w:sz w:val="18"/>
                <w:szCs w:val="18"/>
              </w:rPr>
              <w:t>，主要是易视腾科技受限制结构性存款减少所致</w:t>
            </w:r>
          </w:p>
        </w:tc>
      </w:tr>
      <w:tr>
        <w:trPr>
          <w:trHeight w:val="390"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155.23%</w:t>
            </w:r>
            <w:r>
              <w:rPr>
                <w:rFonts w:ascii="宋体" w:hAnsi="宋体" w:cs="宋体" w:eastAsia="宋体" w:hint="default"/>
                <w:sz w:val="18"/>
                <w:szCs w:val="18"/>
              </w:rPr>
              <w:t>，主要是瀚云工业互联网平台资本化投入持续增加所致。</w:t>
            </w: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3592.20%</w:t>
            </w:r>
            <w:r>
              <w:rPr>
                <w:rFonts w:ascii="宋体" w:hAnsi="宋体" w:cs="宋体" w:eastAsia="宋体" w:hint="default"/>
                <w:sz w:val="18"/>
                <w:szCs w:val="18"/>
              </w:rPr>
              <w:t>，主要是非同一控制下合并邦道科技产生商誉所致。</w:t>
            </w: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106.77%</w:t>
            </w:r>
            <w:r>
              <w:rPr>
                <w:rFonts w:ascii="宋体" w:hAnsi="宋体" w:cs="宋体" w:eastAsia="宋体" w:hint="default"/>
                <w:sz w:val="18"/>
                <w:szCs w:val="18"/>
              </w:rPr>
              <w:t>，主要是股份支付和可抵扣亏损带来的暂时性差异增加所致。</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b/>
          <w:bCs/>
          <w:sz w:val="26"/>
          <w:szCs w:val="26"/>
        </w:rPr>
      </w:pPr>
    </w:p>
    <w:p>
      <w:pPr>
        <w:pStyle w:val="Heading3"/>
        <w:spacing w:line="240" w:lineRule="auto" w:before="35"/>
        <w:ind w:right="0"/>
        <w:jc w:val="both"/>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1"/>
        <w:rPr>
          <w:rFonts w:ascii="宋体" w:hAnsi="宋体" w:cs="宋体" w:eastAsia="宋体" w:hint="default"/>
          <w:b/>
          <w:bCs/>
          <w:sz w:val="26"/>
          <w:szCs w:val="26"/>
        </w:rPr>
      </w:pPr>
    </w:p>
    <w:p>
      <w:pPr>
        <w:pStyle w:val="BodyText"/>
        <w:spacing w:line="360" w:lineRule="auto"/>
        <w:ind w:left="501" w:right="1133" w:hanging="361"/>
        <w:jc w:val="left"/>
      </w:pPr>
      <w:r>
        <w:rPr/>
        <w:t>报告期内，朗新科技集团核心竞争力得到进一步巩固和增强，进一步夯实了未来可持续健康发展的基础。 </w:t>
      </w:r>
      <w:r>
        <w:rPr>
          <w:rFonts w:ascii="宋体" w:hAnsi="宋体" w:cs="宋体" w:eastAsia="宋体" w:hint="default"/>
        </w:rPr>
        <w:t>1</w:t>
      </w:r>
      <w:r>
        <w:rPr/>
        <w:t>、具有产业互联网先发优势 </w:t>
      </w:r>
      <w:r>
        <w:rPr>
          <w:spacing w:val="-2"/>
        </w:rPr>
        <w:t>朗新科技集团是中国行业信息化和产业互联网的领先企业，拥有深厚的技术与人才积累，对行业与企业端信息技术应用</w:t>
      </w:r>
    </w:p>
    <w:p>
      <w:pPr>
        <w:pStyle w:val="BodyText"/>
        <w:spacing w:line="211" w:lineRule="exact"/>
        <w:ind w:right="0"/>
        <w:jc w:val="both"/>
      </w:pPr>
      <w:r>
        <w:rPr/>
        <w:t>发展有着深刻的理解，领先行业完成产业互联网业务战略升级。依赖领先的业务和技术能力，所在行业领先的市场份额，多</w:t>
      </w:r>
    </w:p>
    <w:p>
      <w:pPr>
        <w:pStyle w:val="BodyText"/>
        <w:spacing w:line="321" w:lineRule="auto" w:before="79"/>
        <w:ind w:right="1129"/>
        <w:jc w:val="both"/>
      </w:pPr>
      <w:r>
        <w:rPr>
          <w:spacing w:val="-2"/>
        </w:rPr>
        <w:t>年积累的良好客户口碑，朗新科技集团在相关行业已经建立了很强的产业互联网服务可信赖合作伙伴品牌影响力，拥有清晰</w:t>
      </w:r>
      <w:r>
        <w:rPr>
          <w:spacing w:val="-66"/>
        </w:rPr>
        <w:t> </w:t>
      </w:r>
      <w:r>
        <w:rPr>
          <w:spacing w:val="-66"/>
        </w:rPr>
      </w:r>
      <w:r>
        <w:rPr/>
        <w:t>的战略布局、成熟的商业模式和业务路径，以及具有强执行力的团队。</w:t>
      </w:r>
    </w:p>
    <w:p>
      <w:pPr>
        <w:pStyle w:val="BodyText"/>
        <w:spacing w:line="321" w:lineRule="auto" w:before="49"/>
        <w:ind w:right="0" w:firstLine="360"/>
        <w:jc w:val="left"/>
      </w:pPr>
      <w:r>
        <w:rPr>
          <w:spacing w:val="-2"/>
        </w:rPr>
        <w:t>朗新科技本身是最早进入电力、燃气等能源行业信息化领域的企业之一，子公司易视腾科技是最早进入以互联网电视为</w:t>
      </w:r>
      <w:r>
        <w:rPr/>
        <w:t> </w:t>
      </w:r>
      <w:r>
        <w:rPr>
          <w:spacing w:val="-2"/>
        </w:rPr>
        <w:t>中心的新电视领域的技术服务提供商之一，子公司邦道科技是最早开展公用事业互联网缴费业务的公司，因此，朗新科技集</w:t>
      </w:r>
      <w:r>
        <w:rPr>
          <w:spacing w:val="-75"/>
        </w:rPr>
        <w:t> </w:t>
      </w:r>
      <w:r>
        <w:rPr>
          <w:spacing w:val="-75"/>
        </w:rPr>
      </w:r>
      <w:r>
        <w:rPr>
          <w:spacing w:val="-4"/>
        </w:rPr>
        <w:t>团在其主要的业务领域中，从信息化软件开发、业务规范制定、技术平台研发、平台运营服务、互联网运营、用户运营服务、</w:t>
      </w:r>
      <w:r>
        <w:rPr>
          <w:spacing w:val="-56"/>
        </w:rPr>
        <w:t> </w:t>
      </w:r>
      <w:r>
        <w:rPr>
          <w:spacing w:val="-56"/>
        </w:rPr>
      </w:r>
      <w:r>
        <w:rPr/>
        <w:t>终端供应链等各方面均具有先发优势。</w:t>
      </w:r>
    </w:p>
    <w:p>
      <w:pPr>
        <w:pStyle w:val="BodyText"/>
        <w:spacing w:line="367" w:lineRule="auto" w:before="48"/>
        <w:ind w:left="501" w:right="1105"/>
        <w:jc w:val="left"/>
      </w:pPr>
      <w:r>
        <w:rPr>
          <w:rFonts w:ascii="宋体" w:hAnsi="宋体" w:cs="宋体" w:eastAsia="宋体" w:hint="default"/>
        </w:rPr>
        <w:t>2</w:t>
      </w:r>
      <w:r>
        <w:rPr/>
        <w:t>、系统布局、全面能力 </w:t>
      </w:r>
      <w:r>
        <w:rPr>
          <w:spacing w:val="-2"/>
        </w:rPr>
        <w:t>电力燃气等能源行业以及互联网电视行业都是长链条的产业，涉及终端、网络、平台、运营和用户服务等多个环节，朗</w:t>
      </w:r>
    </w:p>
    <w:p>
      <w:pPr>
        <w:pStyle w:val="BodyText"/>
        <w:spacing w:line="220" w:lineRule="exact"/>
        <w:ind w:right="0"/>
        <w:jc w:val="both"/>
      </w:pPr>
      <w:r>
        <w:rPr/>
        <w:t>新科技在能源行业提供从咨询规划、业务规范、软件开发、系统建设、运维支撑、互联网运营等全面的技术服务，是电力行</w:t>
      </w:r>
    </w:p>
    <w:p>
      <w:pPr>
        <w:pStyle w:val="BodyText"/>
        <w:spacing w:line="319" w:lineRule="auto" w:before="65"/>
        <w:ind w:right="1096"/>
        <w:jc w:val="both"/>
      </w:pPr>
      <w:r>
        <w:rPr>
          <w:spacing w:val="-2"/>
        </w:rPr>
        <w:t>业用电信息化领域业务覆盖最广的企业；易视腾科技的业务布局纵向贯通新电视产业链上下游，拥有领先的技术研发、平台</w:t>
      </w:r>
      <w:r>
        <w:rPr>
          <w:spacing w:val="-75"/>
        </w:rPr>
        <w:t> </w:t>
      </w:r>
      <w:r>
        <w:rPr>
          <w:spacing w:val="-75"/>
        </w:rPr>
      </w:r>
      <w:r>
        <w:rPr>
          <w:spacing w:val="-2"/>
        </w:rPr>
        <w:t>建设、运营支撑、大数据及终端产品开发和供应链能力，是这个链条上业务类型最全、最具规模的技术企业之一；邦道科技</w:t>
      </w:r>
      <w:r>
        <w:rPr>
          <w:spacing w:val="-57"/>
        </w:rPr>
        <w:t> </w:t>
      </w:r>
      <w:r>
        <w:rPr>
          <w:spacing w:val="-57"/>
        </w:rPr>
      </w:r>
      <w:r>
        <w:rPr>
          <w:spacing w:val="-1"/>
        </w:rPr>
        <w:t>的业务从水电燃生活缴费延伸到公共服务机构互联网运营、公共出行、智慧停车等领域，具备全面的</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服务</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互联</w:t>
      </w:r>
      <w:r>
        <w:rPr>
          <w:spacing w:val="-67"/>
        </w:rPr>
        <w:t> </w:t>
      </w:r>
      <w:r>
        <w:rPr/>
        <w:t>网</w:t>
      </w:r>
      <w:r>
        <w:rPr>
          <w:rFonts w:ascii="Times New Roman" w:hAnsi="Times New Roman" w:cs="Times New Roman" w:eastAsia="Times New Roman" w:hint="default"/>
        </w:rPr>
        <w:t>+</w:t>
      </w:r>
      <w:r>
        <w:rPr/>
        <w:t>运营</w:t>
      </w:r>
      <w:r>
        <w:rPr>
          <w:rFonts w:ascii="Times New Roman" w:hAnsi="Times New Roman" w:cs="Times New Roman" w:eastAsia="Times New Roman" w:hint="default"/>
        </w:rPr>
        <w:t>”</w:t>
      </w:r>
      <w:r>
        <w:rPr/>
        <w:t>的能力，是公共服务行业互联网服务和运营的领跑者。</w:t>
      </w:r>
    </w:p>
    <w:p>
      <w:pPr>
        <w:pStyle w:val="BodyText"/>
        <w:spacing w:line="240" w:lineRule="auto" w:before="15"/>
        <w:ind w:left="501" w:right="1105"/>
        <w:jc w:val="left"/>
      </w:pPr>
      <w:r>
        <w:rPr>
          <w:rFonts w:ascii="宋体" w:hAnsi="宋体" w:cs="宋体" w:eastAsia="宋体" w:hint="default"/>
        </w:rPr>
        <w:t>3</w:t>
      </w:r>
      <w:r>
        <w:rPr/>
        <w:t>、新技术研发与创新应用能力</w:t>
      </w:r>
    </w:p>
    <w:p>
      <w:pPr>
        <w:pStyle w:val="BodyText"/>
        <w:spacing w:line="297" w:lineRule="auto" w:before="140"/>
        <w:ind w:right="1121" w:firstLine="360"/>
        <w:jc w:val="both"/>
      </w:pPr>
      <w:r>
        <w:rPr>
          <w:spacing w:val="-1"/>
        </w:rPr>
        <w:t>朗新科技集团一直高度重视产业互联网技术研发与业务创新，研发投入占总收入比近年来均在</w:t>
      </w:r>
      <w:r>
        <w:rPr>
          <w:rFonts w:ascii="Times New Roman" w:hAnsi="Times New Roman" w:cs="Times New Roman" w:eastAsia="Times New Roman" w:hint="default"/>
          <w:spacing w:val="-1"/>
        </w:rPr>
        <w:t>10%</w:t>
      </w:r>
      <w:r>
        <w:rPr>
          <w:spacing w:val="-1"/>
        </w:rPr>
        <w:t>以上，在行业领域内</w:t>
      </w:r>
      <w:r>
        <w:rPr/>
        <w:t> </w:t>
      </w:r>
      <w:r>
        <w:rPr>
          <w:spacing w:val="-2"/>
        </w:rPr>
        <w:t>取得了多项专利；经过多年的技术和经验积累，形成了贯穿平台研发、大数据运营、系统软件开发、智能终端技术，涵盖云</w:t>
      </w:r>
      <w:r>
        <w:rPr>
          <w:spacing w:val="-72"/>
        </w:rPr>
        <w:t> </w:t>
      </w:r>
      <w:r>
        <w:rPr>
          <w:spacing w:val="-72"/>
        </w:rPr>
      </w:r>
      <w:r>
        <w:rPr>
          <w:spacing w:val="-2"/>
        </w:rPr>
        <w:t>计算、大数据、物联网、人工智能技术等全方位的技术体系。从而保证了集团长期的业务和技术的领先性、持续盈利能力稳</w:t>
      </w:r>
    </w:p>
    <w:p>
      <w:pPr>
        <w:pStyle w:val="BodyText"/>
        <w:spacing w:line="240" w:lineRule="auto" w:before="36"/>
        <w:ind w:right="0"/>
        <w:jc w:val="both"/>
      </w:pPr>
      <w:r>
        <w:rPr/>
        <w:t>定性，结合对多个行业深刻的理解，集团具备很强的新技术创新应用能力，从而助力客户业务创新与技术进步。</w:t>
      </w:r>
    </w:p>
    <w:p>
      <w:pPr>
        <w:pStyle w:val="BodyText"/>
        <w:spacing w:line="273" w:lineRule="auto" w:before="140"/>
        <w:ind w:right="0" w:firstLine="360"/>
        <w:jc w:val="left"/>
      </w:pPr>
      <w:r>
        <w:rPr/>
        <w:t>集团追求用户极致体验和生态开放协同，以</w:t>
      </w:r>
      <w:r>
        <w:rPr>
          <w:rFonts w:ascii="Times New Roman" w:hAnsi="Times New Roman" w:cs="Times New Roman" w:eastAsia="Times New Roman" w:hint="default"/>
        </w:rPr>
        <w:t>“</w:t>
      </w:r>
      <w:r>
        <w:rPr/>
        <w:t>云</w:t>
      </w:r>
      <w:r>
        <w:rPr>
          <w:rFonts w:ascii="Times New Roman" w:hAnsi="Times New Roman" w:cs="Times New Roman" w:eastAsia="Times New Roman" w:hint="default"/>
        </w:rPr>
        <w:t>”+“</w:t>
      </w:r>
      <w:r>
        <w:rPr/>
        <w:t>端</w:t>
      </w:r>
      <w:r>
        <w:rPr>
          <w:rFonts w:ascii="Times New Roman" w:hAnsi="Times New Roman" w:cs="Times New Roman" w:eastAsia="Times New Roman" w:hint="default"/>
        </w:rPr>
        <w:t>”</w:t>
      </w:r>
      <w:r>
        <w:rPr/>
        <w:t>全场景应用创新能力，除构建强大的</w:t>
      </w:r>
      <w:r>
        <w:rPr>
          <w:rFonts w:ascii="Times New Roman" w:hAnsi="Times New Roman" w:cs="Times New Roman" w:eastAsia="Times New Roman" w:hint="default"/>
        </w:rPr>
        <w:t>“</w:t>
      </w:r>
      <w:r>
        <w:rPr/>
        <w:t>云</w:t>
      </w:r>
      <w:r>
        <w:rPr>
          <w:rFonts w:ascii="Times New Roman" w:hAnsi="Times New Roman" w:cs="Times New Roman" w:eastAsia="Times New Roman" w:hint="default"/>
        </w:rPr>
        <w:t>”</w:t>
      </w:r>
      <w:r>
        <w:rPr/>
        <w:t>端服务能力外，通过不 </w:t>
      </w:r>
      <w:r>
        <w:rPr>
          <w:spacing w:val="-4"/>
        </w:rPr>
        <w:t>断创新具有边缘计算、多种交互体验和广泛适配能力的智能终端，为客户、用户和生态合作伙伴创造全场景创新体验与协同。</w:t>
      </w:r>
    </w:p>
    <w:p>
      <w:pPr>
        <w:pStyle w:val="BodyText"/>
        <w:spacing w:line="352" w:lineRule="auto" w:before="100"/>
        <w:ind w:left="561" w:right="1149" w:hanging="60"/>
        <w:jc w:val="left"/>
      </w:pPr>
      <w:r>
        <w:rPr>
          <w:rFonts w:ascii="宋体" w:hAnsi="宋体" w:cs="宋体" w:eastAsia="宋体" w:hint="default"/>
        </w:rPr>
        <w:t>4</w:t>
      </w:r>
      <w:r>
        <w:rPr/>
        <w:t>、专业化现场服务与落地能力优势 朗新科技集团坚持以服务为主导，除建立强大的技术中台和平台线上服务能力外，在国内大部分省份都部署有高效专</w:t>
      </w:r>
    </w:p>
    <w:p>
      <w:pPr>
        <w:pStyle w:val="BodyText"/>
        <w:spacing w:line="321" w:lineRule="auto"/>
        <w:ind w:right="1121"/>
        <w:jc w:val="both"/>
      </w:pPr>
      <w:r>
        <w:rPr>
          <w:spacing w:val="-2"/>
        </w:rPr>
        <w:t>业的本地化服务队伍，能够为客户提供从咨询规划、实施、维护到运营等全方位的现场服务。针对高度定制、重度运营的业</w:t>
      </w:r>
      <w:r>
        <w:rPr>
          <w:spacing w:val="-57"/>
        </w:rPr>
        <w:t> </w:t>
      </w:r>
      <w:r>
        <w:rPr>
          <w:spacing w:val="-57"/>
        </w:rPr>
      </w:r>
      <w:r>
        <w:rPr>
          <w:spacing w:val="-2"/>
        </w:rPr>
        <w:t>务，集团结合自身优势对相关技术进行本地的适应性开发和定制化改造，为客户及合作伙伴提供符合实际需求的运营和技术</w:t>
      </w:r>
    </w:p>
    <w:p>
      <w:pPr>
        <w:pStyle w:val="BodyText"/>
        <w:spacing w:line="276" w:lineRule="auto" w:before="33"/>
        <w:ind w:right="1188"/>
        <w:jc w:val="left"/>
      </w:pPr>
      <w:r>
        <w:rPr/>
        <w:t>服务。此外，集团经过多年经验积累，基于</w:t>
      </w:r>
      <w:r>
        <w:rPr>
          <w:rFonts w:ascii="Times New Roman" w:hAnsi="Times New Roman" w:cs="Times New Roman" w:eastAsia="Times New Roman" w:hint="default"/>
        </w:rPr>
        <w:t>ISO20000</w:t>
      </w:r>
      <w:r>
        <w:rPr/>
        <w:t>信息技术服务管理标准，结合服务管理实践，形成了一整套完善的技 术服务体系，能够为客户提供高效、高品质的服务。</w:t>
      </w:r>
    </w:p>
    <w:p>
      <w:pPr>
        <w:pStyle w:val="BodyText"/>
        <w:spacing w:line="352" w:lineRule="auto" w:before="97"/>
        <w:ind w:left="561" w:right="1149" w:hanging="60"/>
        <w:jc w:val="left"/>
      </w:pPr>
      <w:r>
        <w:rPr>
          <w:rFonts w:ascii="宋体" w:hAnsi="宋体" w:cs="宋体" w:eastAsia="宋体" w:hint="default"/>
        </w:rPr>
        <w:t>5</w:t>
      </w:r>
      <w:r>
        <w:rPr/>
        <w:t>、成熟稳健的管理优势 经过多年的持续经营，朗新科技集团已建立起一支技术精湛、经验丰富、团结合作的先进管理团队。朗新科技集团的</w:t>
      </w:r>
    </w:p>
    <w:p>
      <w:pPr>
        <w:pStyle w:val="BodyText"/>
        <w:spacing w:line="321" w:lineRule="auto"/>
        <w:ind w:right="1128"/>
        <w:jc w:val="both"/>
      </w:pPr>
      <w:r>
        <w:rPr>
          <w:spacing w:val="-2"/>
        </w:rPr>
        <w:t>主要管理层均在行业信息化和产业互联网从业多年，有丰富的业务经验和很强的企业运营能力。</w:t>
      </w:r>
      <w:r>
        <w:rPr>
          <w:rFonts w:ascii="宋体" w:hAnsi="宋体" w:cs="宋体" w:eastAsia="宋体" w:hint="default"/>
          <w:spacing w:val="-2"/>
        </w:rPr>
        <w:t>2005</w:t>
      </w:r>
      <w:r>
        <w:rPr>
          <w:spacing w:val="-2"/>
        </w:rPr>
        <w:t>年公司引进了全球领先</w:t>
      </w:r>
      <w:r>
        <w:rPr>
          <w:spacing w:val="-59"/>
        </w:rPr>
        <w:t> </w:t>
      </w:r>
      <w:r>
        <w:rPr/>
        <w:t>的行业软件与技术服务公司</w:t>
      </w:r>
      <w:r>
        <w:rPr>
          <w:rFonts w:ascii="宋体" w:hAnsi="宋体" w:cs="宋体" w:eastAsia="宋体" w:hint="default"/>
        </w:rPr>
        <w:t>AMDOCS</w:t>
      </w:r>
      <w:r>
        <w:rPr/>
        <w:t>交付方法论并结合</w:t>
      </w:r>
      <w:r>
        <w:rPr>
          <w:rFonts w:ascii="宋体" w:hAnsi="宋体" w:cs="宋体" w:eastAsia="宋体" w:hint="default"/>
        </w:rPr>
        <w:t>CMMI</w:t>
      </w:r>
      <w:r>
        <w:rPr/>
        <w:t>认证与执行过程贯彻</w:t>
      </w:r>
      <w:r>
        <w:rPr>
          <w:rFonts w:ascii="宋体" w:hAnsi="宋体" w:cs="宋体" w:eastAsia="宋体" w:hint="default"/>
        </w:rPr>
        <w:t>PMBOK</w:t>
      </w:r>
      <w:r>
        <w:rPr/>
        <w:t>项目管理标准，经过多年的消化吸收和</w:t>
      </w:r>
      <w:r>
        <w:rPr>
          <w:spacing w:val="-85"/>
        </w:rPr>
        <w:t> </w:t>
      </w:r>
      <w:r>
        <w:rPr>
          <w:spacing w:val="-2"/>
        </w:rPr>
        <w:t>项目实践，已经探索并总结制定出一套成熟的项目管理体系和制度，确保集团各项工作以为客户创造价值为中心，整体稳健</w:t>
      </w:r>
      <w:r>
        <w:rPr>
          <w:spacing w:val="-75"/>
        </w:rPr>
        <w:t> </w:t>
      </w:r>
      <w:r>
        <w:rPr>
          <w:spacing w:val="-75"/>
        </w:rPr>
      </w:r>
      <w:r>
        <w:rPr/>
        <w:t>运营。</w:t>
      </w:r>
    </w:p>
    <w:p>
      <w:pPr>
        <w:spacing w:after="0" w:line="321" w:lineRule="auto"/>
        <w:jc w:val="both"/>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1"/>
        <w:spacing w:line="240" w:lineRule="auto"/>
        <w:ind w:left="3040" w:right="1105"/>
        <w:jc w:val="left"/>
        <w:rPr>
          <w:b w:val="0"/>
          <w:bCs w:val="0"/>
        </w:rPr>
      </w:pPr>
      <w:bookmarkStart w:name="_TOC_250009" w:id="22"/>
      <w:bookmarkStart w:name="第四节经营情况讨论与分析" w:id="23"/>
      <w:r>
        <w:rPr>
          <w:b w:val="0"/>
          <w:bCs w:val="0"/>
        </w:rPr>
      </w:r>
      <w:r>
        <w:rPr>
          <w:spacing w:val="5"/>
        </w:rPr>
        <w:t>第四节经营情况讨论与分析</w:t>
      </w:r>
      <w:bookmarkEnd w:id="22"/>
      <w:r>
        <w:rPr>
          <w:b w:val="0"/>
          <w:bCs w:val="0"/>
          <w:spacing w:val="5"/>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2"/>
        <w:spacing w:line="240" w:lineRule="auto" w:before="26"/>
        <w:ind w:right="1105"/>
        <w:jc w:val="left"/>
        <w:rPr>
          <w:b w:val="0"/>
          <w:bCs w:val="0"/>
        </w:rPr>
      </w:pPr>
      <w:bookmarkStart w:name="一、概述" w:id="24"/>
      <w:bookmarkEnd w:id="24"/>
      <w:r>
        <w:rPr>
          <w:b w:val="0"/>
          <w:bCs w:val="0"/>
        </w:rPr>
      </w:r>
      <w:r>
        <w:rPr/>
        <w:t>一、概述</w:t>
      </w:r>
      <w:r>
        <w:rPr>
          <w:b w:val="0"/>
          <w:bCs w:val="0"/>
        </w:rPr>
      </w:r>
    </w:p>
    <w:p>
      <w:pPr>
        <w:spacing w:line="240" w:lineRule="auto" w:before="4"/>
        <w:rPr>
          <w:rFonts w:ascii="宋体" w:hAnsi="宋体" w:cs="宋体" w:eastAsia="宋体" w:hint="default"/>
          <w:b/>
          <w:bCs/>
          <w:sz w:val="27"/>
          <w:szCs w:val="27"/>
        </w:rPr>
      </w:pPr>
    </w:p>
    <w:p>
      <w:pPr>
        <w:pStyle w:val="BodyText"/>
        <w:spacing w:line="297" w:lineRule="auto"/>
        <w:ind w:right="1136" w:firstLine="420"/>
        <w:jc w:val="both"/>
      </w:pPr>
      <w:r>
        <w:rPr/>
        <w:t>朗新科技集团聚焦产业互联网，采用新一代信息技术打造</w:t>
      </w:r>
      <w:r>
        <w:rPr>
          <w:rFonts w:ascii="Times New Roman" w:hAnsi="Times New Roman" w:cs="Times New Roman" w:eastAsia="Times New Roman" w:hint="default"/>
        </w:rPr>
        <w:t>“</w:t>
      </w:r>
      <w:r>
        <w:rPr/>
        <w:t>产业互联网应用引擎</w:t>
      </w:r>
      <w:r>
        <w:rPr>
          <w:rFonts w:ascii="Times New Roman" w:hAnsi="Times New Roman" w:cs="Times New Roman" w:eastAsia="Times New Roman" w:hint="default"/>
        </w:rPr>
        <w:t>”</w:t>
      </w:r>
      <w:r>
        <w:rPr/>
        <w:t>，以</w:t>
      </w:r>
      <w:r>
        <w:rPr>
          <w:rFonts w:ascii="Times New Roman" w:hAnsi="Times New Roman" w:cs="Times New Roman" w:eastAsia="Times New Roman" w:hint="default"/>
        </w:rPr>
        <w:t>B2B2C</w:t>
      </w:r>
      <w:r>
        <w:rPr/>
        <w:t>的业务模式，赋能智慧能 </w:t>
      </w:r>
      <w:r>
        <w:rPr>
          <w:spacing w:val="-2"/>
        </w:rPr>
        <w:t>源、智慧家庭、公共服务、工业互联网、数字城市、新外贸等行业，助力产业创新和升级，提升客户体验，创造并分享新的</w:t>
      </w:r>
      <w:r>
        <w:rPr>
          <w:spacing w:val="-75"/>
        </w:rPr>
        <w:t> </w:t>
      </w:r>
      <w:r>
        <w:rPr>
          <w:spacing w:val="-75"/>
        </w:rPr>
      </w:r>
      <w:r>
        <w:rPr/>
        <w:t>客户价值。</w:t>
      </w:r>
    </w:p>
    <w:p>
      <w:pPr>
        <w:pStyle w:val="BodyText"/>
        <w:spacing w:line="288" w:lineRule="auto" w:before="96"/>
        <w:ind w:right="1126" w:firstLine="420"/>
        <w:jc w:val="both"/>
      </w:pPr>
      <w:r>
        <w:rPr>
          <w:rFonts w:ascii="Times New Roman" w:hAnsi="Times New Roman" w:cs="Times New Roman" w:eastAsia="Times New Roman" w:hint="default"/>
        </w:rPr>
        <w:t>2019</w:t>
      </w:r>
      <w:r>
        <w:rPr/>
        <w:t>年，集团围绕产业互联网业务发展战略，加大研发投入和技术创新，超额完成了年度经营目标，在电力能源行业 </w:t>
      </w:r>
      <w:r>
        <w:rPr>
          <w:spacing w:val="-5"/>
        </w:rPr>
        <w:t>和公共服务领域的市场引领地位进一步得到加强，公司原有主营业务收入和利润较去年同期实现大幅增长。同时，公司在</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19"/>
        </w:rPr>
        <w:t> </w:t>
      </w:r>
      <w:r>
        <w:rPr>
          <w:spacing w:val="-2"/>
        </w:rPr>
        <w:t>年上半年完成了对邦道科技和易视腾科技的重大资产重组，邦道科技和易视腾科技的业务也取得了快速发展，超额完成了业</w:t>
      </w:r>
    </w:p>
    <w:p>
      <w:pPr>
        <w:pStyle w:val="BodyText"/>
        <w:spacing w:line="240" w:lineRule="auto" w:before="44"/>
        <w:ind w:right="1105"/>
        <w:jc w:val="left"/>
      </w:pPr>
      <w:r>
        <w:rPr/>
        <w:t>绩目标。</w:t>
      </w:r>
    </w:p>
    <w:p>
      <w:pPr>
        <w:pStyle w:val="BodyText"/>
        <w:spacing w:line="288" w:lineRule="auto" w:before="140"/>
        <w:ind w:right="1105" w:firstLine="420"/>
        <w:jc w:val="left"/>
      </w:pPr>
      <w:r>
        <w:rPr>
          <w:spacing w:val="-1"/>
        </w:rPr>
        <w:t>报告期内，朗新科技集团实现营业收入</w:t>
      </w:r>
      <w:r>
        <w:rPr>
          <w:rFonts w:ascii="Times New Roman" w:hAnsi="Times New Roman" w:cs="Times New Roman" w:eastAsia="Times New Roman" w:hint="default"/>
          <w:spacing w:val="-1"/>
        </w:rPr>
        <w:t>29.7</w:t>
      </w:r>
      <w:r>
        <w:rPr>
          <w:spacing w:val="-1"/>
        </w:rPr>
        <w:t>亿元，实现归属于上市公司股东的净利润</w:t>
      </w:r>
      <w:r>
        <w:rPr>
          <w:rFonts w:ascii="Times New Roman" w:hAnsi="Times New Roman" w:cs="Times New Roman" w:eastAsia="Times New Roman" w:hint="default"/>
          <w:spacing w:val="-1"/>
        </w:rPr>
        <w:t>10.2</w:t>
      </w:r>
      <w:r>
        <w:rPr>
          <w:spacing w:val="-1"/>
        </w:rPr>
        <w:t>亿元，扣除因重大资产重组收</w:t>
      </w:r>
      <w:r>
        <w:rPr/>
        <w:t> 购邦道科技产生的一次性投资收益</w:t>
      </w:r>
      <w:r>
        <w:rPr>
          <w:rFonts w:ascii="Times New Roman" w:hAnsi="Times New Roman" w:cs="Times New Roman" w:eastAsia="Times New Roman" w:hint="default"/>
        </w:rPr>
        <w:t>4.99</w:t>
      </w:r>
      <w:r>
        <w:rPr/>
        <w:t>亿元以后，归属于上市公司股东的净利润约为</w:t>
      </w:r>
      <w:r>
        <w:rPr>
          <w:rFonts w:ascii="Times New Roman" w:hAnsi="Times New Roman" w:cs="Times New Roman" w:eastAsia="Times New Roman" w:hint="default"/>
        </w:rPr>
        <w:t>5.2</w:t>
      </w:r>
      <w:r>
        <w:rPr/>
        <w:t>亿元，同比增长约</w:t>
      </w:r>
      <w:r>
        <w:rPr>
          <w:rFonts w:ascii="Times New Roman" w:hAnsi="Times New Roman" w:cs="Times New Roman" w:eastAsia="Times New Roman" w:hint="default"/>
        </w:rPr>
        <w:t>178%</w:t>
      </w:r>
      <w:r>
        <w:rPr/>
        <w:t>。</w:t>
      </w:r>
    </w:p>
    <w:p>
      <w:pPr>
        <w:pStyle w:val="BodyText"/>
        <w:spacing w:line="240" w:lineRule="auto" w:before="56"/>
        <w:ind w:left="561" w:right="1105"/>
        <w:jc w:val="left"/>
      </w:pPr>
      <w:r>
        <w:rPr/>
        <w:t>（一）主要业务领域经营情况</w:t>
      </w:r>
    </w:p>
    <w:p>
      <w:pPr>
        <w:pStyle w:val="BodyText"/>
        <w:spacing w:line="240" w:lineRule="auto" w:before="124"/>
        <w:ind w:left="501" w:right="1105"/>
        <w:jc w:val="left"/>
      </w:pPr>
      <w:r>
        <w:rPr>
          <w:rFonts w:ascii="Times New Roman" w:hAnsi="Times New Roman" w:cs="Times New Roman" w:eastAsia="Times New Roman" w:hint="default"/>
        </w:rPr>
        <w:t>1</w:t>
      </w:r>
      <w:r>
        <w:rPr/>
        <w:t>、智慧能源</w:t>
      </w:r>
    </w:p>
    <w:p>
      <w:pPr>
        <w:pStyle w:val="BodyText"/>
        <w:spacing w:line="300" w:lineRule="auto" w:before="111"/>
        <w:ind w:right="1029" w:firstLine="360"/>
        <w:jc w:val="left"/>
      </w:pPr>
      <w:r>
        <w:rPr>
          <w:rFonts w:ascii="Times New Roman" w:hAnsi="Times New Roman" w:cs="Times New Roman" w:eastAsia="Times New Roman" w:hint="default"/>
          <w:spacing w:val="-2"/>
        </w:rPr>
        <w:t>2019</w:t>
      </w:r>
      <w:r>
        <w:rPr>
          <w:spacing w:val="-2"/>
        </w:rPr>
        <w:t>年，公司在智慧能源领域牢牢把握电力物联网和能源互联网发展机遇，以市场为指引、以客户为中心、以创新为导</w:t>
      </w:r>
      <w:r>
        <w:rPr/>
        <w:t> 向，继续进行市场开拓、业务创新、持续改进工作效率，迅速扩大市场份额。在各项措施保障下，依靠各经营团队的努力， </w:t>
      </w:r>
      <w:r>
        <w:rPr>
          <w:rFonts w:ascii="Times New Roman" w:hAnsi="Times New Roman" w:cs="Times New Roman" w:eastAsia="Times New Roman" w:hint="default"/>
          <w:spacing w:val="-2"/>
        </w:rPr>
        <w:t>2019</w:t>
      </w:r>
      <w:r>
        <w:rPr>
          <w:spacing w:val="-2"/>
        </w:rPr>
        <w:t>年公司在智慧能源领域的业务规模增长显著，在网上国网、智慧能源服务、物联采集系统、能源大数据、移动互联网应</w:t>
      </w:r>
      <w:r>
        <w:rPr>
          <w:spacing w:val="-53"/>
        </w:rPr>
        <w:t> </w:t>
      </w:r>
      <w:r>
        <w:rPr>
          <w:spacing w:val="-53"/>
        </w:rPr>
      </w:r>
      <w:r>
        <w:rPr/>
        <w:t>用等重大项目及课题上为客户提供创新的技术解决方案，成为客户更紧密的创新合作伙伴。</w:t>
      </w:r>
    </w:p>
    <w:p>
      <w:pPr>
        <w:pStyle w:val="BodyText"/>
        <w:spacing w:line="240" w:lineRule="auto" w:before="94"/>
        <w:ind w:left="501" w:right="1105"/>
        <w:jc w:val="left"/>
      </w:pPr>
      <w:r>
        <w:rPr/>
        <w:t>报告期内，公司在智慧能源领域实现营业收入</w:t>
      </w:r>
      <w:r>
        <w:rPr>
          <w:rFonts w:ascii="Times New Roman" w:hAnsi="Times New Roman" w:cs="Times New Roman" w:eastAsia="Times New Roman" w:hint="default"/>
        </w:rPr>
        <w:t>11.6</w:t>
      </w:r>
      <w:r>
        <w:rPr/>
        <w:t>亿元，同比增长约</w:t>
      </w:r>
      <w:r>
        <w:rPr>
          <w:rFonts w:ascii="Times New Roman" w:hAnsi="Times New Roman" w:cs="Times New Roman" w:eastAsia="Times New Roman" w:hint="default"/>
        </w:rPr>
        <w:t>40%</w:t>
      </w:r>
      <w:r>
        <w:rPr/>
        <w:t>。</w:t>
      </w:r>
    </w:p>
    <w:p>
      <w:pPr>
        <w:pStyle w:val="BodyText"/>
        <w:spacing w:line="240" w:lineRule="auto" w:before="96"/>
        <w:ind w:left="501" w:right="1105"/>
        <w:jc w:val="left"/>
      </w:pPr>
      <w:r>
        <w:rPr>
          <w:rFonts w:ascii="Times New Roman" w:hAnsi="Times New Roman" w:cs="Times New Roman" w:eastAsia="Times New Roman" w:hint="default"/>
        </w:rPr>
        <w:t>2</w:t>
      </w:r>
      <w:r>
        <w:rPr/>
        <w:t>、智慧家庭</w:t>
      </w:r>
    </w:p>
    <w:p>
      <w:pPr>
        <w:pStyle w:val="BodyText"/>
        <w:spacing w:line="288" w:lineRule="auto" w:before="111"/>
        <w:ind w:right="0" w:firstLine="360"/>
        <w:jc w:val="left"/>
      </w:pPr>
      <w:r>
        <w:rPr>
          <w:spacing w:val="-3"/>
        </w:rPr>
        <w:t>在智慧家庭领域，易视腾科技坚持</w:t>
      </w:r>
      <w:r>
        <w:rPr>
          <w:rFonts w:ascii="Times New Roman" w:hAnsi="Times New Roman" w:cs="Times New Roman" w:eastAsia="Times New Roman" w:hint="default"/>
          <w:spacing w:val="-3"/>
        </w:rPr>
        <w:t>“</w:t>
      </w:r>
      <w:r>
        <w:rPr>
          <w:spacing w:val="-3"/>
        </w:rPr>
        <w:t>平台支撑、硬件入口、应用聚合、通道致胜</w:t>
      </w:r>
      <w:r>
        <w:rPr>
          <w:rFonts w:ascii="Times New Roman" w:hAnsi="Times New Roman" w:cs="Times New Roman" w:eastAsia="Times New Roman" w:hint="default"/>
          <w:spacing w:val="-3"/>
        </w:rPr>
        <w:t>”</w:t>
      </w:r>
      <w:r>
        <w:rPr>
          <w:spacing w:val="-3"/>
        </w:rPr>
        <w:t>的业务发展战略和</w:t>
      </w:r>
      <w:r>
        <w:rPr>
          <w:rFonts w:ascii="Times New Roman" w:hAnsi="Times New Roman" w:cs="Times New Roman" w:eastAsia="Times New Roman" w:hint="default"/>
          <w:spacing w:val="-3"/>
        </w:rPr>
        <w:t>“B2B2C”</w:t>
      </w:r>
      <w:r>
        <w:rPr>
          <w:spacing w:val="-3"/>
        </w:rPr>
        <w:t>的业务路径，</w:t>
      </w:r>
      <w:r>
        <w:rPr>
          <w:w w:val="100"/>
        </w:rPr>
        <w:t> </w:t>
      </w:r>
      <w:r>
        <w:rPr/>
        <w:t>并以</w:t>
      </w:r>
      <w:r>
        <w:rPr>
          <w:rFonts w:ascii="Times New Roman" w:hAnsi="Times New Roman" w:cs="Times New Roman" w:eastAsia="Times New Roman" w:hint="default"/>
        </w:rPr>
        <w:t>“</w:t>
      </w:r>
      <w:r>
        <w:rPr/>
        <w:t>做大规模、做强平台、做好电视、做对生态</w:t>
      </w:r>
      <w:r>
        <w:rPr>
          <w:rFonts w:ascii="Times New Roman" w:hAnsi="Times New Roman" w:cs="Times New Roman" w:eastAsia="Times New Roman" w:hint="default"/>
        </w:rPr>
        <w:t>”</w:t>
      </w:r>
      <w:r>
        <w:rPr/>
        <w:t>为关键举措，在平台部署、实际服务用户数、产品运营和服务质量等方面 </w:t>
      </w:r>
      <w:r>
        <w:rPr>
          <w:spacing w:val="-2"/>
        </w:rPr>
        <w:t>持续创新与提升。报告期内，易视腾科技以互联网电视为中心的智慧家庭业务得到进一步普及和推广，渠道及用户量不断增</w:t>
      </w:r>
    </w:p>
    <w:p>
      <w:pPr>
        <w:pStyle w:val="BodyText"/>
        <w:spacing w:line="304" w:lineRule="auto" w:before="59"/>
        <w:ind w:right="1119"/>
        <w:jc w:val="left"/>
      </w:pPr>
      <w:r>
        <w:rPr/>
        <w:t>加，截止到</w:t>
      </w:r>
      <w:r>
        <w:rPr>
          <w:rFonts w:ascii="Times New Roman" w:hAnsi="Times New Roman" w:cs="Times New Roman" w:eastAsia="Times New Roman" w:hint="default"/>
        </w:rPr>
        <w:t>2019</w:t>
      </w:r>
      <w:r>
        <w:rPr/>
        <w:t>年底，易视腾服务的互联网电视在线用户数超过</w:t>
      </w:r>
      <w:r>
        <w:rPr>
          <w:rFonts w:ascii="Times New Roman" w:hAnsi="Times New Roman" w:cs="Times New Roman" w:eastAsia="Times New Roman" w:hint="default"/>
        </w:rPr>
        <w:t>4,500</w:t>
      </w:r>
      <w:r>
        <w:rPr/>
        <w:t>万家庭用户，日活用户数超过</w:t>
      </w:r>
      <w:r>
        <w:rPr>
          <w:rFonts w:ascii="Times New Roman" w:hAnsi="Times New Roman" w:cs="Times New Roman" w:eastAsia="Times New Roman" w:hint="default"/>
        </w:rPr>
        <w:t>2,000</w:t>
      </w:r>
      <w:r>
        <w:rPr/>
        <w:t>万户，在中国移动</w:t>
      </w:r>
      <w:r>
        <w:rPr>
          <w:spacing w:val="-84"/>
        </w:rPr>
        <w:t> </w:t>
      </w:r>
      <w:r>
        <w:rPr/>
        <w:t>运营商市场份额占比约</w:t>
      </w:r>
      <w:r>
        <w:rPr>
          <w:rFonts w:ascii="Times New Roman" w:hAnsi="Times New Roman" w:cs="Times New Roman" w:eastAsia="Times New Roman" w:hint="default"/>
        </w:rPr>
        <w:t>38%</w:t>
      </w:r>
      <w:r>
        <w:rPr/>
        <w:t>，保持着市场领先优势，与互联网电视牌照方和运营商的合作关系进一步加强。</w:t>
      </w:r>
    </w:p>
    <w:p>
      <w:pPr>
        <w:pStyle w:val="BodyText"/>
        <w:spacing w:line="240" w:lineRule="auto" w:before="42"/>
        <w:ind w:left="501" w:right="1105"/>
        <w:jc w:val="left"/>
      </w:pPr>
      <w:r>
        <w:rPr>
          <w:rFonts w:ascii="Times New Roman" w:hAnsi="Times New Roman" w:cs="Times New Roman" w:eastAsia="Times New Roman" w:hint="default"/>
        </w:rPr>
        <w:t>2019</w:t>
      </w:r>
      <w:r>
        <w:rPr/>
        <w:t>年度，易视腾科技实现净利润</w:t>
      </w:r>
      <w:r>
        <w:rPr>
          <w:rFonts w:ascii="Times New Roman" w:hAnsi="Times New Roman" w:cs="Times New Roman" w:eastAsia="Times New Roman" w:hint="default"/>
        </w:rPr>
        <w:t>2.4</w:t>
      </w:r>
      <w:r>
        <w:rPr/>
        <w:t>亿元，同比增长约</w:t>
      </w:r>
      <w:r>
        <w:rPr>
          <w:rFonts w:ascii="Times New Roman" w:hAnsi="Times New Roman" w:cs="Times New Roman" w:eastAsia="Times New Roman" w:hint="default"/>
        </w:rPr>
        <w:t>29%</w:t>
      </w:r>
      <w:r>
        <w:rPr/>
        <w:t>。</w:t>
      </w:r>
    </w:p>
    <w:p>
      <w:pPr>
        <w:pStyle w:val="BodyText"/>
        <w:spacing w:line="331" w:lineRule="auto" w:before="111"/>
        <w:ind w:left="501" w:right="1105"/>
        <w:jc w:val="left"/>
      </w:pPr>
      <w:r>
        <w:rPr>
          <w:rFonts w:ascii="Times New Roman" w:hAnsi="Times New Roman" w:cs="Times New Roman" w:eastAsia="Times New Roman" w:hint="default"/>
        </w:rPr>
        <w:t>3</w:t>
      </w:r>
      <w:r>
        <w:rPr/>
        <w:t>、公共服务 </w:t>
      </w:r>
      <w:r>
        <w:rPr>
          <w:spacing w:val="-2"/>
        </w:rPr>
        <w:t>在公共服务领域，</w:t>
      </w:r>
      <w:r>
        <w:rPr>
          <w:rFonts w:ascii="Times New Roman" w:hAnsi="Times New Roman" w:cs="Times New Roman" w:eastAsia="Times New Roman" w:hint="default"/>
          <w:spacing w:val="-2"/>
        </w:rPr>
        <w:t>2019</w:t>
      </w:r>
      <w:r>
        <w:rPr>
          <w:spacing w:val="-2"/>
        </w:rPr>
        <w:t>年邦道科技聚焦公共服务行业的移动支付与互联网营销业务战略，以</w:t>
      </w:r>
      <w:r>
        <w:rPr>
          <w:rFonts w:ascii="Times New Roman" w:hAnsi="Times New Roman" w:cs="Times New Roman" w:eastAsia="Times New Roman" w:hint="default"/>
          <w:spacing w:val="-2"/>
        </w:rPr>
        <w:t>B2B2C</w:t>
      </w:r>
      <w:r>
        <w:rPr>
          <w:spacing w:val="-2"/>
        </w:rPr>
        <w:t>的业务模式，积极与</w:t>
      </w:r>
    </w:p>
    <w:p>
      <w:pPr>
        <w:pStyle w:val="BodyText"/>
        <w:spacing w:line="211" w:lineRule="exact"/>
        <w:ind w:right="0"/>
        <w:jc w:val="left"/>
      </w:pPr>
      <w:r>
        <w:rPr/>
        <w:t>支付宝等互联网平台展开战略合作，共同赋能水电燃、有线电视、公共交通、城市服务、高校教育及停车等行业客户，助力</w:t>
      </w:r>
    </w:p>
    <w:p>
      <w:pPr>
        <w:pStyle w:val="BodyText"/>
        <w:spacing w:line="300" w:lineRule="auto" w:before="95"/>
        <w:ind w:right="1018"/>
        <w:jc w:val="left"/>
      </w:pPr>
      <w:r>
        <w:rPr/>
        <w:t>客户实现产业的创新与升级、提升用户对于公共服务的体验感，创造并分享新的客户价值。截止</w:t>
      </w:r>
      <w:r>
        <w:rPr>
          <w:rFonts w:ascii="Times New Roman" w:hAnsi="Times New Roman" w:cs="Times New Roman" w:eastAsia="Times New Roman" w:hint="default"/>
        </w:rPr>
        <w:t>2019</w:t>
      </w:r>
      <w:r>
        <w:rPr/>
        <w:t>年底，邦道科技与支付 </w:t>
      </w:r>
      <w:r>
        <w:rPr>
          <w:spacing w:val="-2"/>
        </w:rPr>
        <w:t>宝深度协同的公共事业缴费云平台累计用户数超过</w:t>
      </w:r>
      <w:r>
        <w:rPr>
          <w:rFonts w:ascii="Times New Roman" w:hAnsi="Times New Roman" w:cs="Times New Roman" w:eastAsia="Times New Roman" w:hint="default"/>
          <w:spacing w:val="-2"/>
        </w:rPr>
        <w:t>2.7</w:t>
      </w:r>
      <w:r>
        <w:rPr>
          <w:spacing w:val="-2"/>
        </w:rPr>
        <w:t>亿户，日活跃用户数超过</w:t>
      </w:r>
      <w:r>
        <w:rPr>
          <w:rFonts w:ascii="Times New Roman" w:hAnsi="Times New Roman" w:cs="Times New Roman" w:eastAsia="Times New Roman" w:hint="default"/>
          <w:spacing w:val="-2"/>
        </w:rPr>
        <w:t>1,000</w:t>
      </w:r>
      <w:r>
        <w:rPr>
          <w:spacing w:val="-2"/>
        </w:rPr>
        <w:t>万户，连接的公共服务机构超过</w:t>
      </w:r>
      <w:r>
        <w:rPr>
          <w:rFonts w:ascii="Times New Roman" w:hAnsi="Times New Roman" w:cs="Times New Roman" w:eastAsia="Times New Roman" w:hint="default"/>
          <w:spacing w:val="-2"/>
        </w:rPr>
        <w:t>4,000</w:t>
      </w:r>
      <w:r>
        <w:rPr>
          <w:spacing w:val="-2"/>
        </w:rPr>
        <w:t>家，</w:t>
      </w:r>
      <w:r>
        <w:rPr>
          <w:spacing w:val="-79"/>
        </w:rPr>
        <w:t> </w:t>
      </w:r>
      <w:r>
        <w:rPr/>
        <w:t>保持着市场领先地位。在互联网运营方面，邦道科技</w:t>
      </w:r>
      <w:r>
        <w:rPr>
          <w:rFonts w:ascii="Times New Roman" w:hAnsi="Times New Roman" w:cs="Times New Roman" w:eastAsia="Times New Roman" w:hint="default"/>
        </w:rPr>
        <w:t>2019</w:t>
      </w:r>
      <w:r>
        <w:rPr/>
        <w:t>年实现收入超过</w:t>
      </w:r>
      <w:r>
        <w:rPr>
          <w:rFonts w:ascii="Times New Roman" w:hAnsi="Times New Roman" w:cs="Times New Roman" w:eastAsia="Times New Roman" w:hint="default"/>
        </w:rPr>
        <w:t>1</w:t>
      </w:r>
      <w:r>
        <w:rPr/>
        <w:t>亿元，成为公共服务行业互联网运营的创新者与</w:t>
      </w:r>
      <w:r>
        <w:rPr>
          <w:spacing w:val="-84"/>
        </w:rPr>
        <w:t> </w:t>
      </w:r>
      <w:r>
        <w:rPr>
          <w:spacing w:val="-2"/>
        </w:rPr>
        <w:t>领跑者。在智慧停车领域，邦道科技子公司众畅科技在城市端和地产、物业集团广泛布局，正在搭建包括无锡、曲靖等城市</w:t>
      </w:r>
      <w:r>
        <w:rPr>
          <w:spacing w:val="-57"/>
        </w:rPr>
        <w:t> </w:t>
      </w:r>
      <w:r>
        <w:rPr>
          <w:spacing w:val="-57"/>
        </w:rPr>
      </w:r>
      <w:r>
        <w:rPr/>
        <w:t>级停车平台，同时建设了融创、中南、永升等十几家地产、物业集团的全国性停车平台，已覆盖上千个停车场。</w:t>
      </w:r>
    </w:p>
    <w:p>
      <w:pPr>
        <w:pStyle w:val="BodyText"/>
        <w:spacing w:line="240" w:lineRule="auto" w:before="79"/>
        <w:ind w:left="501" w:right="1105"/>
        <w:jc w:val="left"/>
      </w:pPr>
      <w:r>
        <w:rPr>
          <w:rFonts w:ascii="Times New Roman" w:hAnsi="Times New Roman" w:cs="Times New Roman" w:eastAsia="Times New Roman" w:hint="default"/>
        </w:rPr>
        <w:t>2019</w:t>
      </w:r>
      <w:r>
        <w:rPr/>
        <w:t>年度，邦道科技实现净利润</w:t>
      </w:r>
      <w:r>
        <w:rPr>
          <w:rFonts w:ascii="Times New Roman" w:hAnsi="Times New Roman" w:cs="Times New Roman" w:eastAsia="Times New Roman" w:hint="default"/>
        </w:rPr>
        <w:t>2.2</w:t>
      </w:r>
      <w:r>
        <w:rPr/>
        <w:t>亿元，同比增长约</w:t>
      </w:r>
      <w:r>
        <w:rPr>
          <w:rFonts w:ascii="Times New Roman" w:hAnsi="Times New Roman" w:cs="Times New Roman" w:eastAsia="Times New Roman" w:hint="default"/>
        </w:rPr>
        <w:t>70%</w:t>
      </w:r>
      <w:r>
        <w:rPr/>
        <w:t>。</w:t>
      </w:r>
    </w:p>
    <w:p>
      <w:pPr>
        <w:pStyle w:val="BodyText"/>
        <w:spacing w:line="367" w:lineRule="auto" w:before="96"/>
        <w:ind w:left="561" w:right="1148" w:hanging="60"/>
        <w:jc w:val="left"/>
      </w:pPr>
      <w:r>
        <w:rPr/>
        <w:t>（二）主要业务模式收入情况 朗新科技集团以</w:t>
      </w:r>
      <w:r>
        <w:rPr>
          <w:rFonts w:ascii="Times New Roman" w:hAnsi="Times New Roman" w:cs="Times New Roman" w:eastAsia="Times New Roman" w:hint="default"/>
        </w:rPr>
        <w:t>B2B2C</w:t>
      </w:r>
      <w:r>
        <w:rPr/>
        <w:t>的业务模式服务客户，主要业务收入来源于软件服务、运营服务和智能终端研发销售。集团通</w:t>
      </w:r>
    </w:p>
    <w:p>
      <w:pPr>
        <w:pStyle w:val="BodyText"/>
        <w:spacing w:line="181" w:lineRule="exact"/>
        <w:ind w:right="1105"/>
        <w:jc w:val="left"/>
      </w:pPr>
      <w:r>
        <w:rPr/>
        <w:t>过软件服务和智能终端产品帮助客户完成信息化与产业互联网基础服务能力的建设与升级，并共建行业或业务运营服务平</w:t>
      </w:r>
    </w:p>
    <w:p>
      <w:pPr>
        <w:pStyle w:val="BodyText"/>
        <w:spacing w:line="240" w:lineRule="auto" w:before="80"/>
        <w:ind w:right="0"/>
        <w:jc w:val="left"/>
      </w:pPr>
      <w:r>
        <w:rPr/>
        <w:t>台，通过持续的运营服务保障客户服务能力的持续提升，并不断地进行业务创新和服务升级，改善最终用户的体验，实现协</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1105"/>
        <w:jc w:val="left"/>
      </w:pPr>
      <w:r>
        <w:rPr/>
        <w:t>同发展，创造并分享新的用户价值。</w:t>
      </w:r>
    </w:p>
    <w:p>
      <w:pPr>
        <w:pStyle w:val="BodyText"/>
        <w:spacing w:line="312" w:lineRule="auto" w:before="125"/>
        <w:ind w:right="1099" w:firstLine="360"/>
        <w:jc w:val="both"/>
      </w:pPr>
      <w:r>
        <w:rPr>
          <w:rFonts w:ascii="Times New Roman" w:hAnsi="Times New Roman" w:cs="Times New Roman" w:eastAsia="Times New Roman" w:hint="default"/>
          <w:spacing w:val="-2"/>
        </w:rPr>
        <w:t>2019</w:t>
      </w:r>
      <w:r>
        <w:rPr>
          <w:spacing w:val="-2"/>
        </w:rPr>
        <w:t>年度，集团软件服务业务中电力和燃气行业业务快速发展，实现收入大幅增长，同时，在城市互联网服务、新外贸</w:t>
      </w:r>
      <w:r>
        <w:rPr/>
        <w:t> </w:t>
      </w:r>
      <w:r>
        <w:rPr>
          <w:spacing w:val="-1"/>
        </w:rPr>
        <w:t>服务、公共出行服务、运营商互联网电视业务支撑等领域的软件服务业务也进一步增长，报告期内，朗新科技集团累计实现</w:t>
      </w:r>
      <w:r>
        <w:rPr/>
        <w:t> 软件服务收入</w:t>
      </w:r>
      <w:r>
        <w:rPr>
          <w:rFonts w:ascii="Times New Roman" w:hAnsi="Times New Roman" w:cs="Times New Roman" w:eastAsia="Times New Roman" w:hint="default"/>
        </w:rPr>
        <w:t>14.09</w:t>
      </w:r>
      <w:r>
        <w:rPr/>
        <w:t>亿元，同比增长</w:t>
      </w:r>
      <w:r>
        <w:rPr>
          <w:rFonts w:ascii="Times New Roman" w:hAnsi="Times New Roman" w:cs="Times New Roman" w:eastAsia="Times New Roman" w:hint="default"/>
        </w:rPr>
        <w:t>45%</w:t>
      </w:r>
      <w:r>
        <w:rPr/>
        <w:t>，占集团营业总收入的比例为</w:t>
      </w:r>
      <w:r>
        <w:rPr>
          <w:rFonts w:ascii="Times New Roman" w:hAnsi="Times New Roman" w:cs="Times New Roman" w:eastAsia="Times New Roman" w:hint="default"/>
        </w:rPr>
        <w:t>47%</w:t>
      </w:r>
      <w:r>
        <w:rPr/>
        <w:t>。</w:t>
      </w:r>
    </w:p>
    <w:p>
      <w:pPr>
        <w:pStyle w:val="BodyText"/>
        <w:spacing w:line="297" w:lineRule="auto" w:before="51"/>
        <w:ind w:right="1126" w:firstLine="360"/>
        <w:jc w:val="both"/>
      </w:pPr>
      <w:r>
        <w:rPr>
          <w:rFonts w:ascii="Times New Roman" w:hAnsi="Times New Roman" w:cs="Times New Roman" w:eastAsia="Times New Roman" w:hint="default"/>
          <w:spacing w:val="-2"/>
        </w:rPr>
        <w:t>2019</w:t>
      </w:r>
      <w:r>
        <w:rPr>
          <w:spacing w:val="-2"/>
        </w:rPr>
        <w:t>年度，由于完成了对易视腾科技和邦道科技的并购重组，朗新科技集团在互联网电视与公共服务领域的运营服务业</w:t>
      </w:r>
      <w:r>
        <w:rPr/>
        <w:t> </w:t>
      </w:r>
      <w:r>
        <w:rPr>
          <w:spacing w:val="-1"/>
        </w:rPr>
        <w:t>务增长迅速，加上集团原有的工业互联网业务、新外贸数字服务业务，报告期内，朗新科技集团累计实现运营服务收入</w:t>
      </w:r>
      <w:r>
        <w:rPr>
          <w:rFonts w:ascii="Times New Roman" w:hAnsi="Times New Roman" w:cs="Times New Roman" w:eastAsia="Times New Roman" w:hint="default"/>
          <w:spacing w:val="-1"/>
        </w:rPr>
        <w:t>5.76</w:t>
      </w:r>
      <w:r>
        <w:rPr>
          <w:rFonts w:ascii="Times New Roman" w:hAnsi="Times New Roman" w:cs="Times New Roman" w:eastAsia="Times New Roman" w:hint="default"/>
          <w:spacing w:val="-24"/>
        </w:rPr>
        <w:t> </w:t>
      </w:r>
      <w:r>
        <w:rPr/>
        <w:t>亿元，同比增长</w:t>
      </w:r>
      <w:r>
        <w:rPr>
          <w:rFonts w:ascii="Times New Roman" w:hAnsi="Times New Roman" w:cs="Times New Roman" w:eastAsia="Times New Roman" w:hint="default"/>
        </w:rPr>
        <w:t>76%</w:t>
      </w:r>
      <w:r>
        <w:rPr/>
        <w:t>，占集团营业总收入的比例为</w:t>
      </w:r>
      <w:r>
        <w:rPr>
          <w:rFonts w:ascii="Times New Roman" w:hAnsi="Times New Roman" w:cs="Times New Roman" w:eastAsia="Times New Roman" w:hint="default"/>
        </w:rPr>
        <w:t>19%</w:t>
      </w:r>
      <w:r>
        <w:rPr/>
        <w:t>。</w:t>
      </w:r>
    </w:p>
    <w:p>
      <w:pPr>
        <w:pStyle w:val="BodyText"/>
        <w:spacing w:line="290" w:lineRule="auto" w:before="63"/>
        <w:ind w:right="1021" w:firstLine="360"/>
        <w:jc w:val="both"/>
      </w:pPr>
      <w:r>
        <w:rPr>
          <w:spacing w:val="-3"/>
        </w:rPr>
        <w:t>在智能终端领域，由于受运营商经营策略和采购节奏的影响，</w:t>
      </w:r>
      <w:r>
        <w:rPr>
          <w:rFonts w:ascii="Times New Roman" w:hAnsi="Times New Roman" w:cs="Times New Roman" w:eastAsia="Times New Roman" w:hint="default"/>
          <w:spacing w:val="-3"/>
        </w:rPr>
        <w:t>2019</w:t>
      </w:r>
      <w:r>
        <w:rPr>
          <w:spacing w:val="-3"/>
        </w:rPr>
        <w:t>年度，易视腾互联网电视</w:t>
      </w:r>
      <w:r>
        <w:rPr>
          <w:rFonts w:ascii="Times New Roman" w:hAnsi="Times New Roman" w:cs="Times New Roman" w:eastAsia="Times New Roman" w:hint="default"/>
          <w:spacing w:val="-3"/>
        </w:rPr>
        <w:t>OTT</w:t>
      </w:r>
      <w:r>
        <w:rPr>
          <w:spacing w:val="-3"/>
        </w:rPr>
        <w:t>智能终端的出货量减少，</w:t>
      </w:r>
      <w:r>
        <w:rPr/>
        <w:t> 报告期内，朗新科技集团实现智能终端销售收入</w:t>
      </w:r>
      <w:r>
        <w:rPr>
          <w:rFonts w:ascii="Times New Roman" w:hAnsi="Times New Roman" w:cs="Times New Roman" w:eastAsia="Times New Roman" w:hint="default"/>
        </w:rPr>
        <w:t>8.87</w:t>
      </w:r>
      <w:r>
        <w:rPr/>
        <w:t>亿元，同比下降</w:t>
      </w:r>
      <w:r>
        <w:rPr>
          <w:rFonts w:ascii="Times New Roman" w:hAnsi="Times New Roman" w:cs="Times New Roman" w:eastAsia="Times New Roman" w:hint="default"/>
        </w:rPr>
        <w:t>32%</w:t>
      </w:r>
      <w:r>
        <w:rPr/>
        <w:t>，占集团营业总收入的比例为</w:t>
      </w:r>
      <w:r>
        <w:rPr>
          <w:rFonts w:ascii="Times New Roman" w:hAnsi="Times New Roman" w:cs="Times New Roman" w:eastAsia="Times New Roman" w:hint="default"/>
        </w:rPr>
        <w:t>30%</w:t>
      </w:r>
      <w:r>
        <w:rPr/>
        <w:t>。</w:t>
      </w:r>
    </w:p>
    <w:p>
      <w:pPr>
        <w:spacing w:line="240" w:lineRule="auto" w:before="9"/>
        <w:rPr>
          <w:rFonts w:ascii="宋体" w:hAnsi="宋体" w:cs="宋体" w:eastAsia="宋体" w:hint="default"/>
          <w:sz w:val="21"/>
          <w:szCs w:val="21"/>
        </w:rPr>
      </w:pPr>
    </w:p>
    <w:p>
      <w:pPr>
        <w:pStyle w:val="Heading2"/>
        <w:spacing w:line="240" w:lineRule="auto"/>
        <w:ind w:right="1105"/>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05"/>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5"/>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6"/>
        <w:rPr>
          <w:rFonts w:ascii="宋体" w:hAnsi="宋体" w:cs="宋体" w:eastAsia="宋体" w:hint="default"/>
          <w:sz w:val="26"/>
          <w:szCs w:val="26"/>
        </w:rPr>
      </w:pPr>
    </w:p>
    <w:p>
      <w:pPr>
        <w:pStyle w:val="Heading3"/>
        <w:spacing w:line="240" w:lineRule="auto"/>
        <w:ind w:right="1105"/>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right="1105"/>
        <w:jc w:val="left"/>
      </w:pPr>
      <w:r>
        <w:rPr/>
        <w:t>营业收入整体情况</w:t>
      </w:r>
    </w:p>
    <w:p>
      <w:pPr>
        <w:pStyle w:val="BodyText"/>
        <w:spacing w:line="240" w:lineRule="auto" w:before="110"/>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4"/>
        <w:gridCol w:w="1607"/>
        <w:gridCol w:w="1590"/>
        <w:gridCol w:w="1596"/>
        <w:gridCol w:w="1590"/>
        <w:gridCol w:w="1605"/>
      </w:tblGrid>
      <w:tr>
        <w:trPr>
          <w:trHeight w:val="218" w:hRule="exact"/>
        </w:trPr>
        <w:tc>
          <w:tcPr>
            <w:tcW w:w="1594" w:type="dxa"/>
            <w:tcBorders>
              <w:top w:val="single" w:sz="6" w:space="0" w:color="000000"/>
              <w:left w:val="single" w:sz="6" w:space="0" w:color="000000"/>
              <w:bottom w:val="nil" w:sz="6" w:space="0" w:color="auto"/>
              <w:right w:val="single" w:sz="6" w:space="0" w:color="000000"/>
            </w:tcBorders>
            <w:shd w:val="clear" w:color="auto" w:fill="D2D2D2"/>
          </w:tcPr>
          <w:p>
            <w:pPr/>
          </w:p>
        </w:tc>
        <w:tc>
          <w:tcPr>
            <w:tcW w:w="319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3186"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605"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88" w:hRule="exact"/>
        </w:trPr>
        <w:tc>
          <w:tcPr>
            <w:tcW w:w="1594" w:type="dxa"/>
            <w:vMerge w:val="restart"/>
            <w:tcBorders>
              <w:top w:val="nil" w:sz="6" w:space="0" w:color="auto"/>
              <w:left w:val="single" w:sz="6" w:space="0" w:color="000000"/>
              <w:right w:val="single" w:sz="6" w:space="0" w:color="000000"/>
            </w:tcBorders>
            <w:shd w:val="clear" w:color="auto" w:fill="D2D2D2"/>
          </w:tcPr>
          <w:p>
            <w:pPr/>
          </w:p>
        </w:tc>
        <w:tc>
          <w:tcPr>
            <w:tcW w:w="3197" w:type="dxa"/>
            <w:gridSpan w:val="2"/>
            <w:vMerge/>
            <w:tcBorders>
              <w:left w:val="single" w:sz="6" w:space="0" w:color="000000"/>
              <w:bottom w:val="single" w:sz="6" w:space="0" w:color="000000"/>
              <w:right w:val="single" w:sz="6" w:space="0" w:color="000000"/>
            </w:tcBorders>
            <w:shd w:val="clear" w:color="auto" w:fill="D2D2D2"/>
          </w:tcPr>
          <w:p>
            <w:pPr/>
          </w:p>
        </w:tc>
        <w:tc>
          <w:tcPr>
            <w:tcW w:w="3186" w:type="dxa"/>
            <w:gridSpan w:val="2"/>
            <w:vMerge/>
            <w:tcBorders>
              <w:left w:val="single" w:sz="6" w:space="0" w:color="000000"/>
              <w:bottom w:val="single" w:sz="6" w:space="0" w:color="000000"/>
              <w:right w:val="single" w:sz="6" w:space="0" w:color="000000"/>
            </w:tcBorders>
            <w:shd w:val="clear" w:color="auto" w:fill="D2D2D2"/>
          </w:tcPr>
          <w:p>
            <w:pPr/>
          </w:p>
        </w:tc>
        <w:tc>
          <w:tcPr>
            <w:tcW w:w="160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3" w:hRule="exact"/>
        </w:trPr>
        <w:tc>
          <w:tcPr>
            <w:tcW w:w="1594" w:type="dxa"/>
            <w:vMerge/>
            <w:tcBorders>
              <w:left w:val="single" w:sz="6" w:space="0" w:color="000000"/>
              <w:bottom w:val="nil" w:sz="6" w:space="0" w:color="auto"/>
              <w:right w:val="single" w:sz="6" w:space="0" w:color="000000"/>
            </w:tcBorders>
            <w:shd w:val="clear" w:color="auto" w:fill="D2D2D2"/>
          </w:tcPr>
          <w:p>
            <w:pP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7"/>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5" w:type="dxa"/>
            <w:vMerge/>
            <w:tcBorders>
              <w:left w:val="single" w:sz="6" w:space="0" w:color="000000"/>
              <w:bottom w:val="nil" w:sz="6" w:space="0" w:color="auto"/>
              <w:right w:val="single" w:sz="6" w:space="0" w:color="000000"/>
            </w:tcBorders>
            <w:shd w:val="clear" w:color="auto" w:fill="D2D2D2"/>
          </w:tcPr>
          <w:p>
            <w:pPr/>
          </w:p>
        </w:tc>
      </w:tr>
      <w:tr>
        <w:trPr>
          <w:trHeight w:val="203" w:hRule="exact"/>
        </w:trPr>
        <w:tc>
          <w:tcPr>
            <w:tcW w:w="15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0" w:type="dxa"/>
            <w:vMerge/>
            <w:tcBorders>
              <w:left w:val="single" w:sz="6" w:space="0" w:color="000000"/>
              <w:bottom w:val="single" w:sz="6" w:space="0" w:color="000000"/>
              <w:right w:val="single" w:sz="6" w:space="0" w:color="000000"/>
            </w:tcBorders>
            <w:shd w:val="clear" w:color="auto" w:fill="D2D2D2"/>
          </w:tcPr>
          <w:p>
            <w:pPr/>
          </w:p>
        </w:tc>
        <w:tc>
          <w:tcPr>
            <w:tcW w:w="1596" w:type="dxa"/>
            <w:vMerge/>
            <w:tcBorders>
              <w:left w:val="single" w:sz="6" w:space="0" w:color="000000"/>
              <w:bottom w:val="single" w:sz="6" w:space="0" w:color="000000"/>
              <w:right w:val="single" w:sz="6" w:space="0" w:color="000000"/>
            </w:tcBorders>
            <w:shd w:val="clear" w:color="auto" w:fill="D2D2D2"/>
          </w:tcPr>
          <w:p>
            <w:pPr/>
          </w:p>
        </w:tc>
        <w:tc>
          <w:tcPr>
            <w:tcW w:w="1590" w:type="dxa"/>
            <w:vMerge/>
            <w:tcBorders>
              <w:left w:val="single" w:sz="6" w:space="0" w:color="000000"/>
              <w:bottom w:val="single" w:sz="6" w:space="0" w:color="000000"/>
              <w:right w:val="single" w:sz="6" w:space="0" w:color="000000"/>
            </w:tcBorders>
            <w:shd w:val="clear" w:color="auto" w:fill="D2D2D2"/>
          </w:tcPr>
          <w:p>
            <w:pPr/>
          </w:p>
        </w:tc>
        <w:tc>
          <w:tcPr>
            <w:tcW w:w="1605"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13" w:hRule="exact"/>
        </w:trPr>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7" w:type="dxa"/>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2,968,330,140.42</w:t>
            </w:r>
          </w:p>
        </w:tc>
        <w:tc>
          <w:tcPr>
            <w:tcW w:w="15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6" w:type="dxa"/>
            <w:tcBorders>
              <w:top w:val="single" w:sz="6" w:space="0" w:color="000000"/>
              <w:left w:val="single" w:sz="12" w:space="0" w:color="000000"/>
              <w:bottom w:val="single" w:sz="6" w:space="0" w:color="000000"/>
              <w:right w:val="single" w:sz="18" w:space="0" w:color="D2D2D2"/>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2,671,680,074.85</w:t>
            </w:r>
          </w:p>
        </w:tc>
        <w:tc>
          <w:tcPr>
            <w:tcW w:w="15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11.10%</w:t>
            </w:r>
            <w:r>
              <w:rPr>
                <w:rFonts w:ascii="Times New Roman"/>
                <w:sz w:val="18"/>
              </w:rPr>
            </w:r>
          </w:p>
        </w:tc>
      </w:tr>
      <w:tr>
        <w:trPr>
          <w:trHeight w:val="398"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21"/>
              <w:jc w:val="left"/>
              <w:rPr>
                <w:rFonts w:ascii="宋体" w:hAnsi="宋体" w:cs="宋体" w:eastAsia="宋体" w:hint="default"/>
                <w:sz w:val="18"/>
                <w:szCs w:val="18"/>
              </w:rPr>
            </w:pPr>
            <w:r>
              <w:rPr>
                <w:rFonts w:ascii="宋体" w:hAnsi="宋体" w:cs="宋体" w:eastAsia="宋体" w:hint="default"/>
                <w:sz w:val="18"/>
                <w:szCs w:val="18"/>
              </w:rPr>
              <w:t>智慧能源及创新业 务</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1,435,573,578.25</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48.36%</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1,015,475,539.46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38.01%</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10.35%</w:t>
            </w:r>
            <w:r>
              <w:rPr>
                <w:rFonts w:ascii="Times New Roman"/>
                <w:sz w:val="18"/>
              </w:rPr>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智慧家庭</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6"/>
              <w:jc w:val="right"/>
              <w:rPr>
                <w:rFonts w:ascii="Times New Roman" w:hAnsi="Times New Roman" w:cs="Times New Roman" w:eastAsia="Times New Roman" w:hint="default"/>
                <w:sz w:val="18"/>
                <w:szCs w:val="18"/>
              </w:rPr>
            </w:pPr>
            <w:r>
              <w:rPr>
                <w:rFonts w:ascii="Times New Roman"/>
                <w:sz w:val="18"/>
              </w:rPr>
              <w:t>1,240,142,934.77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w w:val="95"/>
                <w:sz w:val="18"/>
              </w:rPr>
              <w:t>41.78%</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z w:val="18"/>
              </w:rPr>
              <w:t>1,656,204,535.39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w w:val="95"/>
                <w:sz w:val="18"/>
              </w:rPr>
              <w:t>61.99%</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-20.21%</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公共服务</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292,613,627.40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9.86%</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9.86%</w:t>
            </w:r>
            <w:r>
              <w:rPr>
                <w:rFonts w:ascii="Times New Roman"/>
                <w:sz w:val="18"/>
              </w:rPr>
            </w:r>
          </w:p>
        </w:tc>
      </w:tr>
      <w:tr>
        <w:trPr>
          <w:trHeight w:val="406"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90"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575,609,727.94</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19.39%</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327,221,615.62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12.25%</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7.14%</w:t>
            </w:r>
            <w:r>
              <w:rPr>
                <w:rFonts w:ascii="Times New Roman"/>
                <w:sz w:val="18"/>
              </w:rPr>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1,408,957,543.87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47.47%</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973,085,425.05</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36.42%</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11.05%</w:t>
            </w:r>
            <w:r>
              <w:rPr>
                <w:rFonts w:ascii="Times New Roman"/>
                <w:sz w:val="18"/>
              </w:rPr>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智能终端</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886,603,581.19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29.87%</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1,302,765,965.71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48.76%</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-18.89%</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97,159,287.42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3.27%</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68,607,068.47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2.57%</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0.70%</w:t>
            </w:r>
            <w:r>
              <w:rPr>
                <w:rFonts w:ascii="Times New Roman"/>
                <w:sz w:val="18"/>
              </w:rPr>
            </w:r>
          </w:p>
        </w:tc>
      </w:tr>
      <w:tr>
        <w:trPr>
          <w:trHeight w:val="405"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0"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935,741,420.71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31.52%</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1,100,143,822.97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41.18%</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-9.66%</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544,301,788.83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18.34%</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230,529,056.50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8.63%</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9.71%</w:t>
            </w:r>
            <w:r>
              <w:rPr>
                <w:rFonts w:ascii="Times New Roman"/>
                <w:sz w:val="18"/>
              </w:rPr>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625,587,469.48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21.08%</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331,079,022.24</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12.38%</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8.70%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316,453,470.98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10.66%</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247,222,827.93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9.25%</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1.41%</w:t>
            </w:r>
            <w:r>
              <w:rPr>
                <w:rFonts w:ascii="Times New Roman"/>
                <w:sz w:val="18"/>
              </w:rPr>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114,062,212.58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3.84%</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186,141,257.62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6.97%</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-3.13%</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243,077,954.21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8.19%</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252,073,886.21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9.44%</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-1.25%</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189,105,823.63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6.37%</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324,490,201.38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12.15%</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-5.78%</w:t>
            </w:r>
          </w:p>
        </w:tc>
      </w:tr>
    </w:tbl>
    <w:p>
      <w:pPr>
        <w:pStyle w:val="BodyText"/>
        <w:spacing w:line="240" w:lineRule="auto" w:before="60"/>
        <w:ind w:right="1105"/>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81"/>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17"/>
        <w:gridCol w:w="1006"/>
        <w:gridCol w:w="1021"/>
        <w:gridCol w:w="1006"/>
        <w:gridCol w:w="1022"/>
        <w:gridCol w:w="991"/>
        <w:gridCol w:w="1006"/>
        <w:gridCol w:w="1006"/>
        <w:gridCol w:w="1006"/>
      </w:tblGrid>
      <w:tr>
        <w:trPr>
          <w:trHeight w:val="405" w:hRule="exact"/>
        </w:trPr>
        <w:tc>
          <w:tcPr>
            <w:tcW w:w="1517" w:type="dxa"/>
            <w:vMerge w:val="restart"/>
            <w:tcBorders>
              <w:top w:val="single" w:sz="6" w:space="0" w:color="000000"/>
              <w:left w:val="single" w:sz="6" w:space="0" w:color="000000"/>
              <w:right w:val="single" w:sz="6" w:space="0" w:color="000000"/>
            </w:tcBorders>
            <w:shd w:val="clear" w:color="auto" w:fill="D2D2D2"/>
          </w:tcPr>
          <w:p>
            <w:pPr/>
          </w:p>
        </w:tc>
        <w:tc>
          <w:tcPr>
            <w:tcW w:w="4055"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401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6" w:hRule="exact"/>
        </w:trPr>
        <w:tc>
          <w:tcPr>
            <w:tcW w:w="1517" w:type="dxa"/>
            <w:vMerge/>
            <w:tcBorders>
              <w:left w:val="single" w:sz="6" w:space="0" w:color="000000"/>
              <w:bottom w:val="single" w:sz="6" w:space="0" w:color="000000"/>
              <w:right w:val="single" w:sz="6" w:space="0" w:color="000000"/>
            </w:tcBorders>
            <w:shd w:val="clear" w:color="auto" w:fill="D2D2D2"/>
          </w:tcPr>
          <w:p>
            <w:pP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1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20" w:hRule="exact"/>
        </w:trPr>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398,366,944.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26</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395,363,465.</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490,061,964.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28</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1,684,537,76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6.16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484,613,186.</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09</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306,929,814.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61</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600,903,023.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24</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1,279,234,05</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0.91</w:t>
            </w:r>
          </w:p>
        </w:tc>
      </w:tr>
      <w:tr>
        <w:trPr>
          <w:trHeight w:val="706" w:hRule="exact"/>
        </w:trPr>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43"/>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w w:val="95"/>
                <w:sz w:val="18"/>
              </w:rPr>
              <w:t>-14,847,461.</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27</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493,822,089.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17</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36,975,341.3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504,217,817.</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-5,522,286.7</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w w:val="95"/>
                <w:sz w:val="18"/>
              </w:rPr>
              <w:t>-44,392,446.</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74</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w w:val="95"/>
                <w:sz w:val="18"/>
              </w:rPr>
              <w:t>-13,993,954.</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08</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251,300,234.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85</w:t>
            </w:r>
          </w:p>
        </w:tc>
      </w:tr>
    </w:tbl>
    <w:p>
      <w:pPr>
        <w:pStyle w:val="BodyText"/>
        <w:spacing w:line="331" w:lineRule="auto" w:before="44"/>
        <w:ind w:right="1105"/>
        <w:jc w:val="left"/>
      </w:pPr>
      <w:r>
        <w:rPr/>
        <w:t>说明经营季节性（或周期性）发生的原因及波动风险 </w:t>
      </w:r>
      <w:r>
        <w:rPr>
          <w:spacing w:val="-2"/>
        </w:rPr>
        <w:t>朗新科技母公司电力业务受电网公司内部合同流程管理的限制，第四季度签署合同并取得上线报告或完工验收报告较多，造</w:t>
      </w:r>
      <w:r>
        <w:rPr>
          <w:spacing w:val="-72"/>
        </w:rPr>
        <w:t> </w:t>
      </w:r>
      <w:r>
        <w:rPr>
          <w:spacing w:val="-72"/>
        </w:rPr>
      </w:r>
      <w:r>
        <w:rPr>
          <w:spacing w:val="-2"/>
        </w:rPr>
        <w:t>成第四季度确认收入较多。这也导致了公司第一季度、上半年甚至前三季度净利润有可能为负，公司经营业绩呈现较强的季</w:t>
      </w:r>
      <w:r>
        <w:rPr>
          <w:spacing w:val="-64"/>
        </w:rPr>
        <w:t> </w:t>
      </w:r>
      <w:r>
        <w:rPr>
          <w:spacing w:val="-64"/>
        </w:rPr>
      </w:r>
      <w:r>
        <w:rPr/>
        <w:t>节性波动风险。</w:t>
      </w:r>
    </w:p>
    <w:p>
      <w:pPr>
        <w:pStyle w:val="BodyText"/>
        <w:spacing w:line="304" w:lineRule="auto" w:before="11"/>
        <w:ind w:right="1102"/>
        <w:jc w:val="both"/>
      </w:pPr>
      <w:r>
        <w:rPr>
          <w:rFonts w:ascii="Times New Roman" w:hAnsi="Times New Roman" w:cs="Times New Roman" w:eastAsia="Times New Roman" w:hint="default"/>
        </w:rPr>
        <w:t>2019</w:t>
      </w:r>
      <w:r>
        <w:rPr/>
        <w:t>年第二季度、第三季度数据均为正数，主要是</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日完成非同一控制下收购邦道科技，朗新科技原持有其</w:t>
      </w:r>
      <w:r>
        <w:rPr>
          <w:rFonts w:ascii="Times New Roman" w:hAnsi="Times New Roman" w:cs="Times New Roman" w:eastAsia="Times New Roman" w:hint="default"/>
        </w:rPr>
        <w:t>40%</w:t>
      </w:r>
      <w:r>
        <w:rPr/>
        <w:t>的股份</w:t>
      </w:r>
      <w:r>
        <w:rPr>
          <w:spacing w:val="-53"/>
        </w:rPr>
        <w:t> </w:t>
      </w:r>
      <w:r>
        <w:rPr>
          <w:spacing w:val="12"/>
        </w:rPr>
        <w:t>按公允价值计量，产生一次性投资收益</w:t>
      </w:r>
      <w:r>
        <w:rPr>
          <w:spacing w:val="-64"/>
        </w:rPr>
        <w:t> </w:t>
      </w:r>
      <w:r>
        <w:rPr>
          <w:rFonts w:ascii="Times New Roman" w:hAnsi="Times New Roman" w:cs="Times New Roman" w:eastAsia="Times New Roman" w:hint="default"/>
          <w:spacing w:val="3"/>
        </w:rPr>
        <w:t>499,000,435.50</w:t>
      </w:r>
      <w:r>
        <w:rPr>
          <w:spacing w:val="3"/>
        </w:rPr>
        <w:t>元，此外邦道科技</w:t>
      </w:r>
      <w:r>
        <w:rPr>
          <w:spacing w:val="-64"/>
        </w:rPr>
        <w:t> </w:t>
      </w:r>
      <w:r>
        <w:rPr>
          <w:rFonts w:ascii="Times New Roman" w:hAnsi="Times New Roman" w:cs="Times New Roman" w:eastAsia="Times New Roman" w:hint="default"/>
          <w:spacing w:val="10"/>
        </w:rPr>
        <w:t>6-9</w:t>
      </w:r>
      <w:r>
        <w:rPr>
          <w:spacing w:val="10"/>
        </w:rPr>
        <w:t>月为归属于上市公司股东的净利润贡献了</w:t>
      </w:r>
      <w:r>
        <w:rPr>
          <w:spacing w:val="-81"/>
        </w:rPr>
        <w:t> </w:t>
      </w:r>
      <w:r>
        <w:rPr>
          <w:spacing w:val="-81"/>
        </w:rPr>
      </w:r>
      <w:r>
        <w:rPr>
          <w:rFonts w:ascii="Times New Roman" w:hAnsi="Times New Roman" w:cs="Times New Roman" w:eastAsia="Times New Roman" w:hint="default"/>
        </w:rPr>
        <w:t>69,395,312.40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1105"/>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5"/>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731" w:footer="981" w:top="1040" w:bottom="1180" w:left="100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right="-19"/>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9"/>
          <w:szCs w:val="19"/>
        </w:rPr>
      </w:pPr>
    </w:p>
    <w:p>
      <w:pPr>
        <w:pStyle w:val="BodyText"/>
        <w:spacing w:line="240" w:lineRule="auto"/>
        <w:ind w:left="-21" w:right="0"/>
        <w:jc w:val="left"/>
      </w:pPr>
      <w:r>
        <w:rPr/>
        <w:t>单位：元</w:t>
      </w:r>
    </w:p>
    <w:p>
      <w:pPr>
        <w:spacing w:after="0" w:line="240" w:lineRule="auto"/>
        <w:jc w:val="left"/>
        <w:sectPr>
          <w:type w:val="continuous"/>
          <w:pgSz w:w="11910" w:h="16850"/>
          <w:pgMar w:top="1040" w:bottom="1180" w:left="1000" w:right="0"/>
          <w:cols w:num="2" w:equalWidth="0">
            <w:col w:w="9058" w:space="40"/>
            <w:col w:w="1812"/>
          </w:cols>
        </w:sectPr>
      </w:pP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67"/>
        <w:gridCol w:w="1382"/>
        <w:gridCol w:w="1367"/>
        <w:gridCol w:w="1367"/>
      </w:tblGrid>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14" w:right="59"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00" w:right="59"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05" w:right="44" w:hanging="361"/>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391"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智慧能源及创新 业务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1,435,573,578.25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710,571,648.51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50.50%</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41.37%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39.97%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0.49%</w:t>
            </w:r>
            <w:r>
              <w:rPr>
                <w:rFonts w:ascii="Times New Roman"/>
                <w:sz w:val="18"/>
              </w:rPr>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智慧家庭</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1,240,142,934.77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842,973,404.55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32.03%</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-25.12%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-35.48%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10.92%</w:t>
            </w:r>
            <w:r>
              <w:rPr>
                <w:rFonts w:ascii="Times New Roman"/>
                <w:sz w:val="18"/>
              </w:rPr>
            </w:r>
          </w:p>
        </w:tc>
      </w:tr>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575,609,727.94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203,850,237.08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64.59%</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75.91%</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36.15%</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10.34%</w:t>
            </w:r>
            <w:r>
              <w:rPr>
                <w:rFonts w:ascii="Times New Roman"/>
                <w:sz w:val="18"/>
              </w:rPr>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1,408,957,543.87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669,328,599.06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52.49%</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44.79%</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42.57%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0.73%</w:t>
            </w:r>
            <w:r>
              <w:rPr>
                <w:rFonts w:ascii="Times New Roman"/>
                <w:sz w:val="18"/>
              </w:rPr>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智能终端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886,603,581.19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698,106,833.33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21.26%</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-31.94%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-38.82%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8.84%</w:t>
            </w:r>
            <w:r>
              <w:rPr>
                <w:rFonts w:ascii="Times New Roman"/>
                <w:sz w:val="18"/>
              </w:rPr>
            </w:r>
          </w:p>
        </w:tc>
      </w:tr>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625,587,469.48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345,735,824.31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44.73%</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88.95%</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82.62%</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32.34%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67"/>
        <w:gridCol w:w="1382"/>
        <w:gridCol w:w="1367"/>
        <w:gridCol w:w="1367"/>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935,741,420.71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503,554,407.81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46.19%</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-14.94%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-36.19%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5.01%</w:t>
            </w:r>
            <w:r>
              <w:rPr>
                <w:rFonts w:ascii="Times New Roman"/>
                <w:sz w:val="18"/>
              </w:rPr>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544,301,788.83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362,998,585.74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33.31%</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136.11%</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165.68%</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24.68%</w:t>
            </w:r>
            <w:r>
              <w:rPr>
                <w:rFonts w:ascii="Times New Roman"/>
                <w:sz w:val="18"/>
              </w:rPr>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316,453,470.98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150,827,074.49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52.34%</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28.00%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-5.98%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43.09%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240" w:lineRule="auto" w:before="59"/>
        <w:ind w:right="-19"/>
        <w:jc w:val="left"/>
      </w:pPr>
      <w:r>
        <w:rPr/>
        <w:t>公司主营业务数据统计口径在报告期发生调整的情况下，公司最近</w:t>
      </w:r>
      <w:r>
        <w:rPr>
          <w:spacing w:val="-39"/>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96"/>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50"/>
          <w:pgMar w:top="1040" w:bottom="1180" w:left="1000" w:right="0"/>
          <w:cols w:num="2" w:equalWidth="0">
            <w:col w:w="8789" w:space="148"/>
            <w:col w:w="1973"/>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67"/>
        <w:gridCol w:w="1382"/>
        <w:gridCol w:w="1367"/>
        <w:gridCol w:w="1367"/>
      </w:tblGrid>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14" w:right="59"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00" w:right="59"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05" w:right="44" w:hanging="361"/>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智慧能源及创新 业务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1,435,573,578.25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710,571,648.51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50.50%</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41.37%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39.34%</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0.72%</w:t>
            </w:r>
            <w:r>
              <w:rPr>
                <w:rFonts w:ascii="Times New Roman"/>
                <w:sz w:val="18"/>
              </w:rPr>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智慧家庭</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1,240,142,934.77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842,973,404.55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32.03%</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-25.12%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-35.48%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10.92%</w:t>
            </w:r>
            <w:r>
              <w:rPr>
                <w:rFonts w:ascii="Times New Roman"/>
                <w:sz w:val="18"/>
              </w:rPr>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公共服务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292,613,627.40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92,884,420.47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68.26%</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575,609,727.94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203,850,237.08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64.59%</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75.91%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36.15%</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10.34%</w:t>
            </w:r>
            <w:r>
              <w:rPr>
                <w:rFonts w:ascii="Times New Roman"/>
                <w:sz w:val="18"/>
              </w:rPr>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1,408,957,543.87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669,328,599.06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52.49%</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44.79%</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42.57%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0.73%</w:t>
            </w:r>
            <w:r>
              <w:rPr>
                <w:rFonts w:ascii="Times New Roman"/>
                <w:sz w:val="18"/>
              </w:rPr>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智能终端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886,603,581.19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698,106,833.33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21.26%</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-31.94%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-38.82%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8.84%</w:t>
            </w:r>
            <w:r>
              <w:rPr>
                <w:rFonts w:ascii="Times New Roman"/>
                <w:sz w:val="18"/>
              </w:rPr>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97,159,287.42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75,143,804.06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22.66%</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41.62%</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33.42%</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4.75%</w:t>
            </w:r>
            <w:r>
              <w:rPr>
                <w:rFonts w:ascii="Times New Roman"/>
                <w:sz w:val="18"/>
              </w:rPr>
            </w:r>
          </w:p>
        </w:tc>
      </w:tr>
      <w:tr>
        <w:trPr>
          <w:trHeight w:val="406"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625,587,469.48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345,735,824.31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44.73%</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88.95%</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82.62%</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1.91%</w:t>
            </w:r>
            <w:r>
              <w:rPr>
                <w:rFonts w:ascii="Times New Roman"/>
                <w:sz w:val="18"/>
              </w:rPr>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935,741,420.71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503,554,407.81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46.19%</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-14.94%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-36.19%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17.92%</w:t>
            </w:r>
            <w:r>
              <w:rPr>
                <w:rFonts w:ascii="Times New Roman"/>
                <w:sz w:val="18"/>
              </w:rPr>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544,301,788.83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362,998,585.74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33.31%</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w w:val="95"/>
                <w:sz w:val="18"/>
              </w:rPr>
              <w:t>136.11%</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w w:val="95"/>
                <w:sz w:val="18"/>
              </w:rPr>
              <w:t>165.68%</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-7.42%</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316,453,470.98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150,827,074.49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52.34%</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28.00%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-5.98%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17.23%</w:t>
            </w:r>
            <w:r>
              <w:rPr>
                <w:rFonts w:ascii="Times New Roman"/>
                <w:sz w:val="18"/>
              </w:rPr>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114,062,212.58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62,523,397.79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45.18%</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-38.72%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-53.17%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16.90%</w:t>
            </w:r>
            <w:r>
              <w:rPr>
                <w:rFonts w:ascii="Times New Roman"/>
                <w:sz w:val="18"/>
              </w:rPr>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243,077,954.21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127,737,381.29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47.45%</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-3.57%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-29.72%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19.55%</w:t>
            </w:r>
            <w:r>
              <w:rPr>
                <w:rFonts w:ascii="Times New Roman"/>
                <w:sz w:val="18"/>
              </w:rPr>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189,105,823.63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93,052,802.10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50.79%</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-41.72%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-58.78%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20.36%</w:t>
            </w:r>
            <w:r>
              <w:rPr>
                <w:rFonts w:ascii="Times New Roman"/>
                <w:sz w:val="18"/>
              </w:rPr>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7"/>
        <w:rPr>
          <w:rFonts w:ascii="宋体" w:hAnsi="宋体" w:cs="宋体" w:eastAsia="宋体" w:hint="default"/>
          <w:sz w:val="26"/>
          <w:szCs w:val="26"/>
        </w:rPr>
      </w:pPr>
    </w:p>
    <w:p>
      <w:pPr>
        <w:pStyle w:val="Heading3"/>
        <w:spacing w:line="240" w:lineRule="auto"/>
        <w:ind w:right="1105"/>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6"/>
        <w:ind w:right="1105"/>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1105"/>
        <w:jc w:val="left"/>
      </w:pPr>
      <w:r>
        <w:rPr/>
        <w:t>产品分类</w:t>
      </w:r>
    </w:p>
    <w:p>
      <w:pPr>
        <w:spacing w:after="0" w:line="240" w:lineRule="auto"/>
        <w:jc w:val="left"/>
        <w:sectPr>
          <w:type w:val="continuous"/>
          <w:pgSz w:w="11910" w:h="16850"/>
          <w:pgMar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1105"/>
        <w:jc w:val="left"/>
      </w:pPr>
      <w:r>
        <w:rPr/>
        <w:t>产品分类</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203,850,237.08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12.38%</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149,720,162.00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8.24%</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4.14%</w:t>
            </w:r>
            <w:r>
              <w:rPr>
                <w:rFonts w:ascii="Times New Roman"/>
                <w:sz w:val="18"/>
              </w:rPr>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669,328,599.06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40.66%</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469,459,435.64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25.84%</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14.81%</w:t>
            </w:r>
            <w:r>
              <w:rPr>
                <w:rFonts w:ascii="Times New Roman"/>
                <w:sz w:val="18"/>
              </w:rPr>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智能终端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698,106,833.33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42.40%</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1,140,988,637.16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62.82%</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-20.42%</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30" w:right="13"/>
              <w:jc w:val="left"/>
              <w:rPr>
                <w:rFonts w:ascii="宋体" w:hAnsi="宋体" w:cs="宋体" w:eastAsia="宋体" w:hint="default"/>
                <w:sz w:val="18"/>
                <w:szCs w:val="18"/>
              </w:rPr>
            </w:pPr>
            <w:r>
              <w:rPr>
                <w:rFonts w:ascii="宋体" w:hAnsi="宋体" w:cs="宋体" w:eastAsia="宋体" w:hint="default"/>
                <w:sz w:val="18"/>
                <w:szCs w:val="18"/>
              </w:rPr>
              <w:t>主营业务成本</w:t>
            </w:r>
            <w:r>
              <w:rPr>
                <w:rFonts w:ascii="Times New Roman" w:hAnsi="Times New Roman" w:cs="Times New Roman" w:eastAsia="Times New Roman" w:hint="default"/>
                <w:sz w:val="18"/>
                <w:szCs w:val="18"/>
              </w:rPr>
              <w:t>/</w:t>
            </w:r>
            <w:r>
              <w:rPr>
                <w:rFonts w:ascii="宋体" w:hAnsi="宋体" w:cs="宋体" w:eastAsia="宋体" w:hint="default"/>
                <w:sz w:val="18"/>
                <w:szCs w:val="18"/>
              </w:rPr>
              <w:t>其 他业务成本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75,143,804.06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4.56%</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56,321,455.91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3.10%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1.46%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240" w:lineRule="auto" w:before="44"/>
        <w:ind w:right="-19"/>
        <w:jc w:val="left"/>
      </w:pPr>
      <w:r>
        <w:rPr/>
        <w:t>说明</w:t>
      </w:r>
    </w:p>
    <w:p>
      <w:pPr>
        <w:pStyle w:val="BodyText"/>
        <w:spacing w:line="331" w:lineRule="auto" w:before="125"/>
        <w:ind w:right="-19"/>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3"/>
        <w:ind w:left="-21" w:right="0"/>
        <w:jc w:val="left"/>
      </w:pPr>
      <w:r>
        <w:rPr/>
        <w:t>单位：元</w:t>
      </w:r>
    </w:p>
    <w:p>
      <w:pPr>
        <w:spacing w:after="0" w:line="240" w:lineRule="auto"/>
        <w:jc w:val="left"/>
        <w:sectPr>
          <w:type w:val="continuous"/>
          <w:pgSz w:w="11910" w:h="16850"/>
          <w:pgMar w:top="1040" w:bottom="1180" w:left="1000" w:right="0"/>
          <w:cols w:num="2" w:equalWidth="0">
            <w:col w:w="9058" w:space="40"/>
            <w:col w:w="1812"/>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1"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9"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65"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0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办公通信费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9,161,114.00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0.56%</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10,250,797.14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0.56%</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43,482,801.57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2.64%</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30,881,466.21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1.70%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0.94%</w:t>
            </w:r>
            <w:r>
              <w:rPr>
                <w:rFonts w:ascii="Times New Roman"/>
                <w:sz w:val="18"/>
              </w:rPr>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738,200.30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490,932.38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6,397.46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2,166,831.97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-0.12%</w:t>
            </w:r>
          </w:p>
        </w:tc>
      </w:tr>
      <w:tr>
        <w:trPr>
          <w:trHeight w:val="39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419,377,564.88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25.47%</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336,264,237.84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18.51%</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6.96%</w:t>
            </w:r>
            <w:r>
              <w:rPr>
                <w:rFonts w:ascii="Times New Roman"/>
                <w:sz w:val="18"/>
              </w:rPr>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3,970,258.80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0.24%</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3,722,271.06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0.20%</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运营成本</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27,899,699.08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1.69%</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30,166,540.65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w w:val="95"/>
                <w:sz w:val="18"/>
              </w:rPr>
              <w:t>1.66%</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8,970,946.39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0.54%</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12,047,085.23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0.66%</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-0.12%</w:t>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767,973,418.11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46.66%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1,192,916,676.38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65.68%</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-19.02%</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364,849,072.94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w w:val="95"/>
                <w:sz w:val="18"/>
              </w:rPr>
              <w:t>22.16%</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197,582,851.85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18"/>
                <w:szCs w:val="18"/>
              </w:rPr>
            </w:pPr>
            <w:r>
              <w:rPr>
                <w:rFonts w:ascii="Times New Roman"/>
                <w:w w:val="95"/>
                <w:sz w:val="18"/>
              </w:rPr>
              <w:t>10.88%</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w w:val="95"/>
                <w:sz w:val="18"/>
              </w:rPr>
              <w:t>11.28%</w:t>
            </w:r>
            <w:r>
              <w:rPr>
                <w:rFonts w:ascii="Times New Roman"/>
                <w:sz w:val="18"/>
              </w:rPr>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110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w:t>
      </w:r>
      <w:r>
        <w:rPr>
          <w:spacing w:val="-2"/>
        </w:rPr>
        <w:t>由于易视腾科技与本公司的实际控制人均为徐长军及郑新标，因此易视腾科技纳入合并范围适用同一控制下企业合并，本集</w:t>
      </w:r>
      <w:r>
        <w:rPr>
          <w:spacing w:val="-72"/>
        </w:rPr>
        <w:t> </w:t>
      </w:r>
      <w:r>
        <w:rPr>
          <w:spacing w:val="-72"/>
        </w:rPr>
      </w:r>
      <w:r>
        <w:rPr/>
        <w:t>团对报告可比期间</w:t>
      </w:r>
      <w:r>
        <w:rPr>
          <w:rFonts w:ascii="Times New Roman" w:hAnsi="Times New Roman" w:cs="Times New Roman" w:eastAsia="Times New Roman" w:hint="default"/>
        </w:rPr>
        <w:t>2018</w:t>
      </w:r>
      <w:r>
        <w:rPr/>
        <w:t>年度利润表、现金流量表以及截止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日止资产负债表进行追溯调整，具体详见附注八</w:t>
      </w:r>
      <w:r>
        <w:rPr>
          <w:rFonts w:ascii="Times New Roman" w:hAnsi="Times New Roman" w:cs="Times New Roman" w:eastAsia="Times New Roman" w:hint="default"/>
        </w:rPr>
        <w:t>“</w:t>
      </w:r>
      <w:r>
        <w:rPr/>
        <w:t>合</w:t>
      </w:r>
      <w:r>
        <w:rPr>
          <w:spacing w:val="-72"/>
        </w:rPr>
        <w:t> </w:t>
      </w:r>
      <w:r>
        <w:rPr/>
        <w:t>并范围的变更</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4"/>
        <w:ind w:right="1105"/>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111"/>
        <w:ind w:right="1094"/>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日同一控制下收购易视腾科技，非同一控制下收购邦道科技，使朗新科技在原有的智慧能源、数字城市、工业</w:t>
      </w:r>
    </w:p>
    <w:p>
      <w:pPr>
        <w:spacing w:after="0" w:line="240" w:lineRule="auto"/>
        <w:jc w:val="left"/>
        <w:sectPr>
          <w:type w:val="continuous"/>
          <w:pgSz w:w="11910" w:h="16850"/>
          <w:pgMar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1105"/>
        <w:jc w:val="left"/>
      </w:pPr>
      <w:r>
        <w:rPr>
          <w:spacing w:val="-2"/>
        </w:rPr>
        <w:t>互联网、新外贸数字服务等产业互联网板块的基础上，新增了智慧家庭和公共服务两个以运营服务模式为主的业务，对公司</w:t>
      </w:r>
      <w:r>
        <w:rPr>
          <w:spacing w:val="-75"/>
        </w:rPr>
        <w:t> </w:t>
      </w:r>
      <w:r>
        <w:rPr>
          <w:spacing w:val="-75"/>
        </w:rPr>
      </w:r>
      <w:r>
        <w:rPr/>
        <w:t>经营及业绩有着重大影响。</w:t>
      </w:r>
    </w:p>
    <w:p>
      <w:pPr>
        <w:spacing w:line="240" w:lineRule="auto" w:before="13"/>
        <w:rPr>
          <w:rFonts w:ascii="宋体" w:hAnsi="宋体" w:cs="宋体" w:eastAsia="宋体" w:hint="default"/>
          <w:sz w:val="23"/>
          <w:szCs w:val="23"/>
        </w:rPr>
      </w:pPr>
    </w:p>
    <w:p>
      <w:pPr>
        <w:pStyle w:val="Heading3"/>
        <w:spacing w:line="240" w:lineRule="auto"/>
        <w:ind w:right="1105"/>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1105"/>
        <w:jc w:val="left"/>
      </w:pPr>
      <w:r>
        <w:rPr/>
        <w:t>公司主要销售客户情况</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258"/>
        <w:gridCol w:w="5324"/>
      </w:tblGrid>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2,454,232,392.78</w:t>
            </w:r>
          </w:p>
        </w:tc>
      </w:tr>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82.68%</w:t>
            </w:r>
            <w:r>
              <w:rPr>
                <w:rFonts w:ascii="Times New Roman"/>
                <w:sz w:val="18"/>
              </w:rPr>
            </w:r>
          </w:p>
        </w:tc>
      </w:tr>
      <w:tr>
        <w:trPr>
          <w:trHeight w:val="706"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85"/>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16.56%</w:t>
            </w:r>
            <w:r>
              <w:rPr>
                <w:rFonts w:ascii="Times New Roman"/>
                <w:sz w:val="18"/>
              </w:rPr>
            </w:r>
          </w:p>
        </w:tc>
      </w:tr>
    </w:tbl>
    <w:p>
      <w:pPr>
        <w:pStyle w:val="BodyText"/>
        <w:spacing w:line="240" w:lineRule="auto" w:before="59"/>
        <w:ind w:right="1105"/>
        <w:jc w:val="left"/>
      </w:pPr>
      <w:r>
        <w:rPr/>
        <w:t>公司前</w:t>
      </w:r>
      <w:r>
        <w:rPr>
          <w:spacing w:val="-45"/>
        </w:rPr>
        <w:t> </w:t>
      </w:r>
      <w:r>
        <w:rPr>
          <w:rFonts w:ascii="Times New Roman" w:hAnsi="Times New Roman" w:cs="Times New Roman" w:eastAsia="Times New Roman" w:hint="default"/>
        </w:rPr>
        <w:t>5 </w:t>
      </w:r>
      <w:r>
        <w:rPr/>
        <w:t>大客户资料</w:t>
      </w: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781"/>
        <w:gridCol w:w="3327"/>
        <w:gridCol w:w="2313"/>
        <w:gridCol w:w="3154"/>
      </w:tblGrid>
      <w:tr>
        <w:trPr>
          <w:trHeight w:val="406"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0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6"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1</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1,078,018,612.84</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36.32%</w:t>
            </w:r>
            <w:r>
              <w:rPr>
                <w:rFonts w:ascii="Times New Roman"/>
                <w:sz w:val="18"/>
              </w:rPr>
            </w:r>
          </w:p>
        </w:tc>
      </w:tr>
      <w:tr>
        <w:trPr>
          <w:trHeight w:val="390"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2</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807,249,418.55</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27.19%</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3</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293,278,402.17</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9.88%</w:t>
            </w:r>
            <w:r>
              <w:rPr>
                <w:rFonts w:ascii="Times New Roman"/>
                <w:sz w:val="18"/>
              </w:rPr>
            </w:r>
          </w:p>
        </w:tc>
      </w:tr>
      <w:tr>
        <w:trPr>
          <w:trHeight w:val="406"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4</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198,222,098.58</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6.68%</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5</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77,463,860.64</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2.61%</w:t>
            </w:r>
            <w:r>
              <w:rPr>
                <w:rFonts w:ascii="Times New Roman"/>
                <w:sz w:val="18"/>
              </w:rPr>
            </w:r>
          </w:p>
        </w:tc>
      </w:tr>
      <w:tr>
        <w:trPr>
          <w:trHeight w:val="390"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center"/>
              <w:rPr>
                <w:rFonts w:ascii="Times New Roman" w:hAnsi="Times New Roman" w:cs="Times New Roman" w:eastAsia="Times New Roman" w:hint="default"/>
                <w:sz w:val="18"/>
                <w:szCs w:val="18"/>
              </w:rPr>
            </w:pPr>
            <w:r>
              <w:rPr>
                <w:rFonts w:ascii="Times New Roman"/>
                <w:sz w:val="18"/>
              </w:rPr>
              <w:t>--</w:t>
            </w:r>
          </w:p>
        </w:tc>
        <w:tc>
          <w:tcPr>
            <w:tcW w:w="23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2,454,232,392.78</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82.68%</w:t>
            </w:r>
            <w:r>
              <w:rPr>
                <w:rFonts w:ascii="Times New Roman"/>
                <w:sz w:val="18"/>
              </w:rPr>
            </w:r>
          </w:p>
        </w:tc>
      </w:tr>
    </w:tbl>
    <w:p>
      <w:pPr>
        <w:pStyle w:val="BodyText"/>
        <w:spacing w:line="240" w:lineRule="auto" w:before="45"/>
        <w:ind w:right="1105"/>
        <w:jc w:val="left"/>
      </w:pPr>
      <w:r>
        <w:rPr/>
        <w:t>主要客户其他情况说明</w:t>
      </w:r>
    </w:p>
    <w:p>
      <w:pPr>
        <w:pStyle w:val="BodyText"/>
        <w:spacing w:line="333" w:lineRule="auto" w:before="124"/>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公司主要供应商情况</w:t>
      </w:r>
    </w:p>
    <w:p>
      <w:pPr>
        <w:spacing w:line="240" w:lineRule="auto" w:before="0"/>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4258"/>
        <w:gridCol w:w="5324"/>
      </w:tblGrid>
      <w:tr>
        <w:trPr>
          <w:trHeight w:val="406"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377,059,253.93</w:t>
            </w:r>
          </w:p>
        </w:tc>
      </w:tr>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w w:val="95"/>
                <w:sz w:val="18"/>
              </w:rPr>
              <w:t>34.58%</w:t>
            </w:r>
            <w:r>
              <w:rPr>
                <w:rFonts w:ascii="Times New Roman"/>
                <w:sz w:val="18"/>
              </w:rPr>
            </w:r>
          </w:p>
        </w:tc>
      </w:tr>
      <w:tr>
        <w:trPr>
          <w:trHeight w:val="706"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85"/>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2.47%</w:t>
            </w:r>
          </w:p>
        </w:tc>
      </w:tr>
    </w:tbl>
    <w:p>
      <w:pPr>
        <w:pStyle w:val="BodyText"/>
        <w:spacing w:line="240" w:lineRule="auto" w:before="59"/>
        <w:ind w:right="1105"/>
        <w:jc w:val="left"/>
      </w:pPr>
      <w:r>
        <w:rPr/>
        <w:t>公司前</w:t>
      </w:r>
      <w:r>
        <w:rPr>
          <w:spacing w:val="-45"/>
        </w:rPr>
        <w:t> </w:t>
      </w:r>
      <w:r>
        <w:rPr>
          <w:rFonts w:ascii="Times New Roman" w:hAnsi="Times New Roman" w:cs="Times New Roman" w:eastAsia="Times New Roman" w:hint="default"/>
        </w:rPr>
        <w:t>5 </w:t>
      </w:r>
      <w:r>
        <w:rPr/>
        <w:t>名供应商资料</w:t>
      </w: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916"/>
        <w:gridCol w:w="3192"/>
        <w:gridCol w:w="2313"/>
        <w:gridCol w:w="3154"/>
      </w:tblGrid>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6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6"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1</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179,358,988.06</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16.45%</w:t>
            </w:r>
            <w:r>
              <w:rPr>
                <w:rFonts w:ascii="Times New Roman"/>
                <w:sz w:val="18"/>
              </w:rPr>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2</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64,980,530.98</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5.96%</w:t>
            </w:r>
            <w:r>
              <w:rPr>
                <w:rFonts w:ascii="Times New Roman"/>
                <w:sz w:val="18"/>
              </w:rPr>
            </w:r>
          </w:p>
        </w:tc>
      </w:tr>
      <w:tr>
        <w:trPr>
          <w:trHeight w:val="390"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3</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61,520,467.76</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5.64%</w:t>
            </w:r>
            <w:r>
              <w:rPr>
                <w:rFonts w:ascii="Times New Roman"/>
                <w:sz w:val="18"/>
              </w:rPr>
            </w:r>
          </w:p>
        </w:tc>
      </w:tr>
      <w:tr>
        <w:trPr>
          <w:trHeight w:val="406"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4</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44,276,116.69</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4.06%</w:t>
            </w:r>
            <w:r>
              <w:rPr>
                <w:rFonts w:ascii="Times New Roman"/>
                <w:sz w:val="18"/>
              </w:rPr>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5</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26,923,150.44</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2.47%</w:t>
            </w:r>
            <w:r>
              <w:rPr>
                <w:rFonts w:ascii="Times New Roman"/>
                <w:sz w:val="18"/>
              </w:rPr>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23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377,059,253.93</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34.58%</w:t>
            </w:r>
            <w:r>
              <w:rPr>
                <w:rFonts w:ascii="Times New Roman"/>
                <w:sz w:val="18"/>
              </w:rPr>
            </w:r>
          </w:p>
        </w:tc>
      </w:tr>
    </w:tbl>
    <w:p>
      <w:pPr>
        <w:pStyle w:val="BodyText"/>
        <w:spacing w:line="240" w:lineRule="auto" w:before="44"/>
        <w:ind w:right="1105"/>
        <w:jc w:val="left"/>
      </w:pPr>
      <w:r>
        <w:rPr/>
        <w:t>主要供应商其他情况说明</w:t>
      </w:r>
    </w:p>
    <w:p>
      <w:pPr>
        <w:pStyle w:val="BodyText"/>
        <w:spacing w:line="240" w:lineRule="auto" w:before="125"/>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1105"/>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637"/>
        <w:gridCol w:w="1637"/>
        <w:gridCol w:w="1457"/>
        <w:gridCol w:w="2929"/>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0"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58" w:hRule="exact"/>
        </w:trPr>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c>
          <w:tcPr>
            <w:tcW w:w="1637" w:type="dxa"/>
            <w:vMerge w:val="restart"/>
            <w:tcBorders>
              <w:top w:val="single" w:sz="6" w:space="0" w:color="000000"/>
              <w:left w:val="single" w:sz="12" w:space="0" w:color="D2D2D2"/>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203,551,629.43</w:t>
            </w:r>
          </w:p>
        </w:tc>
        <w:tc>
          <w:tcPr>
            <w:tcW w:w="163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159,667,451.70</w:t>
            </w:r>
          </w:p>
        </w:tc>
        <w:tc>
          <w:tcPr>
            <w:tcW w:w="145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27.48%</w:t>
            </w:r>
          </w:p>
        </w:tc>
        <w:tc>
          <w:tcPr>
            <w:tcW w:w="2929" w:type="dxa"/>
            <w:vMerge w:val="restart"/>
            <w:tcBorders>
              <w:top w:val="single" w:sz="6" w:space="0" w:color="000000"/>
              <w:left w:val="single" w:sz="6" w:space="0" w:color="000000"/>
              <w:right w:val="single" w:sz="6" w:space="0" w:color="000000"/>
            </w:tcBorders>
          </w:tcPr>
          <w:p>
            <w:pPr>
              <w:pStyle w:val="TableParagraph"/>
              <w:spacing w:line="307" w:lineRule="auto" w:before="44"/>
              <w:ind w:left="30" w:right="181"/>
              <w:jc w:val="left"/>
              <w:rPr>
                <w:rFonts w:ascii="宋体" w:hAnsi="宋体" w:cs="宋体" w:eastAsia="宋体" w:hint="default"/>
                <w:sz w:val="18"/>
                <w:szCs w:val="18"/>
              </w:rPr>
            </w:pPr>
            <w:r>
              <w:rPr>
                <w:rFonts w:ascii="宋体" w:hAnsi="宋体" w:cs="宋体" w:eastAsia="宋体" w:hint="default"/>
                <w:sz w:val="18"/>
                <w:szCs w:val="18"/>
              </w:rPr>
              <w:t>主要是公司加大市场业务拓展力度 所致</w:t>
            </w:r>
          </w:p>
        </w:tc>
      </w:tr>
      <w:tr>
        <w:trPr>
          <w:trHeight w:val="391" w:hRule="exact"/>
        </w:trPr>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2" w:space="0" w:color="D2D2D2"/>
              <w:right w:val="single" w:sz="6" w:space="0" w:color="000000"/>
            </w:tcBorders>
          </w:tcPr>
          <w:p>
            <w:pPr/>
          </w:p>
        </w:tc>
        <w:tc>
          <w:tcPr>
            <w:tcW w:w="1637" w:type="dxa"/>
            <w:vMerge/>
            <w:tcBorders>
              <w:left w:val="single" w:sz="6" w:space="0" w:color="000000"/>
              <w:right w:val="single" w:sz="6" w:space="0" w:color="000000"/>
            </w:tcBorders>
          </w:tcPr>
          <w:p>
            <w:pPr/>
          </w:p>
        </w:tc>
        <w:tc>
          <w:tcPr>
            <w:tcW w:w="1457" w:type="dxa"/>
            <w:vMerge/>
            <w:tcBorders>
              <w:left w:val="single" w:sz="6" w:space="0" w:color="000000"/>
              <w:right w:val="single" w:sz="6" w:space="0" w:color="000000"/>
            </w:tcBorders>
          </w:tcPr>
          <w:p>
            <w:pPr/>
          </w:p>
        </w:tc>
        <w:tc>
          <w:tcPr>
            <w:tcW w:w="2929" w:type="dxa"/>
            <w:vMerge/>
            <w:tcBorders>
              <w:left w:val="single" w:sz="6" w:space="0" w:color="000000"/>
              <w:right w:val="single" w:sz="6" w:space="0" w:color="000000"/>
            </w:tcBorders>
          </w:tcPr>
          <w:p>
            <w:pPr/>
          </w:p>
        </w:tc>
      </w:tr>
      <w:tr>
        <w:trPr>
          <w:trHeight w:val="172" w:hRule="exact"/>
        </w:trPr>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c>
          <w:tcPr>
            <w:tcW w:w="1637" w:type="dxa"/>
            <w:vMerge/>
            <w:tcBorders>
              <w:left w:val="single" w:sz="12" w:space="0" w:color="D2D2D2"/>
              <w:bottom w:val="single" w:sz="6" w:space="0" w:color="000000"/>
              <w:right w:val="single" w:sz="6" w:space="0" w:color="000000"/>
            </w:tcBorders>
          </w:tcPr>
          <w:p>
            <w:pPr/>
          </w:p>
        </w:tc>
        <w:tc>
          <w:tcPr>
            <w:tcW w:w="1637" w:type="dxa"/>
            <w:vMerge/>
            <w:tcBorders>
              <w:left w:val="single" w:sz="6" w:space="0" w:color="000000"/>
              <w:bottom w:val="single" w:sz="6" w:space="0" w:color="000000"/>
              <w:right w:val="single" w:sz="6" w:space="0" w:color="000000"/>
            </w:tcBorders>
          </w:tcPr>
          <w:p>
            <w:pPr/>
          </w:p>
        </w:tc>
        <w:tc>
          <w:tcPr>
            <w:tcW w:w="1457" w:type="dxa"/>
            <w:vMerge/>
            <w:tcBorders>
              <w:left w:val="single" w:sz="6" w:space="0" w:color="000000"/>
              <w:bottom w:val="single" w:sz="6" w:space="0" w:color="000000"/>
              <w:right w:val="single" w:sz="6" w:space="0" w:color="000000"/>
            </w:tcBorders>
          </w:tcPr>
          <w:p>
            <w:pPr/>
          </w:p>
        </w:tc>
        <w:tc>
          <w:tcPr>
            <w:tcW w:w="2929" w:type="dxa"/>
            <w:vMerge/>
            <w:tcBorders>
              <w:left w:val="single" w:sz="6" w:space="0" w:color="000000"/>
              <w:bottom w:val="single" w:sz="6" w:space="0" w:color="000000"/>
              <w:right w:val="single" w:sz="6" w:space="0" w:color="000000"/>
            </w:tcBorders>
          </w:tcPr>
          <w:p>
            <w:pPr/>
          </w:p>
        </w:tc>
      </w:tr>
      <w:tr>
        <w:trPr>
          <w:trHeight w:val="158" w:hRule="exact"/>
        </w:trPr>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c>
          <w:tcPr>
            <w:tcW w:w="1637" w:type="dxa"/>
            <w:vMerge w:val="restart"/>
            <w:tcBorders>
              <w:top w:val="single" w:sz="6" w:space="0" w:color="000000"/>
              <w:left w:val="single" w:sz="18" w:space="0" w:color="D2D2D2"/>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325,282,208.25</w:t>
            </w:r>
          </w:p>
        </w:tc>
        <w:tc>
          <w:tcPr>
            <w:tcW w:w="163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241,422,261.89</w:t>
            </w:r>
          </w:p>
        </w:tc>
        <w:tc>
          <w:tcPr>
            <w:tcW w:w="145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34.74%</w:t>
            </w:r>
          </w:p>
        </w:tc>
        <w:tc>
          <w:tcPr>
            <w:tcW w:w="2929" w:type="dxa"/>
            <w:vMerge w:val="restart"/>
            <w:tcBorders>
              <w:top w:val="single" w:sz="6" w:space="0" w:color="000000"/>
              <w:left w:val="single" w:sz="6" w:space="0" w:color="000000"/>
              <w:right w:val="single" w:sz="6" w:space="0" w:color="000000"/>
            </w:tcBorders>
          </w:tcPr>
          <w:p>
            <w:pPr>
              <w:pStyle w:val="TableParagraph"/>
              <w:spacing w:line="321" w:lineRule="auto" w:before="30"/>
              <w:ind w:left="30" w:right="181"/>
              <w:jc w:val="left"/>
              <w:rPr>
                <w:rFonts w:ascii="宋体" w:hAnsi="宋体" w:cs="宋体" w:eastAsia="宋体" w:hint="default"/>
                <w:sz w:val="18"/>
                <w:szCs w:val="18"/>
              </w:rPr>
            </w:pPr>
            <w:r>
              <w:rPr>
                <w:rFonts w:ascii="宋体" w:hAnsi="宋体" w:cs="宋体" w:eastAsia="宋体" w:hint="default"/>
                <w:sz w:val="18"/>
                <w:szCs w:val="18"/>
              </w:rPr>
              <w:t>主要是股份支付分摊数和中介机构 服务费增加所致</w:t>
            </w:r>
          </w:p>
        </w:tc>
      </w:tr>
      <w:tr>
        <w:trPr>
          <w:trHeight w:val="390" w:hRule="exact"/>
        </w:trPr>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8" w:space="0" w:color="D2D2D2"/>
              <w:right w:val="single" w:sz="6" w:space="0" w:color="000000"/>
            </w:tcBorders>
          </w:tcPr>
          <w:p>
            <w:pPr/>
          </w:p>
        </w:tc>
        <w:tc>
          <w:tcPr>
            <w:tcW w:w="1637" w:type="dxa"/>
            <w:vMerge/>
            <w:tcBorders>
              <w:left w:val="single" w:sz="6" w:space="0" w:color="000000"/>
              <w:right w:val="single" w:sz="6" w:space="0" w:color="000000"/>
            </w:tcBorders>
          </w:tcPr>
          <w:p>
            <w:pPr/>
          </w:p>
        </w:tc>
        <w:tc>
          <w:tcPr>
            <w:tcW w:w="1457" w:type="dxa"/>
            <w:vMerge/>
            <w:tcBorders>
              <w:left w:val="single" w:sz="6" w:space="0" w:color="000000"/>
              <w:right w:val="single" w:sz="6" w:space="0" w:color="000000"/>
            </w:tcBorders>
          </w:tcPr>
          <w:p>
            <w:pPr/>
          </w:p>
        </w:tc>
        <w:tc>
          <w:tcPr>
            <w:tcW w:w="2929" w:type="dxa"/>
            <w:vMerge/>
            <w:tcBorders>
              <w:left w:val="single" w:sz="6" w:space="0" w:color="000000"/>
              <w:right w:val="single" w:sz="6" w:space="0" w:color="000000"/>
            </w:tcBorders>
          </w:tcPr>
          <w:p>
            <w:pPr/>
          </w:p>
        </w:tc>
      </w:tr>
      <w:tr>
        <w:trPr>
          <w:trHeight w:val="157" w:hRule="exact"/>
        </w:trPr>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c>
          <w:tcPr>
            <w:tcW w:w="1637" w:type="dxa"/>
            <w:vMerge/>
            <w:tcBorders>
              <w:left w:val="single" w:sz="18" w:space="0" w:color="D2D2D2"/>
              <w:bottom w:val="single" w:sz="6" w:space="0" w:color="000000"/>
              <w:right w:val="single" w:sz="6" w:space="0" w:color="000000"/>
            </w:tcBorders>
          </w:tcPr>
          <w:p>
            <w:pPr/>
          </w:p>
        </w:tc>
        <w:tc>
          <w:tcPr>
            <w:tcW w:w="1637" w:type="dxa"/>
            <w:vMerge/>
            <w:tcBorders>
              <w:left w:val="single" w:sz="6" w:space="0" w:color="000000"/>
              <w:bottom w:val="single" w:sz="6" w:space="0" w:color="000000"/>
              <w:right w:val="single" w:sz="6" w:space="0" w:color="000000"/>
            </w:tcBorders>
          </w:tcPr>
          <w:p>
            <w:pPr/>
          </w:p>
        </w:tc>
        <w:tc>
          <w:tcPr>
            <w:tcW w:w="1457" w:type="dxa"/>
            <w:vMerge/>
            <w:tcBorders>
              <w:left w:val="single" w:sz="6" w:space="0" w:color="000000"/>
              <w:bottom w:val="single" w:sz="6" w:space="0" w:color="000000"/>
              <w:right w:val="single" w:sz="6" w:space="0" w:color="000000"/>
            </w:tcBorders>
          </w:tcPr>
          <w:p>
            <w:pPr/>
          </w:p>
        </w:tc>
        <w:tc>
          <w:tcPr>
            <w:tcW w:w="2929" w:type="dxa"/>
            <w:vMerge/>
            <w:tcBorders>
              <w:left w:val="single" w:sz="6" w:space="0" w:color="000000"/>
              <w:bottom w:val="single" w:sz="6" w:space="0" w:color="000000"/>
              <w:right w:val="single" w:sz="6" w:space="0" w:color="000000"/>
            </w:tcBorders>
          </w:tcPr>
          <w:p>
            <w:pP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480" w:right="0"/>
              <w:jc w:val="left"/>
              <w:rPr>
                <w:rFonts w:ascii="Times New Roman" w:hAnsi="Times New Roman" w:cs="Times New Roman" w:eastAsia="Times New Roman" w:hint="default"/>
                <w:sz w:val="18"/>
                <w:szCs w:val="18"/>
              </w:rPr>
            </w:pPr>
            <w:r>
              <w:rPr>
                <w:rFonts w:ascii="Times New Roman"/>
                <w:sz w:val="18"/>
              </w:rPr>
              <w:t>-47,024,125.19</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6,475,256.55</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-826.21%</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主要是报告期利息收入增加所致</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450" w:right="0"/>
              <w:jc w:val="left"/>
              <w:rPr>
                <w:rFonts w:ascii="Times New Roman" w:hAnsi="Times New Roman" w:cs="Times New Roman" w:eastAsia="Times New Roman" w:hint="default"/>
                <w:sz w:val="18"/>
                <w:szCs w:val="18"/>
              </w:rPr>
            </w:pPr>
            <w:r>
              <w:rPr>
                <w:rFonts w:ascii="Times New Roman"/>
                <w:sz w:val="18"/>
              </w:rPr>
              <w:t>309,087,428.03</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176,391,848.81</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75.23%</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主要是加大创新领域投入所致</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0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spacing w:val="-2"/>
        </w:rPr>
        <w:t>技术应用引领能力一直是朗新集团的核心能力之一，因此集团每年度持续保持较大力度的研发投入。本年度朗新集团在新技</w:t>
      </w:r>
      <w:r>
        <w:rPr>
          <w:spacing w:val="-72"/>
        </w:rPr>
        <w:t> </w:t>
      </w:r>
      <w:r>
        <w:rPr>
          <w:spacing w:val="-72"/>
        </w:rPr>
      </w:r>
      <w:r>
        <w:rPr>
          <w:spacing w:val="-2"/>
        </w:rPr>
        <w:t>术应用研究研发、技术平台更新升级、开发平台更新升级、公用事业软件产品、模块及组件研发上继续持续投入，同时为了</w:t>
      </w:r>
      <w:r>
        <w:rPr>
          <w:spacing w:val="-57"/>
        </w:rPr>
        <w:t> </w:t>
      </w:r>
      <w:r>
        <w:rPr>
          <w:spacing w:val="-57"/>
        </w:rPr>
      </w:r>
      <w:r>
        <w:rPr/>
        <w:t>支撑创新业务的发展，集团本年度在云计算、大数据、物联网、人工智能等新技术应用、平台、工具方面加大了研发投入， 对于创新业务涉及的多个行业应用平台、产品进行了研发。整体研发进展符合预期，能够确保集团保持行业技术引领地位， 同时将极大地助力创新业务的快速拓展。</w:t>
      </w:r>
    </w:p>
    <w:p>
      <w:pPr>
        <w:pStyle w:val="BodyText"/>
        <w:spacing w:line="240" w:lineRule="auto" w:before="67"/>
        <w:ind w:right="1105"/>
        <w:jc w:val="left"/>
      </w:pPr>
      <w:r>
        <w:rPr/>
        <w:t>近三年公司研发投入金额及占营业收入的比例</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2,272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1,549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1,209</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60.38%</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50.10%</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51.12%</w:t>
            </w:r>
            <w:r>
              <w:rPr>
                <w:rFonts w:ascii="Times New Roman"/>
                <w:sz w:val="18"/>
              </w:rPr>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325,585,237.58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187,320,276.45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105,375,538.36</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10.97%</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7.01%</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8.91%</w:t>
            </w:r>
            <w:r>
              <w:rPr>
                <w:rFonts w:ascii="Times New Roman"/>
                <w:sz w:val="18"/>
              </w:rPr>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16,497,809.55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10,928,427.64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433,470.94</w:t>
            </w:r>
          </w:p>
        </w:tc>
      </w:tr>
      <w:tr>
        <w:trPr>
          <w:trHeight w:val="72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88"/>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5.07%</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5.83%</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0.41%</w:t>
            </w:r>
            <w:r>
              <w:rPr>
                <w:rFonts w:ascii="Times New Roman"/>
                <w:sz w:val="18"/>
              </w:rPr>
            </w:r>
          </w:p>
        </w:tc>
      </w:tr>
      <w:tr>
        <w:trPr>
          <w:trHeight w:val="7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88"/>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1.53%</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3.65%</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0.28%</w:t>
            </w:r>
            <w:r>
              <w:rPr>
                <w:rFonts w:ascii="Times New Roman"/>
                <w:sz w:val="18"/>
              </w:rPr>
            </w:r>
          </w:p>
        </w:tc>
      </w:tr>
    </w:tbl>
    <w:p>
      <w:pPr>
        <w:pStyle w:val="BodyText"/>
        <w:spacing w:line="240" w:lineRule="auto" w:before="45"/>
        <w:ind w:right="1105"/>
        <w:jc w:val="left"/>
      </w:pPr>
      <w:r>
        <w:rPr/>
        <w:t>研发投入总额占营业收入的比重较上年发生显著变化的原因</w:t>
      </w:r>
    </w:p>
    <w:p>
      <w:pPr>
        <w:pStyle w:val="BodyText"/>
        <w:spacing w:line="319" w:lineRule="auto" w:before="124"/>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研发投入资本化率大幅变动的原因及其合理性说明</w:t>
      </w:r>
    </w:p>
    <w:p>
      <w:pPr>
        <w:spacing w:after="0" w:line="319" w:lineRule="auto"/>
        <w:jc w:val="left"/>
        <w:sectPr>
          <w:pgSz w:w="11910" w:h="16850"/>
          <w:pgMar w:header="731" w:footer="981" w:top="1040" w:bottom="1180" w:left="1000" w:right="0"/>
        </w:sectPr>
      </w:pPr>
    </w:p>
    <w:p>
      <w:pPr>
        <w:pStyle w:val="BodyText"/>
        <w:spacing w:line="240" w:lineRule="auto" w:before="80"/>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pStyle w:val="BodyText"/>
        <w:spacing w:line="240" w:lineRule="auto" w:before="96"/>
        <w:ind w:right="-19"/>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BodyText"/>
        <w:spacing w:line="240" w:lineRule="auto"/>
        <w:ind w:left="-21" w:right="0"/>
        <w:jc w:val="left"/>
      </w:pPr>
      <w:r>
        <w:rPr/>
        <w:t>单位：元</w:t>
      </w:r>
    </w:p>
    <w:p>
      <w:pPr>
        <w:spacing w:after="0" w:line="240" w:lineRule="auto"/>
        <w:jc w:val="left"/>
        <w:sectPr>
          <w:type w:val="continuous"/>
          <w:pgSz w:w="11910" w:h="16850"/>
          <w:pgMar w:top="1040" w:bottom="1180" w:left="1000" w:right="0"/>
          <w:cols w:num="2" w:equalWidth="0">
            <w:col w:w="9058" w:space="40"/>
            <w:col w:w="1812"/>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70"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实施进度</w:t>
            </w:r>
          </w:p>
        </w:tc>
      </w:tr>
    </w:tbl>
    <w:p>
      <w:pPr>
        <w:spacing w:after="0" w:line="240" w:lineRule="auto"/>
        <w:jc w:val="center"/>
        <w:rPr>
          <w:rFonts w:ascii="宋体" w:hAnsi="宋体" w:cs="宋体" w:eastAsia="宋体"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2267"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瀚云工业互联网平台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75" w:right="0"/>
              <w:jc w:val="left"/>
              <w:rPr>
                <w:rFonts w:ascii="Times New Roman" w:hAnsi="Times New Roman" w:cs="Times New Roman" w:eastAsia="Times New Roman" w:hint="default"/>
                <w:sz w:val="18"/>
                <w:szCs w:val="18"/>
              </w:rPr>
            </w:pPr>
            <w:r>
              <w:rPr>
                <w:rFonts w:ascii="Times New Roman"/>
                <w:sz w:val="18"/>
              </w:rPr>
              <w:t>25,662,064.02</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4" w:right="0" w:hanging="15"/>
              <w:jc w:val="center"/>
              <w:rPr>
                <w:rFonts w:ascii="宋体" w:hAnsi="宋体" w:cs="宋体" w:eastAsia="宋体" w:hint="default"/>
                <w:sz w:val="18"/>
                <w:szCs w:val="18"/>
              </w:rPr>
            </w:pPr>
            <w:r>
              <w:rPr>
                <w:rFonts w:ascii="宋体" w:hAnsi="宋体" w:cs="宋体" w:eastAsia="宋体" w:hint="default"/>
                <w:sz w:val="18"/>
                <w:szCs w:val="18"/>
              </w:rPr>
              <w:t>瀚云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HanClouds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工业互联网平 台为用户提供立体的全方位 服务，包括基于平台的工业</w:t>
            </w:r>
          </w:p>
          <w:p>
            <w:pPr>
              <w:pStyle w:val="TableParagraph"/>
              <w:spacing w:line="304"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APP</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体系，助力工业加速成长 的多种套件，以及围绕平台而 搭建的运维体系及安全防护 体系。</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99%</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3,107,020,517.62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2,821,691,225.88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10.11%</w:t>
            </w:r>
            <w:r>
              <w:rPr>
                <w:rFonts w:ascii="Times New Roman"/>
                <w:sz w:val="18"/>
              </w:rPr>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2,547,187,011.93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2,801,669,508.13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-9.08%</w:t>
            </w:r>
          </w:p>
        </w:tc>
      </w:tr>
      <w:tr>
        <w:trPr>
          <w:trHeight w:val="72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8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559,833,505.69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20,021,717.75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2,696.13%</w:t>
            </w:r>
          </w:p>
        </w:tc>
      </w:tr>
      <w:tr>
        <w:trPr>
          <w:trHeight w:val="39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1,223,946,794.68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3,967,727,915.03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-69.15%</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840,776,866.04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4,301,621,056.00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-80.45%</w:t>
            </w:r>
          </w:p>
        </w:tc>
      </w:tr>
      <w:tr>
        <w:trPr>
          <w:trHeight w:val="72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8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383,169,928.64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-333,893,140.97</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214.76%</w:t>
            </w:r>
            <w:r>
              <w:rPr>
                <w:rFonts w:ascii="Times New Roman"/>
                <w:sz w:val="18"/>
              </w:rPr>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55,968,854.67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1,167,403,573.00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-95.21%</w:t>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448,941,902.98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352,974,123.23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27.19%</w:t>
            </w:r>
            <w:r>
              <w:rPr>
                <w:rFonts w:ascii="Times New Roman"/>
                <w:sz w:val="18"/>
              </w:rPr>
            </w:r>
          </w:p>
        </w:tc>
      </w:tr>
      <w:tr>
        <w:trPr>
          <w:trHeight w:val="72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18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-392,973,048.31</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814,429,449.77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-148.25%</w:t>
            </w:r>
            <w:r>
              <w:rPr>
                <w:rFonts w:ascii="Times New Roman"/>
                <w:sz w:val="18"/>
              </w:rPr>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550,187,882.41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501,075,366.06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9.80%</w:t>
            </w:r>
            <w:r>
              <w:rPr>
                <w:rFonts w:ascii="Times New Roman"/>
                <w:sz w:val="18"/>
              </w:rPr>
            </w:r>
          </w:p>
        </w:tc>
      </w:tr>
    </w:tbl>
    <w:p>
      <w:pPr>
        <w:pStyle w:val="BodyText"/>
        <w:spacing w:line="240" w:lineRule="auto" w:before="45"/>
        <w:ind w:right="1105"/>
        <w:jc w:val="left"/>
      </w:pPr>
      <w:r>
        <w:rPr/>
        <w:t>相关数据同比发生重大变动的主要影响因素说明</w:t>
      </w:r>
    </w:p>
    <w:p>
      <w:pPr>
        <w:pStyle w:val="BodyText"/>
        <w:spacing w:line="312" w:lineRule="auto" w:before="139"/>
        <w:ind w:right="11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rFonts w:ascii="Times New Roman" w:hAnsi="Times New Roman" w:cs="Times New Roman" w:eastAsia="Times New Roman" w:hint="default"/>
        </w:rPr>
        <w:t>(1)</w:t>
      </w:r>
      <w:r>
        <w:rPr/>
        <w:t>经营活动产生的现金流量净额较上期增加</w:t>
      </w:r>
      <w:r>
        <w:rPr>
          <w:rFonts w:ascii="Times New Roman" w:hAnsi="Times New Roman" w:cs="Times New Roman" w:eastAsia="Times New Roman" w:hint="default"/>
        </w:rPr>
        <w:t>2,696.13%</w:t>
      </w:r>
      <w:r>
        <w:rPr/>
        <w:t>，主要是公司加快回款缩短回款周期、有效控制采购成本及提高存货</w:t>
      </w:r>
      <w:r>
        <w:rPr>
          <w:spacing w:val="-86"/>
        </w:rPr>
        <w:t> </w:t>
      </w:r>
      <w:r>
        <w:rPr/>
        <w:t>周转率所致。</w:t>
      </w:r>
    </w:p>
    <w:p>
      <w:pPr>
        <w:pStyle w:val="BodyText"/>
        <w:spacing w:line="300" w:lineRule="auto" w:before="41"/>
        <w:ind w:right="2244"/>
        <w:jc w:val="left"/>
      </w:pPr>
      <w:r>
        <w:rPr>
          <w:rFonts w:ascii="Times New Roman" w:hAnsi="Times New Roman" w:cs="Times New Roman" w:eastAsia="Times New Roman" w:hint="default"/>
        </w:rPr>
        <w:t>(2)</w:t>
      </w:r>
      <w:r>
        <w:rPr/>
        <w:t>投资活动现金流入小计较上期减少</w:t>
      </w:r>
      <w:r>
        <w:rPr>
          <w:rFonts w:ascii="Times New Roman" w:hAnsi="Times New Roman" w:cs="Times New Roman" w:eastAsia="Times New Roman" w:hint="default"/>
        </w:rPr>
        <w:t>69.15%</w:t>
      </w:r>
      <w:r>
        <w:rPr/>
        <w:t>，主要是本报告期减少理财投资支出所致。</w:t>
      </w:r>
      <w:r>
        <w:rPr>
          <w:spacing w:val="-87"/>
        </w:rPr>
        <w:t> </w:t>
      </w:r>
      <w:r>
        <w:rPr>
          <w:rFonts w:ascii="Times New Roman" w:hAnsi="Times New Roman" w:cs="Times New Roman" w:eastAsia="Times New Roman" w:hint="default"/>
        </w:rPr>
        <w:t>(3)</w:t>
      </w:r>
      <w:r>
        <w:rPr/>
        <w:t>投资活动现金流出小计较上期减少</w:t>
      </w:r>
      <w:r>
        <w:rPr>
          <w:rFonts w:ascii="Times New Roman" w:hAnsi="Times New Roman" w:cs="Times New Roman" w:eastAsia="Times New Roman" w:hint="default"/>
        </w:rPr>
        <w:t>80.45%</w:t>
      </w:r>
      <w:r>
        <w:rPr/>
        <w:t>，主要是本报告期减少理财投资支出所致。</w:t>
      </w:r>
      <w:r>
        <w:rPr>
          <w:spacing w:val="-87"/>
        </w:rPr>
        <w:t> </w:t>
      </w:r>
      <w:r>
        <w:rPr>
          <w:rFonts w:ascii="Times New Roman" w:hAnsi="Times New Roman" w:cs="Times New Roman" w:eastAsia="Times New Roman" w:hint="default"/>
        </w:rPr>
        <w:t>(4)</w:t>
      </w:r>
      <w:r>
        <w:rPr/>
        <w:t>投资活动产生的现金流量净额较上期增加</w:t>
      </w:r>
      <w:r>
        <w:rPr>
          <w:rFonts w:ascii="Times New Roman" w:hAnsi="Times New Roman" w:cs="Times New Roman" w:eastAsia="Times New Roman" w:hint="default"/>
        </w:rPr>
        <w:t>214.76%</w:t>
      </w:r>
      <w:r>
        <w:rPr/>
        <w:t>，主要是易视腾科技收回理财产品所致。</w:t>
      </w:r>
      <w:r>
        <w:rPr>
          <w:spacing w:val="-88"/>
        </w:rPr>
        <w:t> </w:t>
      </w:r>
      <w:r>
        <w:rPr>
          <w:rFonts w:ascii="Times New Roman" w:hAnsi="Times New Roman" w:cs="Times New Roman" w:eastAsia="Times New Roman" w:hint="default"/>
        </w:rPr>
        <w:t>(5)</w:t>
      </w:r>
      <w:r>
        <w:rPr/>
        <w:t>筹资活动现金流入小计较上期减少</w:t>
      </w:r>
      <w:r>
        <w:rPr>
          <w:rFonts w:ascii="Times New Roman" w:hAnsi="Times New Roman" w:cs="Times New Roman" w:eastAsia="Times New Roman" w:hint="default"/>
        </w:rPr>
        <w:t>95.21%</w:t>
      </w:r>
      <w:r>
        <w:rPr/>
        <w:t>，主要是易视腾科技上年同期收到外部投资款和增加借款所致。</w:t>
      </w:r>
      <w:r>
        <w:rPr>
          <w:spacing w:val="-83"/>
        </w:rPr>
        <w:t> </w:t>
      </w:r>
      <w:r>
        <w:rPr>
          <w:spacing w:val="-83"/>
        </w:rPr>
      </w:r>
      <w:r>
        <w:rPr>
          <w:rFonts w:ascii="Times New Roman" w:hAnsi="Times New Roman" w:cs="Times New Roman" w:eastAsia="Times New Roman" w:hint="default"/>
        </w:rPr>
        <w:t>(6)</w:t>
      </w:r>
      <w:r>
        <w:rPr/>
        <w:t>筹资活动现金流出小计较上期增加</w:t>
      </w:r>
      <w:r>
        <w:rPr>
          <w:rFonts w:ascii="Times New Roman" w:hAnsi="Times New Roman" w:cs="Times New Roman" w:eastAsia="Times New Roman" w:hint="default"/>
        </w:rPr>
        <w:t>27.19%</w:t>
      </w:r>
      <w:r>
        <w:rPr/>
        <w:t>，主要是易视腾科技偿还借款所致。</w:t>
      </w:r>
    </w:p>
    <w:p>
      <w:pPr>
        <w:spacing w:line="240" w:lineRule="auto" w:before="6"/>
        <w:rPr>
          <w:rFonts w:ascii="宋体" w:hAnsi="宋体" w:cs="宋体" w:eastAsia="宋体" w:hint="default"/>
          <w:sz w:val="26"/>
          <w:szCs w:val="26"/>
        </w:rPr>
      </w:pPr>
    </w:p>
    <w:p>
      <w:pPr>
        <w:pStyle w:val="BodyText"/>
        <w:spacing w:line="240" w:lineRule="auto"/>
        <w:ind w:right="1105"/>
        <w:jc w:val="left"/>
      </w:pPr>
      <w:r>
        <w:rPr/>
        <w:t>报告期内公司经营活动产生的现金净流量与本年度净利润存在重大差异的原因说明</w:t>
      </w:r>
    </w:p>
    <w:p>
      <w:pPr>
        <w:pStyle w:val="BodyText"/>
        <w:spacing w:line="314" w:lineRule="auto" w:before="140"/>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报告期内公司经营活动产生的现金净流量为</w:t>
      </w:r>
      <w:r>
        <w:rPr>
          <w:rFonts w:ascii="Times New Roman" w:hAnsi="Times New Roman" w:cs="Times New Roman" w:eastAsia="Times New Roman" w:hint="default"/>
        </w:rPr>
        <w:t>55,983.35</w:t>
      </w:r>
      <w:r>
        <w:rPr/>
        <w:t>万元，本年度净利润</w:t>
      </w:r>
      <w:r>
        <w:rPr>
          <w:rFonts w:ascii="Times New Roman" w:hAnsi="Times New Roman" w:cs="Times New Roman" w:eastAsia="Times New Roman" w:hint="default"/>
        </w:rPr>
        <w:t>107,971.78</w:t>
      </w:r>
      <w:r>
        <w:rPr/>
        <w:t>万元，存在重大差异的主要原因是，公</w:t>
      </w:r>
      <w:r>
        <w:rPr>
          <w:spacing w:val="-85"/>
        </w:rPr>
        <w:t> </w:t>
      </w:r>
      <w:r>
        <w:rPr>
          <w:spacing w:val="-1"/>
        </w:rPr>
        <w:t>司在本次重大资产重组之前持有被购买方邦道科技</w:t>
      </w:r>
      <w:r>
        <w:rPr>
          <w:rFonts w:ascii="Times New Roman" w:hAnsi="Times New Roman" w:cs="Times New Roman" w:eastAsia="Times New Roman" w:hint="default"/>
          <w:spacing w:val="-1"/>
        </w:rPr>
        <w:t>40%</w:t>
      </w:r>
      <w:r>
        <w:rPr>
          <w:spacing w:val="-1"/>
        </w:rPr>
        <w:t>的股权，该股权在本次重组完成合并报表时应按照其在购买日的公允</w:t>
      </w:r>
      <w:r>
        <w:rPr>
          <w:spacing w:val="-75"/>
        </w:rPr>
        <w:t> </w:t>
      </w:r>
      <w:r>
        <w:rPr>
          <w:spacing w:val="-75"/>
        </w:rPr>
      </w:r>
      <w:r>
        <w:rPr/>
        <w:t>价值进行重新计量，将其公允价值</w:t>
      </w:r>
      <w:r>
        <w:rPr>
          <w:rFonts w:ascii="Times New Roman" w:hAnsi="Times New Roman" w:cs="Times New Roman" w:eastAsia="Times New Roman" w:hint="default"/>
        </w:rPr>
        <w:t>64,000</w:t>
      </w:r>
      <w:r>
        <w:rPr/>
        <w:t>万元与其账面价值</w:t>
      </w:r>
      <w:r>
        <w:rPr>
          <w:rFonts w:ascii="Times New Roman" w:hAnsi="Times New Roman" w:cs="Times New Roman" w:eastAsia="Times New Roman" w:hint="default"/>
        </w:rPr>
        <w:t>14,100</w:t>
      </w:r>
      <w:r>
        <w:rPr/>
        <w:t>万元之间的差额</w:t>
      </w:r>
      <w:r>
        <w:rPr>
          <w:rFonts w:ascii="Times New Roman" w:hAnsi="Times New Roman" w:cs="Times New Roman" w:eastAsia="Times New Roman" w:hint="default"/>
        </w:rPr>
        <w:t>49,900</w:t>
      </w:r>
      <w:r>
        <w:rPr/>
        <w:t>万元计入当期投资收益。</w:t>
      </w:r>
    </w:p>
    <w:p>
      <w:pPr>
        <w:spacing w:after="0" w:line="314"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1105"/>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4"/>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32"/>
        <w:gridCol w:w="1907"/>
        <w:gridCol w:w="1622"/>
        <w:gridCol w:w="2178"/>
        <w:gridCol w:w="2343"/>
      </w:tblGrid>
      <w:tr>
        <w:trPr>
          <w:trHeight w:val="390" w:hRule="exact"/>
        </w:trPr>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80"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0"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58" w:hRule="exact"/>
        </w:trPr>
        <w:tc>
          <w:tcPr>
            <w:tcW w:w="1532" w:type="dxa"/>
            <w:tcBorders>
              <w:top w:val="single" w:sz="6" w:space="0" w:color="000000"/>
              <w:left w:val="single" w:sz="6" w:space="0" w:color="000000"/>
              <w:bottom w:val="nil" w:sz="6" w:space="0" w:color="auto"/>
              <w:right w:val="single" w:sz="6" w:space="0" w:color="000000"/>
            </w:tcBorders>
            <w:shd w:val="clear" w:color="auto" w:fill="D2D2D2"/>
          </w:tcPr>
          <w:p>
            <w:pPr/>
          </w:p>
        </w:tc>
        <w:tc>
          <w:tcPr>
            <w:tcW w:w="1907" w:type="dxa"/>
            <w:vMerge w:val="restart"/>
            <w:tcBorders>
              <w:top w:val="single" w:sz="6" w:space="0" w:color="000000"/>
              <w:left w:val="single" w:sz="18" w:space="0" w:color="D2D2D2"/>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35" w:right="0"/>
              <w:jc w:val="left"/>
              <w:rPr>
                <w:rFonts w:ascii="Times New Roman" w:hAnsi="Times New Roman" w:cs="Times New Roman" w:eastAsia="Times New Roman" w:hint="default"/>
                <w:sz w:val="18"/>
                <w:szCs w:val="18"/>
              </w:rPr>
            </w:pPr>
            <w:r>
              <w:rPr>
                <w:rFonts w:ascii="Times New Roman"/>
                <w:sz w:val="18"/>
              </w:rPr>
              <w:t>534,373,461.94</w:t>
            </w:r>
          </w:p>
        </w:tc>
        <w:tc>
          <w:tcPr>
            <w:tcW w:w="162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47.09%</w:t>
            </w:r>
          </w:p>
        </w:tc>
        <w:tc>
          <w:tcPr>
            <w:tcW w:w="2178" w:type="dxa"/>
            <w:vMerge w:val="restart"/>
            <w:tcBorders>
              <w:top w:val="single" w:sz="6" w:space="0" w:color="000000"/>
              <w:left w:val="single" w:sz="6" w:space="0" w:color="000000"/>
              <w:right w:val="single" w:sz="6" w:space="0" w:color="000000"/>
            </w:tcBorders>
          </w:tcPr>
          <w:p>
            <w:pPr>
              <w:pStyle w:val="TableParagraph"/>
              <w:spacing w:line="336" w:lineRule="auto" w:before="44"/>
              <w:ind w:left="30" w:right="150"/>
              <w:jc w:val="left"/>
              <w:rPr>
                <w:rFonts w:ascii="宋体" w:hAnsi="宋体" w:cs="宋体" w:eastAsia="宋体" w:hint="default"/>
                <w:sz w:val="18"/>
                <w:szCs w:val="18"/>
              </w:rPr>
            </w:pPr>
            <w:r>
              <w:rPr>
                <w:rFonts w:ascii="宋体" w:hAnsi="宋体" w:cs="宋体" w:eastAsia="宋体" w:hint="default"/>
                <w:sz w:val="18"/>
                <w:szCs w:val="18"/>
              </w:rPr>
              <w:t>主要是收购邦道产生一次 性投资收益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4.99 </w:t>
            </w:r>
            <w:r>
              <w:rPr>
                <w:rFonts w:ascii="宋体" w:hAnsi="宋体" w:cs="宋体" w:eastAsia="宋体" w:hint="default"/>
                <w:sz w:val="18"/>
                <w:szCs w:val="18"/>
              </w:rPr>
              <w:t>亿所致</w:t>
            </w:r>
          </w:p>
        </w:tc>
        <w:tc>
          <w:tcPr>
            <w:tcW w:w="2343"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53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07" w:type="dxa"/>
            <w:vMerge/>
            <w:tcBorders>
              <w:left w:val="single" w:sz="18" w:space="0" w:color="D2D2D2"/>
              <w:right w:val="single" w:sz="6" w:space="0" w:color="000000"/>
            </w:tcBorders>
          </w:tcPr>
          <w:p>
            <w:pPr/>
          </w:p>
        </w:tc>
        <w:tc>
          <w:tcPr>
            <w:tcW w:w="1622" w:type="dxa"/>
            <w:vMerge/>
            <w:tcBorders>
              <w:left w:val="single" w:sz="6" w:space="0" w:color="000000"/>
              <w:right w:val="single" w:sz="6" w:space="0" w:color="000000"/>
            </w:tcBorders>
          </w:tcPr>
          <w:p>
            <w:pPr/>
          </w:p>
        </w:tc>
        <w:tc>
          <w:tcPr>
            <w:tcW w:w="2178" w:type="dxa"/>
            <w:vMerge/>
            <w:tcBorders>
              <w:left w:val="single" w:sz="6" w:space="0" w:color="000000"/>
              <w:right w:val="single" w:sz="6" w:space="0" w:color="000000"/>
            </w:tcBorders>
          </w:tcPr>
          <w:p>
            <w:pPr/>
          </w:p>
        </w:tc>
        <w:tc>
          <w:tcPr>
            <w:tcW w:w="2343" w:type="dxa"/>
            <w:vMerge/>
            <w:tcBorders>
              <w:left w:val="single" w:sz="6" w:space="0" w:color="000000"/>
              <w:right w:val="single" w:sz="6" w:space="0" w:color="000000"/>
            </w:tcBorders>
          </w:tcPr>
          <w:p>
            <w:pPr/>
          </w:p>
        </w:tc>
      </w:tr>
      <w:tr>
        <w:trPr>
          <w:trHeight w:val="158" w:hRule="exact"/>
        </w:trPr>
        <w:tc>
          <w:tcPr>
            <w:tcW w:w="153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vMerge/>
            <w:tcBorders>
              <w:left w:val="single" w:sz="18" w:space="0" w:color="D2D2D2"/>
              <w:bottom w:val="single" w:sz="6" w:space="0" w:color="000000"/>
              <w:right w:val="single" w:sz="6" w:space="0" w:color="000000"/>
            </w:tcBorders>
          </w:tcPr>
          <w:p>
            <w:pPr/>
          </w:p>
        </w:tc>
        <w:tc>
          <w:tcPr>
            <w:tcW w:w="1622" w:type="dxa"/>
            <w:vMerge/>
            <w:tcBorders>
              <w:left w:val="single" w:sz="6" w:space="0" w:color="000000"/>
              <w:bottom w:val="single" w:sz="6" w:space="0" w:color="000000"/>
              <w:right w:val="single" w:sz="6" w:space="0" w:color="000000"/>
            </w:tcBorders>
          </w:tcPr>
          <w:p>
            <w:pPr/>
          </w:p>
        </w:tc>
        <w:tc>
          <w:tcPr>
            <w:tcW w:w="2178" w:type="dxa"/>
            <w:vMerge/>
            <w:tcBorders>
              <w:left w:val="single" w:sz="6" w:space="0" w:color="000000"/>
              <w:bottom w:val="single" w:sz="6" w:space="0" w:color="000000"/>
              <w:right w:val="single" w:sz="6" w:space="0" w:color="000000"/>
            </w:tcBorders>
          </w:tcPr>
          <w:p>
            <w:pPr/>
          </w:p>
        </w:tc>
        <w:tc>
          <w:tcPr>
            <w:tcW w:w="2343" w:type="dxa"/>
            <w:vMerge/>
            <w:tcBorders>
              <w:left w:val="single" w:sz="6" w:space="0" w:color="000000"/>
              <w:bottom w:val="single" w:sz="6" w:space="0" w:color="000000"/>
              <w:right w:val="single" w:sz="6" w:space="0" w:color="000000"/>
            </w:tcBorders>
          </w:tcPr>
          <w:p>
            <w:pPr/>
          </w:p>
        </w:tc>
      </w:tr>
      <w:tr>
        <w:trPr>
          <w:trHeight w:val="158" w:hRule="exact"/>
        </w:trPr>
        <w:tc>
          <w:tcPr>
            <w:tcW w:w="1532" w:type="dxa"/>
            <w:tcBorders>
              <w:top w:val="single" w:sz="6" w:space="0" w:color="000000"/>
              <w:left w:val="single" w:sz="6" w:space="0" w:color="000000"/>
              <w:bottom w:val="nil" w:sz="6" w:space="0" w:color="auto"/>
              <w:right w:val="single" w:sz="6" w:space="0" w:color="000000"/>
            </w:tcBorders>
            <w:shd w:val="clear" w:color="auto" w:fill="D2D2D2"/>
          </w:tcPr>
          <w:p>
            <w:pPr/>
          </w:p>
        </w:tc>
        <w:tc>
          <w:tcPr>
            <w:tcW w:w="1907" w:type="dxa"/>
            <w:vMerge w:val="restart"/>
            <w:tcBorders>
              <w:top w:val="single" w:sz="6" w:space="0" w:color="000000"/>
              <w:left w:val="single" w:sz="12" w:space="0" w:color="D2D2D2"/>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23" w:right="0"/>
              <w:jc w:val="left"/>
              <w:rPr>
                <w:rFonts w:ascii="Times New Roman" w:hAnsi="Times New Roman" w:cs="Times New Roman" w:eastAsia="Times New Roman" w:hint="default"/>
                <w:sz w:val="18"/>
                <w:szCs w:val="18"/>
              </w:rPr>
            </w:pPr>
            <w:r>
              <w:rPr>
                <w:rFonts w:ascii="Times New Roman"/>
                <w:sz w:val="18"/>
              </w:rPr>
              <w:t>1,412,584.01</w:t>
            </w:r>
          </w:p>
        </w:tc>
        <w:tc>
          <w:tcPr>
            <w:tcW w:w="162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c>
          <w:tcPr>
            <w:tcW w:w="2178" w:type="dxa"/>
            <w:vMerge w:val="restart"/>
            <w:tcBorders>
              <w:top w:val="single" w:sz="6" w:space="0" w:color="000000"/>
              <w:left w:val="single" w:sz="6" w:space="0" w:color="000000"/>
              <w:right w:val="single" w:sz="6" w:space="0" w:color="000000"/>
            </w:tcBorders>
          </w:tcPr>
          <w:p>
            <w:pPr>
              <w:pStyle w:val="TableParagraph"/>
              <w:spacing w:line="307" w:lineRule="auto" w:before="44"/>
              <w:ind w:left="30" w:right="150"/>
              <w:jc w:val="left"/>
              <w:rPr>
                <w:rFonts w:ascii="宋体" w:hAnsi="宋体" w:cs="宋体" w:eastAsia="宋体" w:hint="default"/>
                <w:sz w:val="18"/>
                <w:szCs w:val="18"/>
              </w:rPr>
            </w:pPr>
            <w:r>
              <w:rPr>
                <w:rFonts w:ascii="宋体" w:hAnsi="宋体" w:cs="宋体" w:eastAsia="宋体" w:hint="default"/>
                <w:sz w:val="18"/>
                <w:szCs w:val="18"/>
              </w:rPr>
              <w:t>主要是交易性金融资产的 增值所致</w:t>
            </w:r>
          </w:p>
        </w:tc>
        <w:tc>
          <w:tcPr>
            <w:tcW w:w="2343"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53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07" w:type="dxa"/>
            <w:vMerge/>
            <w:tcBorders>
              <w:left w:val="single" w:sz="12" w:space="0" w:color="D2D2D2"/>
              <w:right w:val="single" w:sz="6" w:space="0" w:color="000000"/>
            </w:tcBorders>
          </w:tcPr>
          <w:p>
            <w:pPr/>
          </w:p>
        </w:tc>
        <w:tc>
          <w:tcPr>
            <w:tcW w:w="1622" w:type="dxa"/>
            <w:vMerge/>
            <w:tcBorders>
              <w:left w:val="single" w:sz="6" w:space="0" w:color="000000"/>
              <w:right w:val="single" w:sz="6" w:space="0" w:color="000000"/>
            </w:tcBorders>
          </w:tcPr>
          <w:p>
            <w:pPr/>
          </w:p>
        </w:tc>
        <w:tc>
          <w:tcPr>
            <w:tcW w:w="2178" w:type="dxa"/>
            <w:vMerge/>
            <w:tcBorders>
              <w:left w:val="single" w:sz="6" w:space="0" w:color="000000"/>
              <w:right w:val="single" w:sz="6" w:space="0" w:color="000000"/>
            </w:tcBorders>
          </w:tcPr>
          <w:p>
            <w:pPr/>
          </w:p>
        </w:tc>
        <w:tc>
          <w:tcPr>
            <w:tcW w:w="2343" w:type="dxa"/>
            <w:vMerge/>
            <w:tcBorders>
              <w:left w:val="single" w:sz="6" w:space="0" w:color="000000"/>
              <w:right w:val="single" w:sz="6" w:space="0" w:color="000000"/>
            </w:tcBorders>
          </w:tcPr>
          <w:p>
            <w:pPr/>
          </w:p>
        </w:tc>
      </w:tr>
      <w:tr>
        <w:trPr>
          <w:trHeight w:val="172" w:hRule="exact"/>
        </w:trPr>
        <w:tc>
          <w:tcPr>
            <w:tcW w:w="153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vMerge/>
            <w:tcBorders>
              <w:left w:val="single" w:sz="12" w:space="0" w:color="D2D2D2"/>
              <w:bottom w:val="single" w:sz="6" w:space="0" w:color="000000"/>
              <w:right w:val="single" w:sz="6" w:space="0" w:color="000000"/>
            </w:tcBorders>
          </w:tcPr>
          <w:p>
            <w:pPr/>
          </w:p>
        </w:tc>
        <w:tc>
          <w:tcPr>
            <w:tcW w:w="1622" w:type="dxa"/>
            <w:vMerge/>
            <w:tcBorders>
              <w:left w:val="single" w:sz="6" w:space="0" w:color="000000"/>
              <w:bottom w:val="single" w:sz="6" w:space="0" w:color="000000"/>
              <w:right w:val="single" w:sz="6" w:space="0" w:color="000000"/>
            </w:tcBorders>
          </w:tcPr>
          <w:p>
            <w:pPr/>
          </w:p>
        </w:tc>
        <w:tc>
          <w:tcPr>
            <w:tcW w:w="2178" w:type="dxa"/>
            <w:vMerge/>
            <w:tcBorders>
              <w:left w:val="single" w:sz="6" w:space="0" w:color="000000"/>
              <w:bottom w:val="single" w:sz="6" w:space="0" w:color="000000"/>
              <w:right w:val="single" w:sz="6" w:space="0" w:color="000000"/>
            </w:tcBorders>
          </w:tcPr>
          <w:p>
            <w:pPr/>
          </w:p>
        </w:tc>
        <w:tc>
          <w:tcPr>
            <w:tcW w:w="2343" w:type="dxa"/>
            <w:vMerge/>
            <w:tcBorders>
              <w:left w:val="single" w:sz="6" w:space="0" w:color="000000"/>
              <w:bottom w:val="single" w:sz="6" w:space="0" w:color="000000"/>
              <w:right w:val="single" w:sz="6" w:space="0" w:color="000000"/>
            </w:tcBorders>
          </w:tcPr>
          <w:p>
            <w:pPr/>
          </w:p>
        </w:tc>
      </w:tr>
      <w:tr>
        <w:trPr>
          <w:trHeight w:val="391" w:hRule="exact"/>
        </w:trPr>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w w:val="95"/>
                <w:sz w:val="18"/>
              </w:rPr>
              <w:t>-18,261,702.76</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-1.61%</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计提坏账和存货损失所致</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1,467,785.62</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0.13%</w:t>
            </w:r>
            <w:r>
              <w:rPr>
                <w:rFonts w:ascii="Times New Roman"/>
                <w:sz w:val="18"/>
              </w:rPr>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主要是取得政府补助所致</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1,164,727.56</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0.10%</w:t>
            </w:r>
            <w:r>
              <w:rPr>
                <w:rFonts w:ascii="Times New Roman"/>
                <w:sz w:val="18"/>
              </w:rPr>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主要是对外捐赠所致</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102,076,623.51</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9.00%</w:t>
            </w:r>
            <w:r>
              <w:rPr>
                <w:rFonts w:ascii="Times New Roman"/>
                <w:sz w:val="18"/>
              </w:rPr>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主要是取得政府补助所致</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2"/>
        <w:rPr>
          <w:rFonts w:ascii="宋体" w:hAnsi="宋体" w:cs="宋体" w:eastAsia="宋体" w:hint="default"/>
          <w:sz w:val="17"/>
          <w:szCs w:val="17"/>
        </w:rPr>
      </w:pPr>
    </w:p>
    <w:p>
      <w:pPr>
        <w:pStyle w:val="Heading2"/>
        <w:spacing w:line="240" w:lineRule="auto" w:before="26"/>
        <w:ind w:right="1105"/>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05"/>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731" w:footer="981" w:top="1040" w:bottom="1180" w:left="1000" w:right="0"/>
        </w:sectPr>
      </w:pPr>
    </w:p>
    <w:p>
      <w:pPr>
        <w:pStyle w:val="BodyText"/>
        <w:spacing w:line="240" w:lineRule="auto" w:before="44"/>
        <w:ind w:right="-19"/>
        <w:jc w:val="left"/>
      </w:pPr>
      <w:r>
        <w:rPr/>
        <w:t>公司</w:t>
      </w:r>
      <w:r>
        <w:rPr>
          <w:spacing w:val="-45"/>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11"/>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50"/>
          <w:pgMar w:top="1040" w:bottom="1180" w:left="1000" w:right="0"/>
          <w:cols w:num="2" w:equalWidth="0">
            <w:col w:w="8513" w:space="423"/>
            <w:col w:w="1974"/>
          </w:cols>
        </w:sectPr>
      </w:pP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172"/>
        <w:gridCol w:w="1066"/>
        <w:gridCol w:w="1187"/>
        <w:gridCol w:w="1066"/>
        <w:gridCol w:w="796"/>
        <w:gridCol w:w="2929"/>
      </w:tblGrid>
      <w:tr>
        <w:trPr>
          <w:trHeight w:val="390" w:hRule="exact"/>
        </w:trPr>
        <w:tc>
          <w:tcPr>
            <w:tcW w:w="1367" w:type="dxa"/>
            <w:vMerge w:val="restart"/>
            <w:tcBorders>
              <w:top w:val="single" w:sz="6" w:space="0" w:color="000000"/>
              <w:left w:val="single" w:sz="6" w:space="0" w:color="000000"/>
              <w:right w:val="single" w:sz="6" w:space="0" w:color="000000"/>
            </w:tcBorders>
            <w:shd w:val="clear" w:color="auto" w:fill="D2D2D2"/>
          </w:tcPr>
          <w:p>
            <w:pPr/>
          </w:p>
        </w:tc>
        <w:tc>
          <w:tcPr>
            <w:tcW w:w="223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年末</w:t>
            </w:r>
          </w:p>
        </w:tc>
        <w:tc>
          <w:tcPr>
            <w:tcW w:w="225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年初</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2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73" w:hRule="exact"/>
        </w:trPr>
        <w:tc>
          <w:tcPr>
            <w:tcW w:w="1367" w:type="dxa"/>
            <w:vMerge/>
            <w:tcBorders>
              <w:left w:val="single" w:sz="6" w:space="0" w:color="000000"/>
              <w:right w:val="single" w:sz="6" w:space="0" w:color="000000"/>
            </w:tcBorders>
            <w:shd w:val="clear" w:color="auto" w:fill="D2D2D2"/>
          </w:tcPr>
          <w:p>
            <w:pPr/>
          </w:p>
        </w:tc>
        <w:tc>
          <w:tcPr>
            <w:tcW w:w="1172"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45"/>
              <w:ind w:left="420" w:right="89"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8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45"/>
              <w:ind w:left="435"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6" w:type="dxa"/>
            <w:vMerge/>
            <w:tcBorders>
              <w:left w:val="single" w:sz="6" w:space="0" w:color="000000"/>
              <w:right w:val="single" w:sz="6" w:space="0" w:color="000000"/>
            </w:tcBorders>
            <w:shd w:val="clear" w:color="auto" w:fill="D2D2D2"/>
          </w:tcPr>
          <w:p>
            <w:pPr/>
          </w:p>
        </w:tc>
        <w:tc>
          <w:tcPr>
            <w:tcW w:w="2929" w:type="dxa"/>
            <w:vMerge/>
            <w:tcBorders>
              <w:left w:val="single" w:sz="6" w:space="0" w:color="000000"/>
              <w:right w:val="single" w:sz="6" w:space="0" w:color="000000"/>
            </w:tcBorders>
            <w:shd w:val="clear" w:color="auto" w:fill="D2D2D2"/>
          </w:tcPr>
          <w:p>
            <w:pPr/>
          </w:p>
        </w:tc>
      </w:tr>
      <w:tr>
        <w:trPr>
          <w:trHeight w:val="390" w:hRule="exact"/>
        </w:trPr>
        <w:tc>
          <w:tcPr>
            <w:tcW w:w="1367" w:type="dxa"/>
            <w:vMerge/>
            <w:tcBorders>
              <w:left w:val="single" w:sz="6" w:space="0" w:color="000000"/>
              <w:right w:val="single" w:sz="6" w:space="0" w:color="000000"/>
            </w:tcBorders>
            <w:shd w:val="clear" w:color="auto" w:fill="D2D2D2"/>
          </w:tcPr>
          <w:p>
            <w:pPr/>
          </w:p>
        </w:tc>
        <w:tc>
          <w:tcPr>
            <w:tcW w:w="11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2929" w:type="dxa"/>
            <w:vMerge/>
            <w:tcBorders>
              <w:left w:val="single" w:sz="6" w:space="0" w:color="000000"/>
              <w:right w:val="single" w:sz="6" w:space="0" w:color="000000"/>
            </w:tcBorders>
            <w:shd w:val="clear" w:color="auto" w:fill="D2D2D2"/>
          </w:tcPr>
          <w:p>
            <w:pPr/>
          </w:p>
        </w:tc>
      </w:tr>
      <w:tr>
        <w:trPr>
          <w:trHeight w:val="158"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172"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1187"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2929" w:type="dxa"/>
            <w:vMerge/>
            <w:tcBorders>
              <w:left w:val="single" w:sz="6" w:space="0" w:color="000000"/>
              <w:bottom w:val="single" w:sz="6" w:space="0" w:color="000000"/>
              <w:right w:val="single" w:sz="6" w:space="0" w:color="000000"/>
            </w:tcBorders>
            <w:shd w:val="clear" w:color="auto" w:fill="D2D2D2"/>
          </w:tcPr>
          <w:p>
            <w:pP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1,853,619,590.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31.28%</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1,302,866,699.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31.41%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-0.13%</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本期未发生重大变动</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1,953,799,058.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32.97%</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1,422,555,177.</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34.30%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-1.33%</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本期未发生重大变动</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307,003,674.9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5.18%</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389,489,985.78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9.39%</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-4.21%</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81"/>
              <w:jc w:val="left"/>
              <w:rPr>
                <w:rFonts w:ascii="宋体" w:hAnsi="宋体" w:cs="宋体" w:eastAsia="宋体" w:hint="default"/>
                <w:sz w:val="18"/>
                <w:szCs w:val="18"/>
              </w:rPr>
            </w:pPr>
            <w:r>
              <w:rPr>
                <w:rFonts w:ascii="宋体" w:hAnsi="宋体" w:cs="宋体" w:eastAsia="宋体" w:hint="default"/>
                <w:sz w:val="18"/>
                <w:szCs w:val="18"/>
              </w:rPr>
              <w:t>主要是易视腾科技存货周转速度加 快所致</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109,437,296.7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1.85%</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189,154,889.61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4.56%</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-2.71%</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81"/>
              <w:jc w:val="left"/>
              <w:rPr>
                <w:rFonts w:ascii="宋体" w:hAnsi="宋体" w:cs="宋体" w:eastAsia="宋体" w:hint="default"/>
                <w:sz w:val="18"/>
                <w:szCs w:val="18"/>
              </w:rPr>
            </w:pPr>
            <w:r>
              <w:rPr>
                <w:rFonts w:ascii="宋体" w:hAnsi="宋体" w:cs="宋体" w:eastAsia="宋体" w:hint="default"/>
                <w:sz w:val="18"/>
                <w:szCs w:val="18"/>
              </w:rPr>
              <w:t>主要是原合营公司邦道科技变为控 股子公司所致</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46,311,993.18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0.78%</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37,140,169.13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0.90%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-0.12%</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本期未发生重大变动</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6,332,967.19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0.11%</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2,443,276.04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0.06%</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0.05%</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79"/>
              <w:jc w:val="left"/>
              <w:rPr>
                <w:rFonts w:ascii="宋体" w:hAnsi="宋体" w:cs="宋体" w:eastAsia="宋体" w:hint="default"/>
                <w:sz w:val="18"/>
                <w:szCs w:val="18"/>
              </w:rPr>
            </w:pPr>
            <w:r>
              <w:rPr>
                <w:rFonts w:ascii="宋体" w:hAnsi="宋体" w:cs="宋体" w:eastAsia="宋体" w:hint="default"/>
                <w:sz w:val="18"/>
                <w:szCs w:val="18"/>
              </w:rPr>
              <w:t>主要是增加工程项目的前期投入所 致</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4,989,000.00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0.08%</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280,451,648.00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6.76%</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-6.68%</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主要是借款归还所致</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2" w:type="dxa"/>
            <w:tcBorders>
              <w:top w:val="single" w:sz="6" w:space="0" w:color="000000"/>
              <w:left w:val="single" w:sz="12"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58,000,000.00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1.40%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-1.40%</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主要是借款归还所致</w:t>
            </w:r>
          </w:p>
        </w:tc>
      </w:tr>
    </w:tbl>
    <w:p>
      <w:pPr>
        <w:spacing w:after="0" w:line="240" w:lineRule="auto"/>
        <w:jc w:val="left"/>
        <w:rPr>
          <w:rFonts w:ascii="宋体" w:hAnsi="宋体" w:cs="宋体" w:eastAsia="宋体" w:hint="default"/>
          <w:sz w:val="18"/>
          <w:szCs w:val="18"/>
        </w:rPr>
        <w:sectPr>
          <w:type w:val="continuous"/>
          <w:pgSz w:w="11910" w:h="16850"/>
          <w:pgMar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67"/>
        <w:gridCol w:w="1172"/>
        <w:gridCol w:w="1066"/>
        <w:gridCol w:w="1187"/>
        <w:gridCol w:w="1066"/>
        <w:gridCol w:w="796"/>
        <w:gridCol w:w="2929"/>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72"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201,509,166.66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4.86%</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-4.86%</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减少理财产品所致</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43,927,716.32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0.74%</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108,303,954.53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2.61%</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-1.87%</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票据到期承兑所致</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51,774,042.53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0.87%</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27,127,680.42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0.65%</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因第三方采购款支付增加所致</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130,334,713.1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2.20%</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51,954,289.91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1.25%</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0.95%</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81"/>
              <w:jc w:val="left"/>
              <w:rPr>
                <w:rFonts w:ascii="宋体" w:hAnsi="宋体" w:cs="宋体" w:eastAsia="宋体" w:hint="default"/>
                <w:sz w:val="18"/>
                <w:szCs w:val="18"/>
              </w:rPr>
            </w:pPr>
            <w:r>
              <w:rPr>
                <w:rFonts w:ascii="宋体" w:hAnsi="宋体" w:cs="宋体" w:eastAsia="宋体" w:hint="default"/>
                <w:sz w:val="18"/>
                <w:szCs w:val="18"/>
              </w:rPr>
              <w:t>主要是易视腾科技下属投资公司增 加应收债权所致</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27,731,372.38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0.47%</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165,537,840.05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3.99%</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-3.52%</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81"/>
              <w:jc w:val="left"/>
              <w:rPr>
                <w:rFonts w:ascii="宋体" w:hAnsi="宋体" w:cs="宋体" w:eastAsia="宋体" w:hint="default"/>
                <w:sz w:val="18"/>
                <w:szCs w:val="18"/>
              </w:rPr>
            </w:pPr>
            <w:r>
              <w:rPr>
                <w:rFonts w:ascii="宋体" w:hAnsi="宋体" w:cs="宋体" w:eastAsia="宋体" w:hint="default"/>
                <w:sz w:val="18"/>
                <w:szCs w:val="18"/>
              </w:rPr>
              <w:t>主要是易视腾科技受限制结构性存 款减少所致</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其他非流动金融 资产</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111,381,001.5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1.88%</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90,007,207.97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2.17%</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-0.29%</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本期未发生重大变动</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47,732,906.30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0.81%</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7,161,663.39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0.64%</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主要是增加土地使用权所致</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25,662,064.02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0.43%</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10,054,348.67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0.24%</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0.19%</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82"/>
              <w:jc w:val="left"/>
              <w:rPr>
                <w:rFonts w:ascii="宋体" w:hAnsi="宋体" w:cs="宋体" w:eastAsia="宋体" w:hint="default"/>
                <w:sz w:val="18"/>
                <w:szCs w:val="18"/>
              </w:rPr>
            </w:pPr>
            <w:r>
              <w:rPr>
                <w:rFonts w:ascii="宋体" w:hAnsi="宋体" w:cs="宋体" w:eastAsia="宋体" w:hint="default"/>
                <w:sz w:val="18"/>
                <w:szCs w:val="18"/>
              </w:rPr>
              <w:t>主要是瀚云工业互联网平台资本化 投入持续增加所致</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1,159,530,363.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19.57%</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31,404,852.49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0.76%</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18.81%</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81"/>
              <w:jc w:val="left"/>
              <w:rPr>
                <w:rFonts w:ascii="宋体" w:hAnsi="宋体" w:cs="宋体" w:eastAsia="宋体" w:hint="default"/>
                <w:sz w:val="18"/>
                <w:szCs w:val="18"/>
              </w:rPr>
            </w:pPr>
            <w:r>
              <w:rPr>
                <w:rFonts w:ascii="宋体" w:hAnsi="宋体" w:cs="宋体" w:eastAsia="宋体" w:hint="default"/>
                <w:sz w:val="18"/>
                <w:szCs w:val="18"/>
              </w:rPr>
              <w:t>主要是非同一控制下合并邦道科技 产生商誉所致</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21,114,587.36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0.36%</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16,401,518.85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0.40%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-0.04%</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本期未发生重大变动</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29,976,768.27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0.51%</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14,497,324.91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0.35%</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0.16%</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81"/>
              <w:jc w:val="left"/>
              <w:rPr>
                <w:rFonts w:ascii="宋体" w:hAnsi="宋体" w:cs="宋体" w:eastAsia="宋体" w:hint="default"/>
                <w:sz w:val="18"/>
                <w:szCs w:val="18"/>
              </w:rPr>
            </w:pPr>
            <w:r>
              <w:rPr>
                <w:rFonts w:ascii="宋体" w:hAnsi="宋体" w:cs="宋体" w:eastAsia="宋体" w:hint="default"/>
                <w:sz w:val="18"/>
                <w:szCs w:val="18"/>
              </w:rPr>
              <w:t>主要是股份支付和可抵扣亏损带来 的暂时性差异增加所致</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72"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80,000,000.00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1.93%</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-1.93%</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81"/>
              <w:jc w:val="left"/>
              <w:rPr>
                <w:rFonts w:ascii="宋体" w:hAnsi="宋体" w:cs="宋体" w:eastAsia="宋体" w:hint="default"/>
                <w:sz w:val="18"/>
                <w:szCs w:val="18"/>
              </w:rPr>
            </w:pPr>
            <w:r>
              <w:rPr>
                <w:rFonts w:ascii="宋体" w:hAnsi="宋体" w:cs="宋体" w:eastAsia="宋体" w:hint="default"/>
                <w:sz w:val="18"/>
                <w:szCs w:val="18"/>
              </w:rPr>
              <w:t>主要是易视腾科技受限制资金解除 限制所致</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4,989,000.00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0.08%</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280,451,648.00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6.76%</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-6.68%</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主要是借款归还所致</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450,649,116.2</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7.61%</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437,160,478.14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10.54%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-2.93%</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81"/>
              <w:jc w:val="left"/>
              <w:rPr>
                <w:rFonts w:ascii="宋体" w:hAnsi="宋体" w:cs="宋体" w:eastAsia="宋体" w:hint="default"/>
                <w:sz w:val="18"/>
                <w:szCs w:val="18"/>
              </w:rPr>
            </w:pPr>
            <w:r>
              <w:rPr>
                <w:rFonts w:ascii="宋体" w:hAnsi="宋体" w:cs="宋体" w:eastAsia="宋体" w:hint="default"/>
                <w:sz w:val="18"/>
                <w:szCs w:val="18"/>
              </w:rPr>
              <w:t>主要是业绩增长和资产重组带来资 产增幅超过应付款的增幅所致</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114,194,840.5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1.93%</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65,313,821.91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1.57%</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0.36%</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81"/>
              <w:jc w:val="left"/>
              <w:rPr>
                <w:rFonts w:ascii="宋体" w:hAnsi="宋体" w:cs="宋体" w:eastAsia="宋体" w:hint="default"/>
                <w:sz w:val="18"/>
                <w:szCs w:val="18"/>
              </w:rPr>
            </w:pPr>
            <w:r>
              <w:rPr>
                <w:rFonts w:ascii="宋体" w:hAnsi="宋体" w:cs="宋体" w:eastAsia="宋体" w:hint="default"/>
                <w:sz w:val="18"/>
                <w:szCs w:val="18"/>
              </w:rPr>
              <w:t>未达到上线条件的项目收款增加所 致</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240,031,030.3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4.05%</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159,381,072.10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3.84%</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0.21%</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计提年终奖较去年有较大增长</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81,202,640.27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1.37%</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64,857,249.46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1.56%</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-0.19%</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本期未发生重大变动</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206,984,386.2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3.49%</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255,432,270.50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6.16%</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-2.67%</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81"/>
              <w:jc w:val="left"/>
              <w:rPr>
                <w:rFonts w:ascii="宋体" w:hAnsi="宋体" w:cs="宋体" w:eastAsia="宋体" w:hint="default"/>
                <w:sz w:val="18"/>
                <w:szCs w:val="18"/>
              </w:rPr>
            </w:pPr>
            <w:r>
              <w:rPr>
                <w:rFonts w:ascii="宋体" w:hAnsi="宋体" w:cs="宋体" w:eastAsia="宋体" w:hint="default"/>
                <w:sz w:val="18"/>
                <w:szCs w:val="18"/>
              </w:rPr>
              <w:t>主要是限制性股票行权导致回购款 减少所致</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99,000,000.00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2.39%</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-2.22%</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主要是借款归还所致</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40,598,642.53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0.69%</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19,404,866.52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0.47%</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主要是待转销项税金额增加所致</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2"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58,000,000.00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1.40%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-1.40%</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主要是借款归还所致</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8,123,089.92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0.14%</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6,720,777.60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0.16%</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-0.02%</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本期未发生重大变动</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25,343,477.25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0.43%</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17,779,409.26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0.43%</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本期未发生重大变动</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1,778,198.37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232,500.00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81"/>
              <w:jc w:val="left"/>
              <w:rPr>
                <w:rFonts w:ascii="宋体" w:hAnsi="宋体" w:cs="宋体" w:eastAsia="宋体" w:hint="default"/>
                <w:sz w:val="18"/>
                <w:szCs w:val="18"/>
              </w:rPr>
            </w:pPr>
            <w:r>
              <w:rPr>
                <w:rFonts w:ascii="宋体" w:hAnsi="宋体" w:cs="宋体" w:eastAsia="宋体" w:hint="default"/>
                <w:sz w:val="18"/>
                <w:szCs w:val="18"/>
              </w:rPr>
              <w:t>主要是邦道科技无形资产评估增值 所致</w:t>
            </w:r>
          </w:p>
        </w:tc>
      </w:tr>
    </w:tbl>
    <w:p>
      <w:pPr>
        <w:spacing w:after="0" w:line="304"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50"/>
        <w:ind w:right="1105"/>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965"/>
        <w:gridCol w:w="1033"/>
        <w:gridCol w:w="1059"/>
        <w:gridCol w:w="1198"/>
        <w:gridCol w:w="927"/>
        <w:gridCol w:w="1202"/>
        <w:gridCol w:w="1055"/>
        <w:gridCol w:w="920"/>
        <w:gridCol w:w="1216"/>
      </w:tblGrid>
      <w:tr>
        <w:trPr>
          <w:trHeight w:val="158" w:hRule="exact"/>
        </w:trPr>
        <w:tc>
          <w:tcPr>
            <w:tcW w:w="965" w:type="dxa"/>
            <w:vMerge w:val="restart"/>
            <w:tcBorders>
              <w:top w:val="single" w:sz="6" w:space="0" w:color="000000"/>
              <w:left w:val="single" w:sz="6" w:space="0" w:color="000000"/>
              <w:right w:val="single" w:sz="6" w:space="0" w:color="000000"/>
            </w:tcBorders>
            <w:shd w:val="clear" w:color="auto" w:fill="D2D2D2"/>
          </w:tcPr>
          <w:p>
            <w:pPr/>
          </w:p>
        </w:tc>
        <w:tc>
          <w:tcPr>
            <w:tcW w:w="1033" w:type="dxa"/>
            <w:vMerge w:val="restart"/>
            <w:tcBorders>
              <w:top w:val="single" w:sz="6" w:space="0" w:color="000000"/>
              <w:left w:val="single" w:sz="6" w:space="0" w:color="000000"/>
              <w:right w:val="single" w:sz="6" w:space="0" w:color="000000"/>
            </w:tcBorders>
            <w:shd w:val="clear" w:color="auto" w:fill="D2D2D2"/>
          </w:tcPr>
          <w:p>
            <w:pPr/>
          </w:p>
        </w:tc>
        <w:tc>
          <w:tcPr>
            <w:tcW w:w="1059" w:type="dxa"/>
            <w:tcBorders>
              <w:top w:val="single" w:sz="6" w:space="0" w:color="000000"/>
              <w:left w:val="single" w:sz="6" w:space="0" w:color="000000"/>
              <w:bottom w:val="nil" w:sz="6" w:space="0" w:color="auto"/>
              <w:right w:val="single" w:sz="6" w:space="0" w:color="000000"/>
            </w:tcBorders>
            <w:shd w:val="clear" w:color="auto" w:fill="D2D2D2"/>
          </w:tcPr>
          <w:p>
            <w:pPr/>
          </w:p>
        </w:tc>
        <w:tc>
          <w:tcPr>
            <w:tcW w:w="1198"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44" w:right="55"/>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27"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2" w:type="dxa"/>
            <w:vMerge w:val="restart"/>
            <w:tcBorders>
              <w:top w:val="single" w:sz="6" w:space="0" w:color="000000"/>
              <w:left w:val="single" w:sz="6" w:space="0" w:color="000000"/>
              <w:right w:val="single" w:sz="6" w:space="0" w:color="000000"/>
            </w:tcBorders>
            <w:shd w:val="clear" w:color="auto" w:fill="D2D2D2"/>
          </w:tcPr>
          <w:p>
            <w:pPr/>
          </w:p>
        </w:tc>
        <w:tc>
          <w:tcPr>
            <w:tcW w:w="1055" w:type="dxa"/>
            <w:tcBorders>
              <w:top w:val="single" w:sz="6" w:space="0" w:color="000000"/>
              <w:left w:val="single" w:sz="6" w:space="0" w:color="000000"/>
              <w:bottom w:val="nil" w:sz="6" w:space="0" w:color="auto"/>
              <w:right w:val="single" w:sz="6" w:space="0" w:color="000000"/>
            </w:tcBorders>
            <w:shd w:val="clear" w:color="auto" w:fill="D2D2D2"/>
          </w:tcPr>
          <w:p>
            <w:pPr/>
          </w:p>
        </w:tc>
        <w:tc>
          <w:tcPr>
            <w:tcW w:w="920" w:type="dxa"/>
            <w:vMerge w:val="restart"/>
            <w:tcBorders>
              <w:top w:val="single" w:sz="6" w:space="0" w:color="000000"/>
              <w:left w:val="single" w:sz="6" w:space="0" w:color="000000"/>
              <w:right w:val="single" w:sz="6" w:space="0" w:color="000000"/>
            </w:tcBorders>
            <w:shd w:val="clear" w:color="auto" w:fill="D2D2D2"/>
          </w:tcPr>
          <w:p>
            <w:pPr/>
          </w:p>
        </w:tc>
        <w:tc>
          <w:tcPr>
            <w:tcW w:w="1216" w:type="dxa"/>
            <w:vMerge w:val="restart"/>
            <w:tcBorders>
              <w:top w:val="single" w:sz="6" w:space="0" w:color="000000"/>
              <w:left w:val="single" w:sz="6" w:space="0" w:color="000000"/>
              <w:right w:val="single" w:sz="6" w:space="0" w:color="000000"/>
            </w:tcBorders>
            <w:shd w:val="clear" w:color="auto" w:fill="D2D2D2"/>
          </w:tcPr>
          <w:p>
            <w:pPr/>
          </w:p>
        </w:tc>
      </w:tr>
      <w:tr>
        <w:trPr>
          <w:trHeight w:val="150" w:hRule="exact"/>
        </w:trPr>
        <w:tc>
          <w:tcPr>
            <w:tcW w:w="965" w:type="dxa"/>
            <w:vMerge/>
            <w:tcBorders>
              <w:left w:val="single" w:sz="6" w:space="0" w:color="000000"/>
              <w:bottom w:val="nil" w:sz="6" w:space="0" w:color="auto"/>
              <w:right w:val="single" w:sz="6" w:space="0" w:color="000000"/>
            </w:tcBorders>
            <w:shd w:val="clear" w:color="auto" w:fill="D2D2D2"/>
          </w:tcPr>
          <w:p>
            <w:pPr/>
          </w:p>
        </w:tc>
        <w:tc>
          <w:tcPr>
            <w:tcW w:w="1033" w:type="dxa"/>
            <w:vMerge/>
            <w:tcBorders>
              <w:left w:val="single" w:sz="6" w:space="0" w:color="000000"/>
              <w:bottom w:val="nil" w:sz="6" w:space="0" w:color="auto"/>
              <w:right w:val="single" w:sz="6" w:space="0" w:color="000000"/>
            </w:tcBorders>
            <w:shd w:val="clear" w:color="auto" w:fill="D2D2D2"/>
          </w:tcPr>
          <w:p>
            <w:pPr/>
          </w:p>
        </w:tc>
        <w:tc>
          <w:tcPr>
            <w:tcW w:w="1059"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67" w:right="74"/>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98" w:type="dxa"/>
            <w:vMerge/>
            <w:tcBorders>
              <w:left w:val="single" w:sz="6" w:space="0" w:color="000000"/>
              <w:right w:val="single" w:sz="6" w:space="0" w:color="000000"/>
            </w:tcBorders>
            <w:shd w:val="clear" w:color="auto" w:fill="D2D2D2"/>
          </w:tcPr>
          <w:p>
            <w:pPr/>
          </w:p>
        </w:tc>
        <w:tc>
          <w:tcPr>
            <w:tcW w:w="927"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183" w:right="96"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202" w:type="dxa"/>
            <w:vMerge/>
            <w:tcBorders>
              <w:left w:val="single" w:sz="6" w:space="0" w:color="000000"/>
              <w:bottom w:val="nil" w:sz="6" w:space="0" w:color="auto"/>
              <w:right w:val="single" w:sz="6" w:space="0" w:color="000000"/>
            </w:tcBorders>
            <w:shd w:val="clear" w:color="auto" w:fill="D2D2D2"/>
          </w:tcPr>
          <w:p>
            <w:pPr/>
          </w:p>
        </w:tc>
        <w:tc>
          <w:tcPr>
            <w:tcW w:w="1055"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427" w:right="70" w:hanging="361"/>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20" w:type="dxa"/>
            <w:vMerge/>
            <w:tcBorders>
              <w:left w:val="single" w:sz="6" w:space="0" w:color="000000"/>
              <w:bottom w:val="nil" w:sz="6" w:space="0" w:color="auto"/>
              <w:right w:val="single" w:sz="6" w:space="0" w:color="000000"/>
            </w:tcBorders>
            <w:shd w:val="clear" w:color="auto" w:fill="D2D2D2"/>
          </w:tcPr>
          <w:p>
            <w:pPr/>
          </w:p>
        </w:tc>
        <w:tc>
          <w:tcPr>
            <w:tcW w:w="1216" w:type="dxa"/>
            <w:vMerge/>
            <w:tcBorders>
              <w:left w:val="single" w:sz="6" w:space="0" w:color="000000"/>
              <w:bottom w:val="nil" w:sz="6" w:space="0" w:color="auto"/>
              <w:right w:val="single" w:sz="6" w:space="0" w:color="000000"/>
            </w:tcBorders>
            <w:shd w:val="clear" w:color="auto" w:fill="D2D2D2"/>
          </w:tcPr>
          <w:p>
            <w:pPr/>
          </w:p>
        </w:tc>
      </w:tr>
      <w:tr>
        <w:trPr>
          <w:trHeight w:val="391" w:hRule="exact"/>
        </w:trPr>
        <w:tc>
          <w:tcPr>
            <w:tcW w:w="96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294"/>
              <w:jc w:val="right"/>
              <w:rPr>
                <w:rFonts w:ascii="宋体" w:hAnsi="宋体" w:cs="宋体" w:eastAsia="宋体" w:hint="default"/>
                <w:sz w:val="18"/>
                <w:szCs w:val="18"/>
              </w:rPr>
            </w:pPr>
            <w:r>
              <w:rPr>
                <w:rFonts w:ascii="宋体" w:hAnsi="宋体" w:cs="宋体" w:eastAsia="宋体" w:hint="default"/>
                <w:sz w:val="18"/>
                <w:szCs w:val="18"/>
              </w:rPr>
              <w:t>项目</w:t>
            </w:r>
          </w:p>
        </w:tc>
        <w:tc>
          <w:tcPr>
            <w:tcW w:w="103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24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59"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6" w:space="0" w:color="000000"/>
            </w:tcBorders>
            <w:shd w:val="clear" w:color="auto" w:fill="D2D2D2"/>
          </w:tcPr>
          <w:p>
            <w:pPr/>
          </w:p>
        </w:tc>
        <w:tc>
          <w:tcPr>
            <w:tcW w:w="927" w:type="dxa"/>
            <w:vMerge/>
            <w:tcBorders>
              <w:left w:val="single" w:sz="6" w:space="0" w:color="000000"/>
              <w:right w:val="single" w:sz="6" w:space="0" w:color="000000"/>
            </w:tcBorders>
            <w:shd w:val="clear" w:color="auto" w:fill="D2D2D2"/>
          </w:tcPr>
          <w:p>
            <w:pPr/>
          </w:p>
        </w:tc>
        <w:tc>
          <w:tcPr>
            <w:tcW w:w="12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1055" w:type="dxa"/>
            <w:vMerge/>
            <w:tcBorders>
              <w:left w:val="single" w:sz="6" w:space="0" w:color="000000"/>
              <w:right w:val="single" w:sz="6" w:space="0" w:color="000000"/>
            </w:tcBorders>
            <w:shd w:val="clear" w:color="auto" w:fill="D2D2D2"/>
          </w:tcPr>
          <w:p>
            <w:pPr/>
          </w:p>
        </w:tc>
        <w:tc>
          <w:tcPr>
            <w:tcW w:w="92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9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5" w:hRule="exact"/>
        </w:trPr>
        <w:tc>
          <w:tcPr>
            <w:tcW w:w="965" w:type="dxa"/>
            <w:vMerge w:val="restart"/>
            <w:tcBorders>
              <w:top w:val="nil" w:sz="6" w:space="0" w:color="auto"/>
              <w:left w:val="single" w:sz="6" w:space="0" w:color="000000"/>
              <w:right w:val="single" w:sz="6" w:space="0" w:color="000000"/>
            </w:tcBorders>
            <w:shd w:val="clear" w:color="auto" w:fill="D2D2D2"/>
          </w:tcPr>
          <w:p>
            <w:pPr/>
          </w:p>
        </w:tc>
        <w:tc>
          <w:tcPr>
            <w:tcW w:w="1033" w:type="dxa"/>
            <w:vMerge w:val="restart"/>
            <w:tcBorders>
              <w:top w:val="nil" w:sz="6" w:space="0" w:color="auto"/>
              <w:left w:val="single" w:sz="6" w:space="0" w:color="000000"/>
              <w:right w:val="single" w:sz="6" w:space="0" w:color="000000"/>
            </w:tcBorders>
            <w:shd w:val="clear" w:color="auto" w:fill="D2D2D2"/>
          </w:tcPr>
          <w:p>
            <w:pPr/>
          </w:p>
        </w:tc>
        <w:tc>
          <w:tcPr>
            <w:tcW w:w="1059" w:type="dxa"/>
            <w:vMerge/>
            <w:tcBorders>
              <w:left w:val="single" w:sz="6" w:space="0" w:color="000000"/>
              <w:bottom w:val="nil" w:sz="6" w:space="0" w:color="auto"/>
              <w:right w:val="single" w:sz="6" w:space="0" w:color="000000"/>
            </w:tcBorders>
            <w:shd w:val="clear" w:color="auto" w:fill="D2D2D2"/>
          </w:tcPr>
          <w:p>
            <w:pPr/>
          </w:p>
        </w:tc>
        <w:tc>
          <w:tcPr>
            <w:tcW w:w="1198" w:type="dxa"/>
            <w:vMerge/>
            <w:tcBorders>
              <w:left w:val="single" w:sz="6" w:space="0" w:color="000000"/>
              <w:right w:val="single" w:sz="6" w:space="0" w:color="000000"/>
            </w:tcBorders>
            <w:shd w:val="clear" w:color="auto" w:fill="D2D2D2"/>
          </w:tcPr>
          <w:p>
            <w:pPr/>
          </w:p>
        </w:tc>
        <w:tc>
          <w:tcPr>
            <w:tcW w:w="927" w:type="dxa"/>
            <w:vMerge/>
            <w:tcBorders>
              <w:left w:val="single" w:sz="6" w:space="0" w:color="000000"/>
              <w:bottom w:val="nil" w:sz="6" w:space="0" w:color="auto"/>
              <w:right w:val="single" w:sz="6" w:space="0" w:color="000000"/>
            </w:tcBorders>
            <w:shd w:val="clear" w:color="auto" w:fill="D2D2D2"/>
          </w:tcPr>
          <w:p>
            <w:pPr/>
          </w:p>
        </w:tc>
        <w:tc>
          <w:tcPr>
            <w:tcW w:w="1202" w:type="dxa"/>
            <w:vMerge w:val="restart"/>
            <w:tcBorders>
              <w:top w:val="nil" w:sz="6" w:space="0" w:color="auto"/>
              <w:left w:val="single" w:sz="6" w:space="0" w:color="000000"/>
              <w:right w:val="single" w:sz="6" w:space="0" w:color="000000"/>
            </w:tcBorders>
            <w:shd w:val="clear" w:color="auto" w:fill="D2D2D2"/>
          </w:tcPr>
          <w:p>
            <w:pPr/>
          </w:p>
        </w:tc>
        <w:tc>
          <w:tcPr>
            <w:tcW w:w="1055" w:type="dxa"/>
            <w:vMerge/>
            <w:tcBorders>
              <w:left w:val="single" w:sz="6" w:space="0" w:color="000000"/>
              <w:bottom w:val="nil" w:sz="6" w:space="0" w:color="auto"/>
              <w:right w:val="single" w:sz="6" w:space="0" w:color="000000"/>
            </w:tcBorders>
            <w:shd w:val="clear" w:color="auto" w:fill="D2D2D2"/>
          </w:tcPr>
          <w:p>
            <w:pPr/>
          </w:p>
        </w:tc>
        <w:tc>
          <w:tcPr>
            <w:tcW w:w="920" w:type="dxa"/>
            <w:vMerge w:val="restart"/>
            <w:tcBorders>
              <w:top w:val="nil" w:sz="6" w:space="0" w:color="auto"/>
              <w:left w:val="single" w:sz="6" w:space="0" w:color="000000"/>
              <w:right w:val="single" w:sz="6" w:space="0" w:color="000000"/>
            </w:tcBorders>
            <w:shd w:val="clear" w:color="auto" w:fill="D2D2D2"/>
          </w:tcPr>
          <w:p>
            <w:pPr/>
          </w:p>
        </w:tc>
        <w:tc>
          <w:tcPr>
            <w:tcW w:w="1216" w:type="dxa"/>
            <w:vMerge w:val="restart"/>
            <w:tcBorders>
              <w:top w:val="nil" w:sz="6" w:space="0" w:color="auto"/>
              <w:left w:val="single" w:sz="6" w:space="0" w:color="000000"/>
              <w:right w:val="single" w:sz="6" w:space="0" w:color="000000"/>
            </w:tcBorders>
            <w:shd w:val="clear" w:color="auto" w:fill="D2D2D2"/>
          </w:tcPr>
          <w:p>
            <w:pPr/>
          </w:p>
        </w:tc>
      </w:tr>
      <w:tr>
        <w:trPr>
          <w:trHeight w:val="165" w:hRule="exact"/>
        </w:trPr>
        <w:tc>
          <w:tcPr>
            <w:tcW w:w="965" w:type="dxa"/>
            <w:vMerge/>
            <w:tcBorders>
              <w:left w:val="single" w:sz="6" w:space="0" w:color="000000"/>
              <w:bottom w:val="single" w:sz="6" w:space="0" w:color="000000"/>
              <w:right w:val="single" w:sz="6" w:space="0" w:color="000000"/>
            </w:tcBorders>
            <w:shd w:val="clear" w:color="auto" w:fill="D2D2D2"/>
          </w:tcPr>
          <w:p>
            <w:pPr/>
          </w:p>
        </w:tc>
        <w:tc>
          <w:tcPr>
            <w:tcW w:w="1033" w:type="dxa"/>
            <w:vMerge/>
            <w:tcBorders>
              <w:left w:val="single" w:sz="6" w:space="0" w:color="000000"/>
              <w:bottom w:val="single" w:sz="6" w:space="0" w:color="000000"/>
              <w:right w:val="single" w:sz="6" w:space="0" w:color="000000"/>
            </w:tcBorders>
            <w:shd w:val="clear" w:color="auto" w:fill="D2D2D2"/>
          </w:tcPr>
          <w:p>
            <w:pPr/>
          </w:p>
        </w:tc>
        <w:tc>
          <w:tcPr>
            <w:tcW w:w="1059"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8" w:type="dxa"/>
            <w:vMerge/>
            <w:tcBorders>
              <w:left w:val="single" w:sz="6" w:space="0" w:color="000000"/>
              <w:bottom w:val="single" w:sz="6" w:space="0" w:color="000000"/>
              <w:right w:val="single" w:sz="6" w:space="0" w:color="000000"/>
            </w:tcBorders>
            <w:shd w:val="clear" w:color="auto" w:fill="D2D2D2"/>
          </w:tcPr>
          <w:p>
            <w:pPr/>
          </w:p>
        </w:tc>
        <w:tc>
          <w:tcPr>
            <w:tcW w:w="927"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2" w:type="dxa"/>
            <w:vMerge/>
            <w:tcBorders>
              <w:left w:val="single" w:sz="6" w:space="0" w:color="000000"/>
              <w:bottom w:val="single" w:sz="6" w:space="0" w:color="000000"/>
              <w:right w:val="single" w:sz="6" w:space="0" w:color="000000"/>
            </w:tcBorders>
            <w:shd w:val="clear" w:color="auto" w:fill="D2D2D2"/>
          </w:tcPr>
          <w:p>
            <w:pPr/>
          </w:p>
        </w:tc>
        <w:tc>
          <w:tcPr>
            <w:tcW w:w="1055" w:type="dxa"/>
            <w:tcBorders>
              <w:top w:val="nil" w:sz="6" w:space="0" w:color="auto"/>
              <w:left w:val="single" w:sz="6" w:space="0" w:color="000000"/>
              <w:bottom w:val="single" w:sz="6" w:space="0" w:color="000000"/>
              <w:right w:val="single" w:sz="6" w:space="0" w:color="000000"/>
            </w:tcBorders>
            <w:shd w:val="clear" w:color="auto" w:fill="D2D2D2"/>
          </w:tcPr>
          <w:p>
            <w:pPr/>
          </w:p>
        </w:tc>
        <w:tc>
          <w:tcPr>
            <w:tcW w:w="920" w:type="dxa"/>
            <w:vMerge/>
            <w:tcBorders>
              <w:left w:val="single" w:sz="6" w:space="0" w:color="000000"/>
              <w:bottom w:val="single" w:sz="6" w:space="0" w:color="000000"/>
              <w:right w:val="single" w:sz="6" w:space="0" w:color="000000"/>
            </w:tcBorders>
            <w:shd w:val="clear" w:color="auto" w:fill="D2D2D2"/>
          </w:tcPr>
          <w:p>
            <w:pPr/>
          </w:p>
        </w:tc>
        <w:tc>
          <w:tcPr>
            <w:tcW w:w="1216" w:type="dxa"/>
            <w:vMerge/>
            <w:tcBorders>
              <w:left w:val="single" w:sz="6" w:space="0" w:color="000000"/>
              <w:bottom w:val="single" w:sz="6" w:space="0" w:color="000000"/>
              <w:right w:val="single" w:sz="6" w:space="0" w:color="000000"/>
            </w:tcBorders>
            <w:shd w:val="clear" w:color="auto" w:fill="D2D2D2"/>
          </w:tcPr>
          <w:p>
            <w:pPr/>
          </w:p>
        </w:tc>
      </w:tr>
      <w:tr>
        <w:trPr>
          <w:trHeight w:val="398" w:hRule="exact"/>
        </w:trPr>
        <w:tc>
          <w:tcPr>
            <w:tcW w:w="9574"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7"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7" w:hRule="exact"/>
        </w:trPr>
        <w:tc>
          <w:tcPr>
            <w:tcW w:w="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7" w:right="3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 融资产（不 含衍生金融</w:t>
            </w:r>
          </w:p>
          <w:p>
            <w:pPr>
              <w:pStyle w:val="TableParagraph"/>
              <w:spacing w:line="240" w:lineRule="auto" w:before="36"/>
              <w:ind w:left="7" w:right="0"/>
              <w:jc w:val="both"/>
              <w:rPr>
                <w:rFonts w:ascii="宋体" w:hAnsi="宋体" w:cs="宋体" w:eastAsia="宋体" w:hint="default"/>
                <w:sz w:val="18"/>
                <w:szCs w:val="18"/>
              </w:rPr>
            </w:pPr>
            <w:r>
              <w:rPr>
                <w:rFonts w:ascii="宋体" w:hAnsi="宋体" w:cs="宋体" w:eastAsia="宋体" w:hint="default"/>
                <w:sz w:val="18"/>
                <w:szCs w:val="18"/>
              </w:rPr>
              <w:t>资产）</w:t>
            </w:r>
          </w:p>
        </w:tc>
        <w:tc>
          <w:tcPr>
            <w:tcW w:w="10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286,516,374.</w:t>
            </w: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63</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1,407,317.58</w:t>
            </w:r>
          </w:p>
        </w:tc>
        <w:tc>
          <w:tcPr>
            <w:tcW w:w="1198" w:type="dxa"/>
            <w:tcBorders>
              <w:top w:val="single" w:sz="6" w:space="0" w:color="000000"/>
              <w:left w:val="single" w:sz="6" w:space="0" w:color="000000"/>
              <w:bottom w:val="single" w:sz="6" w:space="0" w:color="000000"/>
              <w:right w:val="single" w:sz="6" w:space="0" w:color="000000"/>
            </w:tcBorders>
          </w:tcPr>
          <w:p>
            <w:pPr/>
          </w:p>
        </w:tc>
        <w:tc>
          <w:tcPr>
            <w:tcW w:w="927"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77,973,684.00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254,516,374.</w:t>
            </w:r>
          </w:p>
          <w:p>
            <w:pPr>
              <w:pStyle w:val="TableParagraph"/>
              <w:spacing w:line="240" w:lineRule="auto" w:before="108"/>
              <w:ind w:right="9"/>
              <w:jc w:val="right"/>
              <w:rPr>
                <w:rFonts w:ascii="Times New Roman" w:hAnsi="Times New Roman" w:cs="Times New Roman" w:eastAsia="Times New Roman" w:hint="default"/>
                <w:sz w:val="18"/>
                <w:szCs w:val="18"/>
              </w:rPr>
            </w:pPr>
            <w:r>
              <w:rPr>
                <w:rFonts w:ascii="Times New Roman"/>
                <w:sz w:val="18"/>
              </w:rPr>
              <w:t>63</w:t>
            </w:r>
          </w:p>
        </w:tc>
        <w:tc>
          <w:tcPr>
            <w:tcW w:w="920"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111,381,001.58</w:t>
            </w:r>
          </w:p>
        </w:tc>
      </w:tr>
      <w:tr>
        <w:trPr>
          <w:trHeight w:val="721" w:hRule="exact"/>
        </w:trPr>
        <w:tc>
          <w:tcPr>
            <w:tcW w:w="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 投资</w:t>
            </w:r>
          </w:p>
        </w:tc>
        <w:tc>
          <w:tcPr>
            <w:tcW w:w="10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5,000,000.00</w:t>
            </w:r>
          </w:p>
        </w:tc>
        <w:tc>
          <w:tcPr>
            <w:tcW w:w="1059"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927"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705" w:hRule="exact"/>
        </w:trPr>
        <w:tc>
          <w:tcPr>
            <w:tcW w:w="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0"/>
              <w:jc w:val="left"/>
              <w:rPr>
                <w:rFonts w:ascii="宋体" w:hAnsi="宋体" w:cs="宋体" w:eastAsia="宋体" w:hint="default"/>
                <w:sz w:val="18"/>
                <w:szCs w:val="18"/>
              </w:rPr>
            </w:pPr>
            <w:r>
              <w:rPr>
                <w:rFonts w:ascii="宋体" w:hAnsi="宋体" w:cs="宋体" w:eastAsia="宋体" w:hint="default"/>
                <w:sz w:val="18"/>
                <w:szCs w:val="18"/>
              </w:rPr>
              <w:t>金融资产小 计</w:t>
            </w:r>
          </w:p>
        </w:tc>
        <w:tc>
          <w:tcPr>
            <w:tcW w:w="10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22"/>
              <w:jc w:val="right"/>
              <w:rPr>
                <w:rFonts w:ascii="Times New Roman" w:hAnsi="Times New Roman" w:cs="Times New Roman" w:eastAsia="Times New Roman" w:hint="default"/>
                <w:sz w:val="18"/>
                <w:szCs w:val="18"/>
              </w:rPr>
            </w:pPr>
            <w:r>
              <w:rPr>
                <w:rFonts w:ascii="Times New Roman"/>
                <w:sz w:val="18"/>
              </w:rPr>
              <w:t>291,516,374.</w:t>
            </w: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63</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1,407,317.58</w:t>
            </w:r>
          </w:p>
        </w:tc>
        <w:tc>
          <w:tcPr>
            <w:tcW w:w="1198" w:type="dxa"/>
            <w:tcBorders>
              <w:top w:val="single" w:sz="6" w:space="0" w:color="000000"/>
              <w:left w:val="single" w:sz="6" w:space="0" w:color="000000"/>
              <w:bottom w:val="single" w:sz="6" w:space="0" w:color="000000"/>
              <w:right w:val="single" w:sz="6" w:space="0" w:color="000000"/>
            </w:tcBorders>
          </w:tcPr>
          <w:p>
            <w:pPr/>
          </w:p>
        </w:tc>
        <w:tc>
          <w:tcPr>
            <w:tcW w:w="927"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77,973,684.00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
              <w:jc w:val="right"/>
              <w:rPr>
                <w:rFonts w:ascii="Times New Roman" w:hAnsi="Times New Roman" w:cs="Times New Roman" w:eastAsia="Times New Roman" w:hint="default"/>
                <w:sz w:val="18"/>
                <w:szCs w:val="18"/>
              </w:rPr>
            </w:pPr>
            <w:r>
              <w:rPr>
                <w:rFonts w:ascii="Times New Roman"/>
                <w:sz w:val="18"/>
              </w:rPr>
              <w:t>254,516,374.</w:t>
            </w:r>
          </w:p>
          <w:p>
            <w:pPr>
              <w:pStyle w:val="TableParagraph"/>
              <w:spacing w:line="240" w:lineRule="auto" w:before="108"/>
              <w:ind w:right="9"/>
              <w:jc w:val="right"/>
              <w:rPr>
                <w:rFonts w:ascii="Times New Roman" w:hAnsi="Times New Roman" w:cs="Times New Roman" w:eastAsia="Times New Roman" w:hint="default"/>
                <w:sz w:val="18"/>
                <w:szCs w:val="18"/>
              </w:rPr>
            </w:pPr>
            <w:r>
              <w:rPr>
                <w:rFonts w:ascii="Times New Roman"/>
                <w:sz w:val="18"/>
              </w:rPr>
              <w:t>63</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111,381,001.58</w:t>
            </w:r>
          </w:p>
        </w:tc>
      </w:tr>
      <w:tr>
        <w:trPr>
          <w:trHeight w:val="158" w:hRule="exact"/>
        </w:trPr>
        <w:tc>
          <w:tcPr>
            <w:tcW w:w="965" w:type="dxa"/>
            <w:tcBorders>
              <w:top w:val="single" w:sz="6" w:space="0" w:color="000000"/>
              <w:left w:val="single" w:sz="6" w:space="0" w:color="000000"/>
              <w:bottom w:val="nil" w:sz="6" w:space="0" w:color="auto"/>
              <w:right w:val="single" w:sz="6" w:space="0" w:color="000000"/>
            </w:tcBorders>
            <w:shd w:val="clear" w:color="auto" w:fill="D2D2D2"/>
          </w:tcPr>
          <w:p>
            <w:pPr/>
          </w:p>
        </w:tc>
        <w:tc>
          <w:tcPr>
            <w:tcW w:w="1033" w:type="dxa"/>
            <w:vMerge w:val="restart"/>
            <w:tcBorders>
              <w:top w:val="single" w:sz="6" w:space="0" w:color="000000"/>
              <w:left w:val="single" w:sz="12" w:space="0" w:color="D2D2D2"/>
              <w:right w:val="single" w:sz="6" w:space="0" w:color="000000"/>
            </w:tcBorders>
          </w:tcPr>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z w:val="18"/>
              </w:rPr>
              <w:t>291,516,374.</w:t>
            </w: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63</w:t>
            </w:r>
          </w:p>
        </w:tc>
        <w:tc>
          <w:tcPr>
            <w:tcW w:w="1059"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1,407,317.58</w:t>
            </w:r>
          </w:p>
        </w:tc>
        <w:tc>
          <w:tcPr>
            <w:tcW w:w="1198" w:type="dxa"/>
            <w:vMerge w:val="restart"/>
            <w:tcBorders>
              <w:top w:val="single" w:sz="6" w:space="0" w:color="000000"/>
              <w:left w:val="single" w:sz="6" w:space="0" w:color="000000"/>
              <w:right w:val="single" w:sz="6" w:space="0" w:color="000000"/>
            </w:tcBorders>
          </w:tcPr>
          <w:p>
            <w:pPr/>
          </w:p>
        </w:tc>
        <w:tc>
          <w:tcPr>
            <w:tcW w:w="927" w:type="dxa"/>
            <w:vMerge w:val="restart"/>
            <w:tcBorders>
              <w:top w:val="single" w:sz="6" w:space="0" w:color="000000"/>
              <w:left w:val="single" w:sz="6" w:space="0" w:color="000000"/>
              <w:right w:val="single" w:sz="6" w:space="0" w:color="000000"/>
            </w:tcBorders>
          </w:tcPr>
          <w:p>
            <w:pP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77,973,684.00</w:t>
            </w:r>
          </w:p>
        </w:tc>
        <w:tc>
          <w:tcPr>
            <w:tcW w:w="1055" w:type="dxa"/>
            <w:vMerge w:val="restart"/>
            <w:tcBorders>
              <w:top w:val="single" w:sz="6" w:space="0" w:color="000000"/>
              <w:left w:val="single" w:sz="6" w:space="0" w:color="000000"/>
              <w:right w:val="single" w:sz="6" w:space="0" w:color="000000"/>
            </w:tcBorders>
          </w:tcPr>
          <w:p>
            <w:pPr>
              <w:pStyle w:val="TableParagraph"/>
              <w:spacing w:line="240" w:lineRule="auto" w:before="102"/>
              <w:ind w:right="10"/>
              <w:jc w:val="right"/>
              <w:rPr>
                <w:rFonts w:ascii="Times New Roman" w:hAnsi="Times New Roman" w:cs="Times New Roman" w:eastAsia="Times New Roman" w:hint="default"/>
                <w:sz w:val="18"/>
                <w:szCs w:val="18"/>
              </w:rPr>
            </w:pPr>
            <w:r>
              <w:rPr>
                <w:rFonts w:ascii="Times New Roman"/>
                <w:sz w:val="18"/>
              </w:rPr>
              <w:t>254,516,374.</w:t>
            </w:r>
          </w:p>
          <w:p>
            <w:pPr>
              <w:pStyle w:val="TableParagraph"/>
              <w:spacing w:line="240" w:lineRule="auto" w:before="108"/>
              <w:ind w:right="9"/>
              <w:jc w:val="right"/>
              <w:rPr>
                <w:rFonts w:ascii="Times New Roman" w:hAnsi="Times New Roman" w:cs="Times New Roman" w:eastAsia="Times New Roman" w:hint="default"/>
                <w:sz w:val="18"/>
                <w:szCs w:val="18"/>
              </w:rPr>
            </w:pPr>
            <w:r>
              <w:rPr>
                <w:rFonts w:ascii="Times New Roman"/>
                <w:sz w:val="18"/>
              </w:rPr>
              <w:t>63</w:t>
            </w:r>
          </w:p>
        </w:tc>
        <w:tc>
          <w:tcPr>
            <w:tcW w:w="920"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121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111,381,001.58</w:t>
            </w:r>
          </w:p>
        </w:tc>
      </w:tr>
      <w:tr>
        <w:trPr>
          <w:trHeight w:val="405" w:hRule="exact"/>
        </w:trPr>
        <w:tc>
          <w:tcPr>
            <w:tcW w:w="96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220"/>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033" w:type="dxa"/>
            <w:vMerge/>
            <w:tcBorders>
              <w:left w:val="single" w:sz="12" w:space="0" w:color="D2D2D2"/>
              <w:right w:val="single" w:sz="6" w:space="0" w:color="000000"/>
            </w:tcBorders>
          </w:tcPr>
          <w:p>
            <w:pPr/>
          </w:p>
        </w:tc>
        <w:tc>
          <w:tcPr>
            <w:tcW w:w="1059" w:type="dxa"/>
            <w:vMerge/>
            <w:tcBorders>
              <w:left w:val="single" w:sz="6" w:space="0" w:color="000000"/>
              <w:right w:val="single" w:sz="6" w:space="0" w:color="000000"/>
            </w:tcBorders>
          </w:tcPr>
          <w:p>
            <w:pPr/>
          </w:p>
        </w:tc>
        <w:tc>
          <w:tcPr>
            <w:tcW w:w="1198" w:type="dxa"/>
            <w:vMerge/>
            <w:tcBorders>
              <w:left w:val="single" w:sz="6" w:space="0" w:color="000000"/>
              <w:right w:val="single" w:sz="6" w:space="0" w:color="000000"/>
            </w:tcBorders>
          </w:tcPr>
          <w:p>
            <w:pPr/>
          </w:p>
        </w:tc>
        <w:tc>
          <w:tcPr>
            <w:tcW w:w="927" w:type="dxa"/>
            <w:vMerge/>
            <w:tcBorders>
              <w:left w:val="single" w:sz="6" w:space="0" w:color="000000"/>
              <w:right w:val="single" w:sz="6" w:space="0" w:color="000000"/>
            </w:tcBorders>
          </w:tcPr>
          <w:p>
            <w:pPr/>
          </w:p>
        </w:tc>
        <w:tc>
          <w:tcPr>
            <w:tcW w:w="1202" w:type="dxa"/>
            <w:vMerge/>
            <w:tcBorders>
              <w:left w:val="single" w:sz="6" w:space="0" w:color="000000"/>
              <w:right w:val="single" w:sz="6" w:space="0" w:color="000000"/>
            </w:tcBorders>
          </w:tcPr>
          <w:p>
            <w:pPr/>
          </w:p>
        </w:tc>
        <w:tc>
          <w:tcPr>
            <w:tcW w:w="1055" w:type="dxa"/>
            <w:vMerge/>
            <w:tcBorders>
              <w:left w:val="single" w:sz="6" w:space="0" w:color="000000"/>
              <w:right w:val="single" w:sz="6" w:space="0" w:color="000000"/>
            </w:tcBorders>
          </w:tcPr>
          <w:p>
            <w:pPr/>
          </w:p>
        </w:tc>
        <w:tc>
          <w:tcPr>
            <w:tcW w:w="920" w:type="dxa"/>
            <w:vMerge/>
            <w:tcBorders>
              <w:left w:val="single" w:sz="6" w:space="0" w:color="000000"/>
              <w:right w:val="single" w:sz="6" w:space="0" w:color="000000"/>
            </w:tcBorders>
          </w:tcPr>
          <w:p>
            <w:pPr/>
          </w:p>
        </w:tc>
        <w:tc>
          <w:tcPr>
            <w:tcW w:w="1216" w:type="dxa"/>
            <w:vMerge/>
            <w:tcBorders>
              <w:left w:val="single" w:sz="6" w:space="0" w:color="000000"/>
              <w:right w:val="single" w:sz="6" w:space="0" w:color="000000"/>
            </w:tcBorders>
          </w:tcPr>
          <w:p>
            <w:pPr/>
          </w:p>
        </w:tc>
      </w:tr>
      <w:tr>
        <w:trPr>
          <w:trHeight w:val="158" w:hRule="exact"/>
        </w:trPr>
        <w:tc>
          <w:tcPr>
            <w:tcW w:w="965" w:type="dxa"/>
            <w:tcBorders>
              <w:top w:val="nil" w:sz="6" w:space="0" w:color="auto"/>
              <w:left w:val="single" w:sz="6" w:space="0" w:color="000000"/>
              <w:bottom w:val="single" w:sz="6" w:space="0" w:color="000000"/>
              <w:right w:val="single" w:sz="6" w:space="0" w:color="000000"/>
            </w:tcBorders>
            <w:shd w:val="clear" w:color="auto" w:fill="D2D2D2"/>
          </w:tcPr>
          <w:p>
            <w:pPr/>
          </w:p>
        </w:tc>
        <w:tc>
          <w:tcPr>
            <w:tcW w:w="1033" w:type="dxa"/>
            <w:vMerge/>
            <w:tcBorders>
              <w:left w:val="single" w:sz="12" w:space="0" w:color="D2D2D2"/>
              <w:bottom w:val="single" w:sz="6" w:space="0" w:color="000000"/>
              <w:right w:val="single" w:sz="6" w:space="0" w:color="000000"/>
            </w:tcBorders>
          </w:tcPr>
          <w:p>
            <w:pPr/>
          </w:p>
        </w:tc>
        <w:tc>
          <w:tcPr>
            <w:tcW w:w="1059" w:type="dxa"/>
            <w:vMerge/>
            <w:tcBorders>
              <w:left w:val="single" w:sz="6" w:space="0" w:color="000000"/>
              <w:bottom w:val="single" w:sz="6" w:space="0" w:color="000000"/>
              <w:right w:val="single" w:sz="6" w:space="0" w:color="000000"/>
            </w:tcBorders>
          </w:tcPr>
          <w:p>
            <w:pPr/>
          </w:p>
        </w:tc>
        <w:tc>
          <w:tcPr>
            <w:tcW w:w="1198" w:type="dxa"/>
            <w:vMerge/>
            <w:tcBorders>
              <w:left w:val="single" w:sz="6" w:space="0" w:color="000000"/>
              <w:bottom w:val="single" w:sz="6" w:space="0" w:color="000000"/>
              <w:right w:val="single" w:sz="6" w:space="0" w:color="000000"/>
            </w:tcBorders>
          </w:tcPr>
          <w:p>
            <w:pPr/>
          </w:p>
        </w:tc>
        <w:tc>
          <w:tcPr>
            <w:tcW w:w="927"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055" w:type="dxa"/>
            <w:vMerge/>
            <w:tcBorders>
              <w:left w:val="single" w:sz="6" w:space="0" w:color="000000"/>
              <w:bottom w:val="single" w:sz="6" w:space="0" w:color="000000"/>
              <w:right w:val="single" w:sz="6" w:space="0" w:color="000000"/>
            </w:tcBorders>
          </w:tcPr>
          <w:p>
            <w:pPr/>
          </w:p>
        </w:tc>
        <w:tc>
          <w:tcPr>
            <w:tcW w:w="920" w:type="dxa"/>
            <w:vMerge/>
            <w:tcBorders>
              <w:left w:val="single" w:sz="6" w:space="0" w:color="000000"/>
              <w:bottom w:val="single" w:sz="6" w:space="0" w:color="000000"/>
              <w:right w:val="single" w:sz="6" w:space="0" w:color="000000"/>
            </w:tcBorders>
          </w:tcPr>
          <w:p>
            <w:pPr/>
          </w:p>
        </w:tc>
        <w:tc>
          <w:tcPr>
            <w:tcW w:w="1216" w:type="dxa"/>
            <w:vMerge/>
            <w:tcBorders>
              <w:left w:val="single" w:sz="6" w:space="0" w:color="000000"/>
              <w:bottom w:val="single" w:sz="6" w:space="0" w:color="000000"/>
              <w:right w:val="single" w:sz="6" w:space="0" w:color="000000"/>
            </w:tcBorders>
          </w:tcPr>
          <w:p>
            <w:pPr/>
          </w:p>
        </w:tc>
      </w:tr>
      <w:tr>
        <w:trPr>
          <w:trHeight w:val="390" w:hRule="exact"/>
        </w:trPr>
        <w:tc>
          <w:tcPr>
            <w:tcW w:w="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20"/>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0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0.00</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5,266.43</w:t>
            </w:r>
          </w:p>
        </w:tc>
        <w:tc>
          <w:tcPr>
            <w:tcW w:w="1198" w:type="dxa"/>
            <w:tcBorders>
              <w:top w:val="single" w:sz="6" w:space="0" w:color="000000"/>
              <w:left w:val="single" w:sz="6" w:space="0" w:color="000000"/>
              <w:bottom w:val="single" w:sz="6" w:space="0" w:color="000000"/>
              <w:right w:val="single" w:sz="6" w:space="0" w:color="000000"/>
            </w:tcBorders>
          </w:tcPr>
          <w:p>
            <w:pPr/>
          </w:p>
        </w:tc>
        <w:tc>
          <w:tcPr>
            <w:tcW w:w="927"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3" w:right="0"/>
              <w:jc w:val="center"/>
              <w:rPr>
                <w:rFonts w:ascii="Times New Roman" w:hAnsi="Times New Roman" w:cs="Times New Roman" w:eastAsia="Times New Roman" w:hint="default"/>
                <w:sz w:val="18"/>
                <w:szCs w:val="18"/>
              </w:rPr>
            </w:pPr>
            <w:r>
              <w:rPr>
                <w:rFonts w:ascii="Times New Roman"/>
                <w:sz w:val="18"/>
              </w:rPr>
              <w:t>1,000,000.00</w:t>
            </w:r>
          </w:p>
        </w:tc>
        <w:tc>
          <w:tcPr>
            <w:tcW w:w="1055"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994,733.57</w:t>
            </w:r>
          </w:p>
        </w:tc>
      </w:tr>
    </w:tbl>
    <w:p>
      <w:pPr>
        <w:pStyle w:val="BodyText"/>
        <w:spacing w:line="240" w:lineRule="auto" w:before="45"/>
        <w:ind w:right="1105"/>
        <w:jc w:val="left"/>
      </w:pPr>
      <w:r>
        <w:rPr/>
        <w:t>其他变动的内容</w:t>
      </w:r>
    </w:p>
    <w:p>
      <w:pPr>
        <w:pStyle w:val="BodyText"/>
        <w:spacing w:line="319" w:lineRule="auto" w:before="139"/>
        <w:ind w:right="6789"/>
        <w:jc w:val="left"/>
      </w:pPr>
      <w:r>
        <w:rPr/>
        <w:t>其他变动</w:t>
      </w:r>
      <w:r>
        <w:rPr>
          <w:rFonts w:ascii="Times New Roman" w:hAnsi="Times New Roman" w:cs="Times New Roman" w:eastAsia="Times New Roman" w:hint="default"/>
        </w:rPr>
        <w:t>5,000,000.00</w:t>
      </w:r>
      <w:r>
        <w:rPr/>
        <w:t>元是数联领航公司债转股。 报告期内公司主要资产计量属性是否发生重大变化</w:t>
      </w:r>
    </w:p>
    <w:p>
      <w:pPr>
        <w:pStyle w:val="BodyText"/>
        <w:spacing w:line="240" w:lineRule="auto" w:before="80"/>
        <w:ind w:right="110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6"/>
        <w:rPr>
          <w:rFonts w:ascii="宋体" w:hAnsi="宋体" w:cs="宋体" w:eastAsia="宋体" w:hint="default"/>
          <w:sz w:val="26"/>
          <w:szCs w:val="26"/>
        </w:rPr>
      </w:pPr>
    </w:p>
    <w:p>
      <w:pPr>
        <w:pStyle w:val="Heading3"/>
        <w:spacing w:line="240" w:lineRule="auto"/>
        <w:ind w:right="1105"/>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4"/>
          <w:szCs w:val="24"/>
        </w:rPr>
      </w:pPr>
    </w:p>
    <w:tbl>
      <w:tblPr>
        <w:tblW w:w="0" w:type="auto"/>
        <w:jc w:val="left"/>
        <w:tblInd w:w="111" w:type="dxa"/>
        <w:tblLayout w:type="fixed"/>
        <w:tblCellMar>
          <w:top w:w="0" w:type="dxa"/>
          <w:left w:w="0" w:type="dxa"/>
          <w:bottom w:w="0" w:type="dxa"/>
          <w:right w:w="0" w:type="dxa"/>
        </w:tblCellMar>
        <w:tblLook w:val="01E0"/>
      </w:tblPr>
      <w:tblGrid>
        <w:gridCol w:w="2854"/>
        <w:gridCol w:w="3440"/>
        <w:gridCol w:w="3379"/>
      </w:tblGrid>
      <w:tr>
        <w:trPr>
          <w:trHeight w:val="338" w:hRule="exact"/>
        </w:trPr>
        <w:tc>
          <w:tcPr>
            <w:tcW w:w="28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right="29"/>
              <w:jc w:val="center"/>
              <w:rPr>
                <w:rFonts w:ascii="宋体" w:hAnsi="宋体" w:cs="宋体" w:eastAsia="宋体" w:hint="default"/>
                <w:sz w:val="18"/>
                <w:szCs w:val="18"/>
              </w:rPr>
            </w:pPr>
            <w:r>
              <w:rPr>
                <w:rFonts w:ascii="宋体" w:hAnsi="宋体" w:cs="宋体" w:eastAsia="宋体" w:hint="default"/>
                <w:sz w:val="18"/>
                <w:szCs w:val="18"/>
              </w:rPr>
              <w:t>期末账面价值</w:t>
            </w:r>
          </w:p>
        </w:tc>
        <w:tc>
          <w:tcPr>
            <w:tcW w:w="33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35" w:hRule="exact"/>
        </w:trPr>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14"/>
              <w:jc w:val="right"/>
              <w:rPr>
                <w:rFonts w:ascii="Times New Roman" w:hAnsi="Times New Roman" w:cs="Times New Roman" w:eastAsia="Times New Roman" w:hint="default"/>
                <w:sz w:val="18"/>
                <w:szCs w:val="18"/>
              </w:rPr>
            </w:pPr>
            <w:r>
              <w:rPr>
                <w:rFonts w:ascii="Times New Roman"/>
                <w:sz w:val="18"/>
              </w:rPr>
              <w:t>4,527,166.38</w:t>
            </w:r>
          </w:p>
        </w:tc>
        <w:tc>
          <w:tcPr>
            <w:tcW w:w="3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420" w:hRule="exact"/>
        </w:trPr>
        <w:tc>
          <w:tcPr>
            <w:tcW w:w="28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3"/>
              <w:jc w:val="right"/>
              <w:rPr>
                <w:rFonts w:ascii="Times New Roman" w:hAnsi="Times New Roman" w:cs="Times New Roman" w:eastAsia="Times New Roman" w:hint="default"/>
                <w:sz w:val="18"/>
                <w:szCs w:val="18"/>
              </w:rPr>
            </w:pPr>
            <w:r>
              <w:rPr>
                <w:rFonts w:ascii="Times New Roman"/>
                <w:sz w:val="18"/>
              </w:rPr>
              <w:t>4,527,166.38</w:t>
            </w:r>
          </w:p>
        </w:tc>
        <w:tc>
          <w:tcPr>
            <w:tcW w:w="33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2"/>
          <w:szCs w:val="22"/>
        </w:rPr>
      </w:pPr>
    </w:p>
    <w:p>
      <w:pPr>
        <w:pStyle w:val="Heading2"/>
        <w:spacing w:line="240" w:lineRule="auto" w:before="26"/>
        <w:ind w:right="1105"/>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05"/>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6"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76"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27" w:right="0"/>
              <w:jc w:val="left"/>
              <w:rPr>
                <w:rFonts w:ascii="Times New Roman" w:hAnsi="Times New Roman" w:cs="Times New Roman" w:eastAsia="Times New Roman" w:hint="default"/>
                <w:sz w:val="18"/>
                <w:szCs w:val="18"/>
              </w:rPr>
            </w:pPr>
            <w:r>
              <w:rPr>
                <w:rFonts w:ascii="Times New Roman"/>
                <w:sz w:val="18"/>
              </w:rPr>
              <w:t>840,776,866.04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892" w:right="0"/>
              <w:jc w:val="left"/>
              <w:rPr>
                <w:rFonts w:ascii="Times New Roman" w:hAnsi="Times New Roman" w:cs="Times New Roman" w:eastAsia="Times New Roman" w:hint="default"/>
                <w:sz w:val="18"/>
                <w:szCs w:val="18"/>
              </w:rPr>
            </w:pPr>
            <w:r>
              <w:rPr>
                <w:rFonts w:ascii="Times New Roman"/>
                <w:sz w:val="18"/>
              </w:rPr>
              <w:t>4,301,621,056.00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-80.45%</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r>
        <w:rPr/>
        <w:pict>
          <v:shape style="position:absolute;margin-left:93.125pt;margin-top:546.474976pt;width:66.1pt;height:78.1pt;mso-position-horizontal-relative:page;mso-position-vertical-relative:page;z-index:-1326040" type="#_x0000_t202" filled="false" stroked="false">
            <v:textbox inset="0,0,0,0">
              <w:txbxContent>
                <w:p>
                  <w:pPr>
                    <w:spacing w:line="240" w:lineRule="auto" w:before="9"/>
                    <w:rPr>
                      <w:rFonts w:ascii="宋体" w:hAnsi="宋体" w:cs="宋体" w:eastAsia="宋体" w:hint="default"/>
                      <w:sz w:val="20"/>
                      <w:szCs w:val="20"/>
                    </w:rPr>
                  </w:pPr>
                </w:p>
                <w:p>
                  <w:pPr>
                    <w:pStyle w:val="BodyText"/>
                    <w:spacing w:line="240" w:lineRule="auto"/>
                    <w:ind w:left="0" w:right="0"/>
                    <w:jc w:val="left"/>
                  </w:pPr>
                  <w:r>
                    <w:rPr/>
                    <w:t>付系统）</w:t>
                  </w:r>
                </w:p>
              </w:txbxContent>
            </v:textbox>
            <w10:wrap type="none"/>
          </v:shape>
        </w:pict>
      </w:r>
    </w:p>
    <w:p>
      <w:pPr>
        <w:pStyle w:val="Heading3"/>
        <w:spacing w:line="240" w:lineRule="auto" w:before="35"/>
        <w:ind w:right="1105"/>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691"/>
        <w:gridCol w:w="691"/>
        <w:gridCol w:w="676"/>
        <w:gridCol w:w="661"/>
        <w:gridCol w:w="661"/>
        <w:gridCol w:w="661"/>
        <w:gridCol w:w="661"/>
        <w:gridCol w:w="660"/>
        <w:gridCol w:w="646"/>
        <w:gridCol w:w="631"/>
        <w:gridCol w:w="751"/>
        <w:gridCol w:w="736"/>
        <w:gridCol w:w="721"/>
        <w:gridCol w:w="736"/>
      </w:tblGrid>
      <w:tr>
        <w:trPr>
          <w:trHeight w:val="1021" w:hRule="exact"/>
        </w:trPr>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60" w:right="75"/>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54" w:right="58"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40" w:right="60" w:hanging="181"/>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25" w:right="60" w:hanging="181"/>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25" w:right="5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25" w:right="59" w:hanging="181"/>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25" w:right="5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25" w:right="45" w:hanging="181"/>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25" w:right="2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05" w:right="88"/>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55" w:right="103"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5"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90" w:right="88"/>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652" w:hRule="exact"/>
        </w:trPr>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5" w:right="120"/>
              <w:jc w:val="both"/>
              <w:rPr>
                <w:rFonts w:ascii="宋体" w:hAnsi="宋体" w:cs="宋体" w:eastAsia="宋体" w:hint="default"/>
                <w:sz w:val="18"/>
                <w:szCs w:val="18"/>
              </w:rPr>
            </w:pPr>
            <w:r>
              <w:rPr>
                <w:rFonts w:ascii="宋体" w:hAnsi="宋体" w:cs="宋体" w:eastAsia="宋体" w:hint="default"/>
                <w:sz w:val="18"/>
                <w:szCs w:val="18"/>
              </w:rPr>
              <w:t>苏州电 满满汽 车有限 公司</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103"/>
              <w:jc w:val="both"/>
              <w:rPr>
                <w:rFonts w:ascii="宋体" w:hAnsi="宋体" w:cs="宋体" w:eastAsia="宋体" w:hint="default"/>
                <w:sz w:val="18"/>
                <w:szCs w:val="18"/>
              </w:rPr>
            </w:pPr>
            <w:r>
              <w:rPr>
                <w:rFonts w:ascii="宋体" w:hAnsi="宋体" w:cs="宋体" w:eastAsia="宋体" w:hint="default"/>
                <w:sz w:val="18"/>
                <w:szCs w:val="18"/>
              </w:rPr>
              <w:t>充电桩 设施的 建设和 运营管 理服务</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6,300,0</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00.00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31.50%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21" w:lineRule="auto"/>
              <w:ind w:left="14" w:right="89"/>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21" w:lineRule="auto"/>
              <w:ind w:left="15" w:right="90"/>
              <w:jc w:val="left"/>
              <w:rPr>
                <w:rFonts w:ascii="宋体" w:hAnsi="宋体" w:cs="宋体" w:eastAsia="宋体" w:hint="default"/>
                <w:sz w:val="18"/>
                <w:szCs w:val="18"/>
              </w:rPr>
            </w:pPr>
            <w:r>
              <w:rPr>
                <w:rFonts w:ascii="宋体" w:hAnsi="宋体" w:cs="宋体" w:eastAsia="宋体" w:hint="default"/>
                <w:sz w:val="18"/>
                <w:szCs w:val="18"/>
              </w:rPr>
              <w:t>金洁、 陈洋</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1,422,57</w:t>
            </w:r>
          </w:p>
          <w:p>
            <w:pPr>
              <w:pStyle w:val="TableParagraph"/>
              <w:spacing w:line="240" w:lineRule="auto" w:before="108"/>
              <w:ind w:left="405" w:right="0"/>
              <w:jc w:val="left"/>
              <w:rPr>
                <w:rFonts w:ascii="Times New Roman" w:hAnsi="Times New Roman" w:cs="Times New Roman" w:eastAsia="Times New Roman" w:hint="default"/>
                <w:sz w:val="18"/>
                <w:szCs w:val="18"/>
              </w:rPr>
            </w:pPr>
            <w:r>
              <w:rPr>
                <w:rFonts w:ascii="Times New Roman"/>
                <w:sz w:val="18"/>
              </w:rPr>
              <w:t>0.13</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3528" w:hRule="exact"/>
        </w:trPr>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15" w:right="120"/>
              <w:jc w:val="both"/>
              <w:rPr>
                <w:rFonts w:ascii="宋体" w:hAnsi="宋体" w:cs="宋体" w:eastAsia="宋体" w:hint="default"/>
                <w:sz w:val="18"/>
                <w:szCs w:val="18"/>
              </w:rPr>
            </w:pPr>
            <w:r>
              <w:rPr>
                <w:rFonts w:ascii="宋体" w:hAnsi="宋体" w:cs="宋体" w:eastAsia="宋体" w:hint="default"/>
                <w:sz w:val="18"/>
                <w:szCs w:val="18"/>
              </w:rPr>
              <w:t>重庆工 业大数 据创新 中心有 限公司</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30" w:right="13"/>
              <w:jc w:val="left"/>
              <w:rPr>
                <w:rFonts w:ascii="宋体" w:hAnsi="宋体" w:cs="宋体" w:eastAsia="宋体" w:hint="default"/>
                <w:sz w:val="18"/>
                <w:szCs w:val="18"/>
              </w:rPr>
            </w:pPr>
            <w:r>
              <w:rPr>
                <w:rFonts w:ascii="宋体" w:hAnsi="宋体" w:cs="宋体" w:eastAsia="宋体" w:hint="default"/>
                <w:sz w:val="18"/>
                <w:szCs w:val="18"/>
              </w:rPr>
              <w:t>数据采 </w:t>
            </w:r>
            <w:r>
              <w:rPr>
                <w:rFonts w:ascii="宋体" w:hAnsi="宋体" w:cs="宋体" w:eastAsia="宋体" w:hint="default"/>
                <w:spacing w:val="-23"/>
                <w:sz w:val="18"/>
                <w:szCs w:val="18"/>
              </w:rPr>
              <w:t>集、分析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与处理 服务等</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1,767,0</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00.00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11.78%</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21" w:lineRule="auto"/>
              <w:ind w:left="14" w:right="89"/>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4"/>
              <w:ind w:left="15" w:right="90"/>
              <w:jc w:val="both"/>
              <w:rPr>
                <w:rFonts w:ascii="宋体" w:hAnsi="宋体" w:cs="宋体" w:eastAsia="宋体" w:hint="default"/>
                <w:sz w:val="18"/>
                <w:szCs w:val="18"/>
              </w:rPr>
            </w:pPr>
            <w:r>
              <w:rPr>
                <w:rFonts w:ascii="宋体" w:hAnsi="宋体" w:cs="宋体" w:eastAsia="宋体" w:hint="default"/>
                <w:sz w:val="18"/>
                <w:szCs w:val="18"/>
              </w:rPr>
              <w:t>航天云 网科技 发展有 限责任 公司、 重庆市 同兴工 业园区 开发建 设有限 公司</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1,143,38</w:t>
            </w:r>
          </w:p>
          <w:p>
            <w:pPr>
              <w:pStyle w:val="TableParagraph"/>
              <w:spacing w:line="240" w:lineRule="auto" w:before="108"/>
              <w:ind w:left="405" w:right="0"/>
              <w:jc w:val="left"/>
              <w:rPr>
                <w:rFonts w:ascii="Times New Roman" w:hAnsi="Times New Roman" w:cs="Times New Roman" w:eastAsia="Times New Roman" w:hint="default"/>
                <w:sz w:val="18"/>
                <w:szCs w:val="18"/>
              </w:rPr>
            </w:pPr>
            <w:r>
              <w:rPr>
                <w:rFonts w:ascii="Times New Roman"/>
                <w:sz w:val="18"/>
              </w:rPr>
              <w:t>6.34</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3513" w:hRule="exact"/>
        </w:trPr>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326" w:lineRule="auto"/>
              <w:ind w:left="15"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邦道科 技有限 </w:t>
            </w:r>
            <w:r>
              <w:rPr>
                <w:rFonts w:ascii="宋体" w:hAnsi="宋体" w:cs="宋体" w:eastAsia="宋体" w:hint="default"/>
                <w:spacing w:val="-19"/>
                <w:sz w:val="18"/>
                <w:szCs w:val="18"/>
              </w:rPr>
              <w:t>公司（附</w:t>
            </w:r>
            <w:r>
              <w:rPr>
                <w:rFonts w:ascii="宋体" w:hAnsi="宋体" w:cs="宋体" w:eastAsia="宋体" w:hint="default"/>
                <w:sz w:val="18"/>
                <w:szCs w:val="18"/>
              </w:rPr>
              <w:t> 注八</w:t>
            </w:r>
            <w:r>
              <w:rPr>
                <w:rFonts w:ascii="Times New Roman" w:hAnsi="Times New Roman" w:cs="Times New Roman" w:eastAsia="Times New Roman" w:hint="default"/>
                <w:sz w:val="18"/>
                <w:szCs w:val="18"/>
              </w:rPr>
              <w:t>(1))</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103"/>
              <w:jc w:val="both"/>
              <w:rPr>
                <w:rFonts w:ascii="宋体" w:hAnsi="宋体" w:cs="宋体" w:eastAsia="宋体" w:hint="default"/>
                <w:sz w:val="18"/>
                <w:szCs w:val="18"/>
              </w:rPr>
            </w:pPr>
            <w:r>
              <w:rPr>
                <w:rFonts w:ascii="宋体" w:hAnsi="宋体" w:cs="宋体" w:eastAsia="宋体" w:hint="default"/>
                <w:sz w:val="18"/>
                <w:szCs w:val="18"/>
              </w:rPr>
              <w:t>公共事 业行业 专业化</w:t>
            </w:r>
          </w:p>
          <w:p>
            <w:pPr>
              <w:pStyle w:val="TableParagraph"/>
              <w:spacing w:line="240" w:lineRule="auto" w:before="81"/>
              <w:ind w:left="30" w:right="0"/>
              <w:jc w:val="both"/>
              <w:rPr>
                <w:rFonts w:ascii="Times New Roman" w:hAnsi="Times New Roman" w:cs="Times New Roman" w:eastAsia="Times New Roman" w:hint="default"/>
                <w:sz w:val="18"/>
                <w:szCs w:val="18"/>
              </w:rPr>
            </w:pPr>
            <w:r>
              <w:rPr>
                <w:rFonts w:ascii="Times New Roman"/>
                <w:sz w:val="18"/>
              </w:rPr>
              <w:t>EBPP</w:t>
            </w:r>
          </w:p>
          <w:p>
            <w:pPr>
              <w:pStyle w:val="TableParagraph"/>
              <w:spacing w:line="314" w:lineRule="auto" w:before="51"/>
              <w:ind w:left="30" w:right="103"/>
              <w:jc w:val="both"/>
              <w:rPr>
                <w:rFonts w:ascii="宋体" w:hAnsi="宋体" w:cs="宋体" w:eastAsia="宋体" w:hint="default"/>
                <w:sz w:val="18"/>
                <w:szCs w:val="18"/>
              </w:rPr>
            </w:pPr>
            <w:r>
              <w:rPr>
                <w:rFonts w:ascii="宋体" w:hAnsi="宋体" w:cs="宋体" w:eastAsia="宋体" w:hint="default"/>
                <w:sz w:val="18"/>
                <w:szCs w:val="18"/>
              </w:rPr>
              <w:t>（电子 账单处 理及支</w:t>
            </w:r>
          </w:p>
          <w:p>
            <w:pPr>
              <w:pStyle w:val="TableParagraph"/>
              <w:spacing w:line="240" w:lineRule="auto" w:before="12"/>
              <w:ind w:right="0"/>
              <w:jc w:val="left"/>
              <w:rPr>
                <w:rFonts w:ascii="宋体" w:hAnsi="宋体" w:cs="宋体" w:eastAsia="宋体" w:hint="default"/>
                <w:sz w:val="25"/>
                <w:szCs w:val="25"/>
              </w:rPr>
            </w:pPr>
          </w:p>
          <w:p>
            <w:pPr>
              <w:pStyle w:val="TableParagraph"/>
              <w:spacing w:line="314" w:lineRule="auto"/>
              <w:ind w:left="30" w:right="103"/>
              <w:jc w:val="both"/>
              <w:rPr>
                <w:rFonts w:ascii="宋体" w:hAnsi="宋体" w:cs="宋体" w:eastAsia="宋体" w:hint="default"/>
                <w:sz w:val="18"/>
                <w:szCs w:val="18"/>
              </w:rPr>
            </w:pPr>
            <w:r>
              <w:rPr>
                <w:rFonts w:ascii="宋体" w:hAnsi="宋体" w:cs="宋体" w:eastAsia="宋体" w:hint="default"/>
                <w:sz w:val="18"/>
                <w:szCs w:val="18"/>
              </w:rPr>
              <w:t>技术与 运营服 务</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收购</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1561" w:lineRule="exact"/>
              <w:ind w:right="-50"/>
              <w:jc w:val="left"/>
              <w:rPr>
                <w:rFonts w:ascii="宋体" w:hAnsi="宋体" w:cs="宋体" w:eastAsia="宋体" w:hint="default"/>
                <w:sz w:val="20"/>
                <w:szCs w:val="20"/>
              </w:rPr>
            </w:pPr>
            <w:r>
              <w:rPr>
                <w:rFonts w:ascii="宋体" w:hAnsi="宋体" w:cs="宋体" w:eastAsia="宋体" w:hint="default"/>
                <w:position w:val="-30"/>
                <w:sz w:val="20"/>
                <w:szCs w:val="20"/>
              </w:rPr>
              <w:pict>
                <v:group style="width:33.050pt;height:78.1pt;mso-position-horizontal-relative:char;mso-position-vertical-relative:line" coordorigin="0,0" coordsize="661,1562">
                  <v:group style="position:absolute;left:0;top:0;width:661;height:1562" coordorigin="0,0" coordsize="661,1562">
                    <v:shape style="position:absolute;left:0;top:0;width:661;height:1562" coordorigin="0,0" coordsize="661,1562" path="m0,1561l661,1561,661,0,0,0,0,1561xe" filled="true" fillcolor="#ffffff" stroked="false">
                      <v:path arrowok="t"/>
                      <v:fill type="solid"/>
                    </v:shape>
                  </v:group>
                </v:group>
              </w:pict>
            </w:r>
            <w:r>
              <w:rPr>
                <w:rFonts w:ascii="宋体" w:hAnsi="宋体" w:cs="宋体" w:eastAsia="宋体" w:hint="default"/>
                <w:position w:val="-30"/>
                <w:sz w:val="20"/>
                <w:szCs w:val="20"/>
              </w:rPr>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,000.00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50.00%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21" w:lineRule="auto"/>
              <w:ind w:left="14" w:right="89"/>
              <w:jc w:val="left"/>
              <w:rPr>
                <w:rFonts w:ascii="宋体" w:hAnsi="宋体" w:cs="宋体" w:eastAsia="宋体" w:hint="default"/>
                <w:sz w:val="18"/>
                <w:szCs w:val="18"/>
              </w:rPr>
            </w:pPr>
            <w:r>
              <w:rPr>
                <w:rFonts w:ascii="宋体" w:hAnsi="宋体" w:cs="宋体" w:eastAsia="宋体" w:hint="default"/>
                <w:sz w:val="18"/>
                <w:szCs w:val="18"/>
              </w:rPr>
              <w:t>发行股 份</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21" w:lineRule="auto"/>
              <w:ind w:left="15" w:right="90"/>
              <w:jc w:val="left"/>
              <w:rPr>
                <w:rFonts w:ascii="宋体" w:hAnsi="宋体" w:cs="宋体" w:eastAsia="宋体" w:hint="default"/>
                <w:sz w:val="18"/>
                <w:szCs w:val="18"/>
              </w:rPr>
            </w:pPr>
            <w:r>
              <w:rPr>
                <w:rFonts w:ascii="宋体" w:hAnsi="宋体" w:cs="宋体" w:eastAsia="宋体" w:hint="default"/>
                <w:sz w:val="18"/>
                <w:szCs w:val="18"/>
              </w:rPr>
              <w:t>无锡朴 元</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141,782,</w:t>
            </w:r>
          </w:p>
          <w:p>
            <w:pPr>
              <w:pStyle w:val="TableParagraph"/>
              <w:spacing w:line="240" w:lineRule="auto" w:before="108"/>
              <w:ind w:left="210" w:right="0"/>
              <w:jc w:val="center"/>
              <w:rPr>
                <w:rFonts w:ascii="Times New Roman" w:hAnsi="Times New Roman" w:cs="Times New Roman" w:eastAsia="Times New Roman" w:hint="default"/>
                <w:sz w:val="18"/>
                <w:szCs w:val="18"/>
              </w:rPr>
            </w:pPr>
            <w:r>
              <w:rPr>
                <w:rFonts w:ascii="Times New Roman"/>
                <w:sz w:val="18"/>
              </w:rPr>
              <w:t>897.87</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r>
        <w:rPr/>
        <w:pict>
          <v:shape style="position:absolute;margin-left:93.125pt;margin-top:72.820pt;width:66.1pt;height:117.1pt;mso-position-horizontal-relative:page;mso-position-vertical-relative:page;z-index:-132599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BodyText"/>
                    <w:spacing w:line="240" w:lineRule="auto"/>
                    <w:ind w:left="0" w:right="0"/>
                    <w:jc w:val="left"/>
                  </w:pPr>
                  <w:r>
                    <w:rPr/>
                    <w:t>术咨询；</w:t>
                  </w:r>
                </w:p>
              </w:txbxContent>
            </v:textbox>
            <w10:wrap type="none"/>
          </v:shape>
        </w:pict>
      </w:r>
      <w:r>
        <w:rPr/>
        <w:pict>
          <v:shape style="position:absolute;margin-left:93.125pt;margin-top:209.419998pt;width:66.1pt;height:117.1pt;mso-position-horizontal-relative:page;mso-position-vertical-relative:page;z-index:-13259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pStyle w:val="BodyText"/>
                    <w:spacing w:line="240" w:lineRule="auto"/>
                    <w:ind w:left="0" w:right="0"/>
                    <w:jc w:val="left"/>
                  </w:pPr>
                  <w:r>
                    <w:rPr/>
                    <w:t>息服务）</w:t>
                  </w:r>
                </w:p>
              </w:txbxContent>
            </v:textbox>
            <w10:wrap type="none"/>
          </v:shape>
        </w:pict>
      </w:r>
      <w:r>
        <w:rPr/>
        <w:pict>
          <v:shape style="position:absolute;margin-left:93.125pt;margin-top:326.529999pt;width:66.1pt;height:31.55pt;mso-position-horizontal-relative:page;mso-position-vertical-relative:page;z-index:-1325944"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4"/>
                    <w:ind w:left="0" w:right="0"/>
                    <w:jc w:val="left"/>
                  </w:pPr>
                  <w:r>
                    <w:rPr/>
                    <w:t>资业务、</w:t>
                  </w:r>
                </w:p>
              </w:txbxContent>
            </v:textbox>
            <w10:wrap type="none"/>
          </v:shape>
        </w:pict>
      </w:r>
      <w:r>
        <w:rPr/>
        <w:pict>
          <v:group style="position:absolute;margin-left:126.150002pt;margin-top:209.419998pt;width:33.050pt;height:148.7pt;mso-position-horizontal-relative:page;mso-position-vertical-relative:page;z-index:-1325920" coordorigin="2523,4188" coordsize="661,2974">
            <v:group style="position:absolute;left:2523;top:4188;width:661;height:2342" coordorigin="2523,4188" coordsize="661,2342">
              <v:shape style="position:absolute;left:2523;top:4188;width:661;height:2342" coordorigin="2523,4188" coordsize="661,2342" path="m2523,6530l3184,6530,3184,4188,2523,4188,2523,6530xe" filled="true" fillcolor="#ffffff" stroked="false">
                <v:path arrowok="t"/>
                <v:fill type="solid"/>
              </v:shape>
            </v:group>
            <v:group style="position:absolute;left:2523;top:6531;width:661;height:631" coordorigin="2523,6531" coordsize="661,631">
              <v:shape style="position:absolute;left:2523;top:6531;width:661;height:631" coordorigin="2523,6531" coordsize="661,631" path="m2523,7162l3184,7162,3184,6531,2523,6531,2523,7162xe" filled="true" fillcolor="#ffffff" stroked="false">
                <v:path arrowok="t"/>
                <v:fill type="solid"/>
              </v:shape>
            </v:group>
            <w10:wrap type="none"/>
          </v:group>
        </w:pict>
      </w:r>
    </w:p>
    <w:tbl>
      <w:tblPr>
        <w:tblW w:w="0" w:type="auto"/>
        <w:jc w:val="left"/>
        <w:tblInd w:w="126" w:type="dxa"/>
        <w:tblLayout w:type="fixed"/>
        <w:tblCellMar>
          <w:top w:w="0" w:type="dxa"/>
          <w:left w:w="0" w:type="dxa"/>
          <w:bottom w:w="0" w:type="dxa"/>
          <w:right w:w="0" w:type="dxa"/>
        </w:tblCellMar>
        <w:tblLook w:val="01E0"/>
      </w:tblPr>
      <w:tblGrid>
        <w:gridCol w:w="691"/>
        <w:gridCol w:w="691"/>
        <w:gridCol w:w="676"/>
        <w:gridCol w:w="661"/>
        <w:gridCol w:w="661"/>
        <w:gridCol w:w="661"/>
        <w:gridCol w:w="661"/>
        <w:gridCol w:w="660"/>
        <w:gridCol w:w="646"/>
        <w:gridCol w:w="631"/>
        <w:gridCol w:w="751"/>
        <w:gridCol w:w="736"/>
        <w:gridCol w:w="721"/>
        <w:gridCol w:w="736"/>
      </w:tblGrid>
      <w:tr>
        <w:trPr>
          <w:trHeight w:val="5089" w:hRule="exact"/>
        </w:trPr>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321" w:lineRule="auto"/>
              <w:ind w:left="15"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易视腾 科技股 份有限 </w:t>
            </w:r>
            <w:r>
              <w:rPr>
                <w:rFonts w:ascii="宋体" w:hAnsi="宋体" w:cs="宋体" w:eastAsia="宋体" w:hint="default"/>
                <w:spacing w:val="-19"/>
                <w:sz w:val="18"/>
                <w:szCs w:val="18"/>
              </w:rPr>
              <w:t>公司（附</w:t>
            </w:r>
            <w:r>
              <w:rPr>
                <w:rFonts w:ascii="宋体" w:hAnsi="宋体" w:cs="宋体" w:eastAsia="宋体" w:hint="default"/>
                <w:sz w:val="18"/>
                <w:szCs w:val="18"/>
              </w:rPr>
              <w:t> 注八</w:t>
            </w:r>
            <w:r>
              <w:rPr>
                <w:rFonts w:ascii="Times New Roman" w:hAnsi="Times New Roman" w:cs="Times New Roman" w:eastAsia="Times New Roman" w:hint="default"/>
                <w:sz w:val="18"/>
                <w:szCs w:val="18"/>
              </w:rPr>
              <w:t>(1))</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13"/>
              <w:jc w:val="both"/>
              <w:rPr>
                <w:rFonts w:ascii="宋体" w:hAnsi="宋体" w:cs="宋体" w:eastAsia="宋体" w:hint="default"/>
                <w:sz w:val="18"/>
                <w:szCs w:val="18"/>
              </w:rPr>
            </w:pPr>
            <w:r>
              <w:rPr>
                <w:rFonts w:ascii="宋体" w:hAnsi="宋体" w:cs="宋体" w:eastAsia="宋体" w:hint="default"/>
                <w:sz w:val="18"/>
                <w:szCs w:val="18"/>
              </w:rPr>
              <w:t>互联网 的技术 </w:t>
            </w:r>
            <w:r>
              <w:rPr>
                <w:rFonts w:ascii="宋体" w:hAnsi="宋体" w:cs="宋体" w:eastAsia="宋体" w:hint="default"/>
                <w:spacing w:val="-23"/>
                <w:sz w:val="18"/>
                <w:szCs w:val="18"/>
              </w:rPr>
              <w:t>开发、技</w:t>
            </w:r>
          </w:p>
          <w:p>
            <w:pPr>
              <w:pStyle w:val="TableParagraph"/>
              <w:spacing w:line="240" w:lineRule="auto" w:before="12"/>
              <w:ind w:right="0"/>
              <w:jc w:val="left"/>
              <w:rPr>
                <w:rFonts w:ascii="宋体" w:hAnsi="宋体" w:cs="宋体" w:eastAsia="宋体" w:hint="default"/>
                <w:sz w:val="25"/>
                <w:szCs w:val="25"/>
              </w:rPr>
            </w:pPr>
          </w:p>
          <w:p>
            <w:pPr>
              <w:pStyle w:val="TableParagraph"/>
              <w:spacing w:line="319" w:lineRule="auto"/>
              <w:ind w:left="30" w:right="13"/>
              <w:jc w:val="left"/>
              <w:rPr>
                <w:rFonts w:ascii="宋体" w:hAnsi="宋体" w:cs="宋体" w:eastAsia="宋体" w:hint="default"/>
                <w:sz w:val="18"/>
                <w:szCs w:val="18"/>
              </w:rPr>
            </w:pPr>
            <w:r>
              <w:rPr>
                <w:rFonts w:ascii="宋体" w:hAnsi="宋体" w:cs="宋体" w:eastAsia="宋体" w:hint="default"/>
                <w:sz w:val="18"/>
                <w:szCs w:val="18"/>
              </w:rPr>
              <w:t>第二类 增值电 信业务 中的信 息服务 </w:t>
            </w:r>
            <w:r>
              <w:rPr>
                <w:rFonts w:ascii="宋体" w:hAnsi="宋体" w:cs="宋体" w:eastAsia="宋体" w:hint="default"/>
                <w:spacing w:val="-23"/>
                <w:sz w:val="18"/>
                <w:szCs w:val="18"/>
              </w:rPr>
              <w:t>业务（不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含固定 网电话 信息服 务和互 联网信</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342" w:lineRule="exact"/>
              <w:ind w:right="-50"/>
              <w:jc w:val="left"/>
              <w:rPr>
                <w:rFonts w:ascii="宋体" w:hAnsi="宋体" w:cs="宋体" w:eastAsia="宋体" w:hint="default"/>
                <w:sz w:val="20"/>
                <w:szCs w:val="20"/>
              </w:rPr>
            </w:pPr>
            <w:r>
              <w:rPr>
                <w:rFonts w:ascii="宋体" w:hAnsi="宋体" w:cs="宋体" w:eastAsia="宋体" w:hint="default"/>
                <w:position w:val="-46"/>
                <w:sz w:val="20"/>
                <w:szCs w:val="20"/>
              </w:rPr>
              <w:pict>
                <v:group style="width:33.050pt;height:117.1pt;mso-position-horizontal-relative:char;mso-position-vertical-relative:line" coordorigin="0,0" coordsize="661,2342">
                  <v:group style="position:absolute;left:0;top:0;width:661;height:2342" coordorigin="0,0" coordsize="661,2342">
                    <v:shape style="position:absolute;left:0;top:0;width:661;height:2342" coordorigin="0,0" coordsize="661,2342" path="m0,2342l661,2342,661,0,0,0,0,2342xe" filled="true" fillcolor="#ffffff" stroked="false">
                      <v:path arrowok="t"/>
                      <v:fill type="solid"/>
                    </v:shape>
                  </v:group>
                </v:group>
              </w:pict>
            </w:r>
            <w:r>
              <w:rPr>
                <w:rFonts w:ascii="宋体" w:hAnsi="宋体" w:cs="宋体" w:eastAsia="宋体" w:hint="default"/>
                <w:position w:val="-46"/>
                <w:sz w:val="20"/>
                <w:szCs w:val="20"/>
              </w:rPr>
            </w:r>
          </w:p>
          <w:p>
            <w:pPr>
              <w:pStyle w:val="TableParagraph"/>
              <w:spacing w:line="240" w:lineRule="auto" w:before="44"/>
              <w:ind w:right="270"/>
              <w:jc w:val="right"/>
              <w:rPr>
                <w:rFonts w:ascii="宋体" w:hAnsi="宋体" w:cs="宋体" w:eastAsia="宋体" w:hint="default"/>
                <w:sz w:val="18"/>
                <w:szCs w:val="18"/>
              </w:rPr>
            </w:pPr>
            <w:r>
              <w:rPr>
                <w:rFonts w:ascii="宋体" w:hAnsi="宋体" w:cs="宋体" w:eastAsia="宋体" w:hint="default"/>
                <w:sz w:val="18"/>
                <w:szCs w:val="18"/>
              </w:rPr>
              <w:t>收购</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7"/>
                <w:szCs w:val="27"/>
              </w:rPr>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2,197,1</w:t>
            </w:r>
          </w:p>
          <w:p>
            <w:pPr>
              <w:pStyle w:val="TableParagraph"/>
              <w:spacing w:line="240" w:lineRule="auto" w:before="93"/>
              <w:ind w:right="30"/>
              <w:jc w:val="right"/>
              <w:rPr>
                <w:rFonts w:ascii="Times New Roman" w:hAnsi="Times New Roman" w:cs="Times New Roman" w:eastAsia="Times New Roman" w:hint="default"/>
                <w:sz w:val="18"/>
                <w:szCs w:val="18"/>
              </w:rPr>
            </w:pPr>
            <w:r>
              <w:rPr>
                <w:rFonts w:ascii="Times New Roman"/>
                <w:sz w:val="18"/>
              </w:rPr>
              <w:t>81,279.</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01</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96.00%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21" w:lineRule="auto"/>
              <w:ind w:left="14" w:right="89"/>
              <w:jc w:val="left"/>
              <w:rPr>
                <w:rFonts w:ascii="宋体" w:hAnsi="宋体" w:cs="宋体" w:eastAsia="宋体" w:hint="default"/>
                <w:sz w:val="18"/>
                <w:szCs w:val="18"/>
              </w:rPr>
            </w:pPr>
            <w:r>
              <w:rPr>
                <w:rFonts w:ascii="宋体" w:hAnsi="宋体" w:cs="宋体" w:eastAsia="宋体" w:hint="default"/>
                <w:sz w:val="18"/>
                <w:szCs w:val="18"/>
              </w:rPr>
              <w:t>发行股 份</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21" w:lineRule="auto"/>
              <w:ind w:left="15" w:right="90"/>
              <w:jc w:val="left"/>
              <w:rPr>
                <w:rFonts w:ascii="宋体" w:hAnsi="宋体" w:cs="宋体" w:eastAsia="宋体" w:hint="default"/>
                <w:sz w:val="18"/>
                <w:szCs w:val="18"/>
              </w:rPr>
            </w:pPr>
            <w:r>
              <w:rPr>
                <w:rFonts w:ascii="宋体" w:hAnsi="宋体" w:cs="宋体" w:eastAsia="宋体" w:hint="default"/>
                <w:sz w:val="18"/>
                <w:szCs w:val="18"/>
              </w:rPr>
              <w:t>金投领 航</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68"/>
              <w:jc w:val="right"/>
              <w:rPr>
                <w:rFonts w:ascii="宋体" w:hAnsi="宋体" w:cs="宋体" w:eastAsia="宋体" w:hint="default"/>
                <w:sz w:val="18"/>
                <w:szCs w:val="18"/>
              </w:rPr>
            </w:pPr>
            <w:r>
              <w:rPr>
                <w:rFonts w:ascii="宋体" w:hAnsi="宋体" w:cs="宋体" w:eastAsia="宋体" w:hint="default"/>
                <w:sz w:val="18"/>
                <w:szCs w:val="18"/>
              </w:rPr>
              <w:t>长期</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75" w:right="0"/>
              <w:jc w:val="center"/>
              <w:rPr>
                <w:rFonts w:ascii="Times New Roman" w:hAnsi="Times New Roman" w:cs="Times New Roman" w:eastAsia="Times New Roman" w:hint="default"/>
                <w:sz w:val="18"/>
                <w:szCs w:val="18"/>
              </w:rPr>
            </w:pPr>
            <w:r>
              <w:rPr>
                <w:rFonts w:ascii="Times New Roman"/>
                <w:sz w:val="18"/>
              </w:rPr>
              <w:t>361,260,</w:t>
            </w:r>
          </w:p>
          <w:p>
            <w:pPr>
              <w:pStyle w:val="TableParagraph"/>
              <w:spacing w:line="240" w:lineRule="auto" w:before="108"/>
              <w:ind w:left="210" w:right="0"/>
              <w:jc w:val="center"/>
              <w:rPr>
                <w:rFonts w:ascii="Times New Roman" w:hAnsi="Times New Roman" w:cs="Times New Roman" w:eastAsia="Times New Roman" w:hint="default"/>
                <w:sz w:val="18"/>
                <w:szCs w:val="18"/>
              </w:rPr>
            </w:pPr>
            <w:r>
              <w:rPr>
                <w:rFonts w:ascii="Times New Roman"/>
                <w:sz w:val="18"/>
              </w:rPr>
              <w:t>586.37</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1651" w:hRule="exact"/>
        </w:trPr>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120"/>
              <w:jc w:val="both"/>
              <w:rPr>
                <w:rFonts w:ascii="宋体" w:hAnsi="宋体" w:cs="宋体" w:eastAsia="宋体" w:hint="default"/>
                <w:sz w:val="18"/>
                <w:szCs w:val="18"/>
              </w:rPr>
            </w:pPr>
            <w:r>
              <w:rPr>
                <w:rFonts w:ascii="宋体" w:hAnsi="宋体" w:cs="宋体" w:eastAsia="宋体" w:hint="default"/>
                <w:sz w:val="18"/>
                <w:szCs w:val="18"/>
              </w:rPr>
              <w:t>深圳保 腾电力 科技创 业投资 企业</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both"/>
              <w:rPr>
                <w:rFonts w:ascii="宋体" w:hAnsi="宋体" w:cs="宋体" w:eastAsia="宋体" w:hint="default"/>
                <w:sz w:val="18"/>
                <w:szCs w:val="18"/>
              </w:rPr>
            </w:pPr>
            <w:r>
              <w:rPr>
                <w:rFonts w:ascii="宋体" w:hAnsi="宋体" w:cs="宋体" w:eastAsia="宋体" w:hint="default"/>
                <w:sz w:val="18"/>
                <w:szCs w:val="18"/>
              </w:rPr>
              <w:t>创业投</w:t>
            </w: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59"/>
              <w:ind w:left="30" w:right="103"/>
              <w:jc w:val="both"/>
              <w:rPr>
                <w:rFonts w:ascii="宋体" w:hAnsi="宋体" w:cs="宋体" w:eastAsia="宋体" w:hint="default"/>
                <w:sz w:val="18"/>
                <w:szCs w:val="18"/>
              </w:rPr>
            </w:pPr>
            <w:r>
              <w:rPr>
                <w:rFonts w:ascii="宋体" w:hAnsi="宋体" w:cs="宋体" w:eastAsia="宋体" w:hint="default"/>
                <w:sz w:val="18"/>
                <w:szCs w:val="18"/>
              </w:rPr>
              <w:t>创业投 资咨询 业务</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70"/>
              <w:jc w:val="righ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25,500,</w:t>
            </w:r>
          </w:p>
          <w:p>
            <w:pPr>
              <w:pStyle w:val="TableParagraph"/>
              <w:spacing w:line="240" w:lineRule="auto" w:before="93"/>
              <w:ind w:left="120" w:right="0"/>
              <w:jc w:val="left"/>
              <w:rPr>
                <w:rFonts w:ascii="Times New Roman" w:hAnsi="Times New Roman" w:cs="Times New Roman" w:eastAsia="Times New Roman" w:hint="default"/>
                <w:sz w:val="18"/>
                <w:szCs w:val="18"/>
              </w:rPr>
            </w:pPr>
            <w:r>
              <w:rPr>
                <w:rFonts w:ascii="Times New Roman"/>
                <w:sz w:val="18"/>
              </w:rPr>
              <w:t>000.00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42.08%</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04" w:lineRule="auto"/>
              <w:ind w:left="14" w:right="89"/>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5" w:right="90"/>
              <w:jc w:val="both"/>
              <w:rPr>
                <w:rFonts w:ascii="宋体" w:hAnsi="宋体" w:cs="宋体" w:eastAsia="宋体" w:hint="default"/>
                <w:sz w:val="18"/>
                <w:szCs w:val="18"/>
              </w:rPr>
            </w:pPr>
            <w:r>
              <w:rPr>
                <w:rFonts w:ascii="宋体" w:hAnsi="宋体" w:cs="宋体" w:eastAsia="宋体" w:hint="default"/>
                <w:sz w:val="18"/>
                <w:szCs w:val="18"/>
              </w:rPr>
              <w:t>上海良 信电器 股份有 限公司</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8"/>
              <w:jc w:val="right"/>
              <w:rPr>
                <w:rFonts w:ascii="宋体" w:hAnsi="宋体" w:cs="宋体" w:eastAsia="宋体" w:hint="default"/>
                <w:sz w:val="18"/>
                <w:szCs w:val="18"/>
              </w:rPr>
            </w:pPr>
            <w:r>
              <w:rPr>
                <w:rFonts w:ascii="宋体" w:hAnsi="宋体" w:cs="宋体" w:eastAsia="宋体" w:hint="default"/>
                <w:sz w:val="18"/>
                <w:szCs w:val="18"/>
              </w:rPr>
              <w:t>长期</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-92,529.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52</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68"/>
              <w:jc w:val="right"/>
              <w:rPr>
                <w:rFonts w:ascii="Times New Roman" w:hAnsi="Times New Roman" w:cs="Times New Roman" w:eastAsia="Times New Roman" w:hint="default"/>
                <w:sz w:val="18"/>
                <w:szCs w:val="18"/>
              </w:rPr>
            </w:pPr>
            <w:r>
              <w:rPr>
                <w:rFonts w:ascii="Times New Roman"/>
                <w:sz w:val="18"/>
              </w:rPr>
              <w:t>--</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3,030,7</w:t>
            </w:r>
          </w:p>
          <w:p>
            <w:pPr>
              <w:pStyle w:val="TableParagraph"/>
              <w:spacing w:line="240" w:lineRule="auto" w:before="108"/>
              <w:ind w:right="30"/>
              <w:jc w:val="right"/>
              <w:rPr>
                <w:rFonts w:ascii="Times New Roman" w:hAnsi="Times New Roman" w:cs="Times New Roman" w:eastAsia="Times New Roman" w:hint="default"/>
                <w:sz w:val="18"/>
                <w:szCs w:val="18"/>
              </w:rPr>
            </w:pPr>
            <w:r>
              <w:rPr>
                <w:rFonts w:ascii="Times New Roman"/>
                <w:sz w:val="18"/>
              </w:rPr>
              <w:t>48,279.</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01</w:t>
            </w:r>
          </w:p>
        </w:tc>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6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68"/>
              <w:jc w:val="right"/>
              <w:rPr>
                <w:rFonts w:ascii="Times New Roman" w:hAnsi="Times New Roman" w:cs="Times New Roman" w:eastAsia="Times New Roman" w:hint="default"/>
                <w:sz w:val="18"/>
                <w:szCs w:val="18"/>
              </w:rPr>
            </w:pPr>
            <w:r>
              <w:rPr>
                <w:rFonts w:ascii="Times New Roman"/>
                <w:sz w:val="18"/>
              </w:rPr>
              <w:t>--</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505,516,</w:t>
            </w:r>
          </w:p>
          <w:p>
            <w:pPr>
              <w:pStyle w:val="TableParagraph"/>
              <w:spacing w:line="240" w:lineRule="auto" w:before="93"/>
              <w:ind w:left="210" w:right="0"/>
              <w:jc w:val="center"/>
              <w:rPr>
                <w:rFonts w:ascii="Times New Roman" w:hAnsi="Times New Roman" w:cs="Times New Roman" w:eastAsia="Times New Roman" w:hint="default"/>
                <w:sz w:val="18"/>
                <w:szCs w:val="18"/>
              </w:rPr>
            </w:pPr>
            <w:r>
              <w:rPr>
                <w:rFonts w:ascii="Times New Roman"/>
                <w:sz w:val="18"/>
              </w:rPr>
              <w:t>911.19</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05"/>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82"/>
        <w:gridCol w:w="902"/>
        <w:gridCol w:w="1096"/>
        <w:gridCol w:w="1171"/>
        <w:gridCol w:w="1202"/>
        <w:gridCol w:w="961"/>
        <w:gridCol w:w="946"/>
        <w:gridCol w:w="961"/>
        <w:gridCol w:w="961"/>
      </w:tblGrid>
      <w:tr>
        <w:trPr>
          <w:trHeight w:val="1036" w:hRule="exact"/>
        </w:trPr>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15"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9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70" w:right="75"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90" w:right="9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29" w:right="44"/>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20" w:right="44" w:hanging="361"/>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95" w:right="29" w:hanging="181"/>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75" w:right="15" w:hanging="361"/>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20"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20"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05"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基金</w:t>
            </w:r>
            <w:r>
              <w:rPr>
                <w:rFonts w:ascii="Times New Roman" w:hAnsi="Times New Roman" w:cs="Times New Roman" w:eastAsia="Times New Roman" w:hint="default"/>
                <w:sz w:val="18"/>
                <w:szCs w:val="18"/>
              </w:rPr>
              <w:t>(i)</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53,000,000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1096"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3,000,000.00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53,007,207.</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97</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8,461.52</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21"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基金</w:t>
            </w:r>
            <w:r>
              <w:rPr>
                <w:rFonts w:ascii="Times New Roman" w:hAnsi="Times New Roman" w:cs="Times New Roman" w:eastAsia="Times New Roman" w:hint="default"/>
                <w:sz w:val="18"/>
                <w:szCs w:val="18"/>
              </w:rPr>
              <w:t>(ii)</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25,500,000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-92,529.52</w:t>
            </w:r>
          </w:p>
        </w:tc>
        <w:tc>
          <w:tcPr>
            <w:tcW w:w="117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25,500,000.00</w:t>
            </w:r>
          </w:p>
        </w:tc>
        <w:tc>
          <w:tcPr>
            <w:tcW w:w="9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25,407,470.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48</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05"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基金</w:t>
            </w:r>
            <w:r>
              <w:rPr>
                <w:rFonts w:ascii="Times New Roman" w:hAnsi="Times New Roman" w:cs="Times New Roman" w:eastAsia="Times New Roman" w:hint="default"/>
                <w:spacing w:val="-3"/>
                <w:sz w:val="18"/>
                <w:szCs w:val="18"/>
              </w:rPr>
              <w:t>(iii)</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c>
          <w:tcPr>
            <w:tcW w:w="1096"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10,000,000.00</w:t>
            </w:r>
          </w:p>
        </w:tc>
        <w:tc>
          <w:tcPr>
            <w:tcW w:w="9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自有资金</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82"/>
        <w:gridCol w:w="902"/>
        <w:gridCol w:w="1096"/>
        <w:gridCol w:w="1171"/>
        <w:gridCol w:w="1202"/>
        <w:gridCol w:w="961"/>
        <w:gridCol w:w="946"/>
        <w:gridCol w:w="961"/>
        <w:gridCol w:w="961"/>
      </w:tblGrid>
      <w:tr>
        <w:trPr>
          <w:trHeight w:val="720"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金融衍生工具</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93"/>
              <w:ind w:left="555" w:right="0"/>
              <w:jc w:val="left"/>
              <w:rPr>
                <w:rFonts w:ascii="Times New Roman" w:hAnsi="Times New Roman" w:cs="Times New Roman" w:eastAsia="Times New Roman" w:hint="default"/>
                <w:sz w:val="18"/>
                <w:szCs w:val="18"/>
              </w:rPr>
            </w:pPr>
            <w:r>
              <w:rPr>
                <w:rFonts w:ascii="Times New Roman"/>
                <w:sz w:val="18"/>
              </w:rPr>
              <w:t>0.00</w:t>
            </w:r>
          </w:p>
        </w:tc>
        <w:tc>
          <w:tcPr>
            <w:tcW w:w="1096"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3,653,881.2</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05"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(i)</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39,473,684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1,499,847.10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39,473,684.00</w:t>
            </w:r>
          </w:p>
        </w:tc>
        <w:tc>
          <w:tcPr>
            <w:tcW w:w="9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40,973,531.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21"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(ii)</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c>
          <w:tcPr>
            <w:tcW w:w="1096"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06"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其他</w:t>
            </w:r>
            <w:r>
              <w:rPr>
                <w:rFonts w:ascii="Times New Roman" w:hAnsi="Times New Roman" w:cs="Times New Roman" w:eastAsia="Times New Roman" w:hint="default"/>
                <w:spacing w:val="-3"/>
                <w:sz w:val="18"/>
                <w:szCs w:val="18"/>
              </w:rPr>
              <w:t>(iii)</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1096"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20"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1096"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06" w:hRule="exact"/>
        </w:trPr>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367,973,68</w:t>
            </w:r>
          </w:p>
          <w:p>
            <w:pPr>
              <w:pStyle w:val="TableParagraph"/>
              <w:spacing w:line="240" w:lineRule="auto" w:before="93"/>
              <w:ind w:left="555" w:right="0"/>
              <w:jc w:val="left"/>
              <w:rPr>
                <w:rFonts w:ascii="Times New Roman" w:hAnsi="Times New Roman" w:cs="Times New Roman" w:eastAsia="Times New Roman" w:hint="default"/>
                <w:sz w:val="18"/>
                <w:szCs w:val="18"/>
              </w:rPr>
            </w:pPr>
            <w:r>
              <w:rPr>
                <w:rFonts w:ascii="Times New Roman"/>
                <w:sz w:val="18"/>
              </w:rPr>
              <w:t>4.00</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1,407,317.58</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77,973,684.00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258,007,207</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.97</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3,662,342.8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111,381,001</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.58</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45" w:lineRule="auto" w:before="45"/>
        <w:ind w:right="6079"/>
        <w:jc w:val="left"/>
      </w:pPr>
      <w:r>
        <w:rPr/>
        <w:t>说明： 基金</w:t>
      </w:r>
      <w:r>
        <w:rPr>
          <w:rFonts w:ascii="Times New Roman" w:hAnsi="Times New Roman" w:cs="Times New Roman" w:eastAsia="Times New Roman" w:hint="default"/>
        </w:rPr>
        <w:t>(i)</w:t>
      </w:r>
      <w:r>
        <w:rPr/>
        <w:t>：派瑞无锡产业投资中心（有限合伙）的股权投资； 基金</w:t>
      </w:r>
      <w:r>
        <w:rPr>
          <w:rFonts w:ascii="Times New Roman" w:hAnsi="Times New Roman" w:cs="Times New Roman" w:eastAsia="Times New Roman" w:hint="default"/>
        </w:rPr>
        <w:t>(ii)</w:t>
      </w:r>
      <w:r>
        <w:rPr/>
        <w:t>：深圳保腾电力科技创业投资企业的股权投资； 基金</w:t>
      </w:r>
      <w:r>
        <w:rPr>
          <w:rFonts w:ascii="Times New Roman" w:hAnsi="Times New Roman" w:cs="Times New Roman" w:eastAsia="Times New Roman" w:hint="default"/>
        </w:rPr>
        <w:t>(iii)</w:t>
      </w:r>
      <w:r>
        <w:rPr/>
        <w:t>：河南国都时代科技有限公司的股权投资； 金融衍生工具：可供出售权益工具；</w:t>
      </w:r>
      <w:r>
        <w:rPr>
          <w:spacing w:val="-87"/>
        </w:rPr>
        <w:t> </w:t>
      </w:r>
      <w:r>
        <w:rPr>
          <w:spacing w:val="-87"/>
        </w:rPr>
      </w:r>
      <w:r>
        <w:rPr/>
        <w:t>其他</w:t>
      </w:r>
      <w:r>
        <w:rPr>
          <w:rFonts w:ascii="Times New Roman" w:hAnsi="Times New Roman" w:cs="Times New Roman" w:eastAsia="Times New Roman" w:hint="default"/>
        </w:rPr>
        <w:t>(i)</w:t>
      </w:r>
      <w:r>
        <w:rPr/>
        <w:t>：上海我思教育科技有限公司的股权投资； 其他</w:t>
      </w:r>
      <w:r>
        <w:rPr>
          <w:rFonts w:ascii="Times New Roman" w:hAnsi="Times New Roman" w:cs="Times New Roman" w:eastAsia="Times New Roman" w:hint="default"/>
        </w:rPr>
        <w:t>(ii)</w:t>
      </w:r>
      <w:r>
        <w:rPr/>
        <w:t>：北京硬壳科技有限公司的股权投资； 其他</w:t>
      </w:r>
      <w:r>
        <w:rPr>
          <w:rFonts w:ascii="Times New Roman" w:hAnsi="Times New Roman" w:cs="Times New Roman" w:eastAsia="Times New Roman" w:hint="default"/>
        </w:rPr>
        <w:t>(iii)</w:t>
      </w:r>
      <w:r>
        <w:rPr/>
        <w:t>：智屏时代（北京）文化传播有限公司的投资； 债券：北京数联领航网络科技有限公司的可转债投资。</w:t>
      </w:r>
    </w:p>
    <w:p>
      <w:pPr>
        <w:spacing w:line="240" w:lineRule="auto" w:before="8"/>
        <w:rPr>
          <w:rFonts w:ascii="宋体" w:hAnsi="宋体" w:cs="宋体" w:eastAsia="宋体" w:hint="default"/>
          <w:sz w:val="22"/>
          <w:szCs w:val="22"/>
        </w:rPr>
      </w:pPr>
    </w:p>
    <w:p>
      <w:pPr>
        <w:pStyle w:val="Heading3"/>
        <w:spacing w:line="240" w:lineRule="auto"/>
        <w:ind w:right="1105"/>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3"/>
        <w:rPr>
          <w:rFonts w:ascii="宋体" w:hAnsi="宋体" w:cs="宋体" w:eastAsia="宋体" w:hint="default"/>
          <w:b/>
          <w:bCs/>
          <w:sz w:val="25"/>
          <w:szCs w:val="25"/>
        </w:rPr>
      </w:pPr>
    </w:p>
    <w:p>
      <w:pPr>
        <w:pStyle w:val="BodyText"/>
        <w:spacing w:line="331" w:lineRule="auto"/>
        <w:ind w:right="8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公司报告期无募集资金使用情况。</w:t>
      </w:r>
    </w:p>
    <w:p>
      <w:pPr>
        <w:spacing w:line="240" w:lineRule="auto" w:before="10"/>
        <w:rPr>
          <w:rFonts w:ascii="宋体" w:hAnsi="宋体" w:cs="宋体" w:eastAsia="宋体" w:hint="default"/>
          <w:sz w:val="20"/>
          <w:szCs w:val="20"/>
        </w:rPr>
      </w:pPr>
    </w:p>
    <w:p>
      <w:pPr>
        <w:pStyle w:val="Heading2"/>
        <w:spacing w:line="240" w:lineRule="auto"/>
        <w:ind w:right="1105"/>
        <w:jc w:val="left"/>
        <w:rPr>
          <w:b w:val="0"/>
          <w:bCs w:val="0"/>
        </w:rPr>
      </w:pPr>
      <w:bookmarkStart w:name="六、重大资产和股权出售" w:id="50"/>
      <w:bookmarkEnd w:id="50"/>
      <w:r>
        <w:rPr>
          <w:b w:val="0"/>
          <w:bCs w:val="0"/>
        </w:rPr>
      </w:r>
      <w:r>
        <w:rPr/>
        <w:t>六、重大资产和股权出售</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05"/>
        <w:jc w:val="left"/>
        <w:rPr>
          <w:b w:val="0"/>
          <w:bCs w:val="0"/>
        </w:rPr>
      </w:pPr>
      <w:bookmarkStart w:name="1、出售重大资产情况" w:id="51"/>
      <w:bookmarkEnd w:id="51"/>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3"/>
        <w:rPr>
          <w:rFonts w:ascii="宋体" w:hAnsi="宋体" w:cs="宋体" w:eastAsia="宋体" w:hint="default"/>
          <w:b/>
          <w:bCs/>
          <w:sz w:val="25"/>
          <w:szCs w:val="25"/>
        </w:rPr>
      </w:pPr>
    </w:p>
    <w:p>
      <w:pPr>
        <w:pStyle w:val="BodyText"/>
        <w:spacing w:line="331"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公司报告期未出售重大资产。</w:t>
      </w:r>
    </w:p>
    <w:p>
      <w:pPr>
        <w:spacing w:line="240" w:lineRule="auto" w:before="6"/>
        <w:rPr>
          <w:rFonts w:ascii="宋体" w:hAnsi="宋体" w:cs="宋体" w:eastAsia="宋体" w:hint="default"/>
          <w:sz w:val="23"/>
          <w:szCs w:val="23"/>
        </w:rPr>
      </w:pPr>
    </w:p>
    <w:p>
      <w:pPr>
        <w:pStyle w:val="Heading3"/>
        <w:spacing w:line="240" w:lineRule="auto"/>
        <w:ind w:right="1105"/>
        <w:jc w:val="left"/>
        <w:rPr>
          <w:b w:val="0"/>
          <w:bCs w:val="0"/>
        </w:rPr>
      </w:pPr>
      <w:bookmarkStart w:name="2、出售重大股权情况" w:id="52"/>
      <w:bookmarkEnd w:id="52"/>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1105"/>
        <w:jc w:val="left"/>
        <w:rPr>
          <w:b w:val="0"/>
          <w:bCs w:val="0"/>
        </w:rPr>
      </w:pPr>
      <w:bookmarkStart w:name="七、主要控股参股公司分析" w:id="53"/>
      <w:bookmarkEnd w:id="53"/>
      <w:r>
        <w:rPr>
          <w:b w:val="0"/>
          <w:bCs w:val="0"/>
        </w:rPr>
      </w:r>
      <w:r>
        <w:rPr/>
        <w:t>七、主要控股参股公司分析</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before="44"/>
        <w:ind w:right="1105"/>
        <w:jc w:val="left"/>
      </w:pPr>
      <w:r>
        <w:rPr/>
        <w:t>主要子公司及对公司净利润影响达</w:t>
      </w:r>
      <w:r>
        <w:rPr>
          <w:spacing w:val="-42"/>
        </w:rPr>
        <w:t> </w:t>
      </w:r>
      <w:r>
        <w:rPr>
          <w:rFonts w:ascii="Times New Roman" w:hAnsi="Times New Roman" w:cs="Times New Roman" w:eastAsia="Times New Roman" w:hint="default"/>
        </w:rPr>
        <w:t>10%</w:t>
      </w:r>
      <w:r>
        <w:rPr/>
        <w:t>以上的参股公司情况</w:t>
      </w:r>
    </w:p>
    <w:p>
      <w:pPr>
        <w:pStyle w:val="BodyText"/>
        <w:spacing w:line="240" w:lineRule="auto" w:before="81"/>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51"/>
        <w:gridCol w:w="1202"/>
        <w:gridCol w:w="1052"/>
        <w:gridCol w:w="1036"/>
        <w:gridCol w:w="1051"/>
        <w:gridCol w:w="1052"/>
        <w:gridCol w:w="1036"/>
        <w:gridCol w:w="1051"/>
        <w:gridCol w:w="1051"/>
      </w:tblGrid>
      <w:tr>
        <w:trPr>
          <w:trHeight w:val="405"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2267"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21" w:lineRule="auto"/>
              <w:ind w:left="15" w:right="118"/>
              <w:jc w:val="left"/>
              <w:rPr>
                <w:rFonts w:ascii="宋体" w:hAnsi="宋体" w:cs="宋体" w:eastAsia="宋体" w:hint="default"/>
                <w:sz w:val="18"/>
                <w:szCs w:val="18"/>
              </w:rPr>
            </w:pPr>
            <w:r>
              <w:rPr>
                <w:rFonts w:ascii="宋体" w:hAnsi="宋体" w:cs="宋体" w:eastAsia="宋体" w:hint="default"/>
                <w:sz w:val="18"/>
                <w:szCs w:val="18"/>
              </w:rPr>
              <w:t>邦道科技有 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43"/>
              <w:jc w:val="left"/>
              <w:rPr>
                <w:rFonts w:ascii="宋体" w:hAnsi="宋体" w:cs="宋体" w:eastAsia="宋体" w:hint="default"/>
                <w:sz w:val="18"/>
                <w:szCs w:val="18"/>
              </w:rPr>
            </w:pPr>
            <w:r>
              <w:rPr>
                <w:rFonts w:ascii="宋体" w:hAnsi="宋体" w:cs="宋体" w:eastAsia="宋体" w:hint="default"/>
                <w:sz w:val="18"/>
                <w:szCs w:val="18"/>
              </w:rPr>
              <w:t>公共事业行 业专业化</w:t>
            </w:r>
          </w:p>
          <w:p>
            <w:pPr>
              <w:pStyle w:val="TableParagraph"/>
              <w:spacing w:line="297" w:lineRule="auto" w:before="34"/>
              <w:ind w:left="15"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EBPP</w:t>
            </w:r>
            <w:r>
              <w:rPr>
                <w:rFonts w:ascii="宋体" w:hAnsi="宋体" w:cs="宋体" w:eastAsia="宋体" w:hint="default"/>
                <w:sz w:val="18"/>
                <w:szCs w:val="18"/>
              </w:rPr>
              <w:t>（电子</w:t>
            </w:r>
            <w:r>
              <w:rPr>
                <w:rFonts w:ascii="宋体" w:hAnsi="宋体" w:cs="宋体" w:eastAsia="宋体" w:hint="default"/>
                <w:spacing w:val="-87"/>
                <w:sz w:val="18"/>
                <w:szCs w:val="18"/>
              </w:rPr>
              <w:t> </w:t>
            </w:r>
            <w:r>
              <w:rPr>
                <w:rFonts w:ascii="宋体" w:hAnsi="宋体" w:cs="宋体" w:eastAsia="宋体" w:hint="default"/>
                <w:sz w:val="18"/>
                <w:szCs w:val="18"/>
              </w:rPr>
              <w:t>账单处理及 支付系统）</w:t>
            </w:r>
          </w:p>
          <w:p>
            <w:pPr>
              <w:pStyle w:val="TableParagraph"/>
              <w:spacing w:line="321" w:lineRule="auto" w:before="37"/>
              <w:ind w:left="15" w:right="120"/>
              <w:jc w:val="left"/>
              <w:rPr>
                <w:rFonts w:ascii="宋体" w:hAnsi="宋体" w:cs="宋体" w:eastAsia="宋体" w:hint="default"/>
                <w:sz w:val="18"/>
                <w:szCs w:val="18"/>
              </w:rPr>
            </w:pPr>
            <w:r>
              <w:rPr>
                <w:rFonts w:ascii="宋体" w:hAnsi="宋体" w:cs="宋体" w:eastAsia="宋体" w:hint="default"/>
                <w:sz w:val="18"/>
                <w:szCs w:val="18"/>
              </w:rPr>
              <w:t>技术与运营 服务</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5000</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5"/>
              <w:jc w:val="right"/>
              <w:rPr>
                <w:rFonts w:ascii="Times New Roman" w:hAnsi="Times New Roman" w:cs="Times New Roman" w:eastAsia="Times New Roman" w:hint="default"/>
                <w:sz w:val="18"/>
                <w:szCs w:val="18"/>
              </w:rPr>
            </w:pPr>
            <w:r>
              <w:rPr>
                <w:rFonts w:ascii="Times New Roman"/>
                <w:sz w:val="18"/>
              </w:rPr>
              <w:t>642,436,304.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67</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4"/>
              <w:jc w:val="right"/>
              <w:rPr>
                <w:rFonts w:ascii="Times New Roman" w:hAnsi="Times New Roman" w:cs="Times New Roman" w:eastAsia="Times New Roman" w:hint="default"/>
                <w:sz w:val="18"/>
                <w:szCs w:val="18"/>
              </w:rPr>
            </w:pPr>
            <w:r>
              <w:rPr>
                <w:rFonts w:ascii="Times New Roman"/>
                <w:sz w:val="18"/>
              </w:rPr>
              <w:t>504,346,104.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95</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4"/>
              <w:jc w:val="right"/>
              <w:rPr>
                <w:rFonts w:ascii="Times New Roman" w:hAnsi="Times New Roman" w:cs="Times New Roman" w:eastAsia="Times New Roman" w:hint="default"/>
                <w:sz w:val="18"/>
                <w:szCs w:val="18"/>
              </w:rPr>
            </w:pPr>
            <w:r>
              <w:rPr>
                <w:rFonts w:ascii="Times New Roman"/>
                <w:sz w:val="18"/>
              </w:rPr>
              <w:t>296,279,698.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04</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5"/>
              <w:jc w:val="right"/>
              <w:rPr>
                <w:rFonts w:ascii="Times New Roman" w:hAnsi="Times New Roman" w:cs="Times New Roman" w:eastAsia="Times New Roman" w:hint="default"/>
                <w:sz w:val="18"/>
                <w:szCs w:val="18"/>
              </w:rPr>
            </w:pPr>
            <w:r>
              <w:rPr>
                <w:rFonts w:ascii="Times New Roman"/>
                <w:sz w:val="18"/>
              </w:rPr>
              <w:t>152,477,575.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43</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4"/>
              <w:jc w:val="right"/>
              <w:rPr>
                <w:rFonts w:ascii="Times New Roman" w:hAnsi="Times New Roman" w:cs="Times New Roman" w:eastAsia="Times New Roman" w:hint="default"/>
                <w:sz w:val="18"/>
                <w:szCs w:val="18"/>
              </w:rPr>
            </w:pPr>
            <w:r>
              <w:rPr>
                <w:rFonts w:ascii="Times New Roman"/>
                <w:sz w:val="18"/>
              </w:rPr>
              <w:t>144,463,860.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33</w:t>
            </w:r>
          </w:p>
        </w:tc>
      </w:tr>
      <w:tr>
        <w:trPr>
          <w:trHeight w:val="3528"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4" w:lineRule="auto"/>
              <w:ind w:left="15" w:right="118"/>
              <w:jc w:val="both"/>
              <w:rPr>
                <w:rFonts w:ascii="宋体" w:hAnsi="宋体" w:cs="宋体" w:eastAsia="宋体" w:hint="default"/>
                <w:sz w:val="18"/>
                <w:szCs w:val="18"/>
              </w:rPr>
            </w:pPr>
            <w:r>
              <w:rPr>
                <w:rFonts w:ascii="宋体" w:hAnsi="宋体" w:cs="宋体" w:eastAsia="宋体" w:hint="default"/>
                <w:sz w:val="18"/>
                <w:szCs w:val="18"/>
              </w:rPr>
              <w:t>易视腾科技 股份有限公 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4"/>
              <w:ind w:left="15" w:right="120"/>
              <w:jc w:val="both"/>
              <w:rPr>
                <w:rFonts w:ascii="宋体" w:hAnsi="宋体" w:cs="宋体" w:eastAsia="宋体" w:hint="default"/>
                <w:sz w:val="18"/>
                <w:szCs w:val="18"/>
              </w:rPr>
            </w:pPr>
            <w:r>
              <w:rPr>
                <w:rFonts w:ascii="宋体" w:hAnsi="宋体" w:cs="宋体" w:eastAsia="宋体" w:hint="default"/>
                <w:sz w:val="18"/>
                <w:szCs w:val="18"/>
              </w:rPr>
              <w:t>互联网的技 术开发、技 术咨询；第 二类增值电 信业务中的 信息服务业 务（不含固 定网电话信 息服务和互 联网信息服 务）</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137"/>
              <w:ind w:left="14" w:right="0"/>
              <w:jc w:val="left"/>
              <w:rPr>
                <w:rFonts w:ascii="Times New Roman" w:hAnsi="Times New Roman" w:cs="Times New Roman" w:eastAsia="Times New Roman" w:hint="default"/>
                <w:sz w:val="18"/>
                <w:szCs w:val="18"/>
              </w:rPr>
            </w:pPr>
            <w:r>
              <w:rPr>
                <w:rFonts w:ascii="Times New Roman"/>
                <w:sz w:val="18"/>
              </w:rPr>
              <w:t>17548.8857</w:t>
            </w:r>
          </w:p>
          <w:p>
            <w:pPr>
              <w:pStyle w:val="TableParagraph"/>
              <w:spacing w:line="240" w:lineRule="auto" w:before="36"/>
              <w:ind w:left="1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1,835,269,07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3.46</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1,581,769,77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2.03</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1,239,819,90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2.93</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275,260,728.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07</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242,508,422.</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41</w:t>
            </w:r>
          </w:p>
        </w:tc>
      </w:tr>
    </w:tbl>
    <w:p>
      <w:pPr>
        <w:pStyle w:val="BodyText"/>
        <w:spacing w:line="240" w:lineRule="auto" w:before="44"/>
        <w:ind w:right="1105"/>
        <w:jc w:val="left"/>
      </w:pPr>
      <w:r>
        <w:rPr/>
        <w:t>报告期内取得和处置子公司的情况</w:t>
      </w:r>
    </w:p>
    <w:p>
      <w:pPr>
        <w:pStyle w:val="BodyText"/>
        <w:spacing w:line="240" w:lineRule="auto" w:before="125"/>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清大朗新（厦门）科技有限公司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不重大</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易天气（北京）科技有限公司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不重大</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涵谷科技有限公司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不重大</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邦道科技有限公司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非同一控制下收购</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较重要</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易视腾科技股份有限公司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同一控制下收购</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重要</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弘道科技有限公司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同一控制下收购</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不重大</w:t>
            </w:r>
          </w:p>
        </w:tc>
      </w:tr>
      <w:tr>
        <w:trPr>
          <w:trHeight w:val="72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07"/>
              <w:jc w:val="left"/>
              <w:rPr>
                <w:rFonts w:ascii="宋体" w:hAnsi="宋体" w:cs="宋体" w:eastAsia="宋体" w:hint="default"/>
                <w:sz w:val="18"/>
                <w:szCs w:val="18"/>
              </w:rPr>
            </w:pPr>
            <w:r>
              <w:rPr>
                <w:rFonts w:ascii="宋体" w:hAnsi="宋体" w:cs="宋体" w:eastAsia="宋体" w:hint="default"/>
                <w:sz w:val="18"/>
                <w:szCs w:val="18"/>
              </w:rPr>
              <w:t>无锡派瑞新媒体投资合伙企业（有限合 伙）</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同一控制下收购</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不重大</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无锡朗易软件产业发展有限公司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非同一控制下收购</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不重大</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北京数联领航网络科技有限公司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非同一控制下收购</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不重大</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河北邦道科技有限公司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不重大</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众畅科技有限公司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不重大</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清大易视（厦门）科技有限公司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不重大</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瀚佑（上海）科技有限公司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不重大</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瀚云风鹏（重庆）科技有限公司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不重大</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湖南瀚云风鹏科技有限公司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不重大</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瀚云风鹏（武汉）科技有限公司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不重大</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贵阳瀚佑科技有限公司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不重大</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广西朗新数据科技限公司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不重大</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贵州朗新数据科技有限公司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不重大</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涵谷海运科技（广州）有限公司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不重大</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朗新云贸科技有限公司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不重大</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无锡瀚智物联网产业发展有限公司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不重大</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朗新科技（海南）有限公司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不重大</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派瑞无锡产业投资中心（有限合伙）</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不重大</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无锡易云投资合伙企业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不重大</w:t>
            </w:r>
          </w:p>
        </w:tc>
      </w:tr>
    </w:tbl>
    <w:p>
      <w:pPr>
        <w:pStyle w:val="BodyText"/>
        <w:spacing w:line="240" w:lineRule="auto" w:before="44"/>
        <w:ind w:right="1105"/>
        <w:jc w:val="left"/>
      </w:pPr>
      <w:r>
        <w:rPr/>
        <w:t>主要控股参股公司情况说明</w:t>
      </w:r>
    </w:p>
    <w:p>
      <w:pPr>
        <w:spacing w:line="240" w:lineRule="auto" w:before="0"/>
        <w:rPr>
          <w:rFonts w:ascii="宋体" w:hAnsi="宋体" w:cs="宋体" w:eastAsia="宋体" w:hint="default"/>
          <w:sz w:val="26"/>
          <w:szCs w:val="26"/>
        </w:rPr>
      </w:pPr>
    </w:p>
    <w:p>
      <w:pPr>
        <w:pStyle w:val="Heading2"/>
        <w:spacing w:line="240" w:lineRule="auto"/>
        <w:ind w:right="1105"/>
        <w:jc w:val="left"/>
        <w:rPr>
          <w:b w:val="0"/>
          <w:bCs w:val="0"/>
        </w:rPr>
      </w:pPr>
      <w:bookmarkStart w:name="八、公司控制的结构化主体情况" w:id="54"/>
      <w:bookmarkEnd w:id="54"/>
      <w:r>
        <w:rPr>
          <w:b w:val="0"/>
          <w:bCs w:val="0"/>
        </w:rPr>
      </w:r>
      <w:r>
        <w:rPr/>
        <w:t>八、公司控制的结构化主体情况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1105"/>
        <w:jc w:val="left"/>
        <w:rPr>
          <w:b w:val="0"/>
          <w:bCs w:val="0"/>
        </w:rPr>
      </w:pPr>
      <w:bookmarkStart w:name="九、公司未来发展的展望" w:id="55"/>
      <w:bookmarkEnd w:id="55"/>
      <w:r>
        <w:rPr>
          <w:b w:val="0"/>
          <w:bCs w:val="0"/>
        </w:rPr>
      </w:r>
      <w:r>
        <w:rPr/>
        <w:t>九、公司未来发展的展望</w:t>
      </w:r>
      <w:r>
        <w:rPr>
          <w:b w:val="0"/>
          <w:bCs w:val="0"/>
        </w:rPr>
      </w:r>
    </w:p>
    <w:p>
      <w:pPr>
        <w:spacing w:line="240" w:lineRule="auto" w:before="1"/>
        <w:rPr>
          <w:rFonts w:ascii="宋体" w:hAnsi="宋体" w:cs="宋体" w:eastAsia="宋体" w:hint="default"/>
          <w:b/>
          <w:bCs/>
          <w:sz w:val="26"/>
          <w:szCs w:val="26"/>
        </w:rPr>
      </w:pPr>
    </w:p>
    <w:p>
      <w:pPr>
        <w:pStyle w:val="BodyText"/>
        <w:spacing w:line="304" w:lineRule="auto"/>
        <w:ind w:right="1046" w:firstLine="360"/>
        <w:jc w:val="both"/>
      </w:pPr>
      <w:r>
        <w:rPr>
          <w:rFonts w:ascii="Times New Roman" w:hAnsi="Times New Roman" w:cs="Times New Roman" w:eastAsia="Times New Roman" w:hint="default"/>
        </w:rPr>
        <w:t>2020</w:t>
      </w:r>
      <w:r>
        <w:rPr/>
        <w:t>年新年以来，新冠疫情的发展对社会产生了广泛的影响，使得</w:t>
      </w:r>
      <w:r>
        <w:rPr>
          <w:rFonts w:ascii="Times New Roman" w:hAnsi="Times New Roman" w:cs="Times New Roman" w:eastAsia="Times New Roman" w:hint="default"/>
        </w:rPr>
        <w:t>G</w:t>
      </w:r>
      <w:r>
        <w:rPr/>
        <w:t>端和</w:t>
      </w:r>
      <w:r>
        <w:rPr>
          <w:rFonts w:ascii="Times New Roman" w:hAnsi="Times New Roman" w:cs="Times New Roman" w:eastAsia="Times New Roman" w:hint="default"/>
        </w:rPr>
        <w:t>B</w:t>
      </w:r>
      <w:r>
        <w:rPr/>
        <w:t>端的管理服务模式与交易心智发生了深刻的 </w:t>
      </w:r>
      <w:r>
        <w:rPr>
          <w:spacing w:val="-2"/>
        </w:rPr>
        <w:t>变化，从公用事业机构、政府、社区、学校到企业，对互联网线上业务模式的需求已经成为一个普遍的趋势。朗新科技集团</w:t>
      </w:r>
      <w:r>
        <w:rPr>
          <w:spacing w:val="-66"/>
        </w:rPr>
        <w:t> </w:t>
      </w:r>
      <w:r>
        <w:rPr>
          <w:spacing w:val="-66"/>
        </w:rPr>
      </w:r>
      <w:r>
        <w:rPr>
          <w:spacing w:val="-4"/>
        </w:rPr>
        <w:t>通过过去几年在公共服务、数字城市、社区服务、智慧停车、校园服务等多个领域的产业互联网业务布局，凭借平台、运营、</w:t>
      </w:r>
    </w:p>
    <w:p>
      <w:pPr>
        <w:pStyle w:val="BodyText"/>
        <w:spacing w:line="290" w:lineRule="auto" w:before="46"/>
        <w:ind w:right="1105"/>
        <w:jc w:val="left"/>
      </w:pPr>
      <w:r>
        <w:rPr>
          <w:spacing w:val="-2"/>
        </w:rPr>
        <w:t>技术能力积累和实践经验，在</w:t>
      </w:r>
      <w:r>
        <w:rPr>
          <w:rFonts w:ascii="Times New Roman" w:hAnsi="Times New Roman" w:cs="Times New Roman" w:eastAsia="Times New Roman" w:hint="default"/>
          <w:spacing w:val="-2"/>
        </w:rPr>
        <w:t>2020</w:t>
      </w:r>
      <w:r>
        <w:rPr>
          <w:spacing w:val="-2"/>
        </w:rPr>
        <w:t>年初相关领域的科技抗疫战役中发挥了重要的作用，凸显了集团产业互联网业务战略布局</w:t>
      </w:r>
      <w:r>
        <w:rPr>
          <w:spacing w:val="-65"/>
        </w:rPr>
        <w:t> </w:t>
      </w:r>
      <w:r>
        <w:rPr>
          <w:spacing w:val="-65"/>
        </w:rPr>
      </w:r>
      <w:r>
        <w:rPr/>
        <w:t>的价值，实现了纵向布局、横向成型，为未来创造了更大的成长空间。</w:t>
      </w:r>
    </w:p>
    <w:p>
      <w:pPr>
        <w:pStyle w:val="BodyText"/>
        <w:spacing w:line="304" w:lineRule="auto" w:before="87"/>
        <w:ind w:right="1114" w:firstLine="360"/>
        <w:jc w:val="both"/>
      </w:pPr>
      <w:r>
        <w:rPr>
          <w:spacing w:val="-2"/>
        </w:rPr>
        <w:t>未来，朗新科技集团将继续聚焦产业互联网业务发展战略，以</w:t>
      </w:r>
      <w:r>
        <w:rPr>
          <w:rFonts w:ascii="Times New Roman" w:hAnsi="Times New Roman" w:cs="Times New Roman" w:eastAsia="Times New Roman" w:hint="default"/>
          <w:spacing w:val="-2"/>
        </w:rPr>
        <w:t>B2B2C</w:t>
      </w:r>
      <w:r>
        <w:rPr>
          <w:spacing w:val="-2"/>
        </w:rPr>
        <w:t>的业务模式，持续赋能智慧能源、智慧家庭、公共</w:t>
      </w:r>
      <w:r>
        <w:rPr/>
        <w:t> </w:t>
      </w:r>
      <w:r>
        <w:rPr>
          <w:spacing w:val="-2"/>
        </w:rPr>
        <w:t>服务、工业互联网、数字城市、新外贸等行业，进一步加大新技术的研发与应用，提升公司业务创新能力，与客户共同推进</w:t>
      </w:r>
      <w:r>
        <w:rPr>
          <w:spacing w:val="-65"/>
        </w:rPr>
        <w:t> </w:t>
      </w:r>
      <w:r>
        <w:rPr>
          <w:spacing w:val="-65"/>
        </w:rPr>
      </w:r>
      <w:r>
        <w:rPr/>
        <w:t>产业互联网相关业务的转型与升级，创造并分享新的客户价值。</w:t>
      </w:r>
    </w:p>
    <w:p>
      <w:pPr>
        <w:pStyle w:val="BodyText"/>
        <w:spacing w:line="348" w:lineRule="auto" w:before="76"/>
        <w:ind w:left="501" w:right="1105"/>
        <w:jc w:val="left"/>
      </w:pPr>
      <w:r>
        <w:rPr>
          <w:rFonts w:ascii="Times New Roman" w:hAnsi="Times New Roman" w:cs="Times New Roman" w:eastAsia="Times New Roman" w:hint="default"/>
        </w:rPr>
        <w:t>1</w:t>
      </w:r>
      <w:r>
        <w:rPr/>
        <w:t>、智慧能源领域 </w:t>
      </w:r>
      <w:r>
        <w:rPr>
          <w:spacing w:val="-2"/>
        </w:rPr>
        <w:t>面对疫情导致的经济下行压力，国家电网和南方电网承担起了加大新基建投入、带动经济增长的责任。</w:t>
      </w:r>
      <w:r>
        <w:rPr>
          <w:rFonts w:ascii="Times New Roman" w:hAnsi="Times New Roman" w:cs="Times New Roman" w:eastAsia="Times New Roman" w:hint="default"/>
          <w:spacing w:val="-2"/>
        </w:rPr>
        <w:t>2020</w:t>
      </w:r>
      <w:r>
        <w:rPr>
          <w:spacing w:val="-2"/>
        </w:rPr>
        <w:t>年两大电网</w:t>
      </w:r>
    </w:p>
    <w:p>
      <w:pPr>
        <w:pStyle w:val="BodyText"/>
        <w:spacing w:line="182" w:lineRule="exact"/>
        <w:ind w:right="0"/>
        <w:jc w:val="left"/>
      </w:pPr>
      <w:r>
        <w:rPr/>
        <w:t>加大了对新基建的投资，并将新基建投资项目迅速分解到省市县，公司在未来的市场布局上将进一步加强基层市场建设，争</w:t>
      </w:r>
    </w:p>
    <w:p>
      <w:pPr>
        <w:pStyle w:val="BodyText"/>
        <w:spacing w:line="367" w:lineRule="auto" w:before="79"/>
        <w:ind w:left="501" w:right="1105" w:hanging="361"/>
        <w:jc w:val="left"/>
      </w:pPr>
      <w:r>
        <w:rPr/>
        <w:t>取更多的业务机会，利用原有的市场优势，丰富解决方案内容，扩大市场领域。 </w:t>
      </w:r>
      <w:r>
        <w:rPr>
          <w:spacing w:val="-2"/>
        </w:rPr>
        <w:t>同时，面对降电价、国家进一步推进电改带来的冲击，两大电网企业已经开始转型发展。一方面更强调精益化发展、科</w:t>
      </w:r>
    </w:p>
    <w:p>
      <w:pPr>
        <w:pStyle w:val="BodyText"/>
        <w:spacing w:line="205" w:lineRule="exact"/>
        <w:ind w:right="0"/>
        <w:jc w:val="left"/>
      </w:pPr>
      <w:r>
        <w:rPr/>
        <w:t>学决策，依靠科技进步和自动化技术来降低成本，改善收益，在电网企业管理模式上更强调要往数字化、智能化发展，这为</w:t>
      </w:r>
    </w:p>
    <w:p>
      <w:pPr>
        <w:pStyle w:val="BodyText"/>
        <w:spacing w:line="321" w:lineRule="auto" w:before="80"/>
        <w:ind w:right="1019"/>
        <w:jc w:val="left"/>
      </w:pPr>
      <w:r>
        <w:rPr>
          <w:spacing w:val="-4"/>
        </w:rPr>
        <w:t>信息技术应用提供了更为有利的条件和环境；另一方面，除了传统售电业务之外，电网企业更积极的投身电能替代、充电桩、</w:t>
      </w:r>
      <w:r>
        <w:rPr>
          <w:spacing w:val="-50"/>
        </w:rPr>
        <w:t> </w:t>
      </w:r>
      <w:r>
        <w:rPr>
          <w:spacing w:val="-50"/>
        </w:rPr>
      </w:r>
      <w:r>
        <w:rPr>
          <w:spacing w:val="-2"/>
        </w:rPr>
        <w:t>储能、综合能源服务这些扩大市场、增加收入的新领域的市场经营，这为公司的业务创新、发展新市场提供了难得的市场机</w:t>
      </w:r>
      <w:r>
        <w:rPr>
          <w:spacing w:val="-42"/>
        </w:rPr>
        <w:t> </w:t>
      </w:r>
      <w:r>
        <w:rPr>
          <w:spacing w:val="-42"/>
        </w:rPr>
      </w:r>
      <w:r>
        <w:rPr/>
        <w:t>遇。</w:t>
      </w:r>
    </w:p>
    <w:p>
      <w:pPr>
        <w:pStyle w:val="BodyText"/>
        <w:spacing w:line="312" w:lineRule="auto" w:before="48"/>
        <w:ind w:right="1113" w:firstLine="420"/>
        <w:jc w:val="both"/>
      </w:pPr>
      <w:r>
        <w:rPr/>
        <w:t>另外，面对疫情冲击，科技抗疫发挥出杰出效果。例如：电力指数看行业复工、网上业务办理解决客户非接触式服务 诉求获得普遍的认同和接受。再加上互联网</w:t>
      </w:r>
      <w:r>
        <w:rPr>
          <w:rFonts w:ascii="Times New Roman" w:hAnsi="Times New Roman" w:cs="Times New Roman" w:eastAsia="Times New Roman" w:hint="default"/>
        </w:rPr>
        <w:t>+</w:t>
      </w:r>
      <w:r>
        <w:rPr/>
        <w:t>服务模式的良好体验和社会对于公共服务的更高要求，电网企业在业务模式、</w:t>
      </w:r>
      <w:r>
        <w:rPr>
          <w:spacing w:val="-79"/>
        </w:rPr>
        <w:t> </w:t>
      </w:r>
      <w:r>
        <w:rPr>
          <w:spacing w:val="-79"/>
        </w:rPr>
      </w:r>
      <w:r>
        <w:rPr>
          <w:spacing w:val="-2"/>
        </w:rPr>
        <w:t>经营策略和产业合作上将更为开放，积极开展包括大数据服务、电力营销互联网运营、综合能源经营、充电桩经营、售电园</w:t>
      </w:r>
    </w:p>
    <w:p>
      <w:pPr>
        <w:spacing w:after="0" w:line="312"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52" w:lineRule="auto" w:before="44"/>
        <w:ind w:left="561" w:right="1105" w:hanging="421"/>
        <w:jc w:val="left"/>
      </w:pPr>
      <w:r>
        <w:rPr/>
        <w:t>区等在内的多种新型业务形态和新型商业模式，为公司采取更丰富的合作方式进行市场经营和业务拓展提供了可能。 未来公司将继续巩固在燃气领域的市场引领地位。燃气行业正在逐步走向集中，大型燃气集团的地位和市场份额将进</w:t>
      </w:r>
    </w:p>
    <w:p>
      <w:pPr>
        <w:pStyle w:val="BodyText"/>
        <w:spacing w:line="230" w:lineRule="exact"/>
        <w:ind w:right="0"/>
        <w:jc w:val="both"/>
      </w:pPr>
      <w:r>
        <w:rPr/>
        <w:t>一步扩大，而公司在大型燃气集团市场上具有显著的领先优势和品牌优势，公司将积极拓展燃气业务，扩大市场份额。</w:t>
      </w:r>
    </w:p>
    <w:p>
      <w:pPr>
        <w:pStyle w:val="BodyText"/>
        <w:spacing w:line="240" w:lineRule="auto" w:before="140"/>
        <w:ind w:left="561" w:right="1105"/>
        <w:jc w:val="left"/>
      </w:pPr>
      <w:r>
        <w:rPr>
          <w:rFonts w:ascii="Times New Roman" w:hAnsi="Times New Roman" w:cs="Times New Roman" w:eastAsia="Times New Roman" w:hint="default"/>
        </w:rPr>
        <w:t>2</w:t>
      </w:r>
      <w:r>
        <w:rPr/>
        <w:t>、智慧家庭领域</w:t>
      </w:r>
    </w:p>
    <w:p>
      <w:pPr>
        <w:pStyle w:val="BodyText"/>
        <w:spacing w:line="300" w:lineRule="auto" w:before="96"/>
        <w:ind w:right="1055" w:firstLine="420"/>
        <w:jc w:val="both"/>
      </w:pPr>
      <w:r>
        <w:rPr>
          <w:rFonts w:ascii="Times New Roman" w:hAnsi="Times New Roman" w:cs="Times New Roman" w:eastAsia="Times New Roman" w:hint="default"/>
        </w:rPr>
        <w:t>2020</w:t>
      </w:r>
      <w:r>
        <w:rPr/>
        <w:t>年，电视互联网行业正在经历着巨大的变革，互联网电视</w:t>
      </w:r>
      <w:r>
        <w:rPr>
          <w:rFonts w:ascii="Times New Roman" w:hAnsi="Times New Roman" w:cs="Times New Roman" w:eastAsia="Times New Roman" w:hint="default"/>
        </w:rPr>
        <w:t>OTT</w:t>
      </w:r>
      <w:r>
        <w:rPr/>
        <w:t>业务与</w:t>
      </w:r>
      <w:r>
        <w:rPr>
          <w:rFonts w:ascii="Times New Roman" w:hAnsi="Times New Roman" w:cs="Times New Roman" w:eastAsia="Times New Roman" w:hint="default"/>
        </w:rPr>
        <w:t>IPTV</w:t>
      </w:r>
      <w:r>
        <w:rPr/>
        <w:t>业务并驾齐驱、增量市场随着宽带拓展 放缓而增速放缓，而电信运营商随着</w:t>
      </w:r>
      <w:r>
        <w:rPr>
          <w:rFonts w:ascii="Times New Roman" w:hAnsi="Times New Roman" w:cs="Times New Roman" w:eastAsia="Times New Roman" w:hint="default"/>
        </w:rPr>
        <w:t>5G</w:t>
      </w:r>
      <w:r>
        <w:rPr/>
        <w:t>发力、魔百和业务经营投入压力增加，更加谨慎与理性的发展电视互联网业务。从</w:t>
      </w:r>
      <w:r>
        <w:rPr>
          <w:spacing w:val="-41"/>
        </w:rPr>
        <w:t> </w:t>
      </w:r>
      <w:r>
        <w:rPr>
          <w:spacing w:val="-41"/>
        </w:rPr>
      </w:r>
      <w:r>
        <w:rPr/>
        <w:t>行业发展趋势来看，电视作为客厅经济中最重要的一块</w:t>
      </w:r>
      <w:r>
        <w:rPr>
          <w:rFonts w:ascii="Times New Roman" w:hAnsi="Times New Roman" w:cs="Times New Roman" w:eastAsia="Times New Roman" w:hint="default"/>
        </w:rPr>
        <w:t>“</w:t>
      </w:r>
      <w:r>
        <w:rPr/>
        <w:t>屏</w:t>
      </w:r>
      <w:r>
        <w:rPr>
          <w:rFonts w:ascii="Times New Roman" w:hAnsi="Times New Roman" w:cs="Times New Roman" w:eastAsia="Times New Roman" w:hint="default"/>
        </w:rPr>
        <w:t>”</w:t>
      </w:r>
      <w:r>
        <w:rPr/>
        <w:t>，正在发展成为家庭智能生活的最大入口，连接各类影视资源、</w:t>
      </w:r>
      <w:r>
        <w:rPr>
          <w:spacing w:val="-80"/>
        </w:rPr>
        <w:t> </w:t>
      </w:r>
      <w:r>
        <w:rPr/>
        <w:t>少儿节目、综艺节目、体育赛事，以及在线教育、在线医养、智能家居等应用。</w:t>
      </w:r>
    </w:p>
    <w:p>
      <w:pPr>
        <w:pStyle w:val="BodyText"/>
        <w:spacing w:line="319" w:lineRule="auto" w:before="65"/>
        <w:ind w:right="1047" w:firstLine="420"/>
        <w:jc w:val="both"/>
      </w:pPr>
      <w:r>
        <w:rPr/>
        <w:t>面对运营商市场的激烈竞争与市场分化，未来易视腾科技将在以互联网电视为中心的智慧家庭领域争取更大发展的突 </w:t>
      </w:r>
      <w:r>
        <w:rPr>
          <w:spacing w:val="2"/>
        </w:rPr>
        <w:t>破口，继续把</w:t>
      </w:r>
      <w:r>
        <w:rPr>
          <w:rFonts w:ascii="Times New Roman" w:hAnsi="Times New Roman" w:cs="Times New Roman" w:eastAsia="Times New Roman" w:hint="default"/>
          <w:spacing w:val="2"/>
        </w:rPr>
        <w:t>“</w:t>
      </w:r>
      <w:r>
        <w:rPr>
          <w:spacing w:val="2"/>
        </w:rPr>
        <w:t>做大规模、做强平台、做好电视、做对生态</w:t>
      </w:r>
      <w:r>
        <w:rPr>
          <w:rFonts w:ascii="Times New Roman" w:hAnsi="Times New Roman" w:cs="Times New Roman" w:eastAsia="Times New Roman" w:hint="default"/>
          <w:spacing w:val="2"/>
        </w:rPr>
        <w:t>”</w:t>
      </w:r>
      <w:r>
        <w:rPr>
          <w:spacing w:val="2"/>
        </w:rPr>
        <w:t>作为易视腾科技持续发展的重要举措，进一步拓展并充分挖掘</w:t>
      </w:r>
      <w:r>
        <w:rPr/>
        <w:t> </w:t>
      </w:r>
      <w:r>
        <w:rPr>
          <w:rFonts w:ascii="Times New Roman" w:hAnsi="Times New Roman" w:cs="Times New Roman" w:eastAsia="Times New Roman" w:hint="default"/>
          <w:spacing w:val="-1"/>
        </w:rPr>
        <w:t>B2B2C</w:t>
      </w:r>
      <w:r>
        <w:rPr>
          <w:spacing w:val="-1"/>
        </w:rPr>
        <w:t>的业务价值，重点推进以视频增值内容为主的大屏增值业务，基于可承载运营业务的智能终端，最大化地实现产品、</w:t>
      </w:r>
    </w:p>
    <w:p>
      <w:pPr>
        <w:pStyle w:val="BodyText"/>
        <w:spacing w:line="206" w:lineRule="exact"/>
        <w:ind w:right="0"/>
        <w:jc w:val="both"/>
      </w:pPr>
      <w:r>
        <w:rPr/>
        <w:t>运营服务和增值业务收入。首先，围绕新电视业务，易视腾将进一步推动经营创新、精细化运营，应用新技术创造新的产品</w:t>
      </w:r>
    </w:p>
    <w:p>
      <w:pPr>
        <w:pStyle w:val="BodyText"/>
        <w:spacing w:line="321" w:lineRule="auto" w:before="80"/>
        <w:ind w:right="1100"/>
        <w:jc w:val="both"/>
      </w:pPr>
      <w:r>
        <w:rPr>
          <w:spacing w:val="-2"/>
        </w:rPr>
        <w:t>和服务，不断提升服务产品的性能和服务的体验，优化运营的品质，提升运营效率，创造出新的价值。其次，易视腾也将不</w:t>
      </w:r>
      <w:r>
        <w:rPr>
          <w:spacing w:val="-72"/>
        </w:rPr>
        <w:t> </w:t>
      </w:r>
      <w:r>
        <w:rPr>
          <w:spacing w:val="-72"/>
        </w:rPr>
      </w:r>
      <w:r>
        <w:rPr>
          <w:spacing w:val="-2"/>
        </w:rPr>
        <w:t>断深化与运营商的合作关系，不断提升内部价值链上各环节的专业能力，创造新的客户价值。同时，易视腾从产品、运营到</w:t>
      </w:r>
    </w:p>
    <w:p>
      <w:pPr>
        <w:pStyle w:val="BodyText"/>
        <w:spacing w:line="297" w:lineRule="auto" w:before="34"/>
        <w:ind w:right="1100"/>
        <w:jc w:val="both"/>
      </w:pPr>
      <w:r>
        <w:rPr/>
        <w:t>市场策略，将全面支持</w:t>
      </w:r>
      <w:r>
        <w:rPr>
          <w:rFonts w:ascii="Times New Roman" w:hAnsi="Times New Roman" w:cs="Times New Roman" w:eastAsia="Times New Roman" w:hint="default"/>
        </w:rPr>
        <w:t>OTT-TV</w:t>
      </w:r>
      <w:r>
        <w:rPr/>
        <w:t>与</w:t>
      </w:r>
      <w:r>
        <w:rPr>
          <w:rFonts w:ascii="Times New Roman" w:hAnsi="Times New Roman" w:cs="Times New Roman" w:eastAsia="Times New Roman" w:hint="default"/>
        </w:rPr>
        <w:t>IPTV</w:t>
      </w:r>
      <w:r>
        <w:rPr/>
        <w:t>，以响应运营商市场</w:t>
      </w:r>
      <w:r>
        <w:rPr>
          <w:rFonts w:ascii="Times New Roman" w:hAnsi="Times New Roman" w:cs="Times New Roman" w:eastAsia="Times New Roman" w:hint="default"/>
        </w:rPr>
        <w:t>OTT-TV</w:t>
      </w:r>
      <w:r>
        <w:rPr/>
        <w:t>业务与</w:t>
      </w:r>
      <w:r>
        <w:rPr>
          <w:rFonts w:ascii="Times New Roman" w:hAnsi="Times New Roman" w:cs="Times New Roman" w:eastAsia="Times New Roman" w:hint="default"/>
        </w:rPr>
        <w:t>IPTV</w:t>
      </w:r>
      <w:r>
        <w:rPr/>
        <w:t>业务融合发展的趋势，易视腾将在与集成播 </w:t>
      </w:r>
      <w:r>
        <w:rPr>
          <w:spacing w:val="-2"/>
        </w:rPr>
        <w:t>控牌照方紧密合作的同时，拓宽与各地新媒体运营商的合作关系，为朗新科技集团未来的智慧家庭产业融合发展提供战略支</w:t>
      </w:r>
      <w:r>
        <w:rPr>
          <w:spacing w:val="-72"/>
        </w:rPr>
        <w:t> </w:t>
      </w:r>
      <w:r>
        <w:rPr>
          <w:spacing w:val="-72"/>
        </w:rPr>
      </w:r>
      <w:r>
        <w:rPr/>
        <w:t>持。</w:t>
      </w:r>
    </w:p>
    <w:p>
      <w:pPr>
        <w:pStyle w:val="BodyText"/>
        <w:spacing w:line="316" w:lineRule="auto" w:before="97"/>
        <w:ind w:left="561" w:right="1105"/>
        <w:jc w:val="left"/>
      </w:pPr>
      <w:r>
        <w:rPr>
          <w:rFonts w:ascii="Times New Roman" w:hAnsi="Times New Roman" w:cs="Times New Roman" w:eastAsia="Times New Roman" w:hint="default"/>
        </w:rPr>
        <w:t>3</w:t>
      </w:r>
      <w:r>
        <w:rPr/>
        <w:t>、公共服务领域 在公共服务领域，数字化与智能化的服务已经成为行业发展主要趋势。近期，支付宝正式升级为数字生活开放平台，</w:t>
      </w:r>
    </w:p>
    <w:p>
      <w:pPr>
        <w:pStyle w:val="BodyText"/>
        <w:spacing w:line="302" w:lineRule="auto" w:before="37"/>
        <w:ind w:right="1130"/>
        <w:jc w:val="both"/>
      </w:pPr>
      <w:r>
        <w:rPr>
          <w:spacing w:val="-2"/>
        </w:rPr>
        <w:t>聚焦服务业数字化的新战略目标，未来</w:t>
      </w:r>
      <w:r>
        <w:rPr>
          <w:rFonts w:ascii="Times New Roman" w:hAnsi="Times New Roman" w:cs="Times New Roman" w:eastAsia="Times New Roman" w:hint="default"/>
          <w:spacing w:val="-2"/>
        </w:rPr>
        <w:t>3</w:t>
      </w:r>
      <w:r>
        <w:rPr>
          <w:spacing w:val="-2"/>
        </w:rPr>
        <w:t>年将携手</w:t>
      </w:r>
      <w:r>
        <w:rPr>
          <w:rFonts w:ascii="Times New Roman" w:hAnsi="Times New Roman" w:cs="Times New Roman" w:eastAsia="Times New Roman" w:hint="default"/>
          <w:spacing w:val="-2"/>
        </w:rPr>
        <w:t>5</w:t>
      </w:r>
      <w:r>
        <w:rPr>
          <w:spacing w:val="-2"/>
        </w:rPr>
        <w:t>万服务商帮助</w:t>
      </w:r>
      <w:r>
        <w:rPr>
          <w:rFonts w:ascii="Times New Roman" w:hAnsi="Times New Roman" w:cs="Times New Roman" w:eastAsia="Times New Roman" w:hint="default"/>
          <w:spacing w:val="-2"/>
        </w:rPr>
        <w:t>4000</w:t>
      </w:r>
      <w:r>
        <w:rPr>
          <w:spacing w:val="-2"/>
        </w:rPr>
        <w:t>万商家完成数字化升级。与此同时，各个公共服务机构</w:t>
      </w:r>
      <w:r>
        <w:rPr>
          <w:spacing w:val="-65"/>
        </w:rPr>
        <w:t> </w:t>
      </w:r>
      <w:r>
        <w:rPr>
          <w:spacing w:val="-65"/>
        </w:rPr>
      </w:r>
      <w:r>
        <w:rPr/>
        <w:t>也正全面提升其数字化与智能化水平，构建</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与</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运营</w:t>
      </w:r>
      <w:r>
        <w:rPr>
          <w:rFonts w:ascii="Times New Roman" w:hAnsi="Times New Roman" w:cs="Times New Roman" w:eastAsia="Times New Roman" w:hint="default"/>
        </w:rPr>
        <w:t>”</w:t>
      </w:r>
      <w:r>
        <w:rPr/>
        <w:t>能力，以实现业务经营模式的转型与升级。</w:t>
      </w:r>
    </w:p>
    <w:p>
      <w:pPr>
        <w:pStyle w:val="BodyText"/>
        <w:spacing w:line="312" w:lineRule="auto" w:before="29"/>
        <w:ind w:right="1106" w:firstLine="420"/>
        <w:jc w:val="both"/>
      </w:pPr>
      <w:r>
        <w:rPr/>
        <w:t>未来，邦道科技将进一步强化与支付宝等主流互联网平台的战略伙伴关系，站在行业整体增值赋能角度，以移动支付 及数字营销为切入点，重点建设公共事业、加油充电、智慧停车及校园教育等行业开放平台，推动更多行业客户、</w:t>
      </w:r>
      <w:r>
        <w:rPr>
          <w:rFonts w:ascii="Times New Roman" w:hAnsi="Times New Roman" w:cs="Times New Roman" w:eastAsia="Times New Roman" w:hint="default"/>
        </w:rPr>
        <w:t>ISV</w:t>
      </w:r>
      <w:r>
        <w:rPr/>
        <w:t>及服 </w:t>
      </w:r>
      <w:r>
        <w:rPr>
          <w:spacing w:val="-2"/>
        </w:rPr>
        <w:t>务商入驻开放平台，全面提升平台的用户活跃度及交易额。其次，以互联网运营及营销服务为业务重点，构建多元化的生态</w:t>
      </w:r>
    </w:p>
    <w:p>
      <w:pPr>
        <w:pStyle w:val="BodyText"/>
        <w:spacing w:line="316" w:lineRule="auto" w:before="26"/>
        <w:ind w:right="1102"/>
        <w:jc w:val="both"/>
      </w:pPr>
      <w:r>
        <w:rPr>
          <w:spacing w:val="-2"/>
        </w:rPr>
        <w:t>合作模式，持续深度拓展水电燃、有线电视、公共交通、城市服务、高校教育、新能源及停车等行业机构客户，助力机构提</w:t>
      </w:r>
      <w:r>
        <w:rPr>
          <w:spacing w:val="-73"/>
        </w:rPr>
        <w:t> </w:t>
      </w:r>
      <w:r>
        <w:rPr>
          <w:spacing w:val="-73"/>
        </w:rPr>
      </w:r>
      <w:r>
        <w:rPr>
          <w:spacing w:val="-2"/>
        </w:rPr>
        <w:t>升用户数字化与智能化服务水平，共同创造产业新价值，成为行业领先的数字化营销技术与运营服务商。同时，邦道科技将</w:t>
      </w:r>
      <w:r>
        <w:rPr>
          <w:spacing w:val="-39"/>
        </w:rPr>
        <w:t> </w:t>
      </w:r>
      <w:r>
        <w:rPr>
          <w:spacing w:val="-39"/>
        </w:rPr>
      </w:r>
      <w:r>
        <w:rPr>
          <w:spacing w:val="-2"/>
        </w:rPr>
        <w:t>基于现有在东南亚开展业务的经验，协同蚂蚁国际，推广复制国内成熟的生活缴费等移动支付产品技术及运营能力，积极拓</w:t>
      </w:r>
      <w:r>
        <w:rPr>
          <w:spacing w:val="-75"/>
        </w:rPr>
        <w:t> </w:t>
      </w:r>
      <w:r>
        <w:rPr>
          <w:spacing w:val="-75"/>
        </w:rPr>
      </w:r>
      <w:r>
        <w:rPr/>
        <w:t>展海外市场。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both"/>
        <w:rPr>
          <w:b w:val="0"/>
          <w:bCs w:val="0"/>
        </w:rPr>
      </w:pPr>
      <w:bookmarkStart w:name="十、接待调研、沟通、采访等活动登记表" w:id="56"/>
      <w:bookmarkEnd w:id="56"/>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57"/>
      <w:bookmarkEnd w:id="57"/>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2177"/>
        <w:gridCol w:w="2178"/>
        <w:gridCol w:w="2178"/>
        <w:gridCol w:w="3049"/>
      </w:tblGrid>
      <w:tr>
        <w:trPr>
          <w:trHeight w:val="406" w:hRule="exact"/>
        </w:trPr>
        <w:tc>
          <w:tcPr>
            <w:tcW w:w="2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06"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1"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0"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05"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21"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87"/>
              <w:ind w:left="30" w:right="42"/>
              <w:jc w:val="both"/>
              <w:rPr>
                <w:rFonts w:ascii="Times New Roman" w:hAnsi="Times New Roman" w:cs="Times New Roman" w:eastAsia="Times New Roman" w:hint="default"/>
                <w:sz w:val="18"/>
                <w:szCs w:val="18"/>
              </w:rPr>
            </w:pPr>
            <w:r>
              <w:rPr>
                <w:rFonts w:ascii="Times New Roman"/>
                <w:color w:val="0000FF"/>
                <w:sz w:val="18"/>
              </w:rPr>
            </w:r>
            <w:hyperlink r:id="rId13">
              <w:r>
                <w:rPr>
                  <w:rFonts w:ascii="Times New Roman"/>
                  <w:color w:val="0000FF"/>
                  <w:sz w:val="18"/>
                  <w:u w:val="single" w:color="0000FF"/>
                </w:rPr>
                <w:t>http://www.cninfo.com.cn/new/disclosur</w:t>
              </w:r>
              <w:r>
                <w:rPr>
                  <w:rFonts w:ascii="Times New Roman"/>
                  <w:color w:val="0000FF"/>
                  <w:w w:val="99"/>
                  <w:sz w:val="18"/>
                </w:rPr>
              </w:r>
            </w:hyperlink>
            <w:r>
              <w:rPr>
                <w:rFonts w:ascii="Times New Roman"/>
                <w:color w:val="0000FF"/>
                <w:w w:val="99"/>
                <w:sz w:val="18"/>
              </w:rPr>
              <w:t> </w:t>
            </w:r>
            <w:hyperlink r:id="rId13">
              <w:r>
                <w:rPr>
                  <w:rFonts w:ascii="Times New Roman"/>
                  <w:color w:val="0000FF"/>
                  <w:w w:val="99"/>
                  <w:sz w:val="18"/>
                </w:rPr>
              </w:r>
              <w:r>
                <w:rPr>
                  <w:rFonts w:ascii="Times New Roman"/>
                  <w:color w:val="0000FF"/>
                  <w:spacing w:val="-1"/>
                  <w:sz w:val="18"/>
                  <w:u w:val="single" w:color="0000FF"/>
                </w:rPr>
                <w:t>e/detail?orgId=9900029863&amp;announcem</w:t>
              </w:r>
              <w:r>
                <w:rPr>
                  <w:rFonts w:ascii="Times New Roman"/>
                  <w:color w:val="0000FF"/>
                  <w:spacing w:val="-27"/>
                  <w:sz w:val="18"/>
                  <w:u w:val="single" w:color="0000FF"/>
                </w:rPr>
                <w:t> </w:t>
              </w:r>
              <w:r>
                <w:rPr>
                  <w:rFonts w:ascii="Times New Roman"/>
                  <w:color w:val="0000FF"/>
                  <w:spacing w:val="-27"/>
                  <w:sz w:val="18"/>
                </w:rPr>
              </w:r>
            </w:hyperlink>
            <w:r>
              <w:rPr>
                <w:rFonts w:ascii="Times New Roman"/>
                <w:color w:val="0000FF"/>
                <w:spacing w:val="-27"/>
                <w:sz w:val="18"/>
              </w:rPr>
            </w:r>
            <w:hyperlink r:id="rId13">
              <w:r>
                <w:rPr>
                  <w:rFonts w:ascii="Times New Roman"/>
                  <w:color w:val="0000FF"/>
                  <w:spacing w:val="-27"/>
                  <w:sz w:val="18"/>
                </w:rPr>
              </w:r>
              <w:r>
                <w:rPr>
                  <w:rFonts w:ascii="Times New Roman"/>
                  <w:color w:val="0000FF"/>
                  <w:sz w:val="18"/>
                  <w:u w:val="single" w:color="0000FF"/>
                </w:rPr>
                <w:t>entId=1205895997&amp;announcementTime</w:t>
              </w:r>
              <w:r>
                <w:rPr>
                  <w:rFonts w:ascii="Times New Roman"/>
                  <w:color w:val="0000FF"/>
                  <w:sz w:val="18"/>
                </w:rPr>
              </w:r>
              <w:r>
                <w:rPr>
                  <w:rFonts w:ascii="Times New Roman"/>
                  <w:sz w:val="18"/>
                </w:rPr>
              </w:r>
            </w:hyperlink>
          </w:p>
          <w:p>
            <w:pPr>
              <w:pStyle w:val="TableParagraph"/>
              <w:spacing w:line="240" w:lineRule="auto" w:before="10"/>
              <w:ind w:left="30" w:right="0"/>
              <w:jc w:val="both"/>
              <w:rPr>
                <w:rFonts w:ascii="Times New Roman" w:hAnsi="Times New Roman" w:cs="Times New Roman" w:eastAsia="Times New Roman" w:hint="default"/>
                <w:sz w:val="18"/>
                <w:szCs w:val="18"/>
              </w:rPr>
            </w:pPr>
            <w:r>
              <w:rPr>
                <w:rFonts w:ascii="Times New Roman"/>
                <w:color w:val="0000FF"/>
                <w:sz w:val="18"/>
              </w:rPr>
            </w:r>
            <w:hyperlink r:id="rId13">
              <w:r>
                <w:rPr>
                  <w:rFonts w:ascii="Times New Roman"/>
                  <w:color w:val="0000FF"/>
                  <w:sz w:val="18"/>
                  <w:u w:val="single" w:color="0000FF"/>
                </w:rPr>
                <w:t>=2019-03-13%2011:12</w:t>
              </w:r>
              <w:r>
                <w:rPr>
                  <w:rFonts w:ascii="Times New Roman"/>
                  <w:color w:val="0000FF"/>
                  <w:sz w:val="18"/>
                </w:rPr>
              </w:r>
              <w:r>
                <w:rPr>
                  <w:rFonts w:ascii="Times New Roman"/>
                  <w:sz w:val="18"/>
                </w:rPr>
              </w:r>
            </w:hyperlink>
          </w:p>
        </w:tc>
      </w:tr>
    </w:tbl>
    <w:p>
      <w:pPr>
        <w:spacing w:after="0" w:line="240" w:lineRule="auto"/>
        <w:jc w:val="both"/>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177"/>
        <w:gridCol w:w="2178"/>
        <w:gridCol w:w="2178"/>
        <w:gridCol w:w="3049"/>
      </w:tblGrid>
      <w:tr>
        <w:trPr>
          <w:trHeight w:val="1336"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102"/>
              <w:ind w:left="30" w:right="33"/>
              <w:jc w:val="both"/>
              <w:rPr>
                <w:rFonts w:ascii="Times New Roman" w:hAnsi="Times New Roman" w:cs="Times New Roman" w:eastAsia="Times New Roman" w:hint="default"/>
                <w:sz w:val="18"/>
                <w:szCs w:val="18"/>
              </w:rPr>
            </w:pPr>
            <w:r>
              <w:rPr>
                <w:rFonts w:ascii="Times New Roman"/>
                <w:color w:val="0000FF"/>
                <w:sz w:val="18"/>
              </w:rPr>
            </w:r>
            <w:hyperlink r:id="rId14">
              <w:r>
                <w:rPr>
                  <w:rFonts w:ascii="Times New Roman"/>
                  <w:color w:val="0000FF"/>
                  <w:spacing w:val="-2"/>
                  <w:sz w:val="18"/>
                  <w:u w:val="single" w:color="0000FF"/>
                </w:rPr>
                <w:t>https://view.officeapps.live.com/op/view.</w:t>
              </w:r>
              <w:r>
                <w:rPr>
                  <w:rFonts w:ascii="Times New Roman"/>
                  <w:color w:val="0000FF"/>
                  <w:spacing w:val="-6"/>
                  <w:sz w:val="18"/>
                  <w:u w:val="single" w:color="0000FF"/>
                </w:rPr>
                <w:t> </w:t>
              </w:r>
              <w:r>
                <w:rPr>
                  <w:rFonts w:ascii="Times New Roman"/>
                  <w:color w:val="0000FF"/>
                  <w:spacing w:val="-6"/>
                  <w:sz w:val="18"/>
                </w:rPr>
              </w:r>
            </w:hyperlink>
            <w:r>
              <w:rPr>
                <w:rFonts w:ascii="Times New Roman"/>
                <w:color w:val="0000FF"/>
                <w:spacing w:val="-6"/>
                <w:sz w:val="18"/>
              </w:rPr>
            </w:r>
            <w:hyperlink r:id="rId14">
              <w:r>
                <w:rPr>
                  <w:rFonts w:ascii="Times New Roman"/>
                  <w:color w:val="0000FF"/>
                  <w:spacing w:val="-6"/>
                  <w:sz w:val="18"/>
                </w:rPr>
              </w:r>
              <w:r>
                <w:rPr>
                  <w:rFonts w:ascii="Times New Roman"/>
                  <w:color w:val="0000FF"/>
                  <w:spacing w:val="-1"/>
                  <w:sz w:val="18"/>
                  <w:u w:val="single" w:color="0000FF"/>
                </w:rPr>
                <w:t>aspx?src=http%3A%2F%2Fstatic.cninfo.</w:t>
              </w:r>
              <w:r>
                <w:rPr>
                  <w:rFonts w:ascii="Times New Roman"/>
                  <w:color w:val="0000FF"/>
                  <w:spacing w:val="-33"/>
                  <w:sz w:val="18"/>
                  <w:u w:val="single" w:color="0000FF"/>
                </w:rPr>
                <w:t> </w:t>
              </w:r>
              <w:r>
                <w:rPr>
                  <w:rFonts w:ascii="Times New Roman"/>
                  <w:color w:val="0000FF"/>
                  <w:spacing w:val="-33"/>
                  <w:sz w:val="18"/>
                </w:rPr>
              </w:r>
            </w:hyperlink>
            <w:r>
              <w:rPr>
                <w:rFonts w:ascii="Times New Roman"/>
                <w:color w:val="0000FF"/>
                <w:spacing w:val="-33"/>
                <w:sz w:val="18"/>
              </w:rPr>
            </w:r>
            <w:hyperlink r:id="rId14">
              <w:r>
                <w:rPr>
                  <w:rFonts w:ascii="Times New Roman"/>
                  <w:color w:val="0000FF"/>
                  <w:spacing w:val="-33"/>
                  <w:sz w:val="18"/>
                </w:rPr>
              </w:r>
              <w:r>
                <w:rPr>
                  <w:rFonts w:ascii="Times New Roman"/>
                  <w:color w:val="0000FF"/>
                  <w:sz w:val="18"/>
                  <w:u w:val="single" w:color="0000FF"/>
                </w:rPr>
                <w:t>com.cn%2Ffinalpage%2F2019-09-06%2</w:t>
              </w:r>
              <w:r>
                <w:rPr>
                  <w:rFonts w:ascii="Times New Roman"/>
                  <w:color w:val="0000FF"/>
                  <w:sz w:val="18"/>
                </w:rPr>
              </w:r>
            </w:hyperlink>
            <w:r>
              <w:rPr>
                <w:rFonts w:ascii="Times New Roman"/>
                <w:color w:val="0000FF"/>
                <w:sz w:val="18"/>
              </w:rPr>
              <w:t> </w:t>
            </w:r>
            <w:hyperlink r:id="rId14">
              <w:r>
                <w:rPr>
                  <w:rFonts w:ascii="Times New Roman"/>
                  <w:color w:val="0000FF"/>
                  <w:w w:val="99"/>
                  <w:sz w:val="18"/>
                </w:rPr>
              </w:r>
              <w:r>
                <w:rPr>
                  <w:rFonts w:ascii="Times New Roman"/>
                  <w:color w:val="0000FF"/>
                  <w:sz w:val="18"/>
                  <w:u w:val="single" w:color="0000FF"/>
                </w:rPr>
                <w:t>F1206907040.docx</w:t>
              </w:r>
              <w:r>
                <w:rPr>
                  <w:rFonts w:ascii="Times New Roman"/>
                  <w:color w:val="0000FF"/>
                  <w:sz w:val="18"/>
                </w:rPr>
              </w:r>
              <w:r>
                <w:rPr>
                  <w:rFonts w:ascii="Times New Roman"/>
                  <w:sz w:val="18"/>
                </w:rPr>
              </w:r>
            </w:hyperlink>
          </w:p>
        </w:tc>
      </w:tr>
      <w:tr>
        <w:trPr>
          <w:trHeight w:val="1336"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102"/>
              <w:ind w:left="30" w:right="33"/>
              <w:jc w:val="both"/>
              <w:rPr>
                <w:rFonts w:ascii="Times New Roman" w:hAnsi="Times New Roman" w:cs="Times New Roman" w:eastAsia="Times New Roman" w:hint="default"/>
                <w:sz w:val="18"/>
                <w:szCs w:val="18"/>
              </w:rPr>
            </w:pPr>
            <w:r>
              <w:rPr>
                <w:rFonts w:ascii="Times New Roman"/>
                <w:color w:val="0000FF"/>
                <w:sz w:val="18"/>
              </w:rPr>
            </w:r>
            <w:hyperlink r:id="rId15">
              <w:r>
                <w:rPr>
                  <w:rFonts w:ascii="Times New Roman"/>
                  <w:color w:val="0000FF"/>
                  <w:spacing w:val="-2"/>
                  <w:sz w:val="18"/>
                  <w:u w:val="single" w:color="0000FF"/>
                </w:rPr>
                <w:t>https://view.officeapps.live.com/op/view.</w:t>
              </w:r>
              <w:r>
                <w:rPr>
                  <w:rFonts w:ascii="Times New Roman"/>
                  <w:color w:val="0000FF"/>
                  <w:spacing w:val="-6"/>
                  <w:sz w:val="18"/>
                  <w:u w:val="single" w:color="0000FF"/>
                </w:rPr>
                <w:t> </w:t>
              </w:r>
              <w:r>
                <w:rPr>
                  <w:rFonts w:ascii="Times New Roman"/>
                  <w:color w:val="0000FF"/>
                  <w:spacing w:val="-6"/>
                  <w:sz w:val="18"/>
                </w:rPr>
              </w:r>
            </w:hyperlink>
            <w:r>
              <w:rPr>
                <w:rFonts w:ascii="Times New Roman"/>
                <w:color w:val="0000FF"/>
                <w:spacing w:val="-6"/>
                <w:sz w:val="18"/>
              </w:rPr>
            </w:r>
            <w:hyperlink r:id="rId15">
              <w:r>
                <w:rPr>
                  <w:rFonts w:ascii="Times New Roman"/>
                  <w:color w:val="0000FF"/>
                  <w:spacing w:val="-6"/>
                  <w:sz w:val="18"/>
                </w:rPr>
              </w:r>
              <w:r>
                <w:rPr>
                  <w:rFonts w:ascii="Times New Roman"/>
                  <w:color w:val="0000FF"/>
                  <w:spacing w:val="-1"/>
                  <w:sz w:val="18"/>
                  <w:u w:val="single" w:color="0000FF"/>
                </w:rPr>
                <w:t>aspx?src=http%3A%2F%2Fstatic.cninfo.</w:t>
              </w:r>
              <w:r>
                <w:rPr>
                  <w:rFonts w:ascii="Times New Roman"/>
                  <w:color w:val="0000FF"/>
                  <w:spacing w:val="-33"/>
                  <w:sz w:val="18"/>
                  <w:u w:val="single" w:color="0000FF"/>
                </w:rPr>
                <w:t> </w:t>
              </w:r>
              <w:r>
                <w:rPr>
                  <w:rFonts w:ascii="Times New Roman"/>
                  <w:color w:val="0000FF"/>
                  <w:spacing w:val="-33"/>
                  <w:sz w:val="18"/>
                </w:rPr>
              </w:r>
            </w:hyperlink>
            <w:r>
              <w:rPr>
                <w:rFonts w:ascii="Times New Roman"/>
                <w:color w:val="0000FF"/>
                <w:spacing w:val="-33"/>
                <w:sz w:val="18"/>
              </w:rPr>
            </w:r>
            <w:hyperlink r:id="rId15">
              <w:r>
                <w:rPr>
                  <w:rFonts w:ascii="Times New Roman"/>
                  <w:color w:val="0000FF"/>
                  <w:spacing w:val="-33"/>
                  <w:sz w:val="18"/>
                </w:rPr>
              </w:r>
              <w:r>
                <w:rPr>
                  <w:rFonts w:ascii="Times New Roman"/>
                  <w:color w:val="0000FF"/>
                  <w:sz w:val="18"/>
                  <w:u w:val="single" w:color="0000FF"/>
                </w:rPr>
                <w:t>com.cn%2Ffinalpage%2F2019-10-30%2</w:t>
              </w:r>
              <w:r>
                <w:rPr>
                  <w:rFonts w:ascii="Times New Roman"/>
                  <w:color w:val="0000FF"/>
                  <w:sz w:val="18"/>
                </w:rPr>
              </w:r>
            </w:hyperlink>
            <w:r>
              <w:rPr>
                <w:rFonts w:ascii="Times New Roman"/>
                <w:color w:val="0000FF"/>
                <w:sz w:val="18"/>
              </w:rPr>
              <w:t> </w:t>
            </w:r>
            <w:hyperlink r:id="rId15">
              <w:r>
                <w:rPr>
                  <w:rFonts w:ascii="Times New Roman"/>
                  <w:color w:val="0000FF"/>
                  <w:w w:val="99"/>
                  <w:sz w:val="18"/>
                </w:rPr>
              </w:r>
              <w:r>
                <w:rPr>
                  <w:rFonts w:ascii="Times New Roman"/>
                  <w:color w:val="0000FF"/>
                  <w:sz w:val="18"/>
                  <w:u w:val="single" w:color="0000FF"/>
                </w:rPr>
                <w:t>F1207046626.docx</w:t>
              </w:r>
              <w:r>
                <w:rPr>
                  <w:rFonts w:ascii="Times New Roman"/>
                  <w:color w:val="0000FF"/>
                  <w:sz w:val="18"/>
                </w:rPr>
              </w:r>
              <w:r>
                <w:rPr>
                  <w:rFonts w:ascii="Times New Roman"/>
                  <w:sz w:val="18"/>
                </w:rPr>
              </w:r>
            </w:hyperlink>
          </w:p>
        </w:tc>
      </w:tr>
    </w:tbl>
    <w:p>
      <w:pPr>
        <w:spacing w:after="0" w:line="360" w:lineRule="auto"/>
        <w:jc w:val="both"/>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29"/>
        <w:ind w:left="2767" w:right="3750"/>
        <w:jc w:val="center"/>
        <w:rPr>
          <w:b w:val="0"/>
          <w:bCs w:val="0"/>
        </w:rPr>
      </w:pPr>
      <w:bookmarkStart w:name="_TOC_250008" w:id="58"/>
      <w:bookmarkStart w:name="第五节重要事项" w:id="59"/>
      <w:r>
        <w:rPr>
          <w:b w:val="0"/>
          <w:bCs w:val="0"/>
        </w:rPr>
      </w:r>
      <w:r>
        <w:rPr>
          <w:spacing w:val="5"/>
        </w:rPr>
        <w:t>第五节重要事项</w:t>
      </w:r>
      <w:bookmarkEnd w:id="58"/>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1105"/>
        <w:jc w:val="left"/>
        <w:rPr>
          <w:b w:val="0"/>
          <w:bCs w:val="0"/>
        </w:rPr>
      </w:pPr>
      <w:bookmarkStart w:name="一、公司普通股利润分配及资本公积金转增股本情况" w:id="60"/>
      <w:bookmarkEnd w:id="60"/>
      <w:r>
        <w:rPr>
          <w:b w:val="0"/>
          <w:bCs w:val="0"/>
        </w:rPr>
      </w:r>
      <w:r>
        <w:rPr/>
        <w:t>一、公司普通股利润分配及资本公积金转增股本情况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05"/>
        <w:jc w:val="left"/>
      </w:pPr>
      <w:r>
        <w:rPr/>
        <w:t>报告期内普通股利润分配政策，特别是现金分红政策的制定、执行或调整情况</w:t>
      </w:r>
    </w:p>
    <w:p>
      <w:pPr>
        <w:pStyle w:val="BodyText"/>
        <w:spacing w:line="324" w:lineRule="auto" w:before="125"/>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spacing w:val="-2"/>
        </w:rPr>
        <w:t>在年度盈利且现金流满足正常经营和发展的前提下，公司应当优先采取现金方式分配股利，如无重大投资计划或重大现金支</w:t>
      </w:r>
      <w:r>
        <w:rPr>
          <w:spacing w:val="-72"/>
        </w:rPr>
        <w:t> </w:t>
      </w:r>
      <w:r>
        <w:rPr>
          <w:spacing w:val="-72"/>
        </w:rPr>
      </w:r>
      <w:r>
        <w:rPr>
          <w:spacing w:val="-2"/>
        </w:rPr>
        <w:t>出等事项发生，以现金方式分配的利润不少于当年实现的可分配利润的百分之十五。同时，公司近三年以现金方式累计分配</w:t>
      </w:r>
      <w:r>
        <w:rPr>
          <w:spacing w:val="-75"/>
        </w:rPr>
        <w:t> </w:t>
      </w:r>
      <w:r>
        <w:rPr>
          <w:spacing w:val="-75"/>
        </w:rPr>
      </w:r>
      <w:r>
        <w:rPr>
          <w:spacing w:val="-2"/>
        </w:rPr>
        <w:t>利润不少于最近三年实现的年均可分配利润的百分之三十。在每年现金分红比例保持稳定的基础上，如出现公司业务发展快</w:t>
      </w:r>
      <w:r>
        <w:rPr>
          <w:spacing w:val="-64"/>
        </w:rPr>
        <w:t> </w:t>
      </w:r>
      <w:r>
        <w:rPr>
          <w:spacing w:val="-64"/>
        </w:rPr>
      </w:r>
      <w:r>
        <w:rPr>
          <w:spacing w:val="-2"/>
        </w:rPr>
        <w:t>速、盈利增长较快等情形，董事会认为公司的发展阶段已属于成熟期的，则根据公司有无重大资金支出安排计划，由董事会</w:t>
      </w:r>
      <w:r>
        <w:rPr>
          <w:spacing w:val="-42"/>
        </w:rPr>
        <w:t> </w:t>
      </w:r>
      <w:r>
        <w:rPr>
          <w:spacing w:val="-42"/>
        </w:rPr>
      </w:r>
      <w:r>
        <w:rPr>
          <w:spacing w:val="-2"/>
        </w:rPr>
        <w:t>按照本章程规定的利润分配政策调整的程序提出提高现金分红在本次利润分配中的最低比例，经董事会审议后，提交公司股</w:t>
      </w:r>
      <w:r>
        <w:rPr>
          <w:spacing w:val="-72"/>
        </w:rPr>
        <w:t> </w:t>
      </w:r>
      <w:r>
        <w:rPr>
          <w:spacing w:val="-72"/>
        </w:rPr>
      </w:r>
      <w:r>
        <w:rPr/>
        <w:t>东大会批准。 上述重大投资计划或重大现金支出指（</w:t>
      </w:r>
      <w:r>
        <w:rPr>
          <w:rFonts w:ascii="Times New Roman" w:hAnsi="Times New Roman" w:cs="Times New Roman" w:eastAsia="Times New Roman" w:hint="default"/>
        </w:rPr>
        <w:t>1</w:t>
      </w:r>
      <w:r>
        <w:rPr/>
        <w:t>）公司未来</w:t>
      </w:r>
      <w:r>
        <w:rPr>
          <w:rFonts w:ascii="Times New Roman" w:hAnsi="Times New Roman" w:cs="Times New Roman" w:eastAsia="Times New Roman" w:hint="default"/>
        </w:rPr>
        <w:t>12</w:t>
      </w:r>
      <w:r>
        <w:rPr/>
        <w:t>个月内拟对外投资、购买资产等交易累计支出达到或超过公司最近一</w:t>
      </w:r>
    </w:p>
    <w:p>
      <w:pPr>
        <w:pStyle w:val="BodyText"/>
        <w:spacing w:line="288" w:lineRule="auto"/>
        <w:ind w:right="1105"/>
        <w:jc w:val="left"/>
      </w:pPr>
      <w:r>
        <w:rPr>
          <w:spacing w:val="-1"/>
        </w:rPr>
        <w:t>期经审计净资产的</w:t>
      </w:r>
      <w:r>
        <w:rPr>
          <w:rFonts w:ascii="Times New Roman" w:hAnsi="Times New Roman" w:cs="Times New Roman" w:eastAsia="Times New Roman" w:hint="default"/>
          <w:spacing w:val="-1"/>
        </w:rPr>
        <w:t>50%</w:t>
      </w:r>
      <w:r>
        <w:rPr>
          <w:spacing w:val="-1"/>
        </w:rPr>
        <w:t>，或超过</w:t>
      </w:r>
      <w:r>
        <w:rPr>
          <w:rFonts w:ascii="Times New Roman" w:hAnsi="Times New Roman" w:cs="Times New Roman" w:eastAsia="Times New Roman" w:hint="default"/>
          <w:spacing w:val="-1"/>
        </w:rPr>
        <w:t>5,000</w:t>
      </w:r>
      <w:r>
        <w:rPr>
          <w:rFonts w:ascii="Times New Roman" w:hAnsi="Times New Roman" w:cs="Times New Roman" w:eastAsia="Times New Roman" w:hint="default"/>
          <w:spacing w:val="6"/>
        </w:rPr>
        <w:t> </w:t>
      </w:r>
      <w:r>
        <w:rPr>
          <w:spacing w:val="-2"/>
        </w:rPr>
        <w:t>万元；或（</w:t>
      </w:r>
      <w:r>
        <w:rPr>
          <w:rFonts w:ascii="Times New Roman" w:hAnsi="Times New Roman" w:cs="Times New Roman" w:eastAsia="Times New Roman" w:hint="default"/>
          <w:spacing w:val="-2"/>
        </w:rPr>
        <w:t>2</w:t>
      </w:r>
      <w:r>
        <w:rPr>
          <w:spacing w:val="-2"/>
        </w:rPr>
        <w:t>）公司未来</w:t>
      </w:r>
      <w:r>
        <w:rPr>
          <w:rFonts w:ascii="Times New Roman" w:hAnsi="Times New Roman" w:cs="Times New Roman" w:eastAsia="Times New Roman" w:hint="default"/>
          <w:spacing w:val="-2"/>
        </w:rPr>
        <w:t>12</w:t>
      </w:r>
      <w:r>
        <w:rPr>
          <w:spacing w:val="-2"/>
        </w:rPr>
        <w:t>个月内拟对外投资、购买资产等交易累计支出达到或超过公</w:t>
      </w:r>
      <w:r>
        <w:rPr>
          <w:spacing w:val="-88"/>
        </w:rPr>
        <w:t> </w:t>
      </w:r>
      <w:r>
        <w:rPr>
          <w:spacing w:val="-88"/>
        </w:rPr>
      </w:r>
      <w:r>
        <w:rPr/>
        <w:t>司最近一期经审计总资产的</w:t>
      </w:r>
      <w:r>
        <w:rPr>
          <w:rFonts w:ascii="Times New Roman" w:hAnsi="Times New Roman" w:cs="Times New Roman" w:eastAsia="Times New Roman" w:hint="default"/>
        </w:rPr>
        <w:t>30%</w:t>
      </w:r>
      <w:r>
        <w:rPr/>
        <w:t>。</w:t>
      </w:r>
    </w:p>
    <w:p>
      <w:pPr>
        <w:pStyle w:val="BodyText"/>
        <w:spacing w:line="240" w:lineRule="auto" w:before="71"/>
        <w:ind w:right="1105"/>
        <w:jc w:val="left"/>
      </w:pPr>
      <w:r>
        <w:rPr/>
        <w:t>由于公司发行可转换债券，未来</w:t>
      </w:r>
      <w:r>
        <w:rPr>
          <w:rFonts w:ascii="Times New Roman" w:hAnsi="Times New Roman" w:cs="Times New Roman" w:eastAsia="Times New Roman" w:hint="default"/>
        </w:rPr>
        <w:t>12</w:t>
      </w:r>
      <w:r>
        <w:rPr/>
        <w:t>个月内拟对外投资、购买资产等交易累计支出达到或超过公司最近一期经审计净资产的</w:t>
      </w:r>
    </w:p>
    <w:p>
      <w:pPr>
        <w:pStyle w:val="BodyText"/>
        <w:spacing w:line="240" w:lineRule="auto" w:before="66"/>
        <w:ind w:right="1105"/>
        <w:jc w:val="left"/>
      </w:pPr>
      <w:r>
        <w:rPr>
          <w:rFonts w:ascii="Times New Roman" w:hAnsi="Times New Roman" w:cs="Times New Roman" w:eastAsia="Times New Roman" w:hint="default"/>
        </w:rPr>
        <w:t>50%</w:t>
      </w:r>
      <w:r>
        <w:rPr/>
        <w:t>，或超过</w:t>
      </w:r>
      <w:r>
        <w:rPr>
          <w:rFonts w:ascii="Times New Roman" w:hAnsi="Times New Roman" w:cs="Times New Roman" w:eastAsia="Times New Roman" w:hint="default"/>
        </w:rPr>
        <w:t>5,000</w:t>
      </w:r>
      <w:r>
        <w:rPr>
          <w:rFonts w:ascii="Times New Roman" w:hAnsi="Times New Roman" w:cs="Times New Roman" w:eastAsia="Times New Roman" w:hint="default"/>
          <w:spacing w:val="30"/>
        </w:rPr>
        <w:t> </w:t>
      </w:r>
      <w:r>
        <w:rPr/>
        <w:t>万元，因此本次利润分配政策符合公司章程的规定。</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5"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 w:right="23"/>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7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明：</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5"/>
        <w:ind w:right="1105"/>
        <w:jc w:val="left"/>
      </w:pPr>
      <w:r>
        <w:rPr/>
        <w:t>公司报告期利润分配预案及资本公积金转增股本预案与公司章程和分红管理办法等的相关规定一致</w:t>
      </w:r>
    </w:p>
    <w:p>
      <w:pPr>
        <w:pStyle w:val="BodyText"/>
        <w:spacing w:line="319" w:lineRule="auto" w:before="124"/>
        <w:ind w:right="426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 公司报告期利润分配预案及资本公积金转增股本预案符合公司章程等的相关规定。</w:t>
      </w:r>
    </w:p>
    <w:p>
      <w:pPr>
        <w:pStyle w:val="BodyText"/>
        <w:spacing w:line="240" w:lineRule="auto" w:before="65"/>
        <w:ind w:right="1105"/>
        <w:jc w:val="left"/>
      </w:pPr>
      <w:r>
        <w:rPr/>
        <w:t>本年度利润分配及资本公积金转增股本情况</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725"/>
        <w:gridCol w:w="5857"/>
      </w:tblGrid>
      <w:tr>
        <w:trPr>
          <w:trHeight w:val="405" w:hRule="exact"/>
        </w:trPr>
        <w:tc>
          <w:tcPr>
            <w:tcW w:w="37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股送红股数（股）</w:t>
            </w:r>
          </w:p>
        </w:tc>
        <w:tc>
          <w:tcPr>
            <w:tcW w:w="5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7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股派息数（元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w:t>
            </w:r>
          </w:p>
        </w:tc>
      </w:tr>
      <w:tr>
        <w:trPr>
          <w:trHeight w:val="405" w:hRule="exact"/>
        </w:trPr>
        <w:tc>
          <w:tcPr>
            <w:tcW w:w="37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股转增数（股）</w:t>
            </w:r>
          </w:p>
        </w:tc>
        <w:tc>
          <w:tcPr>
            <w:tcW w:w="5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w:t>
            </w:r>
          </w:p>
        </w:tc>
      </w:tr>
      <w:tr>
        <w:trPr>
          <w:trHeight w:val="390" w:hRule="exact"/>
        </w:trPr>
        <w:tc>
          <w:tcPr>
            <w:tcW w:w="37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680,468,891</w:t>
            </w:r>
          </w:p>
        </w:tc>
      </w:tr>
      <w:tr>
        <w:trPr>
          <w:trHeight w:val="405" w:hRule="exact"/>
        </w:trPr>
        <w:tc>
          <w:tcPr>
            <w:tcW w:w="37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68,046,889.10</w:t>
            </w:r>
          </w:p>
        </w:tc>
      </w:tr>
      <w:tr>
        <w:trPr>
          <w:trHeight w:val="405" w:hRule="exact"/>
        </w:trPr>
        <w:tc>
          <w:tcPr>
            <w:tcW w:w="3725"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5"/>
              <w:ind w:left="15" w:right="-49"/>
              <w:jc w:val="left"/>
              <w:rPr>
                <w:rFonts w:ascii="宋体" w:hAnsi="宋体" w:cs="宋体" w:eastAsia="宋体" w:hint="default"/>
                <w:sz w:val="18"/>
                <w:szCs w:val="18"/>
              </w:rPr>
            </w:pPr>
            <w:r>
              <w:rPr>
                <w:rFonts w:ascii="宋体" w:hAnsi="宋体" w:cs="宋体" w:eastAsia="宋体" w:hint="default"/>
                <w:spacing w:val="-3"/>
                <w:sz w:val="18"/>
                <w:szCs w:val="18"/>
              </w:rPr>
              <w:t>以其他方式（如回购股份）现金分红金额（元）</w:t>
            </w:r>
          </w:p>
        </w:tc>
        <w:tc>
          <w:tcPr>
            <w:tcW w:w="58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717"/>
        <w:gridCol w:w="5865"/>
      </w:tblGrid>
      <w:tr>
        <w:trPr>
          <w:trHeight w:val="405" w:hRule="exact"/>
        </w:trPr>
        <w:tc>
          <w:tcPr>
            <w:tcW w:w="37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68,046,889.10</w:t>
            </w:r>
          </w:p>
        </w:tc>
      </w:tr>
      <w:tr>
        <w:trPr>
          <w:trHeight w:val="405" w:hRule="exact"/>
        </w:trPr>
        <w:tc>
          <w:tcPr>
            <w:tcW w:w="37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881,644,835.97</w:t>
            </w:r>
          </w:p>
        </w:tc>
      </w:tr>
      <w:tr>
        <w:trPr>
          <w:trHeight w:val="705" w:hRule="exact"/>
        </w:trPr>
        <w:tc>
          <w:tcPr>
            <w:tcW w:w="37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86"/>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7.72%</w:t>
            </w:r>
          </w:p>
        </w:tc>
      </w:tr>
      <w:tr>
        <w:trPr>
          <w:trHeight w:val="406" w:hRule="exact"/>
        </w:trPr>
        <w:tc>
          <w:tcPr>
            <w:tcW w:w="958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 w:right="14"/>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5" w:hRule="exact"/>
        </w:trPr>
        <w:tc>
          <w:tcPr>
            <w:tcW w:w="95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5" w:hRule="exact"/>
        </w:trPr>
        <w:tc>
          <w:tcPr>
            <w:tcW w:w="958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883"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583" w:hRule="exact"/>
        </w:trPr>
        <w:tc>
          <w:tcPr>
            <w:tcW w:w="9582" w:type="dxa"/>
            <w:gridSpan w:val="2"/>
            <w:tcBorders>
              <w:top w:val="single" w:sz="6" w:space="0" w:color="000000"/>
              <w:left w:val="single" w:sz="6" w:space="0" w:color="000000"/>
              <w:bottom w:val="single" w:sz="6" w:space="0" w:color="000000"/>
              <w:right w:val="single" w:sz="6" w:space="0" w:color="000000"/>
            </w:tcBorders>
          </w:tcPr>
          <w:p>
            <w:pPr>
              <w:pStyle w:val="TableParagraph"/>
              <w:spacing w:line="302" w:lineRule="auto" w:before="45"/>
              <w:ind w:left="15"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经普华永道中天会计师事务所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审计确认，</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年归属于上市公司股东的净利润为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1,020,167,786.95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w:t>
            </w:r>
            <w:r>
              <w:rPr>
                <w:rFonts w:ascii="宋体" w:hAnsi="宋体" w:cs="宋体" w:eastAsia="宋体" w:hint="default"/>
                <w:spacing w:val="-88"/>
                <w:sz w:val="18"/>
                <w:szCs w:val="18"/>
              </w:rPr>
              <w:t> </w:t>
            </w:r>
            <w:r>
              <w:rPr>
                <w:rFonts w:ascii="宋体" w:hAnsi="宋体" w:cs="宋体" w:eastAsia="宋体" w:hint="default"/>
                <w:sz w:val="18"/>
                <w:szCs w:val="18"/>
              </w:rPr>
              <w:t>据《上市公司监管指引第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上市公司现金分红》和《公司章程》的有关规定，除提取法定盈余公积金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28,943,787.55</w:t>
            </w:r>
          </w:p>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元外，剔除同一控制下企业合并时被合并方在合并前实现的净利润</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109,579,163.43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元后，公司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年可分配利润为</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881,644,835.97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元。本次利润分配、公积金转增股本方案如下</w:t>
            </w:r>
            <w:r>
              <w:rPr>
                <w:rFonts w:ascii="宋体" w:hAnsi="宋体" w:cs="宋体" w:eastAsia="宋体" w:hint="default"/>
                <w:spacing w:val="4"/>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、公司拟向全体股东每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宋体" w:hAnsi="宋体" w:cs="宋体" w:eastAsia="宋体" w:hint="default"/>
                <w:spacing w:val="-15"/>
                <w:sz w:val="18"/>
                <w:szCs w:val="18"/>
              </w:rPr>
              <w:t>，</w:t>
            </w:r>
            <w:r>
              <w:rPr>
                <w:rFonts w:ascii="宋体" w:hAnsi="宋体" w:cs="宋体" w:eastAsia="宋体" w:hint="default"/>
                <w:sz w:val="18"/>
                <w:szCs w:val="18"/>
              </w:rPr>
              <w:t>公司总股本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680,468,891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5"/>
                <w:sz w:val="18"/>
                <w:szCs w:val="18"/>
              </w:rPr>
              <w:t>。</w:t>
            </w:r>
            <w:r>
              <w:rPr>
                <w:rFonts w:ascii="宋体" w:hAnsi="宋体" w:cs="宋体" w:eastAsia="宋体" w:hint="default"/>
                <w:sz w:val="18"/>
                <w:szCs w:val="18"/>
              </w:rPr>
              <w:t>以此计算</w:t>
            </w:r>
            <w:r>
              <w:rPr>
                <w:rFonts w:ascii="宋体" w:hAnsi="宋体" w:cs="宋体" w:eastAsia="宋体" w:hint="default"/>
                <w:spacing w:val="-15"/>
                <w:sz w:val="18"/>
                <w:szCs w:val="18"/>
              </w:rPr>
              <w:t>，</w:t>
            </w:r>
            <w:r>
              <w:rPr>
                <w:rFonts w:ascii="宋体" w:hAnsi="宋体" w:cs="宋体" w:eastAsia="宋体" w:hint="default"/>
                <w:sz w:val="18"/>
                <w:szCs w:val="18"/>
              </w:rPr>
              <w:t>总计派发现金股利</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68,046,889.1</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15"/>
                <w:sz w:val="18"/>
                <w:szCs w:val="18"/>
              </w:rPr>
              <w:t>、</w:t>
            </w:r>
            <w:r>
              <w:rPr>
                <w:rFonts w:ascii="宋体" w:hAnsi="宋体" w:cs="宋体" w:eastAsia="宋体" w:hint="default"/>
                <w:sz w:val="18"/>
                <w:szCs w:val="18"/>
              </w:rPr>
              <w:t>公司拟向</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股以资本公积金转增</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股。截至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日，公司总股本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680,468,891 </w:t>
            </w:r>
            <w:r>
              <w:rPr>
                <w:rFonts w:ascii="宋体" w:hAnsi="宋体" w:cs="宋体" w:eastAsia="宋体" w:hint="default"/>
                <w:sz w:val="18"/>
                <w:szCs w:val="18"/>
              </w:rPr>
              <w:t>股。以此计算，本次转股后，</w:t>
            </w:r>
          </w:p>
          <w:p>
            <w:pPr>
              <w:pStyle w:val="TableParagraph"/>
              <w:spacing w:line="290" w:lineRule="auto" w:before="66"/>
              <w:ind w:left="15" w:right="97"/>
              <w:jc w:val="left"/>
              <w:rPr>
                <w:rFonts w:ascii="宋体" w:hAnsi="宋体" w:cs="宋体" w:eastAsia="宋体" w:hint="default"/>
                <w:sz w:val="18"/>
                <w:szCs w:val="18"/>
              </w:rPr>
            </w:pPr>
            <w:r>
              <w:rPr>
                <w:rFonts w:ascii="宋体" w:hAnsi="宋体" w:cs="宋体" w:eastAsia="宋体" w:hint="default"/>
                <w:sz w:val="18"/>
                <w:szCs w:val="18"/>
              </w:rPr>
              <w:t>合计转增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340,234,446 </w:t>
            </w:r>
            <w:r>
              <w:rPr>
                <w:rFonts w:ascii="宋体" w:hAnsi="宋体" w:cs="宋体" w:eastAsia="宋体" w:hint="default"/>
                <w:sz w:val="18"/>
                <w:szCs w:val="18"/>
              </w:rPr>
              <w:t>股（注：转增股数系公司根据实际计算结果四舍五入所得，最终转增数量以中国证券登记结算有限 </w:t>
            </w:r>
            <w:r>
              <w:rPr>
                <w:rFonts w:ascii="宋体" w:hAnsi="宋体" w:cs="宋体" w:eastAsia="宋体" w:hint="default"/>
                <w:spacing w:val="-8"/>
                <w:sz w:val="18"/>
                <w:szCs w:val="18"/>
              </w:rPr>
              <w:t>公司实际转增结果为准）。</w:t>
            </w:r>
          </w:p>
        </w:tc>
      </w:tr>
    </w:tbl>
    <w:p>
      <w:pPr>
        <w:pStyle w:val="BodyText"/>
        <w:spacing w:line="338" w:lineRule="auto" w:before="59"/>
        <w:ind w:right="2741"/>
        <w:jc w:val="left"/>
      </w:pPr>
      <w:r>
        <w:rPr/>
        <w:t>公司近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spacing w:val="-3"/>
        </w:rPr>
        <w:t>年（包括本报告期）的普通股股利分配方案（预案）、资本公积金转增股本方案（预案）情况</w:t>
      </w:r>
      <w:r>
        <w:rPr/>
        <w:t> </w:t>
      </w:r>
      <w:r>
        <w:rPr>
          <w:rFonts w:ascii="Times New Roman" w:hAnsi="Times New Roman" w:cs="Times New Roman" w:eastAsia="Times New Roman" w:hint="default"/>
        </w:rPr>
        <w:t>1.2017</w:t>
      </w:r>
      <w:r>
        <w:rPr/>
        <w:t>年利润分配方案 以公司现有总股本</w:t>
      </w:r>
      <w:r>
        <w:rPr>
          <w:rFonts w:ascii="Times New Roman" w:hAnsi="Times New Roman" w:cs="Times New Roman" w:eastAsia="Times New Roman" w:hint="default"/>
        </w:rPr>
        <w:t>416,760,300</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0.51</w:t>
      </w:r>
      <w:r>
        <w:rPr/>
        <w:t>元人民币现金。</w:t>
      </w:r>
      <w:r>
        <w:rPr>
          <w:spacing w:val="-86"/>
        </w:rPr>
        <w:t> </w:t>
      </w:r>
      <w:r>
        <w:rPr>
          <w:rFonts w:ascii="Times New Roman" w:hAnsi="Times New Roman" w:cs="Times New Roman" w:eastAsia="Times New Roman" w:hint="default"/>
        </w:rPr>
        <w:t>2.2018</w:t>
      </w:r>
      <w:r>
        <w:rPr/>
        <w:t>年利润分配方案 以公司现有总股本</w:t>
      </w:r>
      <w:r>
        <w:rPr>
          <w:rFonts w:ascii="Times New Roman" w:hAnsi="Times New Roman" w:cs="Times New Roman" w:eastAsia="Times New Roman" w:hint="default"/>
        </w:rPr>
        <w:t>431,720,862</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0.81</w:t>
      </w:r>
      <w:r>
        <w:rPr/>
        <w:t>元（含税）。</w:t>
      </w:r>
      <w:r>
        <w:rPr>
          <w:spacing w:val="-85"/>
        </w:rPr>
        <w:t> </w:t>
      </w:r>
      <w:r>
        <w:rPr>
          <w:rFonts w:ascii="Times New Roman" w:hAnsi="Times New Roman" w:cs="Times New Roman" w:eastAsia="Times New Roman" w:hint="default"/>
        </w:rPr>
        <w:t>3.2019</w:t>
      </w:r>
      <w:r>
        <w:rPr/>
        <w:t>年利润分配方案</w:t>
      </w:r>
    </w:p>
    <w:p>
      <w:pPr>
        <w:pStyle w:val="BodyText"/>
        <w:spacing w:line="304" w:lineRule="auto" w:before="14"/>
        <w:ind w:right="1119"/>
        <w:jc w:val="left"/>
      </w:pPr>
      <w:r>
        <w:rPr/>
        <w:t>以公司现有总股本</w:t>
      </w:r>
      <w:r>
        <w:rPr>
          <w:rFonts w:ascii="Times New Roman" w:hAnsi="Times New Roman" w:cs="Times New Roman" w:eastAsia="Times New Roman" w:hint="default"/>
        </w:rPr>
        <w:t>680,468,891</w:t>
      </w:r>
      <w:r>
        <w:rPr/>
        <w:t>股为基数，公司拟向全体股东每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w:t>
      </w:r>
      <w:r>
        <w:rPr/>
        <w:t>元（含税）。公司拟向全体股东每</w:t>
      </w:r>
      <w:r>
        <w:rPr>
          <w:rFonts w:ascii="Times New Roman" w:hAnsi="Times New Roman" w:cs="Times New Roman" w:eastAsia="Times New Roman" w:hint="default"/>
        </w:rPr>
        <w:t>10</w:t>
      </w:r>
      <w:r>
        <w:rPr/>
        <w:t>股以</w:t>
      </w:r>
      <w:r>
        <w:rPr>
          <w:spacing w:val="-81"/>
        </w:rPr>
        <w:t> </w:t>
      </w:r>
      <w:r>
        <w:rPr/>
        <w:t>资本公积金转增</w:t>
      </w:r>
      <w:r>
        <w:rPr>
          <w:rFonts w:ascii="Times New Roman" w:hAnsi="Times New Roman" w:cs="Times New Roman" w:eastAsia="Times New Roman" w:hint="default"/>
        </w:rPr>
        <w:t>5</w:t>
      </w:r>
      <w:r>
        <w:rPr/>
        <w:t>股。</w:t>
      </w:r>
    </w:p>
    <w:p>
      <w:pPr>
        <w:spacing w:line="240" w:lineRule="auto" w:before="3"/>
        <w:rPr>
          <w:rFonts w:ascii="宋体" w:hAnsi="宋体" w:cs="宋体" w:eastAsia="宋体" w:hint="default"/>
          <w:sz w:val="26"/>
          <w:szCs w:val="26"/>
        </w:rPr>
      </w:pPr>
    </w:p>
    <w:p>
      <w:pPr>
        <w:pStyle w:val="BodyText"/>
        <w:spacing w:line="240" w:lineRule="auto" w:before="44"/>
        <w:ind w:right="1105"/>
        <w:jc w:val="left"/>
      </w:pPr>
      <w:r>
        <w:rPr/>
        <w:t>公司近三年（包括本报告期）普通股现金分红情况表</w:t>
      </w:r>
    </w:p>
    <w:p>
      <w:pPr>
        <w:pStyle w:val="BodyText"/>
        <w:spacing w:line="240" w:lineRule="auto" w:before="109"/>
        <w:ind w:left="0" w:right="1110"/>
        <w:jc w:val="right"/>
      </w:pPr>
      <w:r>
        <w:rPr/>
        <w:t>单位：元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202"/>
        <w:gridCol w:w="1187"/>
        <w:gridCol w:w="1201"/>
        <w:gridCol w:w="1202"/>
        <w:gridCol w:w="1201"/>
        <w:gridCol w:w="1186"/>
        <w:gridCol w:w="1202"/>
        <w:gridCol w:w="1201"/>
      </w:tblGrid>
      <w:tr>
        <w:trPr>
          <w:trHeight w:val="157" w:hRule="exact"/>
        </w:trPr>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87" w:type="dxa"/>
            <w:vMerge w:val="restart"/>
            <w:tcBorders>
              <w:top w:val="single" w:sz="6" w:space="0" w:color="000000"/>
              <w:left w:val="single" w:sz="6" w:space="0" w:color="000000"/>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shd w:val="clear" w:color="auto" w:fill="D2D2D2"/>
          </w:tcPr>
          <w:p>
            <w:pPr/>
          </w:p>
        </w:tc>
        <w:tc>
          <w:tcPr>
            <w:tcW w:w="12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shd w:val="clear" w:color="auto" w:fill="D2D2D2"/>
          </w:tcPr>
          <w:p>
            <w:pPr/>
          </w:p>
        </w:tc>
        <w:tc>
          <w:tcPr>
            <w:tcW w:w="1186"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2" w:type="dxa"/>
            <w:vMerge w:val="restart"/>
            <w:tcBorders>
              <w:top w:val="single" w:sz="6" w:space="0" w:color="000000"/>
              <w:left w:val="single" w:sz="6" w:space="0" w:color="000000"/>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80"/>
              <w:ind w:left="60" w:right="43" w:hanging="1"/>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202" w:type="dxa"/>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44"/>
              <w:ind w:left="60" w:right="44"/>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1" w:type="dxa"/>
            <w:vMerge/>
            <w:tcBorders>
              <w:left w:val="single" w:sz="6" w:space="0" w:color="000000"/>
              <w:right w:val="single" w:sz="6" w:space="0" w:color="000000"/>
            </w:tcBorders>
            <w:shd w:val="clear" w:color="auto" w:fill="D2D2D2"/>
          </w:tcPr>
          <w:p>
            <w:pPr/>
          </w:p>
        </w:tc>
        <w:tc>
          <w:tcPr>
            <w:tcW w:w="1186" w:type="dxa"/>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44"/>
              <w:ind w:left="45" w:right="44"/>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5"/>
              <w:ind w:left="60" w:right="44"/>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21" w:lineRule="auto" w:before="65"/>
              <w:ind w:left="45" w:right="59"/>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6"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bottom w:val="nil" w:sz="6" w:space="0" w:color="auto"/>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bottom w:val="nil" w:sz="6" w:space="0" w:color="auto"/>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04" w:lineRule="auto" w:before="80"/>
              <w:ind w:left="420" w:right="134" w:hanging="271"/>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201" w:type="dxa"/>
            <w:vMerge/>
            <w:tcBorders>
              <w:left w:val="single" w:sz="6" w:space="0" w:color="000000"/>
              <w:right w:val="single" w:sz="6" w:space="0" w:color="000000"/>
            </w:tcBorders>
            <w:shd w:val="clear" w:color="auto" w:fill="D2D2D2"/>
          </w:tcPr>
          <w:p>
            <w:pPr/>
          </w:p>
        </w:tc>
      </w:tr>
      <w:tr>
        <w:trPr>
          <w:trHeight w:val="706" w:hRule="exact"/>
        </w:trPr>
        <w:tc>
          <w:tcPr>
            <w:tcW w:w="1202" w:type="dxa"/>
            <w:vMerge/>
            <w:tcBorders>
              <w:left w:val="single" w:sz="6" w:space="0" w:color="000000"/>
              <w:right w:val="single" w:sz="6" w:space="0" w:color="000000"/>
            </w:tcBorders>
            <w:shd w:val="clear" w:color="auto" w:fill="D2D2D2"/>
          </w:tcPr>
          <w:p>
            <w:pPr/>
          </w:p>
        </w:tc>
        <w:tc>
          <w:tcPr>
            <w:tcW w:w="118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187" w:type="dxa"/>
            <w:vMerge w:val="restart"/>
            <w:tcBorders>
              <w:top w:val="nil" w:sz="6" w:space="0" w:color="auto"/>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bottom w:val="nil" w:sz="6" w:space="0" w:color="auto"/>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02" w:type="dxa"/>
            <w:vMerge w:val="restart"/>
            <w:tcBorders>
              <w:top w:val="nil" w:sz="6" w:space="0" w:color="auto"/>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
        </w:tc>
        <w:tc>
          <w:tcPr>
            <w:tcW w:w="1202" w:type="dxa"/>
            <w:vMerge/>
            <w:tcBorders>
              <w:left w:val="single" w:sz="6" w:space="0" w:color="000000"/>
              <w:bottom w:val="nil" w:sz="6" w:space="0" w:color="auto"/>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bottom w:val="nil" w:sz="6" w:space="0" w:color="auto"/>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r>
      <w:tr>
        <w:trPr>
          <w:trHeight w:val="158" w:hRule="exact"/>
        </w:trPr>
        <w:tc>
          <w:tcPr>
            <w:tcW w:w="1202" w:type="dxa"/>
            <w:vMerge/>
            <w:tcBorders>
              <w:left w:val="single" w:sz="6" w:space="0" w:color="000000"/>
              <w:bottom w:val="single" w:sz="6" w:space="0" w:color="000000"/>
              <w:right w:val="single" w:sz="6" w:space="0" w:color="000000"/>
            </w:tcBorders>
            <w:shd w:val="clear" w:color="auto" w:fill="D2D2D2"/>
          </w:tcPr>
          <w:p>
            <w:pPr/>
          </w:p>
        </w:tc>
        <w:tc>
          <w:tcPr>
            <w:tcW w:w="1187" w:type="dxa"/>
            <w:vMerge/>
            <w:tcBorders>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2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186"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2" w:type="dxa"/>
            <w:vMerge/>
            <w:tcBorders>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1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68,046,889.10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1,020,167,786.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6.67%</w:t>
            </w:r>
            <w:r>
              <w:rPr>
                <w:rFonts w:ascii="Times New Roman"/>
                <w:sz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68,046,889.10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6.67%</w:t>
            </w:r>
            <w:r>
              <w:rPr>
                <w:rFonts w:ascii="Times New Roman"/>
                <w:sz w:val="18"/>
              </w:rPr>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1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34,969,389.82</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187,391,547.30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18.66%</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34,969,389.82</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18.66%</w:t>
            </w:r>
          </w:p>
        </w:tc>
      </w:tr>
      <w:tr>
        <w:trPr>
          <w:trHeight w:val="39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c>
          <w:tcPr>
            <w:tcW w:w="11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21,254,775.30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144,836,710.40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14.67%</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21,254,775.30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14.67%</w:t>
            </w:r>
          </w:p>
        </w:tc>
      </w:tr>
    </w:tbl>
    <w:p>
      <w:pPr>
        <w:pStyle w:val="BodyText"/>
        <w:spacing w:line="312" w:lineRule="auto" w:before="45"/>
        <w:ind w:right="1097"/>
        <w:jc w:val="both"/>
      </w:pPr>
      <w:r>
        <w:rPr/>
        <w:t>注：公司发行股份收购易视腾科技</w:t>
      </w:r>
      <w:r>
        <w:rPr>
          <w:spacing w:val="-41"/>
        </w:rPr>
        <w:t> </w:t>
      </w:r>
      <w:r>
        <w:rPr>
          <w:rFonts w:ascii="Arial" w:hAnsi="Arial" w:cs="Arial" w:eastAsia="Arial" w:hint="default"/>
        </w:rPr>
        <w:t>96%</w:t>
      </w:r>
      <w:r>
        <w:rPr/>
        <w:t>股权和邦道科技</w:t>
      </w:r>
      <w:r>
        <w:rPr>
          <w:spacing w:val="-58"/>
        </w:rPr>
        <w:t> </w:t>
      </w:r>
      <w:r>
        <w:rPr>
          <w:rFonts w:ascii="Arial" w:hAnsi="Arial" w:cs="Arial" w:eastAsia="Arial" w:hint="default"/>
        </w:rPr>
        <w:t>50%</w:t>
      </w:r>
      <w:r>
        <w:rPr/>
        <w:t>股权的合并日为</w:t>
      </w:r>
      <w:r>
        <w:rPr>
          <w:spacing w:val="-42"/>
        </w:rPr>
        <w:t> </w:t>
      </w:r>
      <w:r>
        <w:rPr>
          <w:rFonts w:ascii="Arial" w:hAnsi="Arial" w:cs="Arial" w:eastAsia="Arial" w:hint="default"/>
        </w:rPr>
        <w:t>2019</w:t>
      </w:r>
      <w:r>
        <w:rPr>
          <w:rFonts w:ascii="Arial" w:hAnsi="Arial" w:cs="Arial" w:eastAsia="Arial" w:hint="default"/>
          <w:spacing w:val="3"/>
        </w:rPr>
        <w:t> </w:t>
      </w:r>
      <w:r>
        <w:rPr/>
        <w:t>年</w:t>
      </w:r>
      <w:r>
        <w:rPr>
          <w:spacing w:val="-59"/>
        </w:rPr>
        <w:t> </w:t>
      </w:r>
      <w:r>
        <w:rPr>
          <w:rFonts w:ascii="Arial" w:hAnsi="Arial" w:cs="Arial" w:eastAsia="Arial" w:hint="default"/>
        </w:rPr>
        <w:t>5</w:t>
      </w:r>
      <w:r>
        <w:rPr>
          <w:rFonts w:ascii="Arial" w:hAnsi="Arial" w:cs="Arial" w:eastAsia="Arial" w:hint="default"/>
          <w:spacing w:val="1"/>
        </w:rPr>
        <w:t> </w:t>
      </w:r>
      <w:r>
        <w:rPr/>
        <w:t>月</w:t>
      </w:r>
      <w:r>
        <w:rPr>
          <w:spacing w:val="-43"/>
        </w:rPr>
        <w:t> </w:t>
      </w:r>
      <w:r>
        <w:rPr>
          <w:rFonts w:ascii="Arial" w:hAnsi="Arial" w:cs="Arial" w:eastAsia="Arial" w:hint="default"/>
        </w:rPr>
        <w:t>31</w:t>
      </w:r>
      <w:r>
        <w:rPr>
          <w:rFonts w:ascii="Arial" w:hAnsi="Arial" w:cs="Arial" w:eastAsia="Arial" w:hint="default"/>
          <w:spacing w:val="1"/>
        </w:rPr>
        <w:t> </w:t>
      </w:r>
      <w:r>
        <w:rPr>
          <w:spacing w:val="-4"/>
        </w:rPr>
        <w:t>日。收购易视腾科技，属于同</w:t>
      </w:r>
      <w:r>
        <w:rPr/>
        <w:t> </w:t>
      </w:r>
      <w:r>
        <w:rPr>
          <w:spacing w:val="-2"/>
        </w:rPr>
        <w:t>一控制下企业合并，应视同合并后形成的报告主体自最终控制方开始实施控制时一直是一体化存续下来。表中归属于上市公</w:t>
      </w:r>
      <w:r>
        <w:rPr>
          <w:spacing w:val="-62"/>
        </w:rPr>
        <w:t> </w:t>
      </w:r>
      <w:r>
        <w:rPr>
          <w:spacing w:val="-62"/>
        </w:rPr>
      </w:r>
      <w:r>
        <w:rPr/>
        <w:t>司普通股股东的净利润为追溯调整后的数字。</w:t>
      </w:r>
    </w:p>
    <w:p>
      <w:pPr>
        <w:spacing w:after="0" w:line="312" w:lineRule="auto"/>
        <w:jc w:val="both"/>
        <w:sectPr>
          <w:pgSz w:w="11910" w:h="16850"/>
          <w:pgMar w:header="731" w:footer="981" w:top="1040" w:bottom="1180" w:left="1000" w:right="0"/>
        </w:sectPr>
      </w:pPr>
    </w:p>
    <w:p>
      <w:pPr>
        <w:spacing w:line="240" w:lineRule="auto" w:before="0"/>
        <w:rPr>
          <w:rFonts w:ascii="宋体" w:hAnsi="宋体" w:cs="宋体" w:eastAsia="宋体" w:hint="default"/>
          <w:sz w:val="20"/>
          <w:szCs w:val="20"/>
        </w:rPr>
      </w:pPr>
      <w:r>
        <w:rPr/>
        <w:pict>
          <v:shape style="position:absolute;margin-left:405.5pt;margin-top:460.149994pt;width:48.1pt;height:171.9pt;mso-position-horizontal-relative:page;mso-position-vertical-relative:page;z-index:-13258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18"/>
                    <w:ind w:left="0" w:right="0"/>
                    <w:jc w:val="left"/>
                  </w:pPr>
                  <w:r>
                    <w:rPr/>
                    <w:t>、</w:t>
                  </w:r>
                </w:p>
              </w:txbxContent>
            </v:textbox>
            <w10:wrap type="none"/>
          </v:shape>
        </w:pict>
      </w:r>
      <w:r>
        <w:rPr/>
        <w:pict>
          <v:group style="position:absolute;margin-left:411.519989pt;margin-top:460.149994pt;width:42.05pt;height:171.9pt;mso-position-horizontal-relative:page;mso-position-vertical-relative:page;z-index:-1325824" coordorigin="8230,9203" coordsize="841,3438">
            <v:shape style="position:absolute;left:8230;top:9203;width:841;height:3438" coordorigin="8230,9203" coordsize="841,3438" path="m8230,12641l9071,12641,9071,9203,8230,9203,8230,12641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right="1105"/>
        <w:jc w:val="left"/>
      </w:pPr>
      <w:r>
        <w:rPr/>
        <w:t>公司报告期内盈利且母公司可供普通股股东分配利润为正但未提出普通股现金红利分配预案</w:t>
      </w:r>
    </w:p>
    <w:p>
      <w:pPr>
        <w:pStyle w:val="BodyText"/>
        <w:spacing w:line="240" w:lineRule="auto" w:before="139"/>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1105"/>
        <w:jc w:val="left"/>
        <w:rPr>
          <w:b w:val="0"/>
          <w:bCs w:val="0"/>
        </w:rPr>
      </w:pPr>
      <w:bookmarkStart w:name="二、承诺事项履行情况" w:id="61"/>
      <w:bookmarkEnd w:id="61"/>
      <w:r>
        <w:rPr>
          <w:b w:val="0"/>
          <w:bCs w:val="0"/>
        </w:rPr>
      </w:r>
      <w:r>
        <w:rPr/>
        <w:t>二、承诺事项履行情况</w:t>
      </w:r>
      <w:r>
        <w:rPr>
          <w:b w:val="0"/>
          <w:bCs w:val="0"/>
        </w:rPr>
      </w:r>
    </w:p>
    <w:p>
      <w:pPr>
        <w:spacing w:line="240" w:lineRule="auto" w:before="9"/>
        <w:rPr>
          <w:rFonts w:ascii="宋体" w:hAnsi="宋体" w:cs="宋体" w:eastAsia="宋体" w:hint="default"/>
          <w:b/>
          <w:bCs/>
          <w:sz w:val="25"/>
          <w:szCs w:val="25"/>
        </w:rPr>
      </w:pPr>
    </w:p>
    <w:p>
      <w:pPr>
        <w:pStyle w:val="Heading3"/>
        <w:spacing w:line="247" w:lineRule="auto"/>
        <w:ind w:right="1105"/>
        <w:jc w:val="left"/>
        <w:rPr>
          <w:b w:val="0"/>
          <w:bCs w:val="0"/>
        </w:rPr>
      </w:pPr>
      <w:bookmarkStart w:name="1、公司实际控制人、股东、关联方、收购人以及公司等承诺相关方在报告期内履行完毕及" w:id="62"/>
      <w:bookmarkEnd w:id="62"/>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53"/>
        </w:rPr>
        <w:t> </w:t>
      </w:r>
      <w:r>
        <w:rPr>
          <w:spacing w:val="-53"/>
        </w:rPr>
      </w:r>
      <w:r>
        <w:rPr/>
        <w:t>尚未履行完毕的承诺事项</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05"/>
        <w:jc w:val="left"/>
      </w:pPr>
      <w:r>
        <w:rPr/>
        <w:pict>
          <v:shape style="position:absolute;margin-left:405.5pt;margin-top:37.531708pt;width:48.1pt;height:171.9pt;mso-position-horizontal-relative:page;mso-position-vertical-relative:paragraph;z-index:-13258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pStyle w:val="BodyText"/>
                    <w:spacing w:line="240" w:lineRule="auto"/>
                    <w:ind w:left="0" w:right="0"/>
                    <w:jc w:val="left"/>
                  </w:pPr>
                  <w:r>
                    <w:rPr/>
                    <w:t>）</w:t>
                  </w:r>
                </w:p>
              </w:txbxContent>
            </v:textbox>
            <w10:wrap type="none"/>
          </v:shape>
        </w:pict>
      </w:r>
      <w:r>
        <w:rPr/>
        <w:pict>
          <v:group style="position:absolute;margin-left:411.519989pt;margin-top:37.531708pt;width:42.05pt;height:171.9pt;mso-position-horizontal-relative:page;mso-position-vertical-relative:paragraph;z-index:-1325848" coordorigin="8230,751" coordsize="841,3438">
            <v:shape style="position:absolute;left:8230;top:751;width:841;height:3438" coordorigin="8230,751" coordsize="841,3438" path="m8230,4189l9071,4189,9071,751,8230,751,8230,4189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856"/>
        <w:gridCol w:w="1412"/>
        <w:gridCol w:w="856"/>
        <w:gridCol w:w="3980"/>
        <w:gridCol w:w="841"/>
        <w:gridCol w:w="856"/>
        <w:gridCol w:w="781"/>
      </w:tblGrid>
      <w:tr>
        <w:trPr>
          <w:trHeight w:val="405" w:hRule="exact"/>
        </w:trPr>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9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5"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280" w:hRule="exact"/>
        </w:trPr>
        <w:tc>
          <w:tcPr>
            <w:tcW w:w="856"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2"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4" w:lineRule="auto"/>
              <w:ind w:left="7" w:right="14"/>
              <w:jc w:val="both"/>
              <w:rPr>
                <w:rFonts w:ascii="宋体" w:hAnsi="宋体" w:cs="宋体" w:eastAsia="宋体" w:hint="default"/>
                <w:sz w:val="18"/>
                <w:szCs w:val="18"/>
              </w:rPr>
            </w:pPr>
            <w:r>
              <w:rPr>
                <w:rFonts w:ascii="宋体" w:hAnsi="宋体" w:cs="宋体" w:eastAsia="宋体" w:hint="default"/>
                <w:spacing w:val="-10"/>
                <w:sz w:val="18"/>
                <w:szCs w:val="18"/>
              </w:rPr>
              <w:t>无锡杰华、无锡曦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杰、无锡易杰、无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锡易朴、徐长军</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21" w:lineRule="auto"/>
              <w:ind w:left="30" w:right="90"/>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980" w:type="dxa"/>
            <w:vMerge w:val="restart"/>
            <w:tcBorders>
              <w:top w:val="single" w:sz="6" w:space="0" w:color="000000"/>
              <w:left w:val="single" w:sz="6" w:space="0" w:color="000000"/>
              <w:right w:val="single" w:sz="6" w:space="0" w:color="000000"/>
            </w:tcBorders>
          </w:tcPr>
          <w:p>
            <w:pPr>
              <w:pStyle w:val="TableParagraph"/>
              <w:spacing w:line="290" w:lineRule="auto" w:before="44"/>
              <w:ind w:left="14"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本企业通过本次交易所获得的对价股份自 该等股份于证券登记结算公司登记至本人名下之</w:t>
            </w:r>
          </w:p>
          <w:p>
            <w:pPr>
              <w:pStyle w:val="TableParagraph"/>
              <w:spacing w:line="276" w:lineRule="auto" w:before="56"/>
              <w:ind w:left="14" w:right="-12"/>
              <w:jc w:val="left"/>
              <w:rPr>
                <w:rFonts w:ascii="宋体" w:hAnsi="宋体" w:cs="宋体" w:eastAsia="宋体" w:hint="default"/>
                <w:sz w:val="18"/>
                <w:szCs w:val="18"/>
              </w:rPr>
            </w:pPr>
            <w:r>
              <w:rPr>
                <w:rFonts w:ascii="宋体" w:hAnsi="宋体" w:cs="宋体" w:eastAsia="宋体" w:hint="default"/>
                <w:sz w:val="18"/>
                <w:szCs w:val="18"/>
              </w:rPr>
              <w:t>日起三十六（</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）个月将不以任何方式进行转让， 包括但不限于通过证券市场公开转让或通过协议</w:t>
            </w:r>
          </w:p>
          <w:p>
            <w:pPr>
              <w:pStyle w:val="TableParagraph"/>
              <w:spacing w:line="302" w:lineRule="auto" w:before="68"/>
              <w:ind w:left="14" w:right="28"/>
              <w:jc w:val="both"/>
              <w:rPr>
                <w:rFonts w:ascii="宋体" w:hAnsi="宋体" w:cs="宋体" w:eastAsia="宋体" w:hint="default"/>
                <w:sz w:val="18"/>
                <w:szCs w:val="18"/>
              </w:rPr>
            </w:pPr>
            <w:r>
              <w:rPr>
                <w:rFonts w:ascii="宋体" w:hAnsi="宋体" w:cs="宋体" w:eastAsia="宋体" w:hint="default"/>
                <w:sz w:val="18"/>
                <w:szCs w:val="18"/>
              </w:rPr>
              <w:t>方式转让，也不委托他人管理本人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本企业持有的 通过本次交易所获得的对价股份；</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w:t>
            </w:r>
            <w:r>
              <w:rPr>
                <w:rFonts w:ascii="宋体" w:hAnsi="宋体" w:cs="宋体" w:eastAsia="宋体" w:hint="default"/>
                <w:spacing w:val="-87"/>
                <w:sz w:val="18"/>
                <w:szCs w:val="18"/>
              </w:rPr>
              <w:t> </w:t>
            </w:r>
            <w:r>
              <w:rPr>
                <w:rFonts w:ascii="宋体" w:hAnsi="宋体" w:cs="宋体" w:eastAsia="宋体" w:hint="default"/>
                <w:sz w:val="18"/>
                <w:szCs w:val="18"/>
              </w:rPr>
              <w:t>成后六（</w:t>
            </w:r>
            <w:r>
              <w:rPr>
                <w:rFonts w:ascii="Times New Roman" w:hAnsi="Times New Roman" w:cs="Times New Roman" w:eastAsia="Times New Roman" w:hint="default"/>
                <w:sz w:val="18"/>
                <w:szCs w:val="18"/>
              </w:rPr>
              <w:t>6</w:t>
            </w:r>
            <w:r>
              <w:rPr>
                <w:rFonts w:ascii="宋体" w:hAnsi="宋体" w:cs="宋体" w:eastAsia="宋体" w:hint="default"/>
                <w:sz w:val="18"/>
                <w:szCs w:val="18"/>
              </w:rPr>
              <w:t>）个月内如上市公司股票连续二十（</w:t>
            </w:r>
            <w:r>
              <w:rPr>
                <w:rFonts w:ascii="Times New Roman" w:hAnsi="Times New Roman" w:cs="Times New Roman" w:eastAsia="Times New Roman" w:hint="default"/>
                <w:sz w:val="18"/>
                <w:szCs w:val="18"/>
              </w:rPr>
              <w:t>20 </w:t>
            </w:r>
            <w:r>
              <w:rPr>
                <w:rFonts w:ascii="宋体" w:hAnsi="宋体" w:cs="宋体" w:eastAsia="宋体" w:hint="default"/>
                <w:spacing w:val="-2"/>
                <w:sz w:val="18"/>
                <w:szCs w:val="18"/>
              </w:rPr>
              <w:t>个交易日的收盘价低于发行价，或者本次交易完成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后六（</w:t>
            </w:r>
            <w:r>
              <w:rPr>
                <w:rFonts w:ascii="Times New Roman" w:hAnsi="Times New Roman" w:cs="Times New Roman" w:eastAsia="Times New Roman" w:hint="default"/>
                <w:sz w:val="18"/>
                <w:szCs w:val="18"/>
              </w:rPr>
              <w:t>6</w:t>
            </w:r>
            <w:r>
              <w:rPr>
                <w:rFonts w:ascii="宋体" w:hAnsi="宋体" w:cs="宋体" w:eastAsia="宋体" w:hint="default"/>
                <w:sz w:val="18"/>
                <w:szCs w:val="18"/>
              </w:rPr>
              <w:t>）个月期末收盘价低于发行价的，本人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 企业通过本次交易所获得的对价股份的锁定期自</w:t>
            </w:r>
          </w:p>
          <w:p>
            <w:pPr>
              <w:pStyle w:val="TableParagraph"/>
              <w:spacing w:line="304" w:lineRule="auto" w:before="48"/>
              <w:ind w:left="14" w:right="48"/>
              <w:jc w:val="left"/>
              <w:rPr>
                <w:rFonts w:ascii="宋体" w:hAnsi="宋体" w:cs="宋体" w:eastAsia="宋体" w:hint="default"/>
                <w:sz w:val="18"/>
                <w:szCs w:val="18"/>
              </w:rPr>
            </w:pPr>
            <w:r>
              <w:rPr>
                <w:rFonts w:ascii="宋体" w:hAnsi="宋体" w:cs="宋体" w:eastAsia="宋体" w:hint="default"/>
                <w:sz w:val="18"/>
                <w:szCs w:val="18"/>
              </w:rPr>
              <w:t>动延长六（</w:t>
            </w: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r>
              <w:rPr>
                <w:rFonts w:ascii="Times New Roman" w:hAnsi="Times New Roman" w:cs="Times New Roman" w:eastAsia="Times New Roman" w:hint="default"/>
                <w:sz w:val="18"/>
                <w:szCs w:val="18"/>
              </w:rPr>
              <w:t>3</w:t>
            </w:r>
            <w:r>
              <w:rPr>
                <w:rFonts w:ascii="宋体" w:hAnsi="宋体" w:cs="宋体" w:eastAsia="宋体" w:hint="default"/>
                <w:sz w:val="18"/>
                <w:szCs w:val="18"/>
              </w:rPr>
              <w:t>、股份锁定期限内，本人</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本企业通过本次交易取得的对价股份因上市公司 </w:t>
            </w:r>
            <w:r>
              <w:rPr>
                <w:rFonts w:ascii="宋体" w:hAnsi="宋体" w:cs="宋体" w:eastAsia="宋体" w:hint="default"/>
                <w:spacing w:val="-3"/>
                <w:sz w:val="18"/>
                <w:szCs w:val="18"/>
              </w:rPr>
              <w:t>发生配股、送红股、转增股本等原因而导致增持的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上市公司股份亦应遵守上述股份锁定安排；</w:t>
            </w:r>
            <w:r>
              <w:rPr>
                <w:rFonts w:ascii="Times New Roman" w:hAnsi="Times New Roman" w:cs="Times New Roman" w:eastAsia="Times New Roman" w:hint="default"/>
                <w:sz w:val="18"/>
                <w:szCs w:val="18"/>
              </w:rPr>
              <w:t>4</w:t>
            </w:r>
            <w:r>
              <w:rPr>
                <w:rFonts w:ascii="宋体" w:hAnsi="宋体" w:cs="宋体" w:eastAsia="宋体" w:hint="default"/>
                <w:sz w:val="18"/>
                <w:szCs w:val="18"/>
              </w:rPr>
              <w:t>、若</w:t>
            </w:r>
            <w:r>
              <w:rPr>
                <w:rFonts w:ascii="宋体" w:hAnsi="宋体" w:cs="宋体" w:eastAsia="宋体" w:hint="default"/>
                <w:spacing w:val="-86"/>
                <w:sz w:val="18"/>
                <w:szCs w:val="18"/>
              </w:rPr>
              <w:t> </w:t>
            </w:r>
            <w:r>
              <w:rPr>
                <w:rFonts w:ascii="宋体" w:hAnsi="宋体" w:cs="宋体" w:eastAsia="宋体" w:hint="default"/>
                <w:sz w:val="18"/>
                <w:szCs w:val="18"/>
              </w:rPr>
              <w:t>上述股份锁定期的承诺与证券监管机构的最新监</w:t>
            </w:r>
          </w:p>
          <w:p>
            <w:pPr>
              <w:pStyle w:val="TableParagraph"/>
              <w:spacing w:line="312" w:lineRule="auto" w:before="46"/>
              <w:ind w:left="14" w:right="34"/>
              <w:jc w:val="left"/>
              <w:rPr>
                <w:rFonts w:ascii="宋体" w:hAnsi="宋体" w:cs="宋体" w:eastAsia="宋体" w:hint="default"/>
                <w:sz w:val="18"/>
                <w:szCs w:val="18"/>
              </w:rPr>
            </w:pPr>
            <w:r>
              <w:rPr>
                <w:rFonts w:ascii="宋体" w:hAnsi="宋体" w:cs="宋体" w:eastAsia="宋体" w:hint="default"/>
                <w:sz w:val="18"/>
                <w:szCs w:val="18"/>
              </w:rPr>
              <w:t>管意见不相符，本人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本企业同意根据相关证券监 </w:t>
            </w:r>
            <w:r>
              <w:rPr>
                <w:rFonts w:ascii="宋体" w:hAnsi="宋体" w:cs="宋体" w:eastAsia="宋体" w:hint="default"/>
                <w:spacing w:val="-3"/>
                <w:sz w:val="18"/>
                <w:szCs w:val="18"/>
              </w:rPr>
              <w:t>管机构的监管意见进行相应调整；上述股份锁定期</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届满之后，本人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本企业减持或以其他方式处置将</w:t>
            </w:r>
          </w:p>
          <w:p>
            <w:pPr>
              <w:pStyle w:val="TableParagraph"/>
              <w:spacing w:line="309" w:lineRule="auto"/>
              <w:ind w:left="14" w:right="34"/>
              <w:jc w:val="left"/>
              <w:rPr>
                <w:rFonts w:ascii="宋体" w:hAnsi="宋体" w:cs="宋体" w:eastAsia="宋体" w:hint="default"/>
                <w:sz w:val="18"/>
                <w:szCs w:val="18"/>
              </w:rPr>
            </w:pPr>
            <w:r>
              <w:rPr>
                <w:rFonts w:ascii="宋体" w:hAnsi="宋体" w:cs="宋体" w:eastAsia="宋体" w:hint="default"/>
                <w:sz w:val="18"/>
                <w:szCs w:val="18"/>
              </w:rPr>
              <w:t>按照证监会和深圳证券交易所的有关规定执行；</w:t>
            </w:r>
            <w:r>
              <w:rPr>
                <w:rFonts w:ascii="Times New Roman" w:hAnsi="Times New Roman" w:cs="Times New Roman" w:eastAsia="Times New Roman" w:hint="default"/>
                <w:sz w:val="18"/>
                <w:szCs w:val="18"/>
              </w:rPr>
              <w:t>5 </w:t>
            </w:r>
            <w:r>
              <w:rPr>
                <w:rFonts w:ascii="宋体" w:hAnsi="宋体" w:cs="宋体" w:eastAsia="宋体" w:hint="default"/>
                <w:sz w:val="18"/>
                <w:szCs w:val="18"/>
              </w:rPr>
              <w:t>如本次交易因涉嫌所提供或者披露的信息存在虚 </w:t>
            </w:r>
            <w:r>
              <w:rPr>
                <w:rFonts w:ascii="宋体" w:hAnsi="宋体" w:cs="宋体" w:eastAsia="宋体" w:hint="default"/>
                <w:spacing w:val="-3"/>
                <w:sz w:val="18"/>
                <w:szCs w:val="18"/>
              </w:rPr>
              <w:t>假记载、误导性陈述或者重大遗漏，被司法机关立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案侦查或者被中国证监会立案调查的，在案件调查</w:t>
            </w:r>
          </w:p>
          <w:p>
            <w:pPr>
              <w:pStyle w:val="TableParagraph"/>
              <w:spacing w:line="276" w:lineRule="auto" w:before="42"/>
              <w:ind w:left="14" w:right="120"/>
              <w:jc w:val="left"/>
              <w:rPr>
                <w:rFonts w:ascii="宋体" w:hAnsi="宋体" w:cs="宋体" w:eastAsia="宋体" w:hint="default"/>
                <w:sz w:val="18"/>
                <w:szCs w:val="18"/>
              </w:rPr>
            </w:pPr>
            <w:r>
              <w:rPr>
                <w:rFonts w:ascii="宋体" w:hAnsi="宋体" w:cs="宋体" w:eastAsia="宋体" w:hint="default"/>
                <w:sz w:val="18"/>
                <w:szCs w:val="18"/>
              </w:rPr>
              <w:t>结论明确以前，本人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本企业将不转让因本次交易 所获得并持有的上市公司股份。</w:t>
            </w:r>
          </w:p>
        </w:tc>
        <w:tc>
          <w:tcPr>
            <w:tcW w:w="8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06</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21" w:lineRule="auto"/>
              <w:ind w:left="15" w:right="28"/>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1006" w:hRule="exact"/>
        </w:trPr>
        <w:tc>
          <w:tcPr>
            <w:tcW w:w="85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14" w:lineRule="auto" w:before="44"/>
              <w:ind w:left="15" w:right="105"/>
              <w:jc w:val="both"/>
              <w:rPr>
                <w:rFonts w:ascii="宋体" w:hAnsi="宋体" w:cs="宋体" w:eastAsia="宋体" w:hint="default"/>
                <w:sz w:val="18"/>
                <w:szCs w:val="18"/>
              </w:rPr>
            </w:pPr>
            <w:r>
              <w:rPr>
                <w:rFonts w:ascii="宋体" w:hAnsi="宋体" w:cs="宋体" w:eastAsia="宋体" w:hint="default"/>
                <w:sz w:val="18"/>
                <w:szCs w:val="18"/>
              </w:rPr>
              <w:t>资产重组 时所作承 诺</w:t>
            </w:r>
          </w:p>
        </w:tc>
        <w:tc>
          <w:tcPr>
            <w:tcW w:w="1412" w:type="dxa"/>
            <w:vMerge/>
            <w:tcBorders>
              <w:left w:val="single" w:sz="12" w:space="0" w:color="D2D2D2"/>
              <w:right w:val="single" w:sz="6" w:space="0" w:color="000000"/>
            </w:tcBorders>
          </w:tcPr>
          <w:p>
            <w:pPr/>
          </w:p>
        </w:tc>
        <w:tc>
          <w:tcPr>
            <w:tcW w:w="856" w:type="dxa"/>
            <w:vMerge/>
            <w:tcBorders>
              <w:left w:val="single" w:sz="6" w:space="0" w:color="000000"/>
              <w:right w:val="single" w:sz="6" w:space="0" w:color="000000"/>
            </w:tcBorders>
          </w:tcPr>
          <w:p>
            <w:pPr/>
          </w:p>
        </w:tc>
        <w:tc>
          <w:tcPr>
            <w:tcW w:w="3980"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781" w:type="dxa"/>
            <w:vMerge/>
            <w:tcBorders>
              <w:left w:val="single" w:sz="6" w:space="0" w:color="000000"/>
              <w:right w:val="single" w:sz="6" w:space="0" w:color="000000"/>
            </w:tcBorders>
          </w:tcPr>
          <w:p>
            <w:pPr/>
          </w:p>
        </w:tc>
      </w:tr>
      <w:tr>
        <w:trPr>
          <w:trHeight w:val="3296" w:hRule="exact"/>
        </w:trPr>
        <w:tc>
          <w:tcPr>
            <w:tcW w:w="856" w:type="dxa"/>
            <w:tcBorders>
              <w:top w:val="nil" w:sz="6" w:space="0" w:color="auto"/>
              <w:left w:val="single" w:sz="6" w:space="0" w:color="000000"/>
              <w:bottom w:val="single" w:sz="6" w:space="0" w:color="000000"/>
              <w:right w:val="single" w:sz="6" w:space="0" w:color="000000"/>
            </w:tcBorders>
            <w:shd w:val="clear" w:color="auto" w:fill="D2D2D2"/>
          </w:tcPr>
          <w:p>
            <w:pPr/>
          </w:p>
        </w:tc>
        <w:tc>
          <w:tcPr>
            <w:tcW w:w="1412" w:type="dxa"/>
            <w:vMerge/>
            <w:tcBorders>
              <w:left w:val="single" w:sz="12" w:space="0" w:color="D2D2D2"/>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3980" w:type="dxa"/>
            <w:vMerge/>
            <w:tcBorders>
              <w:left w:val="single" w:sz="6" w:space="0" w:color="000000"/>
              <w:bottom w:val="single" w:sz="6" w:space="0" w:color="000000"/>
              <w:right w:val="single" w:sz="6" w:space="0" w:color="000000"/>
            </w:tcBorders>
          </w:tcPr>
          <w:p>
            <w:pPr/>
          </w:p>
        </w:tc>
        <w:tc>
          <w:tcPr>
            <w:tcW w:w="841"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781" w:type="dxa"/>
            <w:vMerge/>
            <w:tcBorders>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856"/>
        <w:gridCol w:w="1412"/>
        <w:gridCol w:w="856"/>
        <w:gridCol w:w="3980"/>
        <w:gridCol w:w="841"/>
        <w:gridCol w:w="856"/>
        <w:gridCol w:w="785"/>
      </w:tblGrid>
      <w:tr>
        <w:trPr>
          <w:trHeight w:val="10073" w:hRule="exact"/>
        </w:trPr>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4" w:right="0"/>
              <w:jc w:val="left"/>
              <w:rPr>
                <w:rFonts w:ascii="宋体" w:hAnsi="宋体" w:cs="宋体" w:eastAsia="宋体" w:hint="default"/>
                <w:sz w:val="18"/>
                <w:szCs w:val="18"/>
              </w:rPr>
            </w:pPr>
            <w:r>
              <w:rPr>
                <w:rFonts w:ascii="宋体" w:hAnsi="宋体" w:cs="宋体" w:eastAsia="宋体" w:hint="default"/>
                <w:sz w:val="18"/>
                <w:szCs w:val="18"/>
              </w:rPr>
              <w:t>上海云鑫</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07" w:lineRule="auto"/>
              <w:ind w:left="30" w:right="90"/>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、如自本公司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本企业取得标的资产之日（即本公 司因持有标的资产在公司登记机构被登记为标的 </w:t>
            </w:r>
            <w:r>
              <w:rPr>
                <w:rFonts w:ascii="宋体" w:hAnsi="宋体" w:cs="宋体" w:eastAsia="宋体" w:hint="default"/>
                <w:spacing w:val="-3"/>
                <w:sz w:val="18"/>
                <w:szCs w:val="18"/>
              </w:rPr>
              <w:t>公司的股东之日）至本公司通过本次交易所获得的</w:t>
            </w:r>
          </w:p>
          <w:p>
            <w:pPr>
              <w:pStyle w:val="TableParagraph"/>
              <w:spacing w:line="292" w:lineRule="auto" w:before="51"/>
              <w:ind w:left="14" w:right="89"/>
              <w:jc w:val="both"/>
              <w:rPr>
                <w:rFonts w:ascii="宋体" w:hAnsi="宋体" w:cs="宋体" w:eastAsia="宋体" w:hint="default"/>
                <w:sz w:val="18"/>
                <w:szCs w:val="18"/>
              </w:rPr>
            </w:pPr>
            <w:r>
              <w:rPr>
                <w:rFonts w:ascii="宋体" w:hAnsi="宋体" w:cs="宋体" w:eastAsia="宋体" w:hint="default"/>
                <w:sz w:val="18"/>
                <w:szCs w:val="18"/>
              </w:rPr>
              <w:t>对价股份于证券登记结算公司登记至本公司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 业名下之日的期间（以下简称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标的资产持有期间</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）未满十二（</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）个月，则本公司通过本次交易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所获得的对价股份于证券登记结算公司登记至本</w:t>
            </w:r>
          </w:p>
          <w:p>
            <w:pPr>
              <w:pStyle w:val="TableParagraph"/>
              <w:spacing w:line="304" w:lineRule="auto" w:before="55"/>
              <w:ind w:left="14" w:right="-15"/>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本企业名下之日起三十六（</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）个月将不以 </w:t>
            </w:r>
            <w:r>
              <w:rPr>
                <w:rFonts w:ascii="宋体" w:hAnsi="宋体" w:cs="宋体" w:eastAsia="宋体" w:hint="default"/>
                <w:spacing w:val="-3"/>
                <w:sz w:val="18"/>
                <w:szCs w:val="18"/>
              </w:rPr>
              <w:t>任何方式进行转让，包括但不限于通过证券市场公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开转让或通过协议方式转让，也不委托他人管理本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公司通过本次交易所获得的对价股份；如本公司</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本企业的标的资产持有期间达到或超过十二（</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个月，则本公司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本企业通过本次交易所获得的对 价股份于证券登记结算公司登记至本公司名下之</w:t>
            </w:r>
          </w:p>
          <w:p>
            <w:pPr>
              <w:pStyle w:val="TableParagraph"/>
              <w:spacing w:line="297" w:lineRule="auto" w:before="46"/>
              <w:ind w:left="14" w:right="28"/>
              <w:jc w:val="left"/>
              <w:rPr>
                <w:rFonts w:ascii="宋体" w:hAnsi="宋体" w:cs="宋体" w:eastAsia="宋体" w:hint="default"/>
                <w:sz w:val="18"/>
                <w:szCs w:val="18"/>
              </w:rPr>
            </w:pPr>
            <w:r>
              <w:rPr>
                <w:rFonts w:ascii="宋体" w:hAnsi="宋体" w:cs="宋体" w:eastAsia="宋体" w:hint="default"/>
                <w:spacing w:val="-2"/>
                <w:sz w:val="18"/>
                <w:szCs w:val="18"/>
              </w:rPr>
              <w:t>日起十二（</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）个月将不以任何方式进行转让，包</w:t>
            </w:r>
            <w:r>
              <w:rPr>
                <w:rFonts w:ascii="宋体" w:hAnsi="宋体" w:cs="宋体" w:eastAsia="宋体" w:hint="default"/>
                <w:sz w:val="18"/>
                <w:szCs w:val="18"/>
              </w:rPr>
              <w:t> 括但不限于通过证券市场公开转让或通过协议方 </w:t>
            </w:r>
            <w:r>
              <w:rPr>
                <w:rFonts w:ascii="宋体" w:hAnsi="宋体" w:cs="宋体" w:eastAsia="宋体" w:hint="default"/>
                <w:spacing w:val="-3"/>
                <w:sz w:val="18"/>
                <w:szCs w:val="18"/>
              </w:rPr>
              <w:t>式转让，也不委托他人管理本公司通过本次交易所</w:t>
            </w:r>
          </w:p>
          <w:p>
            <w:pPr>
              <w:pStyle w:val="TableParagraph"/>
              <w:spacing w:line="304" w:lineRule="auto" w:before="51"/>
              <w:ind w:left="14" w:right="28"/>
              <w:jc w:val="left"/>
              <w:rPr>
                <w:rFonts w:ascii="宋体" w:hAnsi="宋体" w:cs="宋体" w:eastAsia="宋体" w:hint="default"/>
                <w:sz w:val="18"/>
                <w:szCs w:val="18"/>
              </w:rPr>
            </w:pPr>
            <w:r>
              <w:rPr>
                <w:rFonts w:ascii="宋体" w:hAnsi="宋体" w:cs="宋体" w:eastAsia="宋体" w:hint="default"/>
                <w:sz w:val="18"/>
                <w:szCs w:val="18"/>
              </w:rPr>
              <w:t>获得的对价股份。</w:t>
            </w:r>
            <w:r>
              <w:rPr>
                <w:rFonts w:ascii="Times New Roman" w:hAnsi="Times New Roman" w:cs="Times New Roman" w:eastAsia="Times New Roman" w:hint="default"/>
                <w:sz w:val="18"/>
                <w:szCs w:val="18"/>
              </w:rPr>
              <w:t>2</w:t>
            </w:r>
            <w:r>
              <w:rPr>
                <w:rFonts w:ascii="宋体" w:hAnsi="宋体" w:cs="宋体" w:eastAsia="宋体" w:hint="default"/>
                <w:sz w:val="18"/>
                <w:szCs w:val="18"/>
              </w:rPr>
              <w:t>、股份锁定期限内，本公司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 企业通过本次交易取得的对价股份因上市公司发 </w:t>
            </w:r>
            <w:r>
              <w:rPr>
                <w:rFonts w:ascii="宋体" w:hAnsi="宋体" w:cs="宋体" w:eastAsia="宋体" w:hint="default"/>
                <w:spacing w:val="-3"/>
                <w:sz w:val="18"/>
                <w:szCs w:val="18"/>
              </w:rPr>
              <w:t>生配股、送红股、转增股本等原因而导致增持的上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市公司股份亦应遵守上述股份锁定安排；</w:t>
            </w:r>
            <w:r>
              <w:rPr>
                <w:rFonts w:ascii="Times New Roman" w:hAnsi="Times New Roman" w:cs="Times New Roman" w:eastAsia="Times New Roman" w:hint="default"/>
                <w:sz w:val="18"/>
                <w:szCs w:val="18"/>
              </w:rPr>
              <w:t>3</w:t>
            </w:r>
            <w:r>
              <w:rPr>
                <w:rFonts w:ascii="宋体" w:hAnsi="宋体" w:cs="宋体" w:eastAsia="宋体" w:hint="default"/>
                <w:sz w:val="18"/>
                <w:szCs w:val="18"/>
              </w:rPr>
              <w:t>、若上</w:t>
            </w:r>
            <w:r>
              <w:rPr>
                <w:rFonts w:ascii="宋体" w:hAnsi="宋体" w:cs="宋体" w:eastAsia="宋体" w:hint="default"/>
                <w:spacing w:val="-86"/>
                <w:sz w:val="18"/>
                <w:szCs w:val="18"/>
              </w:rPr>
              <w:t> </w:t>
            </w:r>
            <w:r>
              <w:rPr>
                <w:rFonts w:ascii="宋体" w:hAnsi="宋体" w:cs="宋体" w:eastAsia="宋体" w:hint="default"/>
                <w:sz w:val="18"/>
                <w:szCs w:val="18"/>
              </w:rPr>
              <w:t>述股份锁定期的承诺与证券监管机构的最新监管</w:t>
            </w:r>
          </w:p>
          <w:p>
            <w:pPr>
              <w:pStyle w:val="TableParagraph"/>
              <w:spacing w:line="290" w:lineRule="auto" w:before="46"/>
              <w:ind w:left="14" w:right="34"/>
              <w:jc w:val="left"/>
              <w:rPr>
                <w:rFonts w:ascii="宋体" w:hAnsi="宋体" w:cs="宋体" w:eastAsia="宋体" w:hint="default"/>
                <w:sz w:val="18"/>
                <w:szCs w:val="18"/>
              </w:rPr>
            </w:pPr>
            <w:r>
              <w:rPr>
                <w:rFonts w:ascii="宋体" w:hAnsi="宋体" w:cs="宋体" w:eastAsia="宋体" w:hint="default"/>
                <w:sz w:val="18"/>
                <w:szCs w:val="18"/>
              </w:rPr>
              <w:t>意见不相符，本公司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本企业同意根据相关证券监 </w:t>
            </w:r>
            <w:r>
              <w:rPr>
                <w:rFonts w:ascii="宋体" w:hAnsi="宋体" w:cs="宋体" w:eastAsia="宋体" w:hint="default"/>
                <w:spacing w:val="-3"/>
                <w:sz w:val="18"/>
                <w:szCs w:val="18"/>
              </w:rPr>
              <w:t>管机构的监管意见进行相应调整；上述股份锁定期</w:t>
            </w:r>
          </w:p>
          <w:p>
            <w:pPr>
              <w:pStyle w:val="TableParagraph"/>
              <w:spacing w:line="276" w:lineRule="auto" w:before="56"/>
              <w:ind w:left="14" w:right="75"/>
              <w:jc w:val="left"/>
              <w:rPr>
                <w:rFonts w:ascii="宋体" w:hAnsi="宋体" w:cs="宋体" w:eastAsia="宋体" w:hint="default"/>
                <w:sz w:val="18"/>
                <w:szCs w:val="18"/>
              </w:rPr>
            </w:pPr>
            <w:r>
              <w:rPr>
                <w:rFonts w:ascii="宋体" w:hAnsi="宋体" w:cs="宋体" w:eastAsia="宋体" w:hint="default"/>
                <w:sz w:val="18"/>
                <w:szCs w:val="18"/>
              </w:rPr>
              <w:t>届满之后，本公司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本企业减持或以其他方式处置 将按照中国证券监督管理委员会和深圳证券交易</w:t>
            </w:r>
          </w:p>
          <w:p>
            <w:pPr>
              <w:pStyle w:val="TableParagraph"/>
              <w:spacing w:line="304" w:lineRule="auto" w:before="67"/>
              <w:ind w:left="14" w:right="34"/>
              <w:jc w:val="both"/>
              <w:rPr>
                <w:rFonts w:ascii="宋体" w:hAnsi="宋体" w:cs="宋体" w:eastAsia="宋体" w:hint="default"/>
                <w:sz w:val="18"/>
                <w:szCs w:val="18"/>
              </w:rPr>
            </w:pPr>
            <w:r>
              <w:rPr>
                <w:rFonts w:ascii="宋体" w:hAnsi="宋体" w:cs="宋体" w:eastAsia="宋体" w:hint="default"/>
                <w:sz w:val="18"/>
                <w:szCs w:val="18"/>
              </w:rPr>
              <w:t>所的有关规定执行；</w:t>
            </w:r>
            <w:r>
              <w:rPr>
                <w:rFonts w:ascii="Times New Roman" w:hAnsi="Times New Roman" w:cs="Times New Roman" w:eastAsia="Times New Roman" w:hint="default"/>
                <w:sz w:val="18"/>
                <w:szCs w:val="18"/>
              </w:rPr>
              <w:t>4</w:t>
            </w:r>
            <w:r>
              <w:rPr>
                <w:rFonts w:ascii="宋体" w:hAnsi="宋体" w:cs="宋体" w:eastAsia="宋体" w:hint="default"/>
                <w:sz w:val="18"/>
                <w:szCs w:val="18"/>
              </w:rPr>
              <w:t>、如本次交易因涉嫌所提供 </w:t>
            </w:r>
            <w:r>
              <w:rPr>
                <w:rFonts w:ascii="宋体" w:hAnsi="宋体" w:cs="宋体" w:eastAsia="宋体" w:hint="default"/>
                <w:spacing w:val="-3"/>
                <w:sz w:val="18"/>
                <w:szCs w:val="18"/>
              </w:rPr>
              <w:t>或者披露的信息存在虚假记载、误导性陈述或者重</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大遗漏，被司法机关立案侦查或者被中国证监会立</w:t>
            </w:r>
          </w:p>
          <w:p>
            <w:pPr>
              <w:pStyle w:val="TableParagraph"/>
              <w:spacing w:line="297" w:lineRule="auto" w:before="46"/>
              <w:ind w:left="14" w:right="118"/>
              <w:jc w:val="both"/>
              <w:rPr>
                <w:rFonts w:ascii="宋体" w:hAnsi="宋体" w:cs="宋体" w:eastAsia="宋体" w:hint="default"/>
                <w:sz w:val="18"/>
                <w:szCs w:val="18"/>
              </w:rPr>
            </w:pPr>
            <w:r>
              <w:rPr>
                <w:rFonts w:ascii="宋体" w:hAnsi="宋体" w:cs="宋体" w:eastAsia="宋体" w:hint="default"/>
                <w:sz w:val="18"/>
                <w:szCs w:val="18"/>
              </w:rPr>
              <w:t>案调查的，在案件调查结论明确以前，本公司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 企业将不转让因本次交易所获得并持有的上市公 司股份。</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07" w:lineRule="auto"/>
              <w:ind w:left="15" w:right="32"/>
              <w:jc w:val="left"/>
              <w:rPr>
                <w:rFonts w:ascii="宋体" w:hAnsi="宋体" w:cs="宋体" w:eastAsia="宋体" w:hint="default"/>
                <w:sz w:val="18"/>
                <w:szCs w:val="18"/>
              </w:rPr>
            </w:pPr>
            <w:r>
              <w:rPr>
                <w:rFonts w:ascii="宋体" w:hAnsi="宋体" w:cs="宋体" w:eastAsia="宋体" w:hint="default"/>
                <w:sz w:val="18"/>
                <w:szCs w:val="18"/>
              </w:rPr>
              <w:t>正在履行 中</w:t>
            </w:r>
          </w:p>
        </w:tc>
      </w:tr>
    </w:tbl>
    <w:p>
      <w:pPr>
        <w:spacing w:after="0" w:line="307"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856"/>
        <w:gridCol w:w="1412"/>
        <w:gridCol w:w="856"/>
        <w:gridCol w:w="3980"/>
        <w:gridCol w:w="841"/>
        <w:gridCol w:w="856"/>
        <w:gridCol w:w="785"/>
      </w:tblGrid>
      <w:tr>
        <w:trPr>
          <w:trHeight w:val="6635" w:hRule="exact"/>
        </w:trPr>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4"/>
              <w:ind w:left="14" w:right="14"/>
              <w:jc w:val="left"/>
              <w:rPr>
                <w:rFonts w:ascii="宋体" w:hAnsi="宋体" w:cs="宋体" w:eastAsia="宋体" w:hint="default"/>
                <w:sz w:val="18"/>
                <w:szCs w:val="18"/>
              </w:rPr>
            </w:pPr>
            <w:r>
              <w:rPr>
                <w:rFonts w:ascii="宋体" w:hAnsi="宋体" w:cs="宋体" w:eastAsia="宋体" w:hint="default"/>
                <w:spacing w:val="-10"/>
                <w:sz w:val="18"/>
                <w:szCs w:val="18"/>
              </w:rPr>
              <w:t>上海云钜、无锡朴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元</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4"/>
              <w:ind w:left="30" w:right="90"/>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企业因本次交易所获对价股份自该等股 份于证券登记结算公司登记至本公司名下之日起</w:t>
            </w:r>
          </w:p>
          <w:p>
            <w:pPr>
              <w:pStyle w:val="TableParagraph"/>
              <w:spacing w:line="312" w:lineRule="auto" w:before="67"/>
              <w:ind w:left="14" w:right="31"/>
              <w:jc w:val="left"/>
              <w:rPr>
                <w:rFonts w:ascii="宋体" w:hAnsi="宋体" w:cs="宋体" w:eastAsia="宋体" w:hint="default"/>
                <w:sz w:val="18"/>
                <w:szCs w:val="18"/>
              </w:rPr>
            </w:pPr>
            <w:r>
              <w:rPr>
                <w:rFonts w:ascii="宋体" w:hAnsi="宋体" w:cs="宋体" w:eastAsia="宋体" w:hint="default"/>
                <w:spacing w:val="-2"/>
                <w:sz w:val="18"/>
                <w:szCs w:val="18"/>
              </w:rPr>
              <w:t>三十六（</w:t>
            </w:r>
            <w:r>
              <w:rPr>
                <w:rFonts w:ascii="Times New Roman" w:hAnsi="Times New Roman" w:cs="Times New Roman" w:eastAsia="Times New Roman" w:hint="default"/>
                <w:spacing w:val="-2"/>
                <w:sz w:val="18"/>
                <w:szCs w:val="18"/>
              </w:rPr>
              <w:t>36</w:t>
            </w:r>
            <w:r>
              <w:rPr>
                <w:rFonts w:ascii="宋体" w:hAnsi="宋体" w:cs="宋体" w:eastAsia="宋体" w:hint="default"/>
                <w:spacing w:val="-2"/>
                <w:sz w:val="18"/>
                <w:szCs w:val="18"/>
              </w:rPr>
              <w:t>）个月内将不以任何方式进行转让，包</w:t>
            </w:r>
            <w:r>
              <w:rPr>
                <w:rFonts w:ascii="宋体" w:hAnsi="宋体" w:cs="宋体" w:eastAsia="宋体" w:hint="default"/>
                <w:sz w:val="18"/>
                <w:szCs w:val="18"/>
              </w:rPr>
              <w:t> 括但不限于通过证券市场公开转让或通过协议方 式转让，也不委托他人管理本公司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企业通过本次</w:t>
            </w:r>
          </w:p>
          <w:p>
            <w:pPr>
              <w:pStyle w:val="TableParagraph"/>
              <w:spacing w:line="295" w:lineRule="auto"/>
              <w:ind w:left="14" w:right="46"/>
              <w:jc w:val="both"/>
              <w:rPr>
                <w:rFonts w:ascii="宋体" w:hAnsi="宋体" w:cs="宋体" w:eastAsia="宋体" w:hint="default"/>
                <w:sz w:val="18"/>
                <w:szCs w:val="18"/>
              </w:rPr>
            </w:pPr>
            <w:r>
              <w:rPr>
                <w:rFonts w:ascii="宋体" w:hAnsi="宋体" w:cs="宋体" w:eastAsia="宋体" w:hint="default"/>
                <w:sz w:val="18"/>
                <w:szCs w:val="18"/>
              </w:rPr>
              <w:t>交易所获得的对价股份；</w:t>
            </w:r>
            <w:r>
              <w:rPr>
                <w:rFonts w:ascii="Times New Roman" w:hAnsi="Times New Roman" w:cs="Times New Roman" w:eastAsia="Times New Roman" w:hint="default"/>
                <w:sz w:val="18"/>
                <w:szCs w:val="18"/>
              </w:rPr>
              <w:t>2</w:t>
            </w:r>
            <w:r>
              <w:rPr>
                <w:rFonts w:ascii="宋体" w:hAnsi="宋体" w:cs="宋体" w:eastAsia="宋体" w:hint="default"/>
                <w:sz w:val="18"/>
                <w:szCs w:val="18"/>
              </w:rPr>
              <w:t>、股份锁定期限内，本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企业通过本次交易取得的对价股份因上市公 </w:t>
            </w:r>
            <w:r>
              <w:rPr>
                <w:rFonts w:ascii="宋体" w:hAnsi="宋体" w:cs="宋体" w:eastAsia="宋体" w:hint="default"/>
                <w:spacing w:val="-3"/>
                <w:sz w:val="18"/>
                <w:szCs w:val="18"/>
              </w:rPr>
              <w:t>司发生配股、送红股、转增股本等原因而导致增持</w:t>
            </w:r>
          </w:p>
          <w:p>
            <w:pPr>
              <w:pStyle w:val="TableParagraph"/>
              <w:spacing w:line="300" w:lineRule="auto" w:before="53"/>
              <w:ind w:left="14" w:right="34"/>
              <w:jc w:val="left"/>
              <w:rPr>
                <w:rFonts w:ascii="宋体" w:hAnsi="宋体" w:cs="宋体" w:eastAsia="宋体" w:hint="default"/>
                <w:sz w:val="18"/>
                <w:szCs w:val="18"/>
              </w:rPr>
            </w:pPr>
            <w:r>
              <w:rPr>
                <w:rFonts w:ascii="宋体" w:hAnsi="宋体" w:cs="宋体" w:eastAsia="宋体" w:hint="default"/>
                <w:sz w:val="18"/>
                <w:szCs w:val="18"/>
              </w:rPr>
              <w:t>的上市公司股份亦应遵守上述股份锁定安排；</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若上述股份锁定期的承诺与证券监管机构的最新 监管意见不相符</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企业同意根据相关证券监 </w:t>
            </w:r>
            <w:r>
              <w:rPr>
                <w:rFonts w:ascii="宋体" w:hAnsi="宋体" w:cs="宋体" w:eastAsia="宋体" w:hint="default"/>
                <w:spacing w:val="-3"/>
                <w:sz w:val="18"/>
                <w:szCs w:val="18"/>
              </w:rPr>
              <w:t>管机构的监管意见进行相应调整；上述股份锁定期</w:t>
            </w:r>
          </w:p>
          <w:p>
            <w:pPr>
              <w:pStyle w:val="TableParagraph"/>
              <w:spacing w:line="288" w:lineRule="auto" w:before="50"/>
              <w:ind w:left="14" w:right="34"/>
              <w:jc w:val="left"/>
              <w:rPr>
                <w:rFonts w:ascii="宋体" w:hAnsi="宋体" w:cs="宋体" w:eastAsia="宋体" w:hint="default"/>
                <w:sz w:val="18"/>
                <w:szCs w:val="18"/>
              </w:rPr>
            </w:pPr>
            <w:r>
              <w:rPr>
                <w:rFonts w:ascii="宋体" w:hAnsi="宋体" w:cs="宋体" w:eastAsia="宋体" w:hint="default"/>
                <w:sz w:val="18"/>
                <w:szCs w:val="18"/>
              </w:rPr>
              <w:t>届满之后，本公司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企业减持或以其他方式处置将 按照中国证券监督管理委员会和深圳证券交易所</w:t>
            </w:r>
          </w:p>
          <w:p>
            <w:pPr>
              <w:pStyle w:val="TableParagraph"/>
              <w:spacing w:line="297" w:lineRule="auto" w:before="59"/>
              <w:ind w:left="14" w:right="34"/>
              <w:jc w:val="both"/>
              <w:rPr>
                <w:rFonts w:ascii="宋体" w:hAnsi="宋体" w:cs="宋体" w:eastAsia="宋体" w:hint="default"/>
                <w:sz w:val="18"/>
                <w:szCs w:val="18"/>
              </w:rPr>
            </w:pPr>
            <w:r>
              <w:rPr>
                <w:rFonts w:ascii="宋体" w:hAnsi="宋体" w:cs="宋体" w:eastAsia="宋体" w:hint="default"/>
                <w:sz w:val="18"/>
                <w:szCs w:val="18"/>
              </w:rPr>
              <w:t>的有关规定执行；</w:t>
            </w:r>
            <w:r>
              <w:rPr>
                <w:rFonts w:ascii="Times New Roman" w:hAnsi="Times New Roman" w:cs="Times New Roman" w:eastAsia="Times New Roman" w:hint="default"/>
                <w:sz w:val="18"/>
                <w:szCs w:val="18"/>
              </w:rPr>
              <w:t>4</w:t>
            </w:r>
            <w:r>
              <w:rPr>
                <w:rFonts w:ascii="宋体" w:hAnsi="宋体" w:cs="宋体" w:eastAsia="宋体" w:hint="default"/>
                <w:sz w:val="18"/>
                <w:szCs w:val="18"/>
              </w:rPr>
              <w:t>、如本次交易因涉嫌所提供或 </w:t>
            </w:r>
            <w:r>
              <w:rPr>
                <w:rFonts w:ascii="宋体" w:hAnsi="宋体" w:cs="宋体" w:eastAsia="宋体" w:hint="default"/>
                <w:spacing w:val="-3"/>
                <w:sz w:val="18"/>
                <w:szCs w:val="18"/>
              </w:rPr>
              <w:t>者披露的信息存在虚假记载、误导性陈述或者重大</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遗漏，被司法机关立案侦查或者被中国证监会立案</w:t>
            </w:r>
          </w:p>
          <w:p>
            <w:pPr>
              <w:pStyle w:val="TableParagraph"/>
              <w:spacing w:line="304" w:lineRule="auto" w:before="51"/>
              <w:ind w:left="14" w:right="-12"/>
              <w:jc w:val="left"/>
              <w:rPr>
                <w:rFonts w:ascii="宋体" w:hAnsi="宋体" w:cs="宋体" w:eastAsia="宋体" w:hint="default"/>
                <w:sz w:val="18"/>
                <w:szCs w:val="18"/>
              </w:rPr>
            </w:pPr>
            <w:r>
              <w:rPr>
                <w:rFonts w:ascii="宋体" w:hAnsi="宋体" w:cs="宋体" w:eastAsia="宋体" w:hint="default"/>
                <w:sz w:val="18"/>
                <w:szCs w:val="18"/>
              </w:rPr>
              <w:t>调查的，在案件调查结论明确以前，本公司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企业 将不转让因本次交易所获得并持有的上市公司股 份；本补充承诺函与《关于股份锁定期的承诺函》 不一致的，以本补充承诺函为准。</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06</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4"/>
              <w:ind w:left="15" w:right="32"/>
              <w:jc w:val="left"/>
              <w:rPr>
                <w:rFonts w:ascii="宋体" w:hAnsi="宋体" w:cs="宋体" w:eastAsia="宋体" w:hint="default"/>
                <w:sz w:val="18"/>
                <w:szCs w:val="18"/>
              </w:rPr>
            </w:pPr>
            <w:r>
              <w:rPr>
                <w:rFonts w:ascii="宋体" w:hAnsi="宋体" w:cs="宋体" w:eastAsia="宋体" w:hint="default"/>
                <w:sz w:val="18"/>
                <w:szCs w:val="18"/>
              </w:rPr>
              <w:t>正在履行 中</w:t>
            </w:r>
          </w:p>
        </w:tc>
      </w:tr>
    </w:tbl>
    <w:p>
      <w:pPr>
        <w:spacing w:after="0" w:line="321"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50"/>
          <w:pgMar w:header="731" w:footer="981" w:top="1040" w:bottom="1180" w:left="1000" w:right="0"/>
        </w:sectPr>
      </w:pPr>
    </w:p>
    <w:p>
      <w:pPr>
        <w:spacing w:line="240" w:lineRule="auto" w:before="8"/>
        <w:rPr>
          <w:rFonts w:ascii="Times New Roman" w:hAnsi="Times New Roman" w:cs="Times New Roman" w:eastAsia="Times New Roman" w:hint="default"/>
          <w:sz w:val="18"/>
          <w:szCs w:val="18"/>
        </w:rPr>
      </w:pPr>
    </w:p>
    <w:p>
      <w:pPr>
        <w:pStyle w:val="BodyText"/>
        <w:spacing w:line="316" w:lineRule="auto"/>
        <w:ind w:left="1012" w:right="-20"/>
        <w:jc w:val="left"/>
      </w:pPr>
      <w:r>
        <w:rPr/>
        <w:pict>
          <v:group style="position:absolute;margin-left:56.325001pt;margin-top:-3.375803pt;width:479.85pt;height:427.15pt;mso-position-horizontal-relative:page;mso-position-vertical-relative:paragraph;z-index:-1325776" coordorigin="1127,-68" coordsize="9597,8543">
            <v:group style="position:absolute;left:1142;top:-45;width:841;height:8513" coordorigin="1142,-45" coordsize="841,8513">
              <v:shape style="position:absolute;left:1142;top:-45;width:841;height:8513" coordorigin="1142,-45" coordsize="841,8513" path="m1142,8468l1983,8468,1983,-45,1142,-45,1142,8468xe" filled="true" fillcolor="#d2d2d2" stroked="false">
                <v:path arrowok="t"/>
                <v:fill type="solid"/>
              </v:shape>
            </v:group>
            <v:group style="position:absolute;left:1142;top:-52;width:841;height:2" coordorigin="1142,-52" coordsize="841,2">
              <v:shape style="position:absolute;left:1142;top:-52;width:841;height:2" coordorigin="1142,-52" coordsize="841,0" path="m1142,-52l1983,-52e" filled="false" stroked="true" strokeweight=".75pt" strokecolor="#000000">
                <v:path arrowok="t"/>
              </v:shape>
            </v:group>
            <v:group style="position:absolute;left:3410;top:-45;width:841;height:3903" coordorigin="3410,-45" coordsize="841,3903">
              <v:shape style="position:absolute;left:3410;top:-45;width:841;height:3903" coordorigin="3410,-45" coordsize="841,3903" path="m3410,3858l4251,3858,4251,-45,3410,-45,3410,3858xe" filled="true" fillcolor="#ffffff" stroked="false">
                <v:path arrowok="t"/>
                <v:fill type="solid"/>
              </v:shape>
            </v:group>
            <v:group style="position:absolute;left:1998;top:-52;width:1397;height:2" coordorigin="1998,-52" coordsize="1397,2">
              <v:shape style="position:absolute;left:1998;top:-52;width:1397;height:2" coordorigin="1998,-52" coordsize="1397,0" path="m1998,-52l3394,-52e" filled="false" stroked="true" strokeweight=".75pt" strokecolor="#000000">
                <v:path arrowok="t"/>
              </v:shape>
            </v:group>
            <v:group style="position:absolute;left:3410;top:-52;width:841;height:2" coordorigin="3410,-52" coordsize="841,2">
              <v:shape style="position:absolute;left:3410;top:-52;width:841;height:2" coordorigin="3410,-52" coordsize="841,0" path="m3410,-52l4251,-52e" filled="false" stroked="true" strokeweight=".75pt" strokecolor="#000000">
                <v:path arrowok="t"/>
              </v:shape>
            </v:group>
            <v:group style="position:absolute;left:4266;top:-52;width:3965;height:2" coordorigin="4266,-52" coordsize="3965,2">
              <v:shape style="position:absolute;left:4266;top:-52;width:3965;height:2" coordorigin="4266,-52" coordsize="3965,0" path="m4266,-52l8231,-52e" filled="false" stroked="true" strokeweight=".75pt" strokecolor="#000000">
                <v:path arrowok="t"/>
              </v:shape>
            </v:group>
            <v:group style="position:absolute;left:8245;top:-52;width:826;height:2" coordorigin="8245,-52" coordsize="826,2">
              <v:shape style="position:absolute;left:8245;top:-52;width:826;height:2" coordorigin="8245,-52" coordsize="826,0" path="m8245,-52l9071,-52e" filled="false" stroked="true" strokeweight=".75pt" strokecolor="#000000">
                <v:path arrowok="t"/>
              </v:shape>
            </v:group>
            <v:group style="position:absolute;left:9087;top:-52;width:841;height:2" coordorigin="9087,-52" coordsize="841,2">
              <v:shape style="position:absolute;left:9087;top:-52;width:841;height:2" coordorigin="9087,-52" coordsize="841,0" path="m9087,-52l9928,-52e" filled="false" stroked="true" strokeweight=".75pt" strokecolor="#000000">
                <v:path arrowok="t"/>
              </v:shape>
            </v:group>
            <v:group style="position:absolute;left:9943;top:-52;width:766;height:2" coordorigin="9943,-52" coordsize="766,2">
              <v:shape style="position:absolute;left:9943;top:-52;width:766;height:2" coordorigin="9943,-52" coordsize="766,0" path="m9943,-52l10709,-52e" filled="false" stroked="true" strokeweight=".75pt" strokecolor="#000000">
                <v:path arrowok="t"/>
              </v:shape>
            </v:group>
            <v:group style="position:absolute;left:1134;top:-60;width:2;height:8528" coordorigin="1134,-60" coordsize="2,8528">
              <v:shape style="position:absolute;left:1134;top:-60;width:2;height:8528" coordorigin="1134,-60" coordsize="0,8528" path="m1134,-60l1134,8468e" filled="false" stroked="true" strokeweight=".75pt" strokecolor="#000000">
                <v:path arrowok="t"/>
              </v:shape>
            </v:group>
            <v:group style="position:absolute;left:1142;top:8460;width:841;height:2" coordorigin="1142,8460" coordsize="841,2">
              <v:shape style="position:absolute;left:1142;top:8460;width:841;height:2" coordorigin="1142,8460" coordsize="841,0" path="m1142,8460l1983,8460e" filled="false" stroked="true" strokeweight=".75pt" strokecolor="#000000">
                <v:path arrowok="t"/>
              </v:shape>
            </v:group>
            <v:group style="position:absolute;left:1990;top:-60;width:2;height:8528" coordorigin="1990,-60" coordsize="2,8528">
              <v:shape style="position:absolute;left:1990;top:-60;width:2;height:8528" coordorigin="1990,-60" coordsize="0,8528" path="m1990,-60l1990,8468e" filled="false" stroked="true" strokeweight=".75pt" strokecolor="#000000">
                <v:path arrowok="t"/>
              </v:shape>
            </v:group>
            <v:group style="position:absolute;left:3410;top:4564;width:841;height:3904" coordorigin="3410,4564" coordsize="841,3904">
              <v:shape style="position:absolute;left:3410;top:4564;width:841;height:3904" coordorigin="3410,4564" coordsize="841,3904" path="m3410,8468l4251,8468,4251,4564,3410,4564,3410,8468xe" filled="true" fillcolor="#ffffff" stroked="false">
                <v:path arrowok="t"/>
                <v:fill type="solid"/>
              </v:shape>
            </v:group>
            <v:group style="position:absolute;left:1998;top:8460;width:1397;height:2" coordorigin="1998,8460" coordsize="1397,2">
              <v:shape style="position:absolute;left:1998;top:8460;width:1397;height:2" coordorigin="1998,8460" coordsize="1397,0" path="m1998,8460l3394,8460e" filled="false" stroked="true" strokeweight=".75pt" strokecolor="#000000">
                <v:path arrowok="t"/>
              </v:shape>
            </v:group>
            <v:group style="position:absolute;left:3402;top:-60;width:2;height:8528" coordorigin="3402,-60" coordsize="2,8528">
              <v:shape style="position:absolute;left:3402;top:-60;width:2;height:8528" coordorigin="3402,-60" coordsize="0,8528" path="m3402,-60l3402,8468e" filled="false" stroked="true" strokeweight=".77501pt" strokecolor="#000000">
                <v:path arrowok="t"/>
              </v:shape>
            </v:group>
            <v:group style="position:absolute;left:3410;top:8460;width:841;height:2" coordorigin="3410,8460" coordsize="841,2">
              <v:shape style="position:absolute;left:3410;top:8460;width:841;height:2" coordorigin="3410,8460" coordsize="841,0" path="m3410,8460l4251,8460e" filled="false" stroked="true" strokeweight=".75pt" strokecolor="#000000">
                <v:path arrowok="t"/>
              </v:shape>
            </v:group>
            <v:group style="position:absolute;left:4258;top:-60;width:2;height:8528" coordorigin="4258,-60" coordsize="2,8528">
              <v:shape style="position:absolute;left:4258;top:-60;width:2;height:8528" coordorigin="4258,-60" coordsize="0,8528" path="m4258,-60l4258,8468e" filled="false" stroked="true" strokeweight=".75pt" strokecolor="#000000">
                <v:path arrowok="t"/>
              </v:shape>
            </v:group>
            <v:group style="position:absolute;left:4266;top:8460;width:3965;height:2" coordorigin="4266,8460" coordsize="3965,2">
              <v:shape style="position:absolute;left:4266;top:8460;width:3965;height:2" coordorigin="4266,8460" coordsize="3965,0" path="m4266,8460l8231,8460e" filled="false" stroked="true" strokeweight=".75pt" strokecolor="#000000">
                <v:path arrowok="t"/>
              </v:shape>
            </v:group>
            <v:group style="position:absolute;left:8238;top:-60;width:2;height:8528" coordorigin="8238,-60" coordsize="2,8528">
              <v:shape style="position:absolute;left:8238;top:-60;width:2;height:8528" coordorigin="8238,-60" coordsize="0,8528" path="m8238,-60l8238,8468e" filled="false" stroked="true" strokeweight=".75pt" strokecolor="#000000">
                <v:path arrowok="t"/>
              </v:shape>
            </v:group>
            <v:group style="position:absolute;left:8245;top:8460;width:826;height:2" coordorigin="8245,8460" coordsize="826,2">
              <v:shape style="position:absolute;left:8245;top:8460;width:826;height:2" coordorigin="8245,8460" coordsize="826,0" path="m8245,8460l9071,8460e" filled="false" stroked="true" strokeweight=".75pt" strokecolor="#000000">
                <v:path arrowok="t"/>
              </v:shape>
            </v:group>
            <v:group style="position:absolute;left:9079;top:-60;width:2;height:8528" coordorigin="9079,-60" coordsize="2,8528">
              <v:shape style="position:absolute;left:9079;top:-60;width:2;height:8528" coordorigin="9079,-60" coordsize="0,8528" path="m9079,-60l9079,8468e" filled="false" stroked="true" strokeweight=".75pt" strokecolor="#000000">
                <v:path arrowok="t"/>
              </v:shape>
            </v:group>
            <v:group style="position:absolute;left:9087;top:8460;width:841;height:2" coordorigin="9087,8460" coordsize="841,2">
              <v:shape style="position:absolute;left:9087;top:8460;width:841;height:2" coordorigin="9087,8460" coordsize="841,0" path="m9087,8460l9928,8460e" filled="false" stroked="true" strokeweight=".75pt" strokecolor="#000000">
                <v:path arrowok="t"/>
              </v:shape>
            </v:group>
            <v:group style="position:absolute;left:9935;top:-60;width:2;height:8528" coordorigin="9935,-60" coordsize="2,8528">
              <v:shape style="position:absolute;left:9935;top:-60;width:2;height:8528" coordorigin="9935,-60" coordsize="0,8528" path="m9935,-60l9935,8468e" filled="false" stroked="true" strokeweight=".75pt" strokecolor="#000000">
                <v:path arrowok="t"/>
              </v:shape>
            </v:group>
            <v:group style="position:absolute;left:9943;top:8460;width:766;height:2" coordorigin="9943,8460" coordsize="766,2">
              <v:shape style="position:absolute;left:9943;top:8460;width:766;height:2" coordorigin="9943,8460" coordsize="766,0" path="m9943,8460l10709,8460e" filled="false" stroked="true" strokeweight=".75pt" strokecolor="#000000">
                <v:path arrowok="t"/>
              </v:shape>
            </v:group>
            <v:group style="position:absolute;left:10716;top:-60;width:2;height:8528" coordorigin="10716,-60" coordsize="2,8528">
              <v:shape style="position:absolute;left:10716;top:-60;width:2;height:8528" coordorigin="10716,-60" coordsize="0,8528" path="m10716,-60l10716,8468e" filled="false" stroked="true" strokeweight=".75pt" strokecolor="#000000">
                <v:path arrowok="t"/>
              </v:shape>
            </v:group>
            <w10:wrap type="none"/>
          </v:group>
        </w:pict>
      </w:r>
      <w:r>
        <w:rPr/>
        <w:t>罗惠玲、杜小兰、 </w:t>
      </w:r>
      <w:r>
        <w:rPr>
          <w:spacing w:val="-10"/>
        </w:rPr>
        <w:t>吴缘秋、恒信东方</w:t>
      </w:r>
      <w:r>
        <w:rPr>
          <w:spacing w:val="-86"/>
        </w:rPr>
        <w:t> </w:t>
      </w:r>
      <w:r>
        <w:rPr>
          <w:spacing w:val="-86"/>
        </w:rPr>
      </w:r>
      <w:r>
        <w:rPr/>
        <w:t>文化股份有限公 </w:t>
      </w:r>
      <w:r>
        <w:rPr>
          <w:spacing w:val="-10"/>
        </w:rPr>
        <w:t>司、厦门网元通信</w:t>
      </w:r>
      <w:r>
        <w:rPr>
          <w:spacing w:val="-86"/>
        </w:rPr>
        <w:t> </w:t>
      </w:r>
      <w:r>
        <w:rPr>
          <w:spacing w:val="-86"/>
        </w:rPr>
      </w:r>
      <w:r>
        <w:rPr>
          <w:spacing w:val="-10"/>
        </w:rPr>
        <w:t>技术有限公司、江</w:t>
      </w:r>
      <w:r>
        <w:rPr>
          <w:spacing w:val="-86"/>
        </w:rPr>
        <w:t> </w:t>
      </w:r>
      <w:r>
        <w:rPr>
          <w:spacing w:val="-86"/>
        </w:rPr>
      </w:r>
      <w:r>
        <w:rPr/>
        <w:t>苏紫金文化产业 二期创业投资基 </w:t>
      </w:r>
      <w:r>
        <w:rPr>
          <w:spacing w:val="-12"/>
        </w:rPr>
        <w:t>金（有限合伙）、</w:t>
      </w:r>
      <w:r>
        <w:rPr>
          <w:spacing w:val="-84"/>
        </w:rPr>
        <w:t> </w:t>
      </w:r>
      <w:r>
        <w:rPr>
          <w:spacing w:val="-84"/>
        </w:rPr>
      </w:r>
      <w:r>
        <w:rPr/>
        <w:t>无锡融云投资合 伙企业（有限合 </w:t>
      </w:r>
      <w:r>
        <w:rPr>
          <w:spacing w:val="-12"/>
        </w:rPr>
        <w:t>伙）、无锡润圆投</w:t>
      </w:r>
      <w:r>
        <w:rPr>
          <w:spacing w:val="-84"/>
        </w:rPr>
        <w:t> </w:t>
      </w:r>
      <w:r>
        <w:rPr>
          <w:spacing w:val="-84"/>
        </w:rPr>
      </w:r>
      <w:r>
        <w:rPr>
          <w:spacing w:val="-10"/>
        </w:rPr>
        <w:t>资合伙企业（有限</w:t>
      </w:r>
    </w:p>
    <w:p>
      <w:pPr>
        <w:pStyle w:val="BodyText"/>
        <w:spacing w:line="221" w:lineRule="exact" w:before="22"/>
        <w:ind w:left="1012" w:right="-20"/>
        <w:jc w:val="left"/>
      </w:pPr>
      <w:r>
        <w:rPr/>
        <w:t>合伙</w:t>
      </w:r>
      <w:r>
        <w:rPr>
          <w:spacing w:val="-90"/>
        </w:rPr>
        <w:t>）</w:t>
      </w:r>
      <w:r>
        <w:rPr/>
        <w:t>、上海腾辉</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04" w:lineRule="auto" w:before="133"/>
        <w:ind w:left="787" w:right="3712"/>
        <w:jc w:val="both"/>
      </w:pPr>
      <w:r>
        <w:rPr>
          <w:rFonts w:ascii="Times New Roman" w:hAnsi="Times New Roman" w:cs="Times New Roman" w:eastAsia="Times New Roman" w:hint="default"/>
          <w:spacing w:val="-3"/>
        </w:rPr>
        <w:t>1</w:t>
      </w:r>
      <w:r>
        <w:rPr>
          <w:spacing w:val="-3"/>
        </w:rPr>
        <w:t>、本人</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企业因本次交易所获对价股份自该等</w:t>
      </w:r>
      <w:r>
        <w:rPr/>
        <w:t> 股份于证券登记结算公司登记至本人</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企业名 </w:t>
      </w:r>
      <w:r>
        <w:rPr>
          <w:spacing w:val="-3"/>
        </w:rPr>
        <w:t>下之日起十二（</w:t>
      </w:r>
      <w:r>
        <w:rPr>
          <w:rFonts w:ascii="Times New Roman" w:hAnsi="Times New Roman" w:cs="Times New Roman" w:eastAsia="Times New Roman" w:hint="default"/>
          <w:spacing w:val="-3"/>
        </w:rPr>
        <w:t>12</w:t>
      </w:r>
      <w:r>
        <w:rPr>
          <w:spacing w:val="-3"/>
        </w:rPr>
        <w:t>）个月内将不以任何方式进行转</w:t>
      </w:r>
      <w:r>
        <w:rPr>
          <w:spacing w:val="-82"/>
        </w:rPr>
        <w:t> </w:t>
      </w:r>
      <w:r>
        <w:rPr>
          <w:spacing w:val="-82"/>
        </w:rPr>
      </w:r>
      <w:r>
        <w:rPr>
          <w:spacing w:val="-3"/>
        </w:rPr>
        <w:t>让，包括但不限于通过证券市场公开转让或通过协</w:t>
      </w:r>
      <w:r>
        <w:rPr>
          <w:spacing w:val="-69"/>
        </w:rPr>
        <w:t> </w:t>
      </w:r>
      <w:r>
        <w:rPr>
          <w:spacing w:val="-69"/>
        </w:rPr>
      </w:r>
      <w:r>
        <w:rPr/>
        <w:t>议方式转让，也不委托他人管理本人</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企业通 过本次交易所获得的对价股份；</w:t>
      </w:r>
      <w:r>
        <w:rPr>
          <w:rFonts w:ascii="Times New Roman" w:hAnsi="Times New Roman" w:cs="Times New Roman" w:eastAsia="Times New Roman" w:hint="default"/>
        </w:rPr>
        <w:t>2</w:t>
      </w:r>
      <w:r>
        <w:rPr/>
        <w:t>、股份锁定期限</w:t>
      </w:r>
      <w:r>
        <w:rPr>
          <w:spacing w:val="-87"/>
        </w:rPr>
        <w:t> </w:t>
      </w:r>
      <w:r>
        <w:rPr/>
        <w:t>内，本人</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企业通过本次交易取得的对价股份 </w:t>
      </w:r>
      <w:r>
        <w:rPr>
          <w:spacing w:val="-3"/>
        </w:rPr>
        <w:t>因上市公司发生配股、送红股、转增股本等原因而</w:t>
      </w:r>
      <w:r>
        <w:rPr>
          <w:spacing w:val="-86"/>
        </w:rPr>
        <w:t> </w:t>
      </w:r>
      <w:r>
        <w:rPr>
          <w:spacing w:val="-86"/>
        </w:rPr>
      </w:r>
      <w:r>
        <w:rPr/>
        <w:t>导致增持的上市公司股份亦应遵守上述股份锁定</w:t>
      </w:r>
    </w:p>
    <w:p>
      <w:pPr>
        <w:spacing w:after="0" w:line="304" w:lineRule="auto"/>
        <w:jc w:val="both"/>
        <w:sectPr>
          <w:type w:val="continuous"/>
          <w:pgSz w:w="11910" w:h="16850"/>
          <w:pgMar w:top="1040" w:bottom="1180" w:left="1000" w:right="0"/>
          <w:cols w:num="2" w:equalWidth="0">
            <w:col w:w="2453" w:space="40"/>
            <w:col w:w="8417"/>
          </w:cols>
        </w:sectPr>
      </w:pPr>
    </w:p>
    <w:p>
      <w:pPr>
        <w:pStyle w:val="BodyText"/>
        <w:spacing w:line="319" w:lineRule="auto" w:before="94"/>
        <w:ind w:left="1012" w:right="-15"/>
        <w:jc w:val="left"/>
      </w:pPr>
      <w:r>
        <w:rPr/>
        <w:t>创业投资合伙企 </w:t>
      </w:r>
      <w:r>
        <w:rPr>
          <w:spacing w:val="-12"/>
        </w:rPr>
        <w:t>业（有限合伙）、</w:t>
      </w:r>
      <w:r>
        <w:rPr>
          <w:spacing w:val="-84"/>
        </w:rPr>
        <w:t> </w:t>
      </w:r>
      <w:r>
        <w:rPr>
          <w:spacing w:val="-84"/>
        </w:rPr>
      </w:r>
      <w:r>
        <w:rPr/>
        <w:t>江苏省现代服务 业发展创业投资 </w:t>
      </w:r>
      <w:r>
        <w:rPr>
          <w:spacing w:val="-10"/>
        </w:rPr>
        <w:t>基金（有限合伙）</w:t>
      </w:r>
      <w:r>
        <w:rPr>
          <w:spacing w:val="-86"/>
        </w:rPr>
        <w:t> </w:t>
      </w:r>
      <w:r>
        <w:rPr>
          <w:spacing w:val="-86"/>
        </w:rPr>
      </w:r>
      <w:r>
        <w:rPr/>
        <w:t>苏宁润东股权投</w:t>
      </w:r>
    </w:p>
    <w:p>
      <w:pPr>
        <w:pStyle w:val="BodyText"/>
        <w:spacing w:line="180" w:lineRule="exact"/>
        <w:ind w:left="22" w:right="-20"/>
        <w:jc w:val="left"/>
      </w:pPr>
      <w:r>
        <w:rPr/>
        <w:br w:type="column"/>
      </w:r>
      <w:r>
        <w:rPr/>
        <w:t>股份限售</w:t>
      </w:r>
    </w:p>
    <w:p>
      <w:pPr>
        <w:pStyle w:val="BodyText"/>
        <w:spacing w:line="240" w:lineRule="auto" w:before="64"/>
        <w:ind w:left="22" w:right="-20"/>
        <w:jc w:val="left"/>
      </w:pPr>
      <w:r>
        <w:rPr/>
        <w:t>承诺</w:t>
      </w:r>
    </w:p>
    <w:p>
      <w:pPr>
        <w:pStyle w:val="BodyText"/>
        <w:spacing w:line="194" w:lineRule="exact"/>
        <w:ind w:left="80" w:right="0"/>
        <w:jc w:val="left"/>
      </w:pPr>
      <w:r>
        <w:rPr/>
        <w:br w:type="column"/>
      </w:r>
      <w:r>
        <w:rPr/>
        <w:t>安排；</w:t>
      </w:r>
      <w:r>
        <w:rPr>
          <w:rFonts w:ascii="Times New Roman" w:hAnsi="Times New Roman" w:cs="Times New Roman" w:eastAsia="Times New Roman" w:hint="default"/>
        </w:rPr>
        <w:t>3</w:t>
      </w:r>
      <w:r>
        <w:rPr/>
        <w:t>、若上述股份锁定期的承诺与证券监管机</w:t>
      </w:r>
    </w:p>
    <w:p>
      <w:pPr>
        <w:pStyle w:val="BodyText"/>
        <w:spacing w:line="290" w:lineRule="auto" w:before="66"/>
        <w:ind w:left="80" w:right="0"/>
        <w:jc w:val="left"/>
      </w:pPr>
      <w:r>
        <w:rPr/>
        <w:pict>
          <v:shape style="position:absolute;margin-left:164.367004pt;margin-top:20.581718pt;width:48.2pt;height:195.2pt;mso-position-horizontal-relative:page;mso-position-vertical-relative:paragraph;z-index:-13258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ind w:left="0" w:right="0"/>
                    <w:jc w:val="left"/>
                  </w:pPr>
                  <w:r>
                    <w:rPr/>
                    <w:t>、</w:t>
                  </w:r>
                </w:p>
              </w:txbxContent>
            </v:textbox>
            <w10:wrap type="none"/>
          </v:shape>
        </w:pict>
      </w:r>
      <w:r>
        <w:rPr/>
        <w:t>构的最新监管意见不相符，本人</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企业同意根 </w:t>
      </w:r>
      <w:r>
        <w:rPr>
          <w:spacing w:val="-3"/>
        </w:rPr>
        <w:t>据相关证券监管机构的监管意见进行相应调整；上</w:t>
      </w:r>
    </w:p>
    <w:p>
      <w:pPr>
        <w:pStyle w:val="BodyText"/>
        <w:spacing w:line="304" w:lineRule="auto" w:before="57"/>
        <w:ind w:left="80" w:right="0"/>
        <w:jc w:val="left"/>
      </w:pPr>
      <w:r>
        <w:rPr/>
        <w:t>述股份锁定期届满之后，本人</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企业减持或以 其他方式处置将按照中国证券监督管理委员会和 深圳证券交易所的有关规定执行；</w:t>
      </w:r>
      <w:r>
        <w:rPr>
          <w:rFonts w:ascii="Times New Roman" w:hAnsi="Times New Roman" w:cs="Times New Roman" w:eastAsia="Times New Roman" w:hint="default"/>
        </w:rPr>
        <w:t>4</w:t>
      </w:r>
      <w:r>
        <w:rPr/>
        <w:t>、如本次交易</w:t>
      </w:r>
    </w:p>
    <w:p>
      <w:pPr>
        <w:pStyle w:val="BodyText"/>
        <w:spacing w:line="218" w:lineRule="exact"/>
        <w:ind w:left="80" w:right="0"/>
        <w:jc w:val="left"/>
      </w:pPr>
      <w:r>
        <w:rPr>
          <w:spacing w:val="-3"/>
        </w:rPr>
        <w:t>因涉嫌所提供或者披露的信息存在虚假记载、误导</w:t>
      </w:r>
    </w:p>
    <w:p>
      <w:pPr>
        <w:pStyle w:val="BodyText"/>
        <w:spacing w:line="180" w:lineRule="exact"/>
        <w:ind w:left="24" w:right="0"/>
        <w:jc w:val="left"/>
        <w:rPr>
          <w:rFonts w:ascii="Times New Roman" w:hAnsi="Times New Roman" w:cs="Times New Roman" w:eastAsia="Times New Roman" w:hint="default"/>
        </w:rPr>
      </w:pPr>
      <w:r>
        <w:rPr/>
        <w:br w:type="column"/>
      </w:r>
      <w:r>
        <w:rPr>
          <w:rFonts w:ascii="Times New Roman" w:hAnsi="Times New Roman" w:cs="Times New Roman" w:eastAsia="Times New Roman" w:hint="default"/>
        </w:rPr>
        <w:t>2019 </w:t>
      </w:r>
      <w:r>
        <w:rPr/>
        <w:t>年</w:t>
      </w:r>
      <w:r>
        <w:rPr>
          <w:spacing w:val="-75"/>
        </w:rPr>
        <w:t> </w:t>
      </w:r>
      <w:r>
        <w:rPr>
          <w:rFonts w:ascii="Times New Roman" w:hAnsi="Times New Roman" w:cs="Times New Roman" w:eastAsia="Times New Roman" w:hint="default"/>
        </w:rPr>
        <w:t>06</w:t>
      </w:r>
    </w:p>
    <w:p>
      <w:pPr>
        <w:pStyle w:val="BodyText"/>
        <w:spacing w:line="129" w:lineRule="exact"/>
        <w:ind w:left="0" w:right="0"/>
        <w:jc w:val="right"/>
        <w:rPr>
          <w:rFonts w:ascii="Times New Roman" w:hAnsi="Times New Roman" w:cs="Times New Roman" w:eastAsia="Times New Roman" w:hint="default"/>
        </w:rPr>
      </w:pPr>
      <w:r>
        <w:rPr>
          <w:rFonts w:ascii="Times New Roman"/>
        </w:rPr>
        <w:t>12</w:t>
      </w:r>
    </w:p>
    <w:p>
      <w:pPr>
        <w:pStyle w:val="BodyText"/>
        <w:spacing w:line="200" w:lineRule="exact"/>
        <w:ind w:left="24" w:right="0"/>
        <w:jc w:val="left"/>
      </w:pPr>
      <w:r>
        <w:rPr/>
        <w:t>月</w:t>
      </w:r>
      <w:r>
        <w:rPr>
          <w:spacing w:val="-45"/>
        </w:rPr>
        <w:t> </w:t>
      </w:r>
      <w:r>
        <w:rPr>
          <w:rFonts w:ascii="Times New Roman" w:hAnsi="Times New Roman" w:cs="Times New Roman" w:eastAsia="Times New Roman" w:hint="default"/>
        </w:rPr>
        <w:t>24 </w:t>
      </w:r>
      <w:r>
        <w:rPr/>
        <w:t>日</w:t>
      </w:r>
    </w:p>
    <w:p>
      <w:pPr>
        <w:pStyle w:val="BodyText"/>
        <w:spacing w:line="180" w:lineRule="exact"/>
        <w:ind w:left="620" w:right="0"/>
        <w:jc w:val="left"/>
      </w:pPr>
      <w:r>
        <w:rPr/>
        <w:br w:type="column"/>
      </w:r>
      <w:r>
        <w:rPr/>
        <w:t>正在履行</w:t>
      </w:r>
    </w:p>
    <w:p>
      <w:pPr>
        <w:pStyle w:val="BodyText"/>
        <w:spacing w:line="240" w:lineRule="auto" w:before="64"/>
        <w:ind w:left="620" w:right="0"/>
        <w:jc w:val="left"/>
      </w:pPr>
      <w:r>
        <w:rPr/>
        <w:t>中</w:t>
      </w:r>
    </w:p>
    <w:p>
      <w:pPr>
        <w:spacing w:after="0" w:line="240" w:lineRule="auto"/>
        <w:jc w:val="left"/>
        <w:sectPr>
          <w:type w:val="continuous"/>
          <w:pgSz w:w="11910" w:h="16850"/>
          <w:pgMar w:top="1040" w:bottom="1180" w:left="1000" w:right="0"/>
          <w:cols w:num="5" w:equalWidth="0">
            <w:col w:w="2378" w:space="40"/>
            <w:col w:w="743" w:space="40"/>
            <w:col w:w="3996" w:space="40"/>
            <w:col w:w="1062" w:space="40"/>
            <w:col w:w="2571"/>
          </w:cols>
        </w:sectPr>
      </w:pPr>
    </w:p>
    <w:p>
      <w:pPr>
        <w:pStyle w:val="BodyText"/>
        <w:spacing w:line="180" w:lineRule="exact"/>
        <w:ind w:left="1012" w:right="-20"/>
        <w:jc w:val="left"/>
      </w:pPr>
      <w:r>
        <w:rPr/>
        <w:t>资管理有限公司、</w:t>
      </w:r>
    </w:p>
    <w:p>
      <w:pPr>
        <w:pStyle w:val="BodyText"/>
        <w:spacing w:line="321" w:lineRule="auto" w:before="65"/>
        <w:ind w:left="1012" w:right="60"/>
        <w:jc w:val="left"/>
      </w:pPr>
      <w:r>
        <w:rPr/>
        <w:t>无锡田华亚灏投 </w:t>
      </w:r>
      <w:r>
        <w:rPr>
          <w:spacing w:val="-10"/>
        </w:rPr>
        <w:t>资合伙企业（有限</w:t>
      </w:r>
      <w:r>
        <w:rPr>
          <w:spacing w:val="-86"/>
        </w:rPr>
        <w:t> </w:t>
      </w:r>
      <w:r>
        <w:rPr>
          <w:spacing w:val="-86"/>
        </w:rPr>
      </w:r>
      <w:r>
        <w:rPr>
          <w:spacing w:val="-12"/>
        </w:rPr>
        <w:t>合伙）、无锡金瑞</w:t>
      </w:r>
      <w:r>
        <w:rPr>
          <w:spacing w:val="-84"/>
        </w:rPr>
        <w:t> </w:t>
      </w:r>
      <w:r>
        <w:rPr>
          <w:spacing w:val="-84"/>
        </w:rPr>
      </w:r>
      <w:r>
        <w:rPr/>
        <w:t>海投资合伙企业</w:t>
      </w:r>
    </w:p>
    <w:p>
      <w:pPr>
        <w:pStyle w:val="BodyText"/>
        <w:spacing w:line="307" w:lineRule="auto" w:before="18"/>
        <w:ind w:left="1012" w:right="76"/>
        <w:jc w:val="left"/>
      </w:pPr>
      <w:r>
        <w:rPr>
          <w:spacing w:val="-12"/>
        </w:rPr>
        <w:t>（有限合伙）、上</w:t>
      </w:r>
      <w:r>
        <w:rPr>
          <w:spacing w:val="-84"/>
        </w:rPr>
        <w:t> </w:t>
      </w:r>
      <w:r>
        <w:rPr>
          <w:spacing w:val="-84"/>
        </w:rPr>
      </w:r>
      <w:r>
        <w:rPr/>
        <w:t>海列王投资中心</w:t>
      </w:r>
    </w:p>
    <w:p>
      <w:pPr>
        <w:pStyle w:val="BodyText"/>
        <w:spacing w:line="240" w:lineRule="auto" w:before="29"/>
        <w:ind w:left="1012" w:right="-20"/>
        <w:jc w:val="left"/>
      </w:pPr>
      <w:r>
        <w:rPr/>
        <w:t>（有限</w:t>
      </w:r>
      <w:r>
        <w:rPr>
          <w:spacing w:val="1"/>
        </w:rPr>
        <w:t>合</w:t>
      </w:r>
      <w:r>
        <w:rPr/>
        <w:t>伙</w:t>
      </w:r>
      <w:r>
        <w:rPr>
          <w:spacing w:val="-90"/>
        </w:rPr>
        <w:t>）</w:t>
      </w:r>
      <w:r>
        <w:rPr/>
        <w:t>、</w:t>
      </w:r>
    </w:p>
    <w:p>
      <w:pPr>
        <w:pStyle w:val="BodyText"/>
        <w:spacing w:line="321" w:lineRule="auto" w:before="95"/>
        <w:ind w:left="787" w:right="0"/>
        <w:jc w:val="left"/>
      </w:pPr>
      <w:r>
        <w:rPr>
          <w:spacing w:val="-3"/>
        </w:rPr>
        <w:br w:type="column"/>
      </w:r>
      <w:r>
        <w:rPr>
          <w:spacing w:val="-3"/>
        </w:rPr>
        <w:t>性陈述或者重大遗漏，被司法机关立案侦查或者被</w:t>
      </w:r>
      <w:r>
        <w:rPr>
          <w:spacing w:val="-69"/>
        </w:rPr>
        <w:t> </w:t>
      </w:r>
      <w:r>
        <w:rPr>
          <w:spacing w:val="-69"/>
        </w:rPr>
      </w:r>
      <w:r>
        <w:rPr/>
        <w:t>中国证监会立案调查的，在案件调查结论明确以</w:t>
      </w:r>
    </w:p>
    <w:p>
      <w:pPr>
        <w:pStyle w:val="BodyText"/>
        <w:spacing w:line="273" w:lineRule="auto" w:before="33"/>
        <w:ind w:left="787" w:right="3753"/>
        <w:jc w:val="left"/>
      </w:pPr>
      <w:r>
        <w:rPr>
          <w:spacing w:val="-1"/>
        </w:rPr>
        <w:t>前，本人</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企业将不转让因本次交易所获得并</w:t>
      </w:r>
      <w:r>
        <w:rPr>
          <w:spacing w:val="-77"/>
        </w:rPr>
        <w:t> </w:t>
      </w:r>
      <w:r>
        <w:rPr/>
        <w:t>持有的上市公司股份。</w:t>
      </w:r>
    </w:p>
    <w:p>
      <w:pPr>
        <w:spacing w:after="0" w:line="273" w:lineRule="auto"/>
        <w:jc w:val="left"/>
        <w:sectPr>
          <w:type w:val="continuous"/>
          <w:pgSz w:w="11910" w:h="16850"/>
          <w:pgMar w:top="1040" w:bottom="1180" w:left="1000" w:right="0"/>
          <w:cols w:num="2" w:equalWidth="0">
            <w:col w:w="2453" w:space="40"/>
            <w:col w:w="8417"/>
          </w:cols>
        </w:sectPr>
      </w:pPr>
    </w:p>
    <w:p>
      <w:pPr>
        <w:spacing w:line="240" w:lineRule="auto" w:before="5"/>
        <w:rPr>
          <w:rFonts w:ascii="Times New Roman" w:hAnsi="Times New Roman" w:cs="Times New Roman" w:eastAsia="Times New Roman" w:hint="default"/>
          <w:sz w:val="5"/>
          <w:szCs w:val="5"/>
        </w:rPr>
      </w:pPr>
      <w:r>
        <w:rPr/>
        <w:pict>
          <v:shape style="position:absolute;margin-left:405.261017pt;margin-top:72.830002pt;width:48.35pt;height:390.35pt;mso-position-horizontal-relative:page;mso-position-vertical-relative:page;z-index:-13257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r>
        <w:rPr/>
        <w:pict>
          <v:shape style="position:absolute;margin-left:497.130005pt;margin-top:498.445007pt;width:38.3pt;height:343.85pt;mso-position-horizontal-relative:page;mso-position-vertical-relative:page;z-index:-13257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5"/>
                      <w:szCs w:val="25"/>
                    </w:rPr>
                  </w:pPr>
                </w:p>
                <w:p>
                  <w:pPr>
                    <w:pStyle w:val="BodyText"/>
                    <w:spacing w:line="240" w:lineRule="auto"/>
                    <w:ind w:left="0" w:right="0"/>
                    <w:jc w:val="right"/>
                    <w:rPr>
                      <w:rFonts w:ascii="Times New Roman" w:hAnsi="Times New Roman" w:cs="Times New Roman" w:eastAsia="Times New Roman" w:hint="default"/>
                    </w:rPr>
                  </w:pPr>
                  <w:r>
                    <w:rPr>
                      <w:rFonts w:ascii="Times New Roman"/>
                    </w:rPr>
                    <w:t>4</w:t>
                  </w:r>
                </w:p>
              </w:txbxContent>
            </v:textbox>
            <w10:wrap type="none"/>
          </v:shape>
        </w:pict>
      </w:r>
      <w:r>
        <w:rPr/>
        <w:pict>
          <v:group style="position:absolute;margin-left:55.575001pt;margin-top:55.924999pt;width:485.85pt;height:.1pt;mso-position-horizontal-relative:page;mso-position-vertical-relative:page;z-index:-1325704" coordorigin="1112,1118" coordsize="9717,2">
            <v:shape style="position:absolute;left:1112;top:1118;width:9717;height:2" coordorigin="1112,1118" coordsize="9717,0" path="m1112,1118l10829,1118e" filled="false" stroked="true" strokeweight=".75pt" strokecolor="#000000">
              <v:path arrowok="t"/>
            </v:shape>
            <w10:wrap type="none"/>
          </v:group>
        </w:pict>
      </w:r>
      <w:r>
        <w:rPr/>
        <w:pict>
          <v:group style="position:absolute;margin-left:56.325001pt;margin-top:71.705002pt;width:538.85pt;height:770.95pt;mso-position-horizontal-relative:page;mso-position-vertical-relative:page;z-index:-1325680" coordorigin="1127,1434" coordsize="10777,15419">
            <v:group style="position:absolute;left:1142;top:1457;width:841;height:15389" coordorigin="1142,1457" coordsize="841,15389">
              <v:shape style="position:absolute;left:1142;top:1457;width:841;height:15389" coordorigin="1142,1457" coordsize="841,15389" path="m1983,16845l1983,1457,1142,1457,1142,16845,1983,16845xe" filled="true" fillcolor="#d2d2d2" stroked="false">
                <v:path arrowok="t"/>
                <v:fill type="solid"/>
              </v:shape>
            </v:group>
            <v:group style="position:absolute;left:1142;top:1449;width:841;height:2" coordorigin="1142,1449" coordsize="841,2">
              <v:shape style="position:absolute;left:1142;top:1449;width:841;height:2" coordorigin="1142,1449" coordsize="841,0" path="m1142,1449l1983,1449e" filled="false" stroked="true" strokeweight=".75pt" strokecolor="#000000">
                <v:path arrowok="t"/>
              </v:shape>
            </v:group>
            <v:group style="position:absolute;left:1998;top:1449;width:1397;height:2" coordorigin="1998,1449" coordsize="1397,2">
              <v:shape style="position:absolute;left:1998;top:1449;width:1397;height:2" coordorigin="1998,1449" coordsize="1397,0" path="m1998,1449l3394,1449e" filled="false" stroked="true" strokeweight=".75pt" strokecolor="#000000">
                <v:path arrowok="t"/>
              </v:shape>
            </v:group>
            <v:group style="position:absolute;left:3410;top:1449;width:841;height:2" coordorigin="3410,1449" coordsize="841,2">
              <v:shape style="position:absolute;left:3410;top:1449;width:841;height:2" coordorigin="3410,1449" coordsize="841,0" path="m3410,1449l4251,1449e" filled="false" stroked="true" strokeweight=".75pt" strokecolor="#000000">
                <v:path arrowok="t"/>
              </v:shape>
            </v:group>
            <v:group style="position:absolute;left:8230;top:1457;width:841;height:7807" coordorigin="8230,1457" coordsize="841,7807">
              <v:shape style="position:absolute;left:8230;top:1457;width:841;height:7807" coordorigin="8230,1457" coordsize="841,7807" path="m8230,9263l9071,9263,9071,1457,8230,1457,8230,9263xe" filled="true" fillcolor="#ffffff" stroked="false">
                <v:path arrowok="t"/>
                <v:fill type="solid"/>
              </v:shape>
            </v:group>
            <v:group style="position:absolute;left:4266;top:1449;width:3965;height:2" coordorigin="4266,1449" coordsize="3965,2">
              <v:shape style="position:absolute;left:4266;top:1449;width:3965;height:2" coordorigin="4266,1449" coordsize="3965,0" path="m4266,1449l8231,1449e" filled="false" stroked="true" strokeweight=".75pt" strokecolor="#000000">
                <v:path arrowok="t"/>
              </v:shape>
            </v:group>
            <v:group style="position:absolute;left:8245;top:1449;width:826;height:2" coordorigin="8245,1449" coordsize="826,2">
              <v:shape style="position:absolute;left:8245;top:1449;width:826;height:2" coordorigin="8245,1449" coordsize="826,0" path="m8245,1449l9071,1449e" filled="false" stroked="true" strokeweight=".75pt" strokecolor="#000000">
                <v:path arrowok="t"/>
              </v:shape>
            </v:group>
            <v:group style="position:absolute;left:9087;top:1449;width:841;height:2" coordorigin="9087,1449" coordsize="841,2">
              <v:shape style="position:absolute;left:9087;top:1449;width:841;height:2" coordorigin="9087,1449" coordsize="841,0" path="m9087,1449l9928,1449e" filled="false" stroked="true" strokeweight=".75pt" strokecolor="#000000">
                <v:path arrowok="t"/>
              </v:shape>
            </v:group>
            <v:group style="position:absolute;left:9943;top:1449;width:766;height:2" coordorigin="9943,1449" coordsize="766,2">
              <v:shape style="position:absolute;left:9943;top:1449;width:766;height:2" coordorigin="9943,1449" coordsize="766,0" path="m9943,1449l10709,1449e" filled="false" stroked="true" strokeweight=".75pt" strokecolor="#000000">
                <v:path arrowok="t"/>
              </v:shape>
            </v:group>
            <v:group style="position:absolute;left:1134;top:1442;width:2;height:15404" coordorigin="1134,1442" coordsize="2,15404">
              <v:shape style="position:absolute;left:1134;top:1442;width:2;height:15404" coordorigin="1134,1442" coordsize="0,15404" path="m1134,1442l1134,16845e" filled="false" stroked="true" strokeweight=".75pt" strokecolor="#000000">
                <v:path arrowok="t"/>
              </v:shape>
            </v:group>
            <v:group style="position:absolute;left:9943;top:9969;width:766;height:6877" coordorigin="9943,9969" coordsize="766,6877">
              <v:shape style="position:absolute;left:9943;top:9969;width:766;height:6877" coordorigin="9943,9969" coordsize="766,6877" path="m10709,16845l10709,9969,9943,9969,9943,16845,10709,16845xe" filled="true" fillcolor="#ffffff" stroked="false">
                <v:path arrowok="t"/>
                <v:fill type="solid"/>
              </v:shape>
              <v:shape style="position:absolute;left:10713;top:16141;width:1190;height:536" type="#_x0000_t75" stroked="false">
                <v:imagedata r:id="rId17" o:title=""/>
              </v:shape>
            </v:group>
            <w10:wrap type="none"/>
          </v:group>
        </w:pict>
      </w:r>
    </w:p>
    <w:tbl>
      <w:tblPr>
        <w:tblW w:w="0" w:type="auto"/>
        <w:jc w:val="left"/>
        <w:tblInd w:w="982" w:type="dxa"/>
        <w:tblLayout w:type="fixed"/>
        <w:tblCellMar>
          <w:top w:w="0" w:type="dxa"/>
          <w:left w:w="0" w:type="dxa"/>
          <w:bottom w:w="0" w:type="dxa"/>
          <w:right w:w="0" w:type="dxa"/>
        </w:tblCellMar>
        <w:tblLook w:val="01E0"/>
      </w:tblPr>
      <w:tblGrid>
        <w:gridCol w:w="1412"/>
        <w:gridCol w:w="856"/>
        <w:gridCol w:w="4002"/>
        <w:gridCol w:w="819"/>
        <w:gridCol w:w="856"/>
        <w:gridCol w:w="781"/>
      </w:tblGrid>
      <w:tr>
        <w:trPr>
          <w:trHeight w:val="331" w:hRule="exact"/>
        </w:trPr>
        <w:tc>
          <w:tcPr>
            <w:tcW w:w="1412"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4002" w:type="dxa"/>
            <w:tcBorders>
              <w:top w:val="nil" w:sz="6" w:space="0" w:color="auto"/>
              <w:left w:val="nil" w:sz="6" w:space="0" w:color="auto"/>
              <w:bottom w:val="nil" w:sz="6" w:space="0" w:color="auto"/>
              <w:right w:val="nil" w:sz="6" w:space="0" w:color="auto"/>
            </w:tcBorders>
          </w:tcPr>
          <w:p>
            <w:pPr/>
          </w:p>
        </w:tc>
        <w:tc>
          <w:tcPr>
            <w:tcW w:w="819"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r>
      <w:tr>
        <w:trPr>
          <w:trHeight w:val="15396" w:hRule="exact"/>
        </w:trPr>
        <w:tc>
          <w:tcPr>
            <w:tcW w:w="141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21" w:lineRule="auto"/>
              <w:ind w:left="14" w:right="14"/>
              <w:jc w:val="both"/>
              <w:rPr>
                <w:rFonts w:ascii="宋体" w:hAnsi="宋体" w:cs="宋体" w:eastAsia="宋体" w:hint="default"/>
                <w:sz w:val="18"/>
                <w:szCs w:val="18"/>
              </w:rPr>
            </w:pPr>
            <w:r>
              <w:rPr>
                <w:rFonts w:ascii="宋体" w:hAnsi="宋体" w:cs="宋体" w:eastAsia="宋体" w:hint="default"/>
                <w:spacing w:val="-10"/>
                <w:sz w:val="18"/>
                <w:szCs w:val="18"/>
              </w:rPr>
              <w:t>无锡杰华、无锡朴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元、无锡曦杰、无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锡易朴、徐长军</w:t>
            </w:r>
          </w:p>
        </w:tc>
        <w:tc>
          <w:tcPr>
            <w:tcW w:w="85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21" w:lineRule="auto"/>
              <w:ind w:left="30" w:right="90"/>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4002" w:type="dxa"/>
            <w:tcBorders>
              <w:top w:val="nil" w:sz="6" w:space="0" w:color="auto"/>
              <w:left w:val="single" w:sz="6" w:space="0" w:color="000000"/>
              <w:bottom w:val="nil" w:sz="6" w:space="0" w:color="auto"/>
              <w:right w:val="single" w:sz="6" w:space="0" w:color="000000"/>
            </w:tcBorders>
          </w:tcPr>
          <w:p>
            <w:pPr>
              <w:pStyle w:val="TableParagraph"/>
              <w:tabs>
                <w:tab w:pos="1231" w:val="left" w:leader="none"/>
              </w:tabs>
              <w:spacing w:line="297" w:lineRule="auto" w:before="67"/>
              <w:ind w:left="14" w:right="53"/>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、业绩承诺</w:t>
              <w:tab/>
            </w:r>
            <w:r>
              <w:rPr>
                <w:rFonts w:ascii="宋体" w:hAnsi="宋体" w:cs="宋体" w:eastAsia="宋体" w:hint="default"/>
                <w:sz w:val="18"/>
                <w:szCs w:val="18"/>
              </w:rPr>
              <w:t>根据上市公司与作为盈利承诺补偿</w:t>
            </w:r>
            <w:r>
              <w:rPr>
                <w:rFonts w:ascii="宋体" w:hAnsi="宋体" w:cs="宋体" w:eastAsia="宋体" w:hint="default"/>
                <w:sz w:val="18"/>
                <w:szCs w:val="18"/>
              </w:rPr>
              <w:t> 主体的徐长军、无锡杰华投资合伙企业（有限合 </w:t>
            </w:r>
            <w:r>
              <w:rPr>
                <w:rFonts w:ascii="宋体" w:hAnsi="宋体" w:cs="宋体" w:eastAsia="宋体" w:hint="default"/>
                <w:spacing w:val="-10"/>
                <w:sz w:val="18"/>
                <w:szCs w:val="18"/>
              </w:rPr>
              <w:t>伙）、无锡曦杰智诚投资合伙企业（有限合伙）、无</w:t>
            </w:r>
          </w:p>
          <w:p>
            <w:pPr>
              <w:pStyle w:val="TableParagraph"/>
              <w:spacing w:line="314" w:lineRule="auto" w:before="36"/>
              <w:ind w:left="14" w:right="51"/>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锡易朴投资合伙企业（有限合伙）和无锡朴元投资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合伙企业（有限合伙）签订的《盈利预测补偿协议》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本次交易的业绩承诺期为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年度和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年度，且如因标的资产交割迟于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312" w:lineRule="auto" w:before="4"/>
              <w:ind w:left="14"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日则需要将业绩承诺期延长至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2021 </w:t>
            </w:r>
            <w:r>
              <w:rPr>
                <w:rFonts w:ascii="宋体" w:hAnsi="宋体" w:cs="宋体" w:eastAsia="宋体" w:hint="default"/>
                <w:spacing w:val="-12"/>
                <w:sz w:val="18"/>
                <w:szCs w:val="18"/>
              </w:rPr>
              <w:t>年。经上</w:t>
            </w:r>
            <w:r>
              <w:rPr>
                <w:rFonts w:ascii="宋体" w:hAnsi="宋体" w:cs="宋体" w:eastAsia="宋体" w:hint="default"/>
                <w:sz w:val="18"/>
                <w:szCs w:val="18"/>
              </w:rPr>
              <w:t> 市公司聘请的具有相关证券业务资格的会计师事 务所审计的易视腾科技</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年度和</w:t>
            </w:r>
          </w:p>
          <w:p>
            <w:pPr>
              <w:pStyle w:val="TableParagraph"/>
              <w:spacing w:line="241" w:lineRule="exact"/>
              <w:ind w:left="14"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年度合并报表中净利润数（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承诺净利润数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分别不低于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20,000 </w:t>
            </w:r>
            <w:r>
              <w:rPr>
                <w:rFonts w:ascii="宋体" w:hAnsi="宋体" w:cs="宋体" w:eastAsia="宋体" w:hint="default"/>
                <w:sz w:val="18"/>
                <w:szCs w:val="18"/>
              </w:rPr>
              <w:t>万元和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25,000 </w:t>
            </w:r>
            <w:r>
              <w:rPr>
                <w:rFonts w:ascii="宋体" w:hAnsi="宋体" w:cs="宋体" w:eastAsia="宋体" w:hint="default"/>
                <w:sz w:val="18"/>
                <w:szCs w:val="18"/>
              </w:rPr>
              <w:t>万</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元；若因项目交割迟于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日需要延</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长业绩承诺至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2021 </w:t>
            </w:r>
            <w:r>
              <w:rPr>
                <w:rFonts w:ascii="宋体" w:hAnsi="宋体" w:cs="宋体" w:eastAsia="宋体" w:hint="default"/>
                <w:spacing w:val="-15"/>
                <w:sz w:val="18"/>
                <w:szCs w:val="18"/>
              </w:rPr>
              <w:t>年，则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2021 </w:t>
            </w:r>
            <w:r>
              <w:rPr>
                <w:rFonts w:ascii="宋体" w:hAnsi="宋体" w:cs="宋体" w:eastAsia="宋体" w:hint="default"/>
                <w:sz w:val="18"/>
                <w:szCs w:val="18"/>
              </w:rPr>
              <w:t>年承诺净利润数不</w:t>
            </w:r>
          </w:p>
          <w:p>
            <w:pPr>
              <w:pStyle w:val="TableParagraph"/>
              <w:spacing w:line="288" w:lineRule="auto" w:before="66"/>
              <w:ind w:left="14" w:right="112"/>
              <w:jc w:val="both"/>
              <w:rPr>
                <w:rFonts w:ascii="宋体" w:hAnsi="宋体" w:cs="宋体" w:eastAsia="宋体" w:hint="default"/>
                <w:sz w:val="18"/>
                <w:szCs w:val="18"/>
              </w:rPr>
            </w:pPr>
            <w:r>
              <w:rPr>
                <w:rFonts w:ascii="宋体" w:hAnsi="宋体" w:cs="宋体" w:eastAsia="宋体" w:hint="default"/>
                <w:sz w:val="18"/>
                <w:szCs w:val="18"/>
              </w:rPr>
              <w:t>少于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31,900 </w:t>
            </w:r>
            <w:r>
              <w:rPr>
                <w:rFonts w:ascii="宋体" w:hAnsi="宋体" w:cs="宋体" w:eastAsia="宋体" w:hint="default"/>
                <w:sz w:val="18"/>
                <w:szCs w:val="18"/>
              </w:rPr>
              <w:t>万元（前述期间的年度净利润合计数 </w:t>
            </w:r>
            <w:r>
              <w:rPr>
                <w:rFonts w:ascii="宋体" w:hAnsi="宋体" w:cs="宋体" w:eastAsia="宋体" w:hint="default"/>
                <w:spacing w:val="-4"/>
                <w:w w:val="100"/>
                <w:sz w:val="18"/>
                <w:szCs w:val="18"/>
              </w:rPr>
              <w:t>下称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承诺净利润累计数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）。经上市公司聘请的具</w:t>
            </w:r>
            <w:r>
              <w:rPr>
                <w:rFonts w:ascii="宋体" w:hAnsi="宋体" w:cs="宋体" w:eastAsia="宋体" w:hint="default"/>
                <w:spacing w:val="-83"/>
                <w:w w:val="100"/>
                <w:sz w:val="18"/>
                <w:szCs w:val="18"/>
              </w:rPr>
              <w:t> </w:t>
            </w:r>
            <w:r>
              <w:rPr>
                <w:rFonts w:ascii="宋体" w:hAnsi="宋体" w:cs="宋体" w:eastAsia="宋体" w:hint="default"/>
                <w:spacing w:val="-83"/>
                <w:w w:val="100"/>
                <w:sz w:val="18"/>
                <w:szCs w:val="18"/>
              </w:rPr>
            </w:r>
            <w:r>
              <w:rPr>
                <w:rFonts w:ascii="宋体" w:hAnsi="宋体" w:cs="宋体" w:eastAsia="宋体" w:hint="default"/>
                <w:sz w:val="18"/>
                <w:szCs w:val="18"/>
              </w:rPr>
              <w:t>有相关证券业务资格的会计师事务所审计的邦道</w:t>
            </w:r>
          </w:p>
          <w:p>
            <w:pPr>
              <w:pStyle w:val="TableParagraph"/>
              <w:spacing w:line="240" w:lineRule="auto" w:before="58"/>
              <w:ind w:left="14" w:right="0"/>
              <w:jc w:val="left"/>
              <w:rPr>
                <w:rFonts w:ascii="宋体" w:hAnsi="宋体" w:cs="宋体" w:eastAsia="宋体" w:hint="default"/>
                <w:sz w:val="18"/>
                <w:szCs w:val="18"/>
              </w:rPr>
            </w:pPr>
            <w:r>
              <w:rPr>
                <w:rFonts w:ascii="宋体" w:hAnsi="宋体" w:cs="宋体" w:eastAsia="宋体" w:hint="default"/>
                <w:sz w:val="18"/>
                <w:szCs w:val="18"/>
              </w:rPr>
              <w:t>科技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年合并报表中净利</w:t>
            </w:r>
          </w:p>
          <w:p>
            <w:pPr>
              <w:pStyle w:val="TableParagraph"/>
              <w:spacing w:line="240" w:lineRule="auto" w:before="66"/>
              <w:ind w:left="14" w:right="-22"/>
              <w:jc w:val="left"/>
              <w:rPr>
                <w:rFonts w:ascii="宋体" w:hAnsi="宋体" w:cs="宋体" w:eastAsia="宋体" w:hint="default"/>
                <w:sz w:val="18"/>
                <w:szCs w:val="18"/>
              </w:rPr>
            </w:pPr>
            <w:r>
              <w:rPr>
                <w:rFonts w:ascii="宋体" w:hAnsi="宋体" w:cs="宋体" w:eastAsia="宋体" w:hint="default"/>
                <w:sz w:val="18"/>
                <w:szCs w:val="18"/>
              </w:rPr>
              <w:t>润数（</w:t>
            </w:r>
            <w:r>
              <w:rPr>
                <w:rFonts w:ascii="Times New Roman" w:hAnsi="Times New Roman" w:cs="Times New Roman" w:eastAsia="Times New Roman" w:hint="default"/>
                <w:sz w:val="18"/>
                <w:szCs w:val="18"/>
              </w:rPr>
              <w:t>“</w:t>
            </w:r>
            <w:r>
              <w:rPr>
                <w:rFonts w:ascii="宋体" w:hAnsi="宋体" w:cs="宋体" w:eastAsia="宋体" w:hint="default"/>
                <w:sz w:val="18"/>
                <w:szCs w:val="18"/>
              </w:rPr>
              <w:t>承诺净利润数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）分别不低于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11,000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12,500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万元和</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15,500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若因项目交割迟于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2018</w:t>
            </w:r>
          </w:p>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日需要延长业绩承诺至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90"/>
                <w:sz w:val="18"/>
                <w:szCs w:val="18"/>
              </w:rPr>
              <w:t>，</w:t>
            </w:r>
            <w:r>
              <w:rPr>
                <w:rFonts w:ascii="宋体" w:hAnsi="宋体" w:cs="宋体" w:eastAsia="宋体" w:hint="default"/>
                <w:sz w:val="18"/>
                <w:szCs w:val="18"/>
              </w:rPr>
              <w:t>则</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2021</w:t>
            </w:r>
          </w:p>
          <w:p>
            <w:pPr>
              <w:pStyle w:val="TableParagraph"/>
              <w:spacing w:line="307" w:lineRule="auto" w:before="66"/>
              <w:ind w:left="14" w:right="55"/>
              <w:jc w:val="left"/>
              <w:rPr>
                <w:rFonts w:ascii="宋体" w:hAnsi="宋体" w:cs="宋体" w:eastAsia="宋体" w:hint="default"/>
                <w:sz w:val="18"/>
                <w:szCs w:val="18"/>
              </w:rPr>
            </w:pPr>
            <w:r>
              <w:rPr>
                <w:rFonts w:ascii="宋体" w:hAnsi="宋体" w:cs="宋体" w:eastAsia="宋体" w:hint="default"/>
                <w:sz w:val="18"/>
                <w:szCs w:val="18"/>
              </w:rPr>
              <w:t>年承诺净利润数不少于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 </w:t>
            </w:r>
            <w:r>
              <w:rPr>
                <w:rFonts w:ascii="宋体" w:hAnsi="宋体" w:cs="宋体" w:eastAsia="宋体" w:hint="default"/>
                <w:sz w:val="18"/>
                <w:szCs w:val="18"/>
              </w:rPr>
              <w:t>万元（前述期间的 </w:t>
            </w:r>
            <w:r>
              <w:rPr>
                <w:rFonts w:ascii="宋体" w:hAnsi="宋体" w:cs="宋体" w:eastAsia="宋体" w:hint="default"/>
                <w:spacing w:val="-4"/>
                <w:w w:val="100"/>
                <w:sz w:val="18"/>
                <w:szCs w:val="18"/>
              </w:rPr>
              <w:t>年度净利润合计数下称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承诺净利润累计数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）。业</w:t>
            </w:r>
            <w:r>
              <w:rPr>
                <w:rFonts w:ascii="宋体" w:hAnsi="宋体" w:cs="宋体" w:eastAsia="宋体" w:hint="default"/>
                <w:spacing w:val="-80"/>
                <w:w w:val="100"/>
                <w:sz w:val="18"/>
                <w:szCs w:val="18"/>
              </w:rPr>
              <w:t> </w:t>
            </w:r>
            <w:r>
              <w:rPr>
                <w:rFonts w:ascii="宋体" w:hAnsi="宋体" w:cs="宋体" w:eastAsia="宋体" w:hint="default"/>
                <w:spacing w:val="-80"/>
                <w:w w:val="100"/>
                <w:sz w:val="18"/>
                <w:szCs w:val="18"/>
              </w:rPr>
            </w:r>
            <w:r>
              <w:rPr>
                <w:rFonts w:ascii="宋体" w:hAnsi="宋体" w:cs="宋体" w:eastAsia="宋体" w:hint="default"/>
                <w:sz w:val="18"/>
                <w:szCs w:val="18"/>
              </w:rPr>
              <w:t>绩承诺期净利润数按照合并报表口径下扣除非经 </w:t>
            </w:r>
            <w:r>
              <w:rPr>
                <w:rFonts w:ascii="宋体" w:hAnsi="宋体" w:cs="宋体" w:eastAsia="宋体" w:hint="default"/>
                <w:spacing w:val="-3"/>
                <w:sz w:val="18"/>
                <w:szCs w:val="18"/>
              </w:rPr>
              <w:t>常性损益后归属标的母公司所有者的净利润。业绩</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承诺期标的公司的实际净利润数低于承诺净利润 </w:t>
            </w:r>
            <w:r>
              <w:rPr>
                <w:rFonts w:ascii="宋体" w:hAnsi="宋体" w:cs="宋体" w:eastAsia="宋体" w:hint="default"/>
                <w:spacing w:val="-3"/>
                <w:sz w:val="18"/>
                <w:szCs w:val="18"/>
              </w:rPr>
              <w:t>数，则由盈利承诺补偿主体根据《盈利预测补偿协</w:t>
            </w:r>
          </w:p>
          <w:p>
            <w:pPr>
              <w:pStyle w:val="TableParagraph"/>
              <w:spacing w:line="312" w:lineRule="auto" w:before="44"/>
              <w:ind w:left="14" w:right="55"/>
              <w:jc w:val="both"/>
              <w:rPr>
                <w:rFonts w:ascii="宋体" w:hAnsi="宋体" w:cs="宋体" w:eastAsia="宋体" w:hint="default"/>
                <w:sz w:val="18"/>
                <w:szCs w:val="18"/>
              </w:rPr>
            </w:pPr>
            <w:r>
              <w:rPr>
                <w:rFonts w:ascii="宋体" w:hAnsi="宋体" w:cs="宋体" w:eastAsia="宋体" w:hint="default"/>
                <w:sz w:val="18"/>
                <w:szCs w:val="18"/>
              </w:rPr>
              <w:t>议》的约定进行补偿。</w:t>
            </w:r>
            <w:r>
              <w:rPr>
                <w:rFonts w:ascii="Times New Roman" w:hAnsi="Times New Roman" w:cs="Times New Roman" w:eastAsia="Times New Roman" w:hint="default"/>
                <w:sz w:val="18"/>
                <w:szCs w:val="18"/>
              </w:rPr>
              <w:t>2</w:t>
            </w:r>
            <w:r>
              <w:rPr>
                <w:rFonts w:ascii="宋体" w:hAnsi="宋体" w:cs="宋体" w:eastAsia="宋体" w:hint="default"/>
                <w:sz w:val="18"/>
                <w:szCs w:val="18"/>
              </w:rPr>
              <w:t>、业绩补偿</w:t>
            </w:r>
            <w:r>
              <w:rPr>
                <w:rFonts w:ascii="宋体" w:hAnsi="宋体" w:cs="宋体" w:eastAsia="宋体" w:hint="default"/>
                <w:spacing w:val="2"/>
                <w:sz w:val="18"/>
                <w:szCs w:val="18"/>
              </w:rPr>
              <w:t> </w:t>
            </w:r>
            <w:r>
              <w:rPr>
                <w:rFonts w:ascii="宋体" w:hAnsi="宋体" w:cs="宋体" w:eastAsia="宋体" w:hint="default"/>
                <w:sz w:val="18"/>
                <w:szCs w:val="18"/>
              </w:rPr>
              <w:t>在业绩承诺</w:t>
            </w:r>
            <w:r>
              <w:rPr>
                <w:rFonts w:ascii="宋体" w:hAnsi="宋体" w:cs="宋体" w:eastAsia="宋体" w:hint="default"/>
                <w:sz w:val="18"/>
                <w:szCs w:val="18"/>
              </w:rPr>
              <w:t> </w:t>
            </w:r>
            <w:r>
              <w:rPr>
                <w:rFonts w:ascii="宋体" w:hAnsi="宋体" w:cs="宋体" w:eastAsia="宋体" w:hint="default"/>
                <w:spacing w:val="-3"/>
                <w:sz w:val="18"/>
                <w:szCs w:val="18"/>
              </w:rPr>
              <w:t>期间，上市公司将聘请具有证券期货从业资格的审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计机构对标的公司当年实现的实际净利润（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实际</w:t>
            </w:r>
          </w:p>
          <w:p>
            <w:pPr>
              <w:pStyle w:val="TableParagraph"/>
              <w:spacing w:line="312" w:lineRule="auto"/>
              <w:ind w:left="14" w:right="52"/>
              <w:jc w:val="left"/>
              <w:rPr>
                <w:rFonts w:ascii="宋体" w:hAnsi="宋体" w:cs="宋体" w:eastAsia="宋体" w:hint="default"/>
                <w:sz w:val="18"/>
                <w:szCs w:val="18"/>
              </w:rPr>
            </w:pPr>
            <w:r>
              <w:rPr>
                <w:rFonts w:ascii="宋体" w:hAnsi="宋体" w:cs="宋体" w:eastAsia="宋体" w:hint="default"/>
                <w:sz w:val="18"/>
                <w:szCs w:val="18"/>
              </w:rPr>
              <w:t>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，业绩承诺期实际实现的净利润合计数 </w:t>
            </w:r>
            <w:r>
              <w:rPr>
                <w:rFonts w:ascii="宋体" w:hAnsi="宋体" w:cs="宋体" w:eastAsia="宋体" w:hint="default"/>
                <w:spacing w:val="-2"/>
                <w:sz w:val="18"/>
                <w:szCs w:val="18"/>
              </w:rPr>
              <w:t>下称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实际净利润累计数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）进行审计并出具《专项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审核报告》，实际净利润数与承诺净利润数的差额</w:t>
            </w:r>
            <w:r>
              <w:rPr>
                <w:rFonts w:ascii="宋体" w:hAnsi="宋体" w:cs="宋体" w:eastAsia="宋体" w:hint="default"/>
                <w:sz w:val="18"/>
                <w:szCs w:val="18"/>
              </w:rPr>
              <w:t> </w:t>
            </w:r>
            <w:r>
              <w:rPr>
                <w:rFonts w:ascii="宋体" w:hAnsi="宋体" w:cs="宋体" w:eastAsia="宋体" w:hint="default"/>
                <w:spacing w:val="-3"/>
                <w:sz w:val="18"/>
                <w:szCs w:val="18"/>
              </w:rPr>
              <w:t>以会计师事务所的专项审核意见为准。如标的公司</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在业绩承诺期的实际净利润累计数未能达到同期 </w:t>
            </w:r>
            <w:r>
              <w:rPr>
                <w:rFonts w:ascii="宋体" w:hAnsi="宋体" w:cs="宋体" w:eastAsia="宋体" w:hint="default"/>
                <w:spacing w:val="-3"/>
                <w:sz w:val="18"/>
                <w:szCs w:val="18"/>
              </w:rPr>
              <w:t>的承诺净利润累计数，则盈利承诺补偿主体以其本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次交易获得的上市公司股份或交易对价等值现金 </w:t>
            </w:r>
            <w:r>
              <w:rPr>
                <w:rFonts w:ascii="宋体" w:hAnsi="宋体" w:cs="宋体" w:eastAsia="宋体" w:hint="default"/>
                <w:spacing w:val="-3"/>
                <w:sz w:val="18"/>
                <w:szCs w:val="18"/>
              </w:rPr>
              <w:t>为限（补偿方式由盈利承诺补偿主体自主确定）对</w:t>
            </w:r>
          </w:p>
          <w:p>
            <w:pPr>
              <w:pStyle w:val="TableParagraph"/>
              <w:spacing w:line="309" w:lineRule="auto" w:before="26"/>
              <w:ind w:left="14" w:right="50"/>
              <w:jc w:val="both"/>
              <w:rPr>
                <w:rFonts w:ascii="宋体" w:hAnsi="宋体" w:cs="宋体" w:eastAsia="宋体" w:hint="default"/>
                <w:sz w:val="18"/>
                <w:szCs w:val="18"/>
              </w:rPr>
            </w:pPr>
            <w:r>
              <w:rPr>
                <w:rFonts w:ascii="宋体" w:hAnsi="宋体" w:cs="宋体" w:eastAsia="宋体" w:hint="default"/>
                <w:spacing w:val="-3"/>
                <w:sz w:val="18"/>
                <w:szCs w:val="18"/>
              </w:rPr>
              <w:t>上市公司进行补偿：每一承诺年度应补偿金额及应</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补偿股份数量按照以下方式计算：每一承诺年度应</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（截至该承诺年度期末的累计承诺净利</w:t>
            </w:r>
            <w:r>
              <w:rPr>
                <w:rFonts w:ascii="宋体" w:hAnsi="宋体" w:cs="宋体" w:eastAsia="宋体" w:hint="default"/>
                <w:spacing w:val="-86"/>
                <w:sz w:val="18"/>
                <w:szCs w:val="18"/>
              </w:rPr>
              <w:t> </w:t>
            </w:r>
            <w:r>
              <w:rPr>
                <w:rFonts w:ascii="宋体" w:hAnsi="宋体" w:cs="宋体" w:eastAsia="宋体" w:hint="default"/>
                <w:sz w:val="18"/>
                <w:szCs w:val="18"/>
              </w:rPr>
              <w:t>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截至该承诺年度期末累计实际净利润）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业绩 承诺期内承诺净利润总和</w:t>
            </w:r>
            <w:r>
              <w:rPr>
                <w:rFonts w:ascii="Times New Roman" w:hAnsi="Times New Roman" w:cs="Times New Roman" w:eastAsia="Times New Roman" w:hint="default"/>
                <w:sz w:val="18"/>
                <w:szCs w:val="18"/>
              </w:rPr>
              <w:t>×</w:t>
            </w:r>
            <w:r>
              <w:rPr>
                <w:rFonts w:ascii="宋体" w:hAnsi="宋体" w:cs="宋体" w:eastAsia="宋体" w:hint="default"/>
                <w:sz w:val="18"/>
                <w:szCs w:val="18"/>
              </w:rPr>
              <w:t>交易总价－累积已补偿</w:t>
            </w:r>
            <w:r>
              <w:rPr>
                <w:rFonts w:ascii="宋体" w:hAnsi="宋体" w:cs="宋体" w:eastAsia="宋体" w:hint="default"/>
                <w:spacing w:val="-85"/>
                <w:sz w:val="18"/>
                <w:szCs w:val="18"/>
              </w:rPr>
              <w:t> </w:t>
            </w:r>
            <w:r>
              <w:rPr>
                <w:rFonts w:ascii="宋体" w:hAnsi="宋体" w:cs="宋体" w:eastAsia="宋体" w:hint="default"/>
                <w:sz w:val="18"/>
                <w:szCs w:val="18"/>
              </w:rPr>
              <w:t>金额</w:t>
            </w:r>
            <w:r>
              <w:rPr>
                <w:rFonts w:ascii="宋体" w:hAnsi="宋体" w:cs="宋体" w:eastAsia="宋体" w:hint="default"/>
                <w:spacing w:val="10"/>
                <w:sz w:val="18"/>
                <w:szCs w:val="18"/>
              </w:rPr>
              <w:t> </w:t>
            </w:r>
            <w:r>
              <w:rPr>
                <w:rFonts w:ascii="宋体" w:hAnsi="宋体" w:cs="宋体" w:eastAsia="宋体" w:hint="default"/>
                <w:spacing w:val="-3"/>
                <w:sz w:val="18"/>
                <w:szCs w:val="18"/>
              </w:rPr>
              <w:t>承诺年度应补偿金额，如盈利承诺补偿主体</w:t>
            </w:r>
            <w:r>
              <w:rPr>
                <w:rFonts w:ascii="宋体" w:hAnsi="宋体" w:cs="宋体" w:eastAsia="宋体" w:hint="default"/>
                <w:sz w:val="18"/>
                <w:szCs w:val="18"/>
              </w:rPr>
              <w:t> </w:t>
            </w:r>
            <w:r>
              <w:rPr>
                <w:rFonts w:ascii="宋体" w:hAnsi="宋体" w:cs="宋体" w:eastAsia="宋体" w:hint="default"/>
                <w:spacing w:val="-2"/>
                <w:sz w:val="18"/>
                <w:szCs w:val="18"/>
              </w:rPr>
              <w:t>以股份的形式进行补偿，则每一承诺年度股份补偿</w:t>
            </w:r>
            <w:r>
              <w:rPr>
                <w:rFonts w:ascii="宋体" w:hAnsi="宋体" w:cs="宋体" w:eastAsia="宋体" w:hint="default"/>
                <w:sz w:val="18"/>
                <w:szCs w:val="18"/>
              </w:rPr>
              <w:t> </w:t>
            </w:r>
            <w:r>
              <w:rPr>
                <w:rFonts w:ascii="宋体" w:hAnsi="宋体" w:cs="宋体" w:eastAsia="宋体" w:hint="default"/>
                <w:spacing w:val="-3"/>
                <w:sz w:val="18"/>
                <w:szCs w:val="18"/>
              </w:rPr>
              <w:t>数量按照以下方式计算：每一承诺年度应补偿股份</w:t>
            </w:r>
          </w:p>
          <w:p>
            <w:pPr>
              <w:pStyle w:val="TableParagraph"/>
              <w:spacing w:line="304" w:lineRule="auto" w:before="42"/>
              <w:ind w:left="14" w:right="55"/>
              <w:jc w:val="left"/>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每一承诺年度应补偿金额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本次发行的价格</w:t>
            </w:r>
            <w:r>
              <w:rPr>
                <w:rFonts w:ascii="宋体" w:hAnsi="宋体" w:cs="宋体" w:eastAsia="宋体" w:hint="default"/>
                <w:spacing w:val="-81"/>
                <w:sz w:val="18"/>
                <w:szCs w:val="18"/>
              </w:rPr>
              <w:t> </w:t>
            </w:r>
            <w:r>
              <w:rPr>
                <w:rFonts w:ascii="宋体" w:hAnsi="宋体" w:cs="宋体" w:eastAsia="宋体" w:hint="default"/>
                <w:spacing w:val="-3"/>
                <w:sz w:val="18"/>
                <w:szCs w:val="18"/>
              </w:rPr>
              <w:t>承诺净利润、实际净利润或交易总价均只计算本次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交易中盈利承诺补偿主体合计持有的标的公司股</w:t>
            </w:r>
          </w:p>
        </w:tc>
        <w:tc>
          <w:tcPr>
            <w:tcW w:w="81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85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 </w:t>
            </w:r>
            <w:r>
              <w:rPr>
                <w:rFonts w:ascii="宋体" w:hAnsi="宋体" w:cs="宋体" w:eastAsia="宋体" w:hint="default"/>
                <w:sz w:val="18"/>
                <w:szCs w:val="18"/>
              </w:rPr>
              <w:t>个月</w:t>
            </w:r>
          </w:p>
        </w:tc>
        <w:tc>
          <w:tcPr>
            <w:tcW w:w="78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04" w:lineRule="auto"/>
              <w:ind w:left="15" w:right="28"/>
              <w:jc w:val="left"/>
              <w:rPr>
                <w:rFonts w:ascii="宋体" w:hAnsi="宋体" w:cs="宋体" w:eastAsia="宋体" w:hint="default"/>
                <w:sz w:val="18"/>
                <w:szCs w:val="18"/>
              </w:rPr>
            </w:pPr>
            <w:r>
              <w:rPr>
                <w:rFonts w:ascii="宋体" w:hAnsi="宋体" w:cs="宋体" w:eastAsia="宋体" w:hint="default"/>
                <w:sz w:val="18"/>
                <w:szCs w:val="18"/>
              </w:rPr>
              <w:t>正在履行 中</w:t>
            </w:r>
          </w:p>
        </w:tc>
      </w:tr>
    </w:tbl>
    <w:p>
      <w:pPr>
        <w:spacing w:after="0" w:line="304" w:lineRule="auto"/>
        <w:jc w:val="left"/>
        <w:rPr>
          <w:rFonts w:ascii="宋体" w:hAnsi="宋体" w:cs="宋体" w:eastAsia="宋体" w:hint="default"/>
          <w:sz w:val="18"/>
          <w:szCs w:val="18"/>
        </w:rPr>
        <w:sectPr>
          <w:footerReference w:type="default" r:id="rId16"/>
          <w:pgSz w:w="11910" w:h="16850"/>
          <w:pgMar w:footer="0" w:header="731" w:top="1040" w:bottom="0" w:left="1000" w:right="960"/>
        </w:sectPr>
      </w:pPr>
    </w:p>
    <w:p>
      <w:pPr>
        <w:spacing w:line="240" w:lineRule="auto" w:before="9"/>
        <w:rPr>
          <w:rFonts w:ascii="Times New Roman" w:hAnsi="Times New Roman" w:cs="Times New Roman" w:eastAsia="Times New Roman" w:hint="default"/>
          <w:sz w:val="4"/>
          <w:szCs w:val="4"/>
        </w:rPr>
      </w:pPr>
      <w:r>
        <w:rPr/>
        <w:pict>
          <v:shape style="position:absolute;margin-left:225.270004pt;margin-top:72.830002pt;width:228.3pt;height:202.7pt;mso-position-horizontal-relative:page;mso-position-vertical-relative:page;z-index:-13256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4"/>
                      <w:szCs w:val="14"/>
                    </w:rPr>
                  </w:pPr>
                </w:p>
                <w:p>
                  <w:pPr>
                    <w:pStyle w:val="BodyText"/>
                    <w:spacing w:line="240" w:lineRule="auto"/>
                    <w:ind w:left="0" w:right="785"/>
                    <w:jc w:val="right"/>
                  </w:pPr>
                  <w:r>
                    <w:rPr/>
                    <w:t>本人承诺如下：在锁定期（包括延长的锁定期）</w:t>
                  </w: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pStyle w:val="BodyText"/>
                    <w:spacing w:line="240" w:lineRule="auto"/>
                    <w:ind w:left="0" w:right="779"/>
                    <w:jc w:val="right"/>
                  </w:pPr>
                  <w:r>
                    <w:rPr/>
                    <w:t>，</w:t>
                  </w:r>
                </w:p>
              </w:txbxContent>
            </v:textbox>
            <w10:wrap type="none"/>
          </v:shape>
        </w:pict>
      </w:r>
      <w:r>
        <w:rPr/>
        <w:pict>
          <v:group style="position:absolute;margin-left:411.519989pt;margin-top:72.830002pt;width:42.05pt;height:202.7pt;mso-position-horizontal-relative:page;mso-position-vertical-relative:page;z-index:-1325608" coordorigin="8230,1457" coordsize="841,4054">
            <v:shape style="position:absolute;left:8230;top:1457;width:841;height:4054" coordorigin="8230,1457" coordsize="841,4054" path="m8230,5510l9071,5510,9071,1457,8230,1457,8230,5510xe" filled="true" fillcolor="#ffffff" stroked="false">
              <v:path arrowok="t"/>
              <v:fill type="solid"/>
            </v:shape>
            <w10:wrap type="none"/>
          </v:group>
        </w:pict>
      </w:r>
      <w:r>
        <w:rPr/>
        <w:pict>
          <v:group style="position:absolute;margin-left:411.519989pt;margin-top:310.769989pt;width:42.05pt;height:202.7pt;mso-position-horizontal-relative:page;mso-position-vertical-relative:page;z-index:-1325584" coordorigin="8230,6215" coordsize="841,4054">
            <v:shape style="position:absolute;left:8230;top:6215;width:841;height:4054" coordorigin="8230,6215" coordsize="841,4054" path="m8230,10269l9071,10269,9071,6215,8230,6215,8230,10269xe" filled="true" fillcolor="#ffffff" stroked="false">
              <v:path arrowok="t"/>
              <v:fill type="solid"/>
            </v:shape>
            <w10:wrap type="none"/>
          </v:group>
        </w:pict>
      </w:r>
      <w:r>
        <w:rPr/>
        <w:pict>
          <v:group style="position:absolute;margin-left:170.479996pt;margin-top:611.799988pt;width:42.05pt;height:15.75pt;mso-position-horizontal-relative:page;mso-position-vertical-relative:page;z-index:-1325560" coordorigin="3410,12236" coordsize="841,315">
            <v:shape style="position:absolute;left:3410;top:12236;width:841;height:315" coordorigin="3410,12236" coordsize="841,315" path="m3410,12551l4251,12551,4251,12236,3410,12236,3410,12551xe" filled="true" fillcolor="#ffffff" stroked="false">
              <v:path arrowok="t"/>
              <v:fill type="solid"/>
            </v:shape>
            <w10:wrap type="none"/>
          </v:group>
        </w:pict>
      </w:r>
      <w:r>
        <w:rPr/>
        <w:pict>
          <v:shape style="position:absolute;margin-left:535.661621pt;margin-top:807.047058pt;width:59.499296pt;height:26.797393pt;mso-position-horizontal-relative:page;mso-position-vertical-relative:page;z-index:1672" type="#_x0000_t75" stroked="false">
            <v:imagedata r:id="rId17" o:title=""/>
          </v:shape>
        </w:pict>
      </w: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856"/>
        <w:gridCol w:w="1412"/>
        <w:gridCol w:w="856"/>
        <w:gridCol w:w="3980"/>
        <w:gridCol w:w="841"/>
        <w:gridCol w:w="856"/>
        <w:gridCol w:w="781"/>
      </w:tblGrid>
      <w:tr>
        <w:trPr>
          <w:trHeight w:val="8827" w:hRule="exact"/>
        </w:trPr>
        <w:tc>
          <w:tcPr>
            <w:tcW w:w="85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5" w:right="105"/>
              <w:jc w:val="both"/>
              <w:rPr>
                <w:rFonts w:ascii="宋体" w:hAnsi="宋体" w:cs="宋体" w:eastAsia="宋体" w:hint="default"/>
                <w:sz w:val="18"/>
                <w:szCs w:val="18"/>
              </w:rPr>
            </w:pPr>
            <w:r>
              <w:rPr>
                <w:rFonts w:ascii="宋体" w:hAnsi="宋体" w:cs="宋体" w:eastAsia="宋体" w:hint="default"/>
                <w:sz w:val="18"/>
                <w:szCs w:val="18"/>
              </w:rPr>
              <w:t>首次公开 发行或再 融资时所 作承诺</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6"/>
              <w:ind w:left="14" w:right="14"/>
              <w:jc w:val="both"/>
              <w:rPr>
                <w:rFonts w:ascii="宋体" w:hAnsi="宋体" w:cs="宋体" w:eastAsia="宋体" w:hint="default"/>
                <w:sz w:val="18"/>
                <w:szCs w:val="18"/>
              </w:rPr>
            </w:pPr>
            <w:r>
              <w:rPr>
                <w:rFonts w:ascii="宋体" w:hAnsi="宋体" w:cs="宋体" w:eastAsia="宋体" w:hint="default"/>
                <w:sz w:val="18"/>
                <w:szCs w:val="18"/>
              </w:rPr>
              <w:t>无锡朴华股权投 </w:t>
            </w:r>
            <w:r>
              <w:rPr>
                <w:rFonts w:ascii="宋体" w:hAnsi="宋体" w:cs="宋体" w:eastAsia="宋体" w:hint="default"/>
                <w:spacing w:val="-10"/>
                <w:sz w:val="18"/>
                <w:szCs w:val="18"/>
              </w:rPr>
              <w:t>资合伙企业（有限</w:t>
            </w:r>
          </w:p>
          <w:p>
            <w:pPr>
              <w:pStyle w:val="TableParagraph"/>
              <w:spacing w:line="304" w:lineRule="auto" w:before="33"/>
              <w:ind w:left="14" w:right="69"/>
              <w:jc w:val="both"/>
              <w:rPr>
                <w:rFonts w:ascii="宋体" w:hAnsi="宋体" w:cs="宋体" w:eastAsia="宋体"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r>
              <w:rPr>
                <w:rFonts w:ascii="宋体" w:hAnsi="宋体" w:cs="宋体" w:eastAsia="宋体" w:hint="default"/>
                <w:sz w:val="18"/>
                <w:szCs w:val="18"/>
              </w:rPr>
              <w:t>无锡群英 股权投资合伙企 业（有限合伙）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徐长军</w:t>
            </w:r>
            <w:r>
              <w:rPr>
                <w:rFonts w:ascii="Times New Roman" w:hAnsi="Times New Roman" w:cs="Times New Roman" w:eastAsia="Times New Roman" w:hint="default"/>
                <w:sz w:val="18"/>
                <w:szCs w:val="18"/>
              </w:rPr>
              <w:t>;</w:t>
            </w:r>
            <w:r>
              <w:rPr>
                <w:rFonts w:ascii="宋体" w:hAnsi="宋体" w:cs="宋体" w:eastAsia="宋体" w:hint="default"/>
                <w:sz w:val="18"/>
                <w:szCs w:val="18"/>
              </w:rPr>
              <w:t>郑新标</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30" w:right="90"/>
              <w:jc w:val="both"/>
              <w:rPr>
                <w:rFonts w:ascii="宋体" w:hAnsi="宋体" w:cs="宋体" w:eastAsia="宋体" w:hint="default"/>
                <w:sz w:val="18"/>
                <w:szCs w:val="18"/>
              </w:rPr>
            </w:pPr>
            <w:r>
              <w:rPr>
                <w:rFonts w:ascii="宋体" w:hAnsi="宋体" w:cs="宋体" w:eastAsia="宋体" w:hint="default"/>
                <w:sz w:val="18"/>
                <w:szCs w:val="18"/>
              </w:rPr>
              <w:t>股份流通 限制和自 愿锁定、 减持的承 诺</w:t>
            </w:r>
          </w:p>
        </w:tc>
        <w:tc>
          <w:tcPr>
            <w:tcW w:w="3980" w:type="dxa"/>
            <w:tcBorders>
              <w:top w:val="single" w:sz="6" w:space="0" w:color="000000"/>
              <w:left w:val="single" w:sz="6" w:space="0" w:color="000000"/>
              <w:bottom w:val="single" w:sz="6" w:space="0" w:color="000000"/>
              <w:right w:val="single" w:sz="12" w:space="0" w:color="FFFFFF"/>
            </w:tcBorders>
          </w:tcPr>
          <w:p>
            <w:pPr>
              <w:pStyle w:val="TableParagraph"/>
              <w:spacing w:line="295" w:lineRule="auto" w:before="59"/>
              <w:ind w:left="1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自公司股票上市之日起</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个月内，不转让或者委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托他人管理本企业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本人直接或间接持有的公司股 份，也不由公司回购本企业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本人所直接或间接持 </w:t>
            </w:r>
            <w:r>
              <w:rPr>
                <w:rFonts w:ascii="宋体" w:hAnsi="宋体" w:cs="宋体" w:eastAsia="宋体" w:hint="default"/>
                <w:spacing w:val="-3"/>
                <w:sz w:val="18"/>
                <w:szCs w:val="18"/>
              </w:rPr>
              <w:t>有的公司股份；在锁定期（包括延长的锁定期）届</w:t>
            </w:r>
          </w:p>
          <w:p>
            <w:pPr>
              <w:pStyle w:val="TableParagraph"/>
              <w:spacing w:line="290" w:lineRule="auto" w:before="53"/>
              <w:ind w:left="14" w:right="40"/>
              <w:jc w:val="both"/>
              <w:rPr>
                <w:rFonts w:ascii="宋体" w:hAnsi="宋体" w:cs="宋体" w:eastAsia="宋体" w:hint="default"/>
                <w:sz w:val="18"/>
                <w:szCs w:val="18"/>
              </w:rPr>
            </w:pPr>
            <w:r>
              <w:rPr>
                <w:rFonts w:ascii="宋体" w:hAnsi="宋体" w:cs="宋体" w:eastAsia="宋体" w:hint="default"/>
                <w:sz w:val="18"/>
                <w:szCs w:val="18"/>
              </w:rPr>
              <w:t>满后，关于减持本企业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本人于本次发行前已直接 或间接持有的老股（不包括本企业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本人在本次发 </w:t>
            </w:r>
            <w:r>
              <w:rPr>
                <w:rFonts w:ascii="宋体" w:hAnsi="宋体" w:cs="宋体" w:eastAsia="宋体" w:hint="default"/>
                <w:spacing w:val="-3"/>
                <w:sz w:val="18"/>
                <w:szCs w:val="18"/>
              </w:rPr>
              <w:t>行股票后从公开市场中新买入的股份）事项，本企</w:t>
            </w:r>
          </w:p>
          <w:p>
            <w:pPr>
              <w:pStyle w:val="TableParagraph"/>
              <w:spacing w:line="240" w:lineRule="auto" w:before="57"/>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w:t>
            </w:r>
            <w:r>
              <w:rPr>
                <w:rFonts w:ascii="Times New Roman" w:hAnsi="Times New Roman" w:cs="Times New Roman" w:eastAsia="Times New Roman" w:hint="default"/>
                <w:sz w:val="18"/>
                <w:szCs w:val="18"/>
              </w:rPr>
              <w:t>/</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届满后的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本人直接或间接转让</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所持老股不超过本企业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本人持有公司老股的</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15%</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在锁定期（包括延长的锁定期）届满后的第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至</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本人直接或间接转让所持老股</w:t>
            </w:r>
          </w:p>
          <w:p>
            <w:pPr>
              <w:pStyle w:val="TableParagraph"/>
              <w:spacing w:line="304" w:lineRule="auto" w:before="66"/>
              <w:ind w:left="14" w:right="-20"/>
              <w:jc w:val="left"/>
              <w:rPr>
                <w:rFonts w:ascii="宋体" w:hAnsi="宋体" w:cs="宋体" w:eastAsia="宋体" w:hint="default"/>
                <w:sz w:val="18"/>
                <w:szCs w:val="18"/>
              </w:rPr>
            </w:pPr>
            <w:r>
              <w:rPr>
                <w:rFonts w:ascii="宋体" w:hAnsi="宋体" w:cs="宋体" w:eastAsia="宋体" w:hint="default"/>
                <w:sz w:val="18"/>
                <w:szCs w:val="18"/>
              </w:rPr>
              <w:t>不超过在锁定期届满后第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个月初本企业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本人直 接或间接持有老股的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本人持有的公 司股份的锁定期限（包括延长的锁定期）届满后， 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本人减持直接或间接所持公司股份时，应 提前将减持意向和拟减持数量等信息以书面方式 </w:t>
            </w:r>
            <w:r>
              <w:rPr>
                <w:rFonts w:ascii="宋体" w:hAnsi="宋体" w:cs="宋体" w:eastAsia="宋体" w:hint="default"/>
                <w:spacing w:val="-3"/>
                <w:sz w:val="18"/>
                <w:szCs w:val="18"/>
              </w:rPr>
              <w:t>通知公司，并由公司及时予以公告，自公告之日起</w:t>
            </w:r>
          </w:p>
          <w:p>
            <w:pPr>
              <w:pStyle w:val="TableParagraph"/>
              <w:spacing w:line="297" w:lineRule="auto" w:before="46"/>
              <w:ind w:left="14" w:right="-36"/>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个交易日后，本企业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本人方可减持股份。此外， </w:t>
            </w:r>
            <w:r>
              <w:rPr>
                <w:rFonts w:ascii="宋体" w:hAnsi="宋体" w:cs="宋体" w:eastAsia="宋体" w:hint="default"/>
                <w:spacing w:val="-3"/>
                <w:sz w:val="18"/>
                <w:szCs w:val="18"/>
              </w:rPr>
              <w:t>徐长军、郑新标在担任公司董事、监事、高级管理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人员期间，每年转让直接或间接持有的股份不超过</w:t>
            </w:r>
          </w:p>
          <w:p>
            <w:pPr>
              <w:pStyle w:val="TableParagraph"/>
              <w:spacing w:line="312" w:lineRule="auto" w:before="51"/>
              <w:ind w:left="14" w:right="-36"/>
              <w:jc w:val="left"/>
              <w:rPr>
                <w:rFonts w:ascii="宋体" w:hAnsi="宋体" w:cs="宋体" w:eastAsia="宋体" w:hint="default"/>
                <w:sz w:val="18"/>
                <w:szCs w:val="18"/>
              </w:rPr>
            </w:pPr>
            <w:r>
              <w:rPr>
                <w:rFonts w:ascii="宋体" w:hAnsi="宋体" w:cs="宋体" w:eastAsia="宋体" w:hint="default"/>
                <w:sz w:val="18"/>
                <w:szCs w:val="18"/>
              </w:rPr>
              <w:t>本人所持有公司股份总数的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 不转让本人直接或间接持有的公司股份。如在公司 股票上市交易之日起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个月内申报离职，则自申报</w:t>
            </w:r>
          </w:p>
          <w:p>
            <w:pPr>
              <w:pStyle w:val="TableParagraph"/>
              <w:spacing w:line="240" w:lineRule="auto" w:before="6"/>
              <w:ind w:left="14" w:right="0"/>
              <w:jc w:val="left"/>
              <w:rPr>
                <w:rFonts w:ascii="宋体" w:hAnsi="宋体" w:cs="宋体" w:eastAsia="宋体" w:hint="default"/>
                <w:sz w:val="18"/>
                <w:szCs w:val="18"/>
              </w:rPr>
            </w:pPr>
            <w:r>
              <w:rPr>
                <w:rFonts w:ascii="宋体" w:hAnsi="宋体" w:cs="宋体" w:eastAsia="宋体" w:hint="default"/>
                <w:sz w:val="18"/>
                <w:szCs w:val="18"/>
              </w:rPr>
              <w:t>离职之日起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个月内，不转让其直接或间接持有</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pacing w:val="-3"/>
                <w:sz w:val="18"/>
                <w:szCs w:val="18"/>
              </w:rPr>
              <w:t>的公司股份；如在股票上市交易之日起第</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个月至</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个月之间申报离职，则自申报离职之日起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个月内不转让其直接或间接持有的公司股份。</w:t>
            </w:r>
          </w:p>
        </w:tc>
        <w:tc>
          <w:tcPr>
            <w:tcW w:w="841" w:type="dxa"/>
            <w:tcBorders>
              <w:top w:val="single" w:sz="6" w:space="0" w:color="000000"/>
              <w:left w:val="single" w:sz="12" w:space="0" w:color="FFFFFF"/>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08</w:t>
            </w:r>
          </w:p>
          <w:p>
            <w:pPr>
              <w:pStyle w:val="TableParagraph"/>
              <w:spacing w:line="240" w:lineRule="auto" w:before="66"/>
              <w:ind w:left="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21" w:lineRule="auto"/>
              <w:ind w:left="15" w:right="28"/>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2282" w:hRule="exact"/>
        </w:trPr>
        <w:tc>
          <w:tcPr>
            <w:tcW w:w="856" w:type="dxa"/>
            <w:vMerge/>
            <w:tcBorders>
              <w:left w:val="single" w:sz="6" w:space="0" w:color="000000"/>
              <w:bottom w:val="single" w:sz="6" w:space="0" w:color="000000"/>
              <w:right w:val="single" w:sz="6" w:space="0" w:color="000000"/>
            </w:tcBorders>
            <w:shd w:val="clear" w:color="auto" w:fill="D2D2D2"/>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5"/>
              <w:ind w:left="14" w:right="75"/>
              <w:jc w:val="both"/>
              <w:rPr>
                <w:rFonts w:ascii="宋体" w:hAnsi="宋体" w:cs="宋体" w:eastAsia="宋体" w:hint="default"/>
                <w:sz w:val="18"/>
                <w:szCs w:val="18"/>
              </w:rPr>
            </w:pPr>
            <w:r>
              <w:rPr>
                <w:rFonts w:ascii="宋体" w:hAnsi="宋体" w:cs="宋体" w:eastAsia="宋体" w:hint="default"/>
                <w:sz w:val="18"/>
                <w:szCs w:val="18"/>
              </w:rPr>
              <w:t>无锡道元投资合 伙企业（有限合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无锡富赡股 权投资合伙企业</w:t>
            </w:r>
          </w:p>
          <w:p>
            <w:pPr>
              <w:pStyle w:val="TableParagraph"/>
              <w:spacing w:line="304" w:lineRule="auto" w:before="43"/>
              <w:ind w:left="14" w:right="74"/>
              <w:jc w:val="both"/>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无 锡羲华投资合伙 企业（有限合伙</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30" w:right="90"/>
              <w:jc w:val="both"/>
              <w:rPr>
                <w:rFonts w:ascii="宋体" w:hAnsi="宋体" w:cs="宋体" w:eastAsia="宋体" w:hint="default"/>
                <w:sz w:val="18"/>
                <w:szCs w:val="18"/>
              </w:rPr>
            </w:pPr>
            <w:r>
              <w:rPr>
                <w:rFonts w:ascii="宋体" w:hAnsi="宋体" w:cs="宋体" w:eastAsia="宋体" w:hint="default"/>
                <w:sz w:val="18"/>
                <w:szCs w:val="18"/>
              </w:rPr>
              <w:t>股份流通 限制和自 愿锁定、 减持的承 诺</w:t>
            </w:r>
          </w:p>
          <w:p>
            <w:pPr>
              <w:pStyle w:val="TableParagraph"/>
              <w:spacing w:line="240" w:lineRule="auto" w:before="22"/>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2" w:lineRule="auto"/>
              <w:ind w:left="14" w:right="34"/>
              <w:jc w:val="both"/>
              <w:rPr>
                <w:rFonts w:ascii="宋体" w:hAnsi="宋体" w:cs="宋体" w:eastAsia="宋体" w:hint="default"/>
                <w:sz w:val="18"/>
                <w:szCs w:val="18"/>
              </w:rPr>
            </w:pPr>
            <w:r>
              <w:rPr>
                <w:rFonts w:ascii="宋体" w:hAnsi="宋体" w:cs="宋体" w:eastAsia="宋体" w:hint="default"/>
                <w:sz w:val="18"/>
                <w:szCs w:val="18"/>
              </w:rPr>
              <w:t>自发行人首次向社会公开发行的股票上市之日起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个月内，不转让或者委托他人管理本单位所持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有的发行人股份，也不由发行人回购本单位所持有</w:t>
            </w:r>
          </w:p>
          <w:p>
            <w:pPr>
              <w:pStyle w:val="TableParagraph"/>
              <w:spacing w:line="240" w:lineRule="auto" w:before="11"/>
              <w:ind w:left="14" w:right="0"/>
              <w:jc w:val="both"/>
              <w:rPr>
                <w:rFonts w:ascii="宋体" w:hAnsi="宋体" w:cs="宋体" w:eastAsia="宋体" w:hint="default"/>
                <w:sz w:val="18"/>
                <w:szCs w:val="18"/>
              </w:rPr>
            </w:pPr>
            <w:r>
              <w:rPr>
                <w:rFonts w:ascii="宋体" w:hAnsi="宋体" w:cs="宋体" w:eastAsia="宋体" w:hint="default"/>
                <w:sz w:val="18"/>
                <w:szCs w:val="18"/>
              </w:rPr>
              <w:t>的股份。</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08</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21" w:lineRule="auto"/>
              <w:ind w:left="15" w:right="28"/>
              <w:jc w:val="left"/>
              <w:rPr>
                <w:rFonts w:ascii="宋体" w:hAnsi="宋体" w:cs="宋体" w:eastAsia="宋体" w:hint="default"/>
                <w:sz w:val="18"/>
                <w:szCs w:val="18"/>
              </w:rPr>
            </w:pPr>
            <w:r>
              <w:rPr>
                <w:rFonts w:ascii="宋体" w:hAnsi="宋体" w:cs="宋体" w:eastAsia="宋体" w:hint="default"/>
                <w:sz w:val="18"/>
                <w:szCs w:val="18"/>
              </w:rPr>
              <w:t>正在履行 中</w:t>
            </w:r>
          </w:p>
        </w:tc>
      </w:tr>
    </w:tbl>
    <w:p>
      <w:pPr>
        <w:spacing w:after="0" w:line="321" w:lineRule="auto"/>
        <w:jc w:val="left"/>
        <w:rPr>
          <w:rFonts w:ascii="宋体" w:hAnsi="宋体" w:cs="宋体" w:eastAsia="宋体" w:hint="default"/>
          <w:sz w:val="18"/>
          <w:szCs w:val="18"/>
        </w:rPr>
        <w:sectPr>
          <w:footerReference w:type="default" r:id="rId18"/>
          <w:pgSz w:w="11910" w:h="16850"/>
          <w:pgMar w:footer="0" w:header="731" w:top="1040" w:bottom="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856"/>
        <w:gridCol w:w="1412"/>
        <w:gridCol w:w="856"/>
        <w:gridCol w:w="3980"/>
        <w:gridCol w:w="841"/>
        <w:gridCol w:w="856"/>
        <w:gridCol w:w="785"/>
      </w:tblGrid>
      <w:tr>
        <w:trPr>
          <w:trHeight w:val="6020" w:hRule="exact"/>
        </w:trPr>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64" w:lineRule="auto"/>
              <w:ind w:left="14" w:right="310"/>
              <w:jc w:val="left"/>
              <w:rPr>
                <w:rFonts w:ascii="Times New Roman" w:hAnsi="Times New Roman" w:cs="Times New Roman" w:eastAsia="Times New Roman" w:hint="default"/>
                <w:sz w:val="18"/>
                <w:szCs w:val="18"/>
              </w:rPr>
            </w:pPr>
            <w:r>
              <w:rPr>
                <w:rFonts w:ascii="Times New Roman"/>
                <w:spacing w:val="-9"/>
                <w:sz w:val="18"/>
              </w:rPr>
              <w:t>Yue</w:t>
            </w:r>
            <w:r>
              <w:rPr>
                <w:rFonts w:ascii="Times New Roman"/>
                <w:sz w:val="18"/>
              </w:rPr>
              <w:t> Qi Capital</w:t>
            </w:r>
            <w:r>
              <w:rPr>
                <w:rFonts w:ascii="Times New Roman"/>
                <w:spacing w:val="-43"/>
                <w:sz w:val="18"/>
              </w:rPr>
              <w:t> </w:t>
            </w:r>
            <w:r>
              <w:rPr>
                <w:rFonts w:ascii="Times New Roman"/>
                <w:spacing w:val="-43"/>
                <w:sz w:val="18"/>
              </w:rPr>
            </w:r>
            <w:r>
              <w:rPr>
                <w:rFonts w:ascii="Times New Roman"/>
                <w:spacing w:val="-3"/>
                <w:sz w:val="18"/>
              </w:rPr>
              <w:t>Limited</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1"/>
              <w:ind w:left="30" w:right="90"/>
              <w:jc w:val="both"/>
              <w:rPr>
                <w:rFonts w:ascii="宋体" w:hAnsi="宋体" w:cs="宋体" w:eastAsia="宋体" w:hint="default"/>
                <w:sz w:val="18"/>
                <w:szCs w:val="18"/>
              </w:rPr>
            </w:pPr>
            <w:r>
              <w:rPr>
                <w:rFonts w:ascii="宋体" w:hAnsi="宋体" w:cs="宋体" w:eastAsia="宋体" w:hint="default"/>
                <w:sz w:val="18"/>
                <w:szCs w:val="18"/>
              </w:rPr>
              <w:t>股份流通 限制和自 愿锁定、 减持的承 诺</w:t>
            </w:r>
          </w:p>
        </w:tc>
        <w:tc>
          <w:tcPr>
            <w:tcW w:w="3980" w:type="dxa"/>
            <w:tcBorders>
              <w:top w:val="single" w:sz="6" w:space="0" w:color="000000"/>
              <w:left w:val="single" w:sz="6" w:space="0" w:color="000000"/>
              <w:bottom w:val="single" w:sz="6" w:space="0" w:color="000000"/>
              <w:right w:val="single" w:sz="12" w:space="0" w:color="FFFFFF"/>
            </w:tcBorders>
          </w:tcPr>
          <w:p>
            <w:pPr>
              <w:pStyle w:val="TableParagraph"/>
              <w:spacing w:line="304" w:lineRule="auto" w:before="44"/>
              <w:ind w:left="14" w:right="20"/>
              <w:jc w:val="both"/>
              <w:rPr>
                <w:rFonts w:ascii="宋体" w:hAnsi="宋体" w:cs="宋体" w:eastAsia="宋体" w:hint="default"/>
                <w:sz w:val="18"/>
                <w:szCs w:val="18"/>
              </w:rPr>
            </w:pPr>
            <w:r>
              <w:rPr>
                <w:rFonts w:ascii="宋体" w:hAnsi="宋体" w:cs="宋体" w:eastAsia="宋体" w:hint="default"/>
                <w:sz w:val="18"/>
                <w:szCs w:val="18"/>
              </w:rPr>
              <w:t>自发行人首次向社会公开发行的股票上市之日起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个月内，不转让或者委托他人管理本单位所持 </w:t>
            </w:r>
            <w:r>
              <w:rPr>
                <w:rFonts w:ascii="宋体" w:hAnsi="宋体" w:cs="宋体" w:eastAsia="宋体" w:hint="default"/>
                <w:spacing w:val="-3"/>
                <w:sz w:val="18"/>
                <w:szCs w:val="18"/>
              </w:rPr>
              <w:t>有的发行人股份，也不由发行人回购本单位所持有</w:t>
            </w:r>
          </w:p>
          <w:p>
            <w:pPr>
              <w:pStyle w:val="TableParagraph"/>
              <w:spacing w:line="312" w:lineRule="auto" w:before="46"/>
              <w:ind w:left="14" w:right="-18"/>
              <w:jc w:val="left"/>
              <w:rPr>
                <w:rFonts w:ascii="宋体" w:hAnsi="宋体" w:cs="宋体" w:eastAsia="宋体" w:hint="default"/>
                <w:sz w:val="18"/>
                <w:szCs w:val="18"/>
              </w:rPr>
            </w:pPr>
            <w:r>
              <w:rPr>
                <w:rFonts w:ascii="宋体" w:hAnsi="宋体" w:cs="宋体" w:eastAsia="宋体" w:hint="default"/>
                <w:sz w:val="18"/>
                <w:szCs w:val="18"/>
              </w:rPr>
              <w:t>的股份。在锁定期（包括延长的锁定期）届满后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3"/>
                <w:sz w:val="18"/>
                <w:szCs w:val="18"/>
              </w:rPr>
              <w:t>年内，本企业将根据公司经营、资本市场、自身资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金需求等情况综合分析决定减持数量。本单位的减</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持价格将均不低于公司上一年度经审计的每股净 资产值及股票首次公开发行的价格。若公司已发生</w:t>
            </w:r>
            <w:r>
              <w:rPr>
                <w:rFonts w:ascii="宋体" w:hAnsi="宋体" w:cs="宋体" w:eastAsia="宋体" w:hint="default"/>
                <w:sz w:val="18"/>
                <w:szCs w:val="18"/>
              </w:rPr>
              <w:t> 派息、送股、资本公积转增股本等除权除息事项，</w:t>
            </w:r>
          </w:p>
          <w:p>
            <w:pPr>
              <w:pStyle w:val="TableParagraph"/>
              <w:spacing w:line="316" w:lineRule="auto" w:before="26"/>
              <w:ind w:left="14" w:right="-18"/>
              <w:jc w:val="left"/>
              <w:rPr>
                <w:rFonts w:ascii="宋体" w:hAnsi="宋体" w:cs="宋体" w:eastAsia="宋体" w:hint="default"/>
                <w:sz w:val="18"/>
                <w:szCs w:val="18"/>
              </w:rPr>
            </w:pPr>
            <w:r>
              <w:rPr>
                <w:rFonts w:ascii="宋体" w:hAnsi="宋体" w:cs="宋体" w:eastAsia="宋体" w:hint="default"/>
                <w:spacing w:val="-3"/>
                <w:sz w:val="18"/>
                <w:szCs w:val="18"/>
              </w:rPr>
              <w:t>则上述减持价格指公司股票复权后的价格；本单位</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持有的朗新科技股份的锁定期限（包括延长的锁定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期）届满后，本单位减持持有的朗新科技股份时， 应提前将减持意向和拟减持数量等信息以书面方 </w:t>
            </w:r>
            <w:r>
              <w:rPr>
                <w:rFonts w:ascii="宋体" w:hAnsi="宋体" w:cs="宋体" w:eastAsia="宋体" w:hint="default"/>
                <w:spacing w:val="-3"/>
                <w:sz w:val="18"/>
                <w:szCs w:val="18"/>
              </w:rPr>
              <w:t>式通知朗新科技，并由朗新科技及时予以公告，自</w:t>
            </w:r>
          </w:p>
          <w:p>
            <w:pPr>
              <w:pStyle w:val="TableParagraph"/>
              <w:spacing w:line="297" w:lineRule="auto" w:before="37"/>
              <w:ind w:left="14" w:right="23"/>
              <w:jc w:val="both"/>
              <w:rPr>
                <w:rFonts w:ascii="宋体" w:hAnsi="宋体" w:cs="宋体" w:eastAsia="宋体" w:hint="default"/>
                <w:sz w:val="18"/>
                <w:szCs w:val="18"/>
              </w:rPr>
            </w:pPr>
            <w:r>
              <w:rPr>
                <w:rFonts w:ascii="宋体" w:hAnsi="宋体" w:cs="宋体" w:eastAsia="宋体" w:hint="default"/>
                <w:sz w:val="18"/>
                <w:szCs w:val="18"/>
              </w:rPr>
              <w:t>朗新科技公告之日起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个交易日后，本单位方可以</w:t>
            </w:r>
            <w:r>
              <w:rPr>
                <w:rFonts w:ascii="宋体" w:hAnsi="宋体" w:cs="宋体" w:eastAsia="宋体" w:hint="default"/>
                <w:sz w:val="18"/>
                <w:szCs w:val="18"/>
              </w:rPr>
              <w:t> </w:t>
            </w:r>
            <w:r>
              <w:rPr>
                <w:rFonts w:ascii="宋体" w:hAnsi="宋体" w:cs="宋体" w:eastAsia="宋体" w:hint="default"/>
                <w:spacing w:val="-3"/>
                <w:sz w:val="18"/>
                <w:szCs w:val="18"/>
              </w:rPr>
              <w:t>减持股份；如本单位违反上述承诺或法律强制性规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定减持股份的，本单位承诺违规减持股票所得归朗</w:t>
            </w:r>
          </w:p>
          <w:p>
            <w:pPr>
              <w:pStyle w:val="TableParagraph"/>
              <w:spacing w:line="336" w:lineRule="auto" w:before="36"/>
              <w:ind w:left="14" w:right="25"/>
              <w:jc w:val="left"/>
              <w:rPr>
                <w:rFonts w:ascii="宋体" w:hAnsi="宋体" w:cs="宋体" w:eastAsia="宋体" w:hint="default"/>
                <w:sz w:val="18"/>
                <w:szCs w:val="18"/>
              </w:rPr>
            </w:pPr>
            <w:r>
              <w:rPr>
                <w:rFonts w:ascii="宋体" w:hAnsi="宋体" w:cs="宋体" w:eastAsia="宋体" w:hint="default"/>
                <w:spacing w:val="-3"/>
                <w:sz w:val="18"/>
                <w:szCs w:val="18"/>
              </w:rPr>
              <w:t>新科技所有，同时本单位所持有的剩余股份的锁定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期在原股份锁定期届满后自动延长</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841" w:type="dxa"/>
            <w:tcBorders>
              <w:top w:val="single" w:sz="6" w:space="0" w:color="000000"/>
              <w:left w:val="single" w:sz="12" w:space="0" w:color="FFFFFF"/>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08</w:t>
            </w:r>
          </w:p>
          <w:p>
            <w:pPr>
              <w:pStyle w:val="TableParagraph"/>
              <w:spacing w:line="240" w:lineRule="auto" w:before="66"/>
              <w:ind w:left="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21" w:lineRule="auto"/>
              <w:ind w:left="15" w:right="32"/>
              <w:jc w:val="left"/>
              <w:rPr>
                <w:rFonts w:ascii="宋体" w:hAnsi="宋体" w:cs="宋体" w:eastAsia="宋体" w:hint="default"/>
                <w:sz w:val="18"/>
                <w:szCs w:val="18"/>
              </w:rPr>
            </w:pPr>
            <w:r>
              <w:rPr>
                <w:rFonts w:ascii="宋体" w:hAnsi="宋体" w:cs="宋体" w:eastAsia="宋体" w:hint="default"/>
                <w:sz w:val="18"/>
                <w:szCs w:val="18"/>
              </w:rPr>
              <w:t>正在履行 中</w:t>
            </w:r>
          </w:p>
        </w:tc>
      </w:tr>
    </w:tbl>
    <w:p>
      <w:pPr>
        <w:spacing w:after="0" w:line="321" w:lineRule="auto"/>
        <w:jc w:val="left"/>
        <w:rPr>
          <w:rFonts w:ascii="宋体" w:hAnsi="宋体" w:cs="宋体" w:eastAsia="宋体" w:hint="default"/>
          <w:sz w:val="18"/>
          <w:szCs w:val="18"/>
        </w:rPr>
        <w:sectPr>
          <w:footerReference w:type="default" r:id="rId19"/>
          <w:pgSz w:w="11910" w:h="16850"/>
          <w:pgMar w:footer="981" w:header="731" w:top="1040" w:bottom="1180" w:left="1000" w:right="0"/>
          <w:pgNumType w:start="42"/>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856"/>
        <w:gridCol w:w="1412"/>
        <w:gridCol w:w="856"/>
        <w:gridCol w:w="3980"/>
        <w:gridCol w:w="841"/>
        <w:gridCol w:w="856"/>
        <w:gridCol w:w="781"/>
      </w:tblGrid>
      <w:tr>
        <w:trPr>
          <w:trHeight w:val="8527" w:hRule="exact"/>
        </w:trPr>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88" w:lineRule="auto"/>
              <w:ind w:left="14" w:right="29"/>
              <w:jc w:val="left"/>
              <w:rPr>
                <w:rFonts w:ascii="宋体" w:hAnsi="宋体" w:cs="宋体" w:eastAsia="宋体" w:hint="default"/>
                <w:sz w:val="18"/>
                <w:szCs w:val="18"/>
              </w:rPr>
            </w:pPr>
            <w:r>
              <w:rPr>
                <w:rFonts w:ascii="宋体" w:hAnsi="宋体" w:cs="宋体" w:eastAsia="宋体" w:hint="default"/>
                <w:sz w:val="18"/>
                <w:szCs w:val="18"/>
              </w:rPr>
              <w:t>焦国云</w:t>
            </w:r>
            <w:r>
              <w:rPr>
                <w:rFonts w:ascii="Times New Roman" w:hAnsi="Times New Roman" w:cs="Times New Roman" w:eastAsia="Times New Roman" w:hint="default"/>
                <w:sz w:val="18"/>
                <w:szCs w:val="18"/>
              </w:rPr>
              <w:t>;</w:t>
            </w:r>
            <w:r>
              <w:rPr>
                <w:rFonts w:ascii="宋体" w:hAnsi="宋体" w:cs="宋体" w:eastAsia="宋体" w:hint="default"/>
                <w:sz w:val="18"/>
                <w:szCs w:val="18"/>
              </w:rPr>
              <w:t>鲁清芳</w:t>
            </w:r>
            <w:r>
              <w:rPr>
                <w:rFonts w:ascii="Times New Roman" w:hAnsi="Times New Roman" w:cs="Times New Roman" w:eastAsia="Times New Roman" w:hint="default"/>
                <w:sz w:val="18"/>
                <w:szCs w:val="18"/>
              </w:rPr>
              <w:t>;</w:t>
            </w:r>
            <w:r>
              <w:rPr>
                <w:rFonts w:ascii="宋体" w:hAnsi="宋体" w:cs="宋体" w:eastAsia="宋体" w:hint="default"/>
                <w:sz w:val="18"/>
                <w:szCs w:val="18"/>
              </w:rPr>
              <w:t>彭 知平</w:t>
            </w:r>
            <w:r>
              <w:rPr>
                <w:rFonts w:ascii="Times New Roman" w:hAnsi="Times New Roman" w:cs="Times New Roman" w:eastAsia="Times New Roman" w:hint="default"/>
                <w:sz w:val="18"/>
                <w:szCs w:val="18"/>
              </w:rPr>
              <w:t>;</w:t>
            </w:r>
            <w:r>
              <w:rPr>
                <w:rFonts w:ascii="宋体" w:hAnsi="宋体" w:cs="宋体" w:eastAsia="宋体" w:hint="default"/>
                <w:sz w:val="18"/>
                <w:szCs w:val="18"/>
              </w:rPr>
              <w:t>王慎勇</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30" w:right="90"/>
              <w:jc w:val="both"/>
              <w:rPr>
                <w:rFonts w:ascii="宋体" w:hAnsi="宋体" w:cs="宋体" w:eastAsia="宋体" w:hint="default"/>
                <w:sz w:val="18"/>
                <w:szCs w:val="18"/>
              </w:rPr>
            </w:pPr>
            <w:r>
              <w:rPr>
                <w:rFonts w:ascii="宋体" w:hAnsi="宋体" w:cs="宋体" w:eastAsia="宋体" w:hint="default"/>
                <w:sz w:val="18"/>
                <w:szCs w:val="18"/>
              </w:rPr>
              <w:t>股份流通 限制和自 愿锁定、 减持的承 诺</w:t>
            </w:r>
          </w:p>
        </w:tc>
        <w:tc>
          <w:tcPr>
            <w:tcW w:w="3980" w:type="dxa"/>
            <w:tcBorders>
              <w:top w:val="single" w:sz="6" w:space="0" w:color="000000"/>
              <w:left w:val="single" w:sz="6" w:space="0" w:color="000000"/>
              <w:bottom w:val="single" w:sz="6" w:space="0" w:color="000000"/>
              <w:right w:val="single" w:sz="12" w:space="0" w:color="FFFFFF"/>
            </w:tcBorders>
          </w:tcPr>
          <w:p>
            <w:pPr>
              <w:pStyle w:val="TableParagraph"/>
              <w:spacing w:line="297" w:lineRule="auto" w:before="59"/>
              <w:ind w:left="14" w:right="25"/>
              <w:jc w:val="both"/>
              <w:rPr>
                <w:rFonts w:ascii="宋体" w:hAnsi="宋体" w:cs="宋体" w:eastAsia="宋体" w:hint="default"/>
                <w:sz w:val="18"/>
                <w:szCs w:val="18"/>
              </w:rPr>
            </w:pPr>
            <w:r>
              <w:rPr>
                <w:rFonts w:ascii="宋体" w:hAnsi="宋体" w:cs="宋体" w:eastAsia="宋体" w:hint="default"/>
                <w:sz w:val="18"/>
                <w:szCs w:val="18"/>
              </w:rPr>
              <w:t>自公司股票上市之日起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个月内，本人不转让或 </w:t>
            </w:r>
            <w:r>
              <w:rPr>
                <w:rFonts w:ascii="宋体" w:hAnsi="宋体" w:cs="宋体" w:eastAsia="宋体" w:hint="default"/>
                <w:spacing w:val="-3"/>
                <w:sz w:val="18"/>
                <w:szCs w:val="18"/>
              </w:rPr>
              <w:t>者委托他人管理本人持有的公司股份，也不由公司</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回购本人所持有的公司股份。在本人任职期间每年</w:t>
            </w:r>
          </w:p>
          <w:p>
            <w:pPr>
              <w:pStyle w:val="TableParagraph"/>
              <w:spacing w:line="240" w:lineRule="auto" w:before="36"/>
              <w:ind w:left="14" w:right="0"/>
              <w:jc w:val="both"/>
              <w:rPr>
                <w:rFonts w:ascii="宋体" w:hAnsi="宋体" w:cs="宋体" w:eastAsia="宋体" w:hint="default"/>
                <w:sz w:val="18"/>
                <w:szCs w:val="18"/>
              </w:rPr>
            </w:pPr>
            <w:r>
              <w:rPr>
                <w:rFonts w:ascii="宋体" w:hAnsi="宋体" w:cs="宋体" w:eastAsia="宋体" w:hint="default"/>
                <w:sz w:val="18"/>
                <w:szCs w:val="18"/>
              </w:rPr>
              <w:t>转让直接或间接持有的公司股份不超过本人所持</w:t>
            </w:r>
          </w:p>
          <w:p>
            <w:pPr>
              <w:pStyle w:val="TableParagraph"/>
              <w:spacing w:line="276" w:lineRule="auto" w:before="94"/>
              <w:ind w:left="14" w:right="23"/>
              <w:jc w:val="both"/>
              <w:rPr>
                <w:rFonts w:ascii="宋体" w:hAnsi="宋体" w:cs="宋体" w:eastAsia="宋体" w:hint="default"/>
                <w:sz w:val="18"/>
                <w:szCs w:val="18"/>
              </w:rPr>
            </w:pPr>
            <w:r>
              <w:rPr>
                <w:rFonts w:ascii="宋体" w:hAnsi="宋体" w:cs="宋体" w:eastAsia="宋体" w:hint="default"/>
                <w:sz w:val="18"/>
                <w:szCs w:val="18"/>
              </w:rPr>
              <w:t>有公司股份总数的</w:t>
            </w:r>
            <w:r>
              <w:rPr>
                <w:rFonts w:ascii="宋体" w:hAnsi="宋体" w:cs="宋体" w:eastAsia="宋体" w:hint="default"/>
                <w:spacing w:val="-36"/>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；离职后半年内，不转让本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人直接或间接持有的公司股份。如在公司股票上市</w:t>
            </w:r>
          </w:p>
          <w:p>
            <w:pPr>
              <w:pStyle w:val="TableParagraph"/>
              <w:spacing w:line="240" w:lineRule="auto" w:before="67"/>
              <w:ind w:left="14" w:right="0"/>
              <w:jc w:val="both"/>
              <w:rPr>
                <w:rFonts w:ascii="宋体" w:hAnsi="宋体" w:cs="宋体" w:eastAsia="宋体" w:hint="default"/>
                <w:sz w:val="18"/>
                <w:szCs w:val="18"/>
              </w:rPr>
            </w:pPr>
            <w:r>
              <w:rPr>
                <w:rFonts w:ascii="宋体" w:hAnsi="宋体" w:cs="宋体" w:eastAsia="宋体" w:hint="default"/>
                <w:sz w:val="18"/>
                <w:szCs w:val="18"/>
              </w:rPr>
              <w:t>交易之日起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个月内申报离职，则自申报离职之日</w:t>
            </w:r>
          </w:p>
          <w:p>
            <w:pPr>
              <w:pStyle w:val="TableParagraph"/>
              <w:spacing w:line="240" w:lineRule="auto" w:before="66"/>
              <w:ind w:left="14" w:right="0"/>
              <w:jc w:val="both"/>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个月内，不转让其直接或间接持有的公司股</w:t>
            </w:r>
          </w:p>
          <w:p>
            <w:pPr>
              <w:pStyle w:val="TableParagraph"/>
              <w:spacing w:line="240" w:lineRule="auto" w:before="66"/>
              <w:ind w:left="14" w:right="0"/>
              <w:jc w:val="both"/>
              <w:rPr>
                <w:rFonts w:ascii="宋体" w:hAnsi="宋体" w:cs="宋体" w:eastAsia="宋体" w:hint="default"/>
                <w:sz w:val="18"/>
                <w:szCs w:val="18"/>
              </w:rPr>
            </w:pPr>
            <w:r>
              <w:rPr>
                <w:rFonts w:ascii="宋体" w:hAnsi="宋体" w:cs="宋体" w:eastAsia="宋体" w:hint="default"/>
                <w:sz w:val="18"/>
                <w:szCs w:val="18"/>
              </w:rPr>
              <w:t>份；如在股票上市交易之日起第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个月至第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w:t>
            </w:r>
          </w:p>
          <w:p>
            <w:pPr>
              <w:pStyle w:val="TableParagraph"/>
              <w:spacing w:line="297" w:lineRule="auto" w:before="66"/>
              <w:ind w:left="14" w:right="-22"/>
              <w:jc w:val="both"/>
              <w:rPr>
                <w:rFonts w:ascii="宋体" w:hAnsi="宋体" w:cs="宋体" w:eastAsia="宋体" w:hint="default"/>
                <w:sz w:val="18"/>
                <w:szCs w:val="18"/>
              </w:rPr>
            </w:pPr>
            <w:r>
              <w:rPr>
                <w:rFonts w:ascii="宋体" w:hAnsi="宋体" w:cs="宋体" w:eastAsia="宋体" w:hint="default"/>
                <w:sz w:val="18"/>
                <w:szCs w:val="18"/>
              </w:rPr>
              <w:t>月之间申报离职，则自申报离职之日起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 </w:t>
            </w:r>
            <w:r>
              <w:rPr>
                <w:rFonts w:ascii="宋体" w:hAnsi="宋体" w:cs="宋体" w:eastAsia="宋体" w:hint="default"/>
                <w:spacing w:val="-3"/>
                <w:sz w:val="18"/>
                <w:szCs w:val="18"/>
              </w:rPr>
              <w:t>不转让其直接或间接持有的公司股份。持有公司股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份的其它董事、监事和高级管理人员彭知平、焦国</w:t>
            </w:r>
          </w:p>
          <w:p>
            <w:pPr>
              <w:pStyle w:val="TableParagraph"/>
              <w:spacing w:line="297" w:lineRule="auto" w:before="52"/>
              <w:ind w:left="1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云、王慎勇、鲁清芳承诺：锁定期届满后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年内， 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本人减持公司股票的，减持价格不低于本 次发行并上市时公司股票的发行价（以下简称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发</w:t>
            </w:r>
            <w:r>
              <w:rPr>
                <w:rFonts w:ascii="宋体" w:hAnsi="宋体" w:cs="宋体" w:eastAsia="宋体" w:hint="default"/>
                <w:spacing w:val="-86"/>
                <w:sz w:val="18"/>
                <w:szCs w:val="18"/>
              </w:rPr>
              <w:t> </w:t>
            </w:r>
            <w:r>
              <w:rPr>
                <w:rFonts w:ascii="宋体" w:hAnsi="宋体" w:cs="宋体" w:eastAsia="宋体" w:hint="default"/>
                <w:spacing w:val="-9"/>
                <w:w w:val="99"/>
                <w:sz w:val="18"/>
                <w:szCs w:val="18"/>
              </w:rPr>
              <w:t>行价</w:t>
            </w:r>
            <w:r>
              <w:rPr>
                <w:rFonts w:ascii="Times New Roman" w:hAnsi="Times New Roman" w:cs="Times New Roman" w:eastAsia="Times New Roman" w:hint="default"/>
                <w:spacing w:val="-9"/>
                <w:w w:val="99"/>
                <w:sz w:val="18"/>
                <w:szCs w:val="18"/>
              </w:rPr>
              <w:t>"</w:t>
            </w:r>
            <w:r>
              <w:rPr>
                <w:rFonts w:ascii="宋体" w:hAnsi="宋体" w:cs="宋体" w:eastAsia="宋体" w:hint="default"/>
                <w:spacing w:val="-9"/>
                <w:w w:val="99"/>
                <w:sz w:val="18"/>
                <w:szCs w:val="18"/>
              </w:rPr>
              <w:t>）；公司上市后</w:t>
            </w:r>
            <w:r>
              <w:rPr>
                <w:rFonts w:ascii="宋体" w:hAnsi="宋体" w:cs="宋体" w:eastAsia="宋体" w:hint="default"/>
                <w:spacing w:val="-44"/>
                <w:w w:val="99"/>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个月内如公司股票连续</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312" w:lineRule="auto" w:before="18"/>
              <w:ind w:left="14" w:right="20"/>
              <w:jc w:val="both"/>
              <w:rPr>
                <w:rFonts w:ascii="宋体" w:hAnsi="宋体" w:cs="宋体" w:eastAsia="宋体" w:hint="default"/>
                <w:sz w:val="18"/>
                <w:szCs w:val="18"/>
              </w:rPr>
            </w:pPr>
            <w:r>
              <w:rPr>
                <w:rFonts w:ascii="宋体" w:hAnsi="宋体" w:cs="宋体" w:eastAsia="宋体" w:hint="default"/>
                <w:spacing w:val="-3"/>
                <w:sz w:val="18"/>
                <w:szCs w:val="18"/>
              </w:rPr>
              <w:t>个交易日的收盘价均低于发行价，或者上市后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w:t>
            </w:r>
            <w:r>
              <w:rPr>
                <w:rFonts w:ascii="宋体" w:hAnsi="宋体" w:cs="宋体" w:eastAsia="宋体" w:hint="default"/>
                <w:spacing w:val="-87"/>
                <w:sz w:val="18"/>
                <w:szCs w:val="18"/>
              </w:rPr>
              <w:t> </w:t>
            </w:r>
            <w:r>
              <w:rPr>
                <w:rFonts w:ascii="宋体" w:hAnsi="宋体" w:cs="宋体" w:eastAsia="宋体" w:hint="default"/>
                <w:spacing w:val="-3"/>
                <w:sz w:val="18"/>
                <w:szCs w:val="18"/>
              </w:rPr>
              <w:t>月期末（如该日不是交易日，则该日后第一个交易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日）收盘价低于发行价，本企业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本人持有股票的</w:t>
            </w:r>
          </w:p>
          <w:p>
            <w:pPr>
              <w:pStyle w:val="TableParagraph"/>
              <w:spacing w:line="297" w:lineRule="auto" w:before="6"/>
              <w:ind w:left="14" w:right="23"/>
              <w:jc w:val="both"/>
              <w:rPr>
                <w:rFonts w:ascii="宋体" w:hAnsi="宋体" w:cs="宋体" w:eastAsia="宋体" w:hint="default"/>
                <w:sz w:val="18"/>
                <w:szCs w:val="18"/>
              </w:rPr>
            </w:pPr>
            <w:r>
              <w:rPr>
                <w:rFonts w:ascii="宋体" w:hAnsi="宋体" w:cs="宋体" w:eastAsia="宋体" w:hint="default"/>
                <w:sz w:val="18"/>
                <w:szCs w:val="18"/>
              </w:rPr>
              <w:t>锁定期限将自动延长</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个月。若公司在本次发行并</w:t>
            </w:r>
            <w:r>
              <w:rPr>
                <w:rFonts w:ascii="宋体" w:hAnsi="宋体" w:cs="宋体" w:eastAsia="宋体" w:hint="default"/>
                <w:sz w:val="18"/>
                <w:szCs w:val="18"/>
              </w:rPr>
              <w:t> </w:t>
            </w:r>
            <w:r>
              <w:rPr>
                <w:rFonts w:ascii="宋体" w:hAnsi="宋体" w:cs="宋体" w:eastAsia="宋体" w:hint="default"/>
                <w:spacing w:val="-3"/>
                <w:sz w:val="18"/>
                <w:szCs w:val="18"/>
              </w:rPr>
              <w:t>上市后有派息、送股、资本公积转增股本等除权除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息事项的，应对发行价进行除权除息处理；如本企</w:t>
            </w:r>
          </w:p>
          <w:p>
            <w:pPr>
              <w:pStyle w:val="TableParagraph"/>
              <w:spacing w:line="295" w:lineRule="auto" w:before="51"/>
              <w:ind w:left="14" w:right="40"/>
              <w:jc w:val="both"/>
              <w:rPr>
                <w:rFonts w:ascii="宋体" w:hAnsi="宋体" w:cs="宋体" w:eastAsia="宋体" w:hint="default"/>
                <w:sz w:val="18"/>
                <w:szCs w:val="18"/>
              </w:rPr>
            </w:pPr>
            <w:r>
              <w:rPr>
                <w:rFonts w:ascii="宋体" w:hAnsi="宋体" w:cs="宋体" w:eastAsia="宋体" w:hint="default"/>
                <w:sz w:val="18"/>
                <w:szCs w:val="18"/>
              </w:rPr>
              <w:t>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本人违反上述承诺或法律强制性规定减持股份 的，本企业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本人承诺违规减持股票所得归朗新科 技所有，同时本企业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本人持有剩余股份的锁定期 </w:t>
            </w:r>
            <w:r>
              <w:rPr>
                <w:rFonts w:ascii="宋体" w:hAnsi="宋体" w:cs="宋体" w:eastAsia="宋体" w:hint="default"/>
                <w:spacing w:val="-3"/>
                <w:sz w:val="18"/>
                <w:szCs w:val="18"/>
              </w:rPr>
              <w:t>在原股份锁定期（包括延长后的锁定期）届满后自</w:t>
            </w:r>
          </w:p>
          <w:p>
            <w:pPr>
              <w:pStyle w:val="TableParagraph"/>
              <w:spacing w:line="240" w:lineRule="auto" w:before="53"/>
              <w:ind w:left="14" w:right="0"/>
              <w:jc w:val="both"/>
              <w:rPr>
                <w:rFonts w:ascii="宋体" w:hAnsi="宋体" w:cs="宋体" w:eastAsia="宋体" w:hint="default"/>
                <w:sz w:val="18"/>
                <w:szCs w:val="18"/>
              </w:rPr>
            </w:pPr>
            <w:r>
              <w:rPr>
                <w:rFonts w:ascii="宋体" w:hAnsi="宋体" w:cs="宋体" w:eastAsia="宋体" w:hint="default"/>
                <w:sz w:val="18"/>
                <w:szCs w:val="18"/>
              </w:rPr>
              <w:t>动延长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841" w:type="dxa"/>
            <w:tcBorders>
              <w:top w:val="single" w:sz="6" w:space="0" w:color="000000"/>
              <w:left w:val="single" w:sz="12" w:space="0" w:color="FFFFFF"/>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04" w:lineRule="auto"/>
              <w:ind w:left="15" w:right="28"/>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706" w:hRule="exact"/>
        </w:trPr>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05"/>
              <w:jc w:val="left"/>
              <w:rPr>
                <w:rFonts w:ascii="宋体" w:hAnsi="宋体" w:cs="宋体" w:eastAsia="宋体" w:hint="default"/>
                <w:sz w:val="18"/>
                <w:szCs w:val="18"/>
              </w:rPr>
            </w:pPr>
            <w:r>
              <w:rPr>
                <w:rFonts w:ascii="宋体" w:hAnsi="宋体" w:cs="宋体" w:eastAsia="宋体" w:hint="default"/>
                <w:sz w:val="18"/>
                <w:szCs w:val="18"/>
              </w:rPr>
              <w:t>承诺是否 按时履行</w:t>
            </w:r>
          </w:p>
        </w:tc>
        <w:tc>
          <w:tcPr>
            <w:tcW w:w="8726"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76" w:lineRule="auto" w:before="59"/>
        <w:ind w:right="1094"/>
        <w:jc w:val="left"/>
      </w:pPr>
      <w:r>
        <w:rPr/>
        <w:t>注：其他承诺事项相关内容请详见公司于</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spacing w:val="-4"/>
        </w:rPr>
        <w:t>日在巨潮资讯网披露的《招股说明书》及</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日在巨潮 </w:t>
      </w:r>
      <w:r>
        <w:rPr>
          <w:spacing w:val="-3"/>
        </w:rPr>
        <w:t>资讯网披露的《关于发行股份购买资产暨关联交易相关承诺事项的公告》。</w:t>
      </w:r>
    </w:p>
    <w:p>
      <w:pPr>
        <w:spacing w:line="240" w:lineRule="auto" w:before="0"/>
        <w:rPr>
          <w:rFonts w:ascii="宋体" w:hAnsi="宋体" w:cs="宋体" w:eastAsia="宋体" w:hint="default"/>
          <w:sz w:val="18"/>
          <w:szCs w:val="18"/>
        </w:rPr>
      </w:pPr>
    </w:p>
    <w:p>
      <w:pPr>
        <w:pStyle w:val="Heading3"/>
        <w:spacing w:line="286" w:lineRule="exact" w:before="144"/>
        <w:ind w:right="1105"/>
        <w:jc w:val="left"/>
        <w:rPr>
          <w:b w:val="0"/>
          <w:bCs w:val="0"/>
        </w:rPr>
      </w:pPr>
      <w:bookmarkStart w:name="2、公司资产或项目存在盈利预测，且报告期仍处在盈利预测期间，公司就资产或项目达到" w:id="63"/>
      <w:bookmarkEnd w:id="63"/>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53"/>
        </w:rPr>
        <w:t> </w:t>
      </w:r>
      <w:r>
        <w:rPr>
          <w:spacing w:val="-53"/>
        </w:rPr>
      </w:r>
      <w:r>
        <w:rPr/>
        <w:t>其原因做出说明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202"/>
        <w:gridCol w:w="1187"/>
        <w:gridCol w:w="1201"/>
        <w:gridCol w:w="1202"/>
        <w:gridCol w:w="1201"/>
        <w:gridCol w:w="1186"/>
        <w:gridCol w:w="1202"/>
        <w:gridCol w:w="1201"/>
      </w:tblGrid>
      <w:tr>
        <w:trPr>
          <w:trHeight w:val="7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35" w:right="59"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65"/>
              <w:ind w:left="13"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65"/>
              <w:ind w:right="14"/>
              <w:jc w:val="center"/>
              <w:rPr>
                <w:rFonts w:ascii="宋体" w:hAnsi="宋体" w:cs="宋体" w:eastAsia="宋体" w:hint="default"/>
                <w:sz w:val="18"/>
                <w:szCs w:val="18"/>
              </w:rPr>
            </w:pPr>
            <w:r>
              <w:rPr>
                <w:rFonts w:ascii="宋体" w:hAnsi="宋体" w:cs="宋体" w:eastAsia="宋体" w:hint="default"/>
                <w:sz w:val="18"/>
                <w:szCs w:val="18"/>
              </w:rPr>
              <w:t>（万元）</w:t>
            </w: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5" w:right="44"/>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10" w:right="44" w:hanging="451"/>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10" w:right="44" w:hanging="451"/>
              <w:jc w:val="left"/>
              <w:rPr>
                <w:rFonts w:ascii="宋体" w:hAnsi="宋体" w:cs="宋体" w:eastAsia="宋体" w:hint="default"/>
                <w:sz w:val="18"/>
                <w:szCs w:val="18"/>
              </w:rPr>
            </w:pPr>
            <w:r>
              <w:rPr>
                <w:rFonts w:ascii="宋体" w:hAnsi="宋体" w:cs="宋体" w:eastAsia="宋体" w:hint="default"/>
                <w:sz w:val="18"/>
                <w:szCs w:val="18"/>
              </w:rPr>
              <w:t>原预测披露索 引</w:t>
            </w:r>
          </w:p>
        </w:tc>
      </w:tr>
    </w:tbl>
    <w:p>
      <w:pPr>
        <w:spacing w:after="0" w:line="307"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02"/>
        <w:gridCol w:w="1187"/>
        <w:gridCol w:w="1201"/>
        <w:gridCol w:w="1202"/>
        <w:gridCol w:w="1201"/>
        <w:gridCol w:w="1186"/>
        <w:gridCol w:w="1202"/>
        <w:gridCol w:w="1201"/>
      </w:tblGrid>
      <w:tr>
        <w:trPr>
          <w:trHeight w:val="196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21" w:lineRule="auto"/>
              <w:ind w:left="15" w:right="89"/>
              <w:jc w:val="left"/>
              <w:rPr>
                <w:rFonts w:ascii="宋体" w:hAnsi="宋体" w:cs="宋体" w:eastAsia="宋体" w:hint="default"/>
                <w:sz w:val="18"/>
                <w:szCs w:val="18"/>
              </w:rPr>
            </w:pPr>
            <w:r>
              <w:rPr>
                <w:rFonts w:ascii="宋体" w:hAnsi="宋体" w:cs="宋体" w:eastAsia="宋体" w:hint="default"/>
                <w:sz w:val="18"/>
                <w:szCs w:val="18"/>
              </w:rPr>
              <w:t>易视腾科技股 份有限公司</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17,381.14</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74"/>
              <w:jc w:val="both"/>
              <w:rPr>
                <w:rFonts w:ascii="宋体" w:hAnsi="宋体" w:cs="宋体" w:eastAsia="宋体" w:hint="default"/>
                <w:sz w:val="18"/>
                <w:szCs w:val="18"/>
              </w:rPr>
            </w:pPr>
            <w:r>
              <w:rPr>
                <w:rFonts w:ascii="宋体" w:hAnsi="宋体" w:cs="宋体" w:eastAsia="宋体" w:hint="default"/>
                <w:sz w:val="18"/>
                <w:szCs w:val="18"/>
              </w:rPr>
              <w:t>发行股份购买 资产暨关联交 易报告书（草 案）</w:t>
            </w:r>
          </w:p>
          <w:p>
            <w:pPr>
              <w:pStyle w:val="TableParagraph"/>
              <w:spacing w:line="348" w:lineRule="auto" w:before="79"/>
              <w:ind w:left="30" w:right="70"/>
              <w:jc w:val="both"/>
              <w:rPr>
                <w:rFonts w:ascii="Times New Roman" w:hAnsi="Times New Roman" w:cs="Times New Roman" w:eastAsia="Times New Roman" w:hint="default"/>
                <w:sz w:val="18"/>
                <w:szCs w:val="18"/>
              </w:rPr>
            </w:pPr>
            <w:r>
              <w:rPr>
                <w:rFonts w:ascii="Times New Roman"/>
                <w:sz w:val="18"/>
              </w:rPr>
              <w:t>http://www.cni nfo.com.cn</w:t>
            </w:r>
          </w:p>
        </w:tc>
      </w:tr>
      <w:tr>
        <w:trPr>
          <w:trHeight w:val="196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21" w:lineRule="auto"/>
              <w:ind w:left="15" w:right="89"/>
              <w:jc w:val="left"/>
              <w:rPr>
                <w:rFonts w:ascii="宋体" w:hAnsi="宋体" w:cs="宋体" w:eastAsia="宋体" w:hint="default"/>
                <w:sz w:val="18"/>
                <w:szCs w:val="18"/>
              </w:rPr>
            </w:pPr>
            <w:r>
              <w:rPr>
                <w:rFonts w:ascii="宋体" w:hAnsi="宋体" w:cs="宋体" w:eastAsia="宋体" w:hint="default"/>
                <w:sz w:val="18"/>
                <w:szCs w:val="18"/>
              </w:rPr>
              <w:t>易视腾科技股 份有限公司</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3"/>
              <w:jc w:val="right"/>
              <w:rPr>
                <w:rFonts w:ascii="Times New Roman" w:hAnsi="Times New Roman" w:cs="Times New Roman" w:eastAsia="Times New Roman" w:hint="default"/>
                <w:sz w:val="18"/>
                <w:szCs w:val="18"/>
              </w:rPr>
            </w:pPr>
            <w:r>
              <w:rPr>
                <w:rFonts w:ascii="Times New Roman"/>
                <w:sz w:val="18"/>
              </w:rPr>
              <w:t>20,000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30"/>
              <w:jc w:val="right"/>
              <w:rPr>
                <w:rFonts w:ascii="Times New Roman" w:hAnsi="Times New Roman" w:cs="Times New Roman" w:eastAsia="Times New Roman" w:hint="default"/>
                <w:sz w:val="18"/>
                <w:szCs w:val="18"/>
              </w:rPr>
            </w:pPr>
            <w:r>
              <w:rPr>
                <w:rFonts w:ascii="Times New Roman"/>
                <w:sz w:val="18"/>
              </w:rPr>
              <w:t>20,655.29</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74"/>
              <w:jc w:val="both"/>
              <w:rPr>
                <w:rFonts w:ascii="宋体" w:hAnsi="宋体" w:cs="宋体" w:eastAsia="宋体" w:hint="default"/>
                <w:sz w:val="18"/>
                <w:szCs w:val="18"/>
              </w:rPr>
            </w:pPr>
            <w:r>
              <w:rPr>
                <w:rFonts w:ascii="宋体" w:hAnsi="宋体" w:cs="宋体" w:eastAsia="宋体" w:hint="default"/>
                <w:sz w:val="18"/>
                <w:szCs w:val="18"/>
              </w:rPr>
              <w:t>发行股份购买 资产暨关联交 易报告书（草 案）</w:t>
            </w:r>
          </w:p>
          <w:p>
            <w:pPr>
              <w:pStyle w:val="TableParagraph"/>
              <w:spacing w:line="364" w:lineRule="auto" w:before="61"/>
              <w:ind w:left="30" w:right="70"/>
              <w:jc w:val="both"/>
              <w:rPr>
                <w:rFonts w:ascii="Times New Roman" w:hAnsi="Times New Roman" w:cs="Times New Roman" w:eastAsia="Times New Roman" w:hint="default"/>
                <w:sz w:val="18"/>
                <w:szCs w:val="18"/>
              </w:rPr>
            </w:pPr>
            <w:r>
              <w:rPr>
                <w:rFonts w:ascii="Times New Roman"/>
                <w:sz w:val="18"/>
              </w:rPr>
              <w:t>http://www.cni nfo.com.cn</w:t>
            </w:r>
          </w:p>
        </w:tc>
      </w:tr>
      <w:tr>
        <w:trPr>
          <w:trHeight w:val="1952"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07" w:lineRule="auto"/>
              <w:ind w:left="15" w:right="89"/>
              <w:jc w:val="left"/>
              <w:rPr>
                <w:rFonts w:ascii="宋体" w:hAnsi="宋体" w:cs="宋体" w:eastAsia="宋体" w:hint="default"/>
                <w:sz w:val="18"/>
                <w:szCs w:val="18"/>
              </w:rPr>
            </w:pPr>
            <w:r>
              <w:rPr>
                <w:rFonts w:ascii="宋体" w:hAnsi="宋体" w:cs="宋体" w:eastAsia="宋体" w:hint="default"/>
                <w:sz w:val="18"/>
                <w:szCs w:val="18"/>
              </w:rPr>
              <w:t>邦道科技有限 公司</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3"/>
              <w:jc w:val="right"/>
              <w:rPr>
                <w:rFonts w:ascii="Times New Roman" w:hAnsi="Times New Roman" w:cs="Times New Roman" w:eastAsia="Times New Roman" w:hint="default"/>
                <w:sz w:val="18"/>
                <w:szCs w:val="18"/>
              </w:rPr>
            </w:pPr>
            <w:r>
              <w:rPr>
                <w:rFonts w:ascii="Times New Roman"/>
                <w:sz w:val="18"/>
              </w:rPr>
              <w:t>11,000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30"/>
              <w:jc w:val="right"/>
              <w:rPr>
                <w:rFonts w:ascii="Times New Roman" w:hAnsi="Times New Roman" w:cs="Times New Roman" w:eastAsia="Times New Roman" w:hint="default"/>
                <w:sz w:val="18"/>
                <w:szCs w:val="18"/>
              </w:rPr>
            </w:pPr>
            <w:r>
              <w:rPr>
                <w:rFonts w:ascii="Times New Roman"/>
                <w:sz w:val="18"/>
              </w:rPr>
              <w:t>12,706.07</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30" w:right="74"/>
              <w:jc w:val="both"/>
              <w:rPr>
                <w:rFonts w:ascii="宋体" w:hAnsi="宋体" w:cs="宋体" w:eastAsia="宋体" w:hint="default"/>
                <w:sz w:val="18"/>
                <w:szCs w:val="18"/>
              </w:rPr>
            </w:pPr>
            <w:r>
              <w:rPr>
                <w:rFonts w:ascii="宋体" w:hAnsi="宋体" w:cs="宋体" w:eastAsia="宋体" w:hint="default"/>
                <w:sz w:val="18"/>
                <w:szCs w:val="18"/>
              </w:rPr>
              <w:t>发行股份购买 资产暨关联交 易报告书（草 案）</w:t>
            </w:r>
          </w:p>
          <w:p>
            <w:pPr>
              <w:pStyle w:val="TableParagraph"/>
              <w:spacing w:line="364" w:lineRule="auto" w:before="79"/>
              <w:ind w:left="30" w:right="70"/>
              <w:jc w:val="both"/>
              <w:rPr>
                <w:rFonts w:ascii="Times New Roman" w:hAnsi="Times New Roman" w:cs="Times New Roman" w:eastAsia="Times New Roman" w:hint="default"/>
                <w:sz w:val="18"/>
                <w:szCs w:val="18"/>
              </w:rPr>
            </w:pPr>
            <w:r>
              <w:rPr>
                <w:rFonts w:ascii="Times New Roman"/>
                <w:sz w:val="18"/>
              </w:rPr>
              <w:t>http://www.cni nfo.com.cn</w:t>
            </w:r>
          </w:p>
        </w:tc>
      </w:tr>
      <w:tr>
        <w:trPr>
          <w:trHeight w:val="196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7" w:lineRule="auto"/>
              <w:ind w:left="15" w:right="89"/>
              <w:jc w:val="left"/>
              <w:rPr>
                <w:rFonts w:ascii="宋体" w:hAnsi="宋体" w:cs="宋体" w:eastAsia="宋体" w:hint="default"/>
                <w:sz w:val="18"/>
                <w:szCs w:val="18"/>
              </w:rPr>
            </w:pPr>
            <w:r>
              <w:rPr>
                <w:rFonts w:ascii="宋体" w:hAnsi="宋体" w:cs="宋体" w:eastAsia="宋体" w:hint="default"/>
                <w:sz w:val="18"/>
                <w:szCs w:val="18"/>
              </w:rPr>
              <w:t>邦道科技有限 公司</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12,500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20,692.87</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74"/>
              <w:jc w:val="both"/>
              <w:rPr>
                <w:rFonts w:ascii="宋体" w:hAnsi="宋体" w:cs="宋体" w:eastAsia="宋体" w:hint="default"/>
                <w:sz w:val="18"/>
                <w:szCs w:val="18"/>
              </w:rPr>
            </w:pPr>
            <w:r>
              <w:rPr>
                <w:rFonts w:ascii="宋体" w:hAnsi="宋体" w:cs="宋体" w:eastAsia="宋体" w:hint="default"/>
                <w:sz w:val="18"/>
                <w:szCs w:val="18"/>
              </w:rPr>
              <w:t>发行股份购买 资产暨关联交 易报告书（草 案）</w:t>
            </w:r>
          </w:p>
          <w:p>
            <w:pPr>
              <w:pStyle w:val="TableParagraph"/>
              <w:spacing w:line="364" w:lineRule="auto" w:before="79"/>
              <w:ind w:left="30" w:right="70"/>
              <w:jc w:val="both"/>
              <w:rPr>
                <w:rFonts w:ascii="Times New Roman" w:hAnsi="Times New Roman" w:cs="Times New Roman" w:eastAsia="Times New Roman" w:hint="default"/>
                <w:sz w:val="18"/>
                <w:szCs w:val="18"/>
              </w:rPr>
            </w:pPr>
            <w:r>
              <w:rPr>
                <w:rFonts w:ascii="Times New Roman"/>
                <w:sz w:val="18"/>
              </w:rPr>
              <w:t>http://www.cni nfo.com.cn</w:t>
            </w:r>
          </w:p>
        </w:tc>
      </w:tr>
    </w:tbl>
    <w:p>
      <w:pPr>
        <w:pStyle w:val="BodyText"/>
        <w:spacing w:line="240" w:lineRule="auto" w:before="45"/>
        <w:ind w:right="0"/>
        <w:jc w:val="both"/>
      </w:pPr>
      <w:r>
        <w:rPr/>
        <w:t>公司股东、交易对手方对公司或相关资产年度经营业绩作出的承诺情况</w:t>
      </w:r>
    </w:p>
    <w:p>
      <w:pPr>
        <w:pStyle w:val="BodyText"/>
        <w:spacing w:line="319" w:lineRule="auto" w:before="124"/>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spacing w:val="-2"/>
        </w:rPr>
        <w:t>根据朗新科技与作为盈利承诺补偿主体的徐长军、无锡杰华投资合伙企业（有限合伙）、无锡曦杰智诚投资合伙企业（有限</w:t>
      </w:r>
      <w:r>
        <w:rPr>
          <w:spacing w:val="-57"/>
        </w:rPr>
        <w:t> </w:t>
      </w:r>
      <w:r>
        <w:rPr>
          <w:spacing w:val="-57"/>
        </w:rPr>
      </w:r>
      <w:r>
        <w:rPr>
          <w:spacing w:val="-2"/>
        </w:rPr>
        <w:t>合伙）、无锡易朴投资合伙企业（有限合伙）和无锡朴元投资合伙企业（有限合伙）签订的《盈利预测补偿协议》，本次交</w:t>
      </w:r>
      <w:r>
        <w:rPr>
          <w:spacing w:val="-75"/>
        </w:rPr>
        <w:t> </w:t>
      </w:r>
      <w:r>
        <w:rPr>
          <w:spacing w:val="-75"/>
        </w:rPr>
      </w:r>
      <w:r>
        <w:rPr/>
        <w:t>易的业绩承诺期为</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2019</w:t>
      </w:r>
      <w:r>
        <w:rPr/>
        <w:t>年度和</w:t>
      </w:r>
      <w:r>
        <w:rPr>
          <w:rFonts w:ascii="Times New Roman" w:hAnsi="Times New Roman" w:cs="Times New Roman" w:eastAsia="Times New Roman" w:hint="default"/>
        </w:rPr>
        <w:t>2020</w:t>
      </w:r>
      <w:r>
        <w:rPr/>
        <w:t>年度，且如因标的资产交割迟于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日则需要将业绩承诺期延长至</w:t>
      </w:r>
      <w:r>
        <w:rPr>
          <w:spacing w:val="-1"/>
        </w:rPr>
        <w:t> </w:t>
      </w:r>
      <w:r>
        <w:rPr>
          <w:spacing w:val="-1"/>
        </w:rPr>
      </w:r>
      <w:r>
        <w:rPr>
          <w:rFonts w:ascii="Times New Roman" w:hAnsi="Times New Roman" w:cs="Times New Roman" w:eastAsia="Times New Roman" w:hint="default"/>
        </w:rPr>
        <w:t>2021</w:t>
      </w:r>
      <w:r>
        <w:rPr/>
        <w:t>年。</w:t>
      </w:r>
    </w:p>
    <w:p>
      <w:pPr>
        <w:spacing w:line="240" w:lineRule="auto" w:before="13"/>
        <w:rPr>
          <w:rFonts w:ascii="宋体" w:hAnsi="宋体" w:cs="宋体" w:eastAsia="宋体" w:hint="default"/>
          <w:sz w:val="22"/>
          <w:szCs w:val="22"/>
        </w:rPr>
      </w:pPr>
    </w:p>
    <w:p>
      <w:pPr>
        <w:pStyle w:val="BodyText"/>
        <w:spacing w:line="304" w:lineRule="auto"/>
        <w:ind w:right="1094"/>
        <w:jc w:val="both"/>
      </w:pPr>
      <w:r>
        <w:rPr>
          <w:spacing w:val="-2"/>
        </w:rPr>
        <w:t>经上市公司聘请的具有相关证券业务资格的会计师事务所审计的易视腾科技</w:t>
      </w:r>
      <w:r>
        <w:rPr>
          <w:rFonts w:ascii="Times New Roman" w:hAnsi="Times New Roman" w:cs="Times New Roman" w:eastAsia="Times New Roman" w:hint="default"/>
          <w:spacing w:val="-2"/>
        </w:rPr>
        <w:t>2018</w:t>
      </w:r>
      <w:r>
        <w:rPr>
          <w:spacing w:val="-2"/>
        </w:rPr>
        <w:t>年度、</w:t>
      </w:r>
      <w:r>
        <w:rPr>
          <w:rFonts w:ascii="Times New Roman" w:hAnsi="Times New Roman" w:cs="Times New Roman" w:eastAsia="Times New Roman" w:hint="default"/>
          <w:spacing w:val="-2"/>
        </w:rPr>
        <w:t>2019</w:t>
      </w:r>
      <w:r>
        <w:rPr>
          <w:spacing w:val="-2"/>
        </w:rPr>
        <w:t>年度和</w:t>
      </w:r>
      <w:r>
        <w:rPr>
          <w:rFonts w:ascii="Times New Roman" w:hAnsi="Times New Roman" w:cs="Times New Roman" w:eastAsia="Times New Roman" w:hint="default"/>
          <w:spacing w:val="-2"/>
        </w:rPr>
        <w:t>2020</w:t>
      </w:r>
      <w:r>
        <w:rPr>
          <w:spacing w:val="-2"/>
        </w:rPr>
        <w:t>年度合并报表中净利</w:t>
      </w:r>
      <w:r>
        <w:rPr>
          <w:spacing w:val="-38"/>
        </w:rPr>
        <w:t> </w:t>
      </w:r>
      <w:r>
        <w:rPr/>
        <w:t>润数（</w:t>
      </w:r>
      <w:r>
        <w:rPr>
          <w:rFonts w:ascii="Times New Roman" w:hAnsi="Times New Roman" w:cs="Times New Roman" w:eastAsia="Times New Roman" w:hint="default"/>
        </w:rPr>
        <w:t>“</w:t>
      </w:r>
      <w:r>
        <w:rPr/>
        <w:t>承诺净利润数</w:t>
      </w:r>
      <w:r>
        <w:rPr>
          <w:rFonts w:ascii="Times New Roman" w:hAnsi="Times New Roman" w:cs="Times New Roman" w:eastAsia="Times New Roman" w:hint="default"/>
        </w:rPr>
        <w:t>”</w:t>
      </w:r>
      <w:r>
        <w:rPr/>
        <w:t>）分别不低于</w:t>
      </w:r>
      <w:r>
        <w:rPr>
          <w:rFonts w:ascii="Times New Roman" w:hAnsi="Times New Roman" w:cs="Times New Roman" w:eastAsia="Times New Roman" w:hint="default"/>
        </w:rPr>
        <w:t>15,000</w:t>
      </w:r>
      <w:r>
        <w:rPr/>
        <w:t>万元、</w:t>
      </w:r>
      <w:r>
        <w:rPr>
          <w:rFonts w:ascii="Times New Roman" w:hAnsi="Times New Roman" w:cs="Times New Roman" w:eastAsia="Times New Roman" w:hint="default"/>
        </w:rPr>
        <w:t>20,000</w:t>
      </w:r>
      <w:r>
        <w:rPr/>
        <w:t>万元和</w:t>
      </w:r>
      <w:r>
        <w:rPr>
          <w:rFonts w:ascii="Times New Roman" w:hAnsi="Times New Roman" w:cs="Times New Roman" w:eastAsia="Times New Roman" w:hint="default"/>
        </w:rPr>
        <w:t>25,000</w:t>
      </w:r>
      <w:r>
        <w:rPr/>
        <w:t>万元；若因项目交割迟于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日需要延长业</w:t>
      </w:r>
      <w:r>
        <w:rPr>
          <w:spacing w:val="-24"/>
        </w:rPr>
        <w:t> </w:t>
      </w:r>
      <w:r>
        <w:rPr>
          <w:spacing w:val="-24"/>
        </w:rPr>
      </w:r>
      <w:r>
        <w:rPr/>
        <w:t>绩承诺至</w:t>
      </w:r>
      <w:r>
        <w:rPr>
          <w:rFonts w:ascii="Times New Roman" w:hAnsi="Times New Roman" w:cs="Times New Roman" w:eastAsia="Times New Roman" w:hint="default"/>
        </w:rPr>
        <w:t>2021</w:t>
      </w:r>
      <w:r>
        <w:rPr/>
        <w:t>年，则</w:t>
      </w:r>
      <w:r>
        <w:rPr>
          <w:rFonts w:ascii="Times New Roman" w:hAnsi="Times New Roman" w:cs="Times New Roman" w:eastAsia="Times New Roman" w:hint="default"/>
        </w:rPr>
        <w:t>2021</w:t>
      </w:r>
      <w:r>
        <w:rPr/>
        <w:t>年承诺净利润数不少于</w:t>
      </w:r>
      <w:r>
        <w:rPr>
          <w:rFonts w:ascii="Times New Roman" w:hAnsi="Times New Roman" w:cs="Times New Roman" w:eastAsia="Times New Roman" w:hint="default"/>
        </w:rPr>
        <w:t>31,900</w:t>
      </w:r>
      <w:r>
        <w:rPr/>
        <w:t>万元（前述期间的年度净利润合计数下称</w:t>
      </w:r>
      <w:r>
        <w:rPr>
          <w:rFonts w:ascii="Times New Roman" w:hAnsi="Times New Roman" w:cs="Times New Roman" w:eastAsia="Times New Roman" w:hint="default"/>
        </w:rPr>
        <w:t>“</w:t>
      </w:r>
      <w:r>
        <w:rPr/>
        <w:t>承诺净利润累计数</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5"/>
          <w:szCs w:val="25"/>
        </w:rPr>
      </w:pPr>
    </w:p>
    <w:p>
      <w:pPr>
        <w:pStyle w:val="BodyText"/>
        <w:spacing w:line="295" w:lineRule="auto"/>
        <w:ind w:right="1094"/>
        <w:jc w:val="both"/>
      </w:pPr>
      <w:r>
        <w:rPr>
          <w:spacing w:val="-3"/>
        </w:rPr>
        <w:t>经上市公司聘请的具有相关证券业务资格的会计师事务所审计的邦道科技</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2019</w:t>
      </w:r>
      <w:r>
        <w:rPr>
          <w:spacing w:val="-3"/>
        </w:rPr>
        <w:t>年和</w:t>
      </w:r>
      <w:r>
        <w:rPr>
          <w:rFonts w:ascii="Times New Roman" w:hAnsi="Times New Roman" w:cs="Times New Roman" w:eastAsia="Times New Roman" w:hint="default"/>
          <w:spacing w:val="-3"/>
        </w:rPr>
        <w:t>2020</w:t>
      </w:r>
      <w:r>
        <w:rPr>
          <w:spacing w:val="-3"/>
        </w:rPr>
        <w:t>年合并报表中净利润数（</w:t>
      </w:r>
      <w:r>
        <w:rPr>
          <w:rFonts w:ascii="Times New Roman" w:hAnsi="Times New Roman" w:cs="Times New Roman" w:eastAsia="Times New Roman" w:hint="default"/>
          <w:spacing w:val="-3"/>
        </w:rPr>
        <w:t>“</w:t>
      </w:r>
      <w:r>
        <w:rPr>
          <w:spacing w:val="-3"/>
        </w:rPr>
        <w:t>承</w:t>
      </w:r>
      <w:r>
        <w:rPr>
          <w:spacing w:val="-41"/>
        </w:rPr>
        <w:t> </w:t>
      </w:r>
      <w:r>
        <w:rPr>
          <w:spacing w:val="-3"/>
        </w:rPr>
        <w:t>诺净利润数</w:t>
      </w:r>
      <w:r>
        <w:rPr>
          <w:rFonts w:ascii="Times New Roman" w:hAnsi="Times New Roman" w:cs="Times New Roman" w:eastAsia="Times New Roman" w:hint="default"/>
          <w:spacing w:val="-3"/>
        </w:rPr>
        <w:t>”</w:t>
      </w:r>
      <w:r>
        <w:rPr>
          <w:spacing w:val="-3"/>
        </w:rPr>
        <w:t>）分别不低于</w:t>
      </w:r>
      <w:r>
        <w:rPr>
          <w:rFonts w:ascii="Times New Roman" w:hAnsi="Times New Roman" w:cs="Times New Roman" w:eastAsia="Times New Roman" w:hint="default"/>
          <w:spacing w:val="-3"/>
        </w:rPr>
        <w:t>11,000</w:t>
      </w:r>
      <w:r>
        <w:rPr>
          <w:spacing w:val="-3"/>
        </w:rPr>
        <w:t>万元、</w:t>
      </w:r>
      <w:r>
        <w:rPr>
          <w:rFonts w:ascii="Times New Roman" w:hAnsi="Times New Roman" w:cs="Times New Roman" w:eastAsia="Times New Roman" w:hint="default"/>
          <w:spacing w:val="-3"/>
        </w:rPr>
        <w:t>12,500</w:t>
      </w:r>
      <w:r>
        <w:rPr>
          <w:spacing w:val="-3"/>
        </w:rPr>
        <w:t>万元和</w:t>
      </w:r>
      <w:r>
        <w:rPr>
          <w:rFonts w:ascii="Times New Roman" w:hAnsi="Times New Roman" w:cs="Times New Roman" w:eastAsia="Times New Roman" w:hint="default"/>
          <w:spacing w:val="-3"/>
        </w:rPr>
        <w:t>15,500</w:t>
      </w:r>
      <w:r>
        <w:rPr>
          <w:spacing w:val="-3"/>
        </w:rPr>
        <w:t>万元；若因项目交割迟于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日需要延长业绩承诺至</w:t>
      </w:r>
      <w:r>
        <w:rPr>
          <w:rFonts w:ascii="Times New Roman" w:hAnsi="Times New Roman" w:cs="Times New Roman" w:eastAsia="Times New Roman" w:hint="default"/>
          <w:spacing w:val="-3"/>
        </w:rPr>
        <w:t>2021</w:t>
      </w:r>
      <w:r>
        <w:rPr>
          <w:rFonts w:ascii="Times New Roman" w:hAnsi="Times New Roman" w:cs="Times New Roman" w:eastAsia="Times New Roman" w:hint="default"/>
        </w:rPr>
        <w:t> </w:t>
      </w:r>
      <w:r>
        <w:rPr/>
        <w:t>年，则</w:t>
      </w:r>
      <w:r>
        <w:rPr>
          <w:rFonts w:ascii="Times New Roman" w:hAnsi="Times New Roman" w:cs="Times New Roman" w:eastAsia="Times New Roman" w:hint="default"/>
        </w:rPr>
        <w:t>2021</w:t>
      </w:r>
      <w:r>
        <w:rPr/>
        <w:t>年承诺净利润数不少于</w:t>
      </w:r>
      <w:r>
        <w:rPr>
          <w:rFonts w:ascii="Times New Roman" w:hAnsi="Times New Roman" w:cs="Times New Roman" w:eastAsia="Times New Roman" w:hint="default"/>
        </w:rPr>
        <w:t>20,000</w:t>
      </w:r>
      <w:r>
        <w:rPr/>
        <w:t>万元（前述期间的年度净利润合计数下称</w:t>
      </w:r>
      <w:r>
        <w:rPr>
          <w:rFonts w:ascii="Times New Roman" w:hAnsi="Times New Roman" w:cs="Times New Roman" w:eastAsia="Times New Roman" w:hint="default"/>
        </w:rPr>
        <w:t>“</w:t>
      </w:r>
      <w:r>
        <w:rPr/>
        <w:t>承诺净利润累计数</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24"/>
          <w:szCs w:val="24"/>
        </w:rPr>
      </w:pPr>
    </w:p>
    <w:p>
      <w:pPr>
        <w:pStyle w:val="BodyText"/>
        <w:spacing w:line="717" w:lineRule="auto"/>
        <w:ind w:right="2649"/>
        <w:jc w:val="left"/>
      </w:pPr>
      <w:r>
        <w:rPr/>
        <w:t>业绩承诺期净利润数按照合并报表口径下扣除非经常性损益后归属标的母公司所有者的净利润。 业绩承诺的完成情况及其对商誉减值测试的影响：当期业绩承诺已经完成，不存在对商誉的减值影响。</w:t>
      </w:r>
    </w:p>
    <w:p>
      <w:pPr>
        <w:spacing w:after="0" w:line="717" w:lineRule="auto"/>
        <w:jc w:val="left"/>
        <w:sectPr>
          <w:pgSz w:w="11910" w:h="16850"/>
          <w:pgMar w:header="731" w:footer="981" w:top="1040" w:bottom="1180" w:left="1000" w:right="0"/>
        </w:sectPr>
      </w:pPr>
    </w:p>
    <w:p>
      <w:pPr>
        <w:spacing w:line="240" w:lineRule="auto" w:before="7"/>
        <w:rPr>
          <w:rFonts w:ascii="宋体" w:hAnsi="宋体" w:cs="宋体" w:eastAsia="宋体" w:hint="default"/>
          <w:sz w:val="25"/>
          <w:szCs w:val="25"/>
        </w:rPr>
      </w:pPr>
    </w:p>
    <w:p>
      <w:pPr>
        <w:pStyle w:val="Heading2"/>
        <w:spacing w:line="240" w:lineRule="auto" w:before="26"/>
        <w:ind w:right="1105"/>
        <w:jc w:val="left"/>
        <w:rPr>
          <w:b w:val="0"/>
          <w:bCs w:val="0"/>
        </w:rPr>
      </w:pPr>
      <w:bookmarkStart w:name="三、控股股东及其关联方对上市公司的非经营性占用资金情况" w:id="64"/>
      <w:bookmarkEnd w:id="64"/>
      <w:r>
        <w:rPr>
          <w:b w:val="0"/>
          <w:bCs w:val="0"/>
        </w:rPr>
      </w:r>
      <w:r>
        <w:rPr/>
        <w:t>三、控股股东及其关联方对上市公司的非经营性占用资金情况</w:t>
      </w:r>
      <w:r>
        <w:rPr>
          <w:b w:val="0"/>
          <w:bCs w:val="0"/>
        </w:rPr>
      </w:r>
    </w:p>
    <w:p>
      <w:pPr>
        <w:spacing w:line="240" w:lineRule="auto" w:before="1"/>
        <w:rPr>
          <w:rFonts w:ascii="宋体" w:hAnsi="宋体" w:cs="宋体" w:eastAsia="宋体" w:hint="default"/>
          <w:b/>
          <w:bCs/>
          <w:sz w:val="26"/>
          <w:szCs w:val="26"/>
        </w:rPr>
      </w:pPr>
    </w:p>
    <w:p>
      <w:pPr>
        <w:pStyle w:val="BodyText"/>
        <w:spacing w:line="319" w:lineRule="auto"/>
        <w:ind w:right="49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公司报告期不存在控股股东及其关联方对上市公司的非经营性占用资金。</w:t>
      </w:r>
    </w:p>
    <w:p>
      <w:pPr>
        <w:spacing w:line="240" w:lineRule="auto" w:before="8"/>
        <w:rPr>
          <w:rFonts w:ascii="宋体" w:hAnsi="宋体" w:cs="宋体" w:eastAsia="宋体" w:hint="default"/>
          <w:sz w:val="22"/>
          <w:szCs w:val="22"/>
        </w:rPr>
      </w:pPr>
    </w:p>
    <w:p>
      <w:pPr>
        <w:pStyle w:val="Heading2"/>
        <w:spacing w:line="240" w:lineRule="auto"/>
        <w:ind w:right="1105"/>
        <w:jc w:val="left"/>
        <w:rPr>
          <w:b w:val="0"/>
          <w:bCs w:val="0"/>
        </w:rPr>
      </w:pPr>
      <w:bookmarkStart w:name="四、董事会对最近一期“非标准审计报告”相关情况的说明" w:id="65"/>
      <w:bookmarkEnd w:id="65"/>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五、董事会、监事会、独立董事（如有）对会计师事务所本报告期“非标准审计报告”的说" w:id="66"/>
      <w:bookmarkEnd w:id="66"/>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1105"/>
        <w:jc w:val="left"/>
        <w:rPr>
          <w:b w:val="0"/>
          <w:bCs w:val="0"/>
        </w:rPr>
      </w:pPr>
      <w:bookmarkStart w:name="六、董事会关于报告期会计政策、会计估计变更或重大会计差错更正的说明" w:id="67"/>
      <w:bookmarkEnd w:id="67"/>
      <w:r>
        <w:rPr>
          <w:b w:val="0"/>
          <w:bCs w:val="0"/>
        </w:rPr>
      </w:r>
      <w:r>
        <w:rPr/>
        <w:t>六、董事会关于报告期会计政策、会计估计变更或重大会计差错更正的说明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05"/>
        <w:jc w:val="left"/>
        <w:rPr>
          <w:b w:val="0"/>
          <w:bCs w:val="0"/>
        </w:rPr>
      </w:pPr>
      <w:r>
        <w:rPr/>
        <w:t>（</w:t>
      </w:r>
      <w:r>
        <w:rPr>
          <w:rFonts w:ascii="宋体" w:hAnsi="宋体" w:cs="宋体" w:eastAsia="宋体" w:hint="default"/>
        </w:rPr>
        <w:t>1</w:t>
      </w:r>
      <w:r>
        <w:rPr/>
        <w:t>）重要会计政策变更</w:t>
      </w:r>
      <w:r>
        <w:rPr>
          <w:b w:val="0"/>
          <w:bCs w:val="0"/>
        </w:rPr>
      </w:r>
    </w:p>
    <w:p>
      <w:pPr>
        <w:spacing w:line="240" w:lineRule="auto" w:before="6"/>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4536"/>
        <w:gridCol w:w="3274"/>
        <w:gridCol w:w="1772"/>
      </w:tblGrid>
      <w:tr>
        <w:trPr>
          <w:trHeight w:val="405" w:hRule="exact"/>
        </w:trPr>
        <w:tc>
          <w:tcPr>
            <w:tcW w:w="45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171"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32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b/>
                <w:bCs/>
                <w:sz w:val="18"/>
                <w:szCs w:val="18"/>
              </w:rPr>
              <w:t>审批程序</w:t>
            </w:r>
            <w:r>
              <w:rPr>
                <w:rFonts w:ascii="宋体" w:hAnsi="宋体" w:cs="宋体" w:eastAsia="宋体" w:hint="default"/>
                <w:sz w:val="18"/>
                <w:szCs w:val="18"/>
              </w:rPr>
            </w:r>
          </w:p>
        </w:tc>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513" w:hRule="exact"/>
        </w:trPr>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年颁布了修订后的《企业会计准则第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p>
            <w:pPr>
              <w:pStyle w:val="TableParagraph"/>
              <w:spacing w:line="240" w:lineRule="auto" w:before="66"/>
              <w:ind w:left="15"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金融工具确认和计量</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p>
            <w:pPr>
              <w:pStyle w:val="TableParagraph"/>
              <w:spacing w:line="240" w:lineRule="auto" w:before="66"/>
              <w:ind w:left="15" w:right="0"/>
              <w:jc w:val="both"/>
              <w:rPr>
                <w:rFonts w:ascii="宋体" w:hAnsi="宋体" w:cs="宋体" w:eastAsia="宋体" w:hint="default"/>
                <w:sz w:val="18"/>
                <w:szCs w:val="18"/>
              </w:rPr>
            </w:pPr>
            <w:r>
              <w:rPr>
                <w:rFonts w:ascii="宋体" w:hAnsi="宋体" w:cs="宋体" w:eastAsia="宋体" w:hint="default"/>
                <w:sz w:val="18"/>
                <w:szCs w:val="18"/>
              </w:rPr>
              <w:t>金融资产转移</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套期保值》</w:t>
            </w:r>
          </w:p>
          <w:p>
            <w:pPr>
              <w:pStyle w:val="TableParagraph"/>
              <w:spacing w:line="240" w:lineRule="auto" w:before="66"/>
              <w:ind w:left="15" w:right="0"/>
              <w:jc w:val="both"/>
              <w:rPr>
                <w:rFonts w:ascii="宋体" w:hAnsi="宋体" w:cs="宋体" w:eastAsia="宋体" w:hint="default"/>
                <w:sz w:val="18"/>
                <w:szCs w:val="18"/>
              </w:rPr>
            </w:pPr>
            <w:r>
              <w:rPr>
                <w:rFonts w:ascii="宋体" w:hAnsi="宋体" w:cs="宋体" w:eastAsia="宋体" w:hint="default"/>
                <w:sz w:val="18"/>
                <w:szCs w:val="18"/>
              </w:rPr>
              <w:t>及《企业会计准则第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37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金融工具列报》等（以下</w:t>
            </w:r>
          </w:p>
          <w:p>
            <w:pPr>
              <w:pStyle w:val="TableParagraph"/>
              <w:spacing w:line="240" w:lineRule="auto" w:before="51"/>
              <w:ind w:left="15" w:right="0"/>
              <w:jc w:val="both"/>
              <w:rPr>
                <w:rFonts w:ascii="宋体" w:hAnsi="宋体" w:cs="宋体" w:eastAsia="宋体" w:hint="default"/>
                <w:sz w:val="18"/>
                <w:szCs w:val="18"/>
              </w:rPr>
            </w:pPr>
            <w:r>
              <w:rPr>
                <w:rFonts w:ascii="宋体" w:hAnsi="宋体" w:cs="宋体" w:eastAsia="宋体" w:hint="default"/>
                <w:sz w:val="18"/>
                <w:szCs w:val="18"/>
              </w:rPr>
              <w:t>合称</w:t>
            </w:r>
            <w:r>
              <w:rPr>
                <w:rFonts w:ascii="Times New Roman" w:hAnsi="Times New Roman" w:cs="Times New Roman" w:eastAsia="Times New Roman" w:hint="default"/>
                <w:spacing w:val="10"/>
                <w:w w:val="100"/>
                <w:sz w:val="18"/>
                <w:szCs w:val="18"/>
              </w:rPr>
              <w:t>“</w:t>
            </w:r>
            <w:r>
              <w:rPr>
                <w:rFonts w:ascii="宋体" w:hAnsi="宋体" w:cs="宋体" w:eastAsia="宋体" w:hint="default"/>
                <w:sz w:val="18"/>
                <w:szCs w:val="18"/>
              </w:rPr>
              <w:t>新金融工具准</w:t>
            </w:r>
            <w:r>
              <w:rPr>
                <w:rFonts w:ascii="宋体" w:hAnsi="宋体" w:cs="宋体" w:eastAsia="宋体" w:hint="default"/>
                <w:spacing w:val="1"/>
                <w:sz w:val="18"/>
                <w:szCs w:val="18"/>
              </w:rPr>
              <w:t>则</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，并于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年颁布了《关于修订</w:t>
            </w:r>
          </w:p>
          <w:p>
            <w:pPr>
              <w:pStyle w:val="TableParagraph"/>
              <w:spacing w:line="240" w:lineRule="auto" w:before="66"/>
              <w:ind w:left="15" w:right="0"/>
              <w:jc w:val="both"/>
              <w:rPr>
                <w:rFonts w:ascii="宋体" w:hAnsi="宋体" w:cs="宋体" w:eastAsia="宋体" w:hint="default"/>
                <w:sz w:val="18"/>
                <w:szCs w:val="18"/>
              </w:rPr>
            </w:pPr>
            <w:r>
              <w:rPr>
                <w:rFonts w:ascii="宋体" w:hAnsi="宋体" w:cs="宋体" w:eastAsia="宋体" w:hint="default"/>
                <w:sz w:val="18"/>
                <w:szCs w:val="18"/>
              </w:rPr>
              <w:t>印发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年度一般企业财务报表格式的通知</w:t>
            </w:r>
            <w:r>
              <w:rPr>
                <w:rFonts w:ascii="宋体" w:hAnsi="宋体" w:cs="宋体" w:eastAsia="宋体" w:hint="default"/>
                <w:spacing w:val="-90"/>
                <w:sz w:val="18"/>
                <w:szCs w:val="18"/>
              </w:rPr>
              <w:t>》</w:t>
            </w:r>
            <w:r>
              <w:rPr>
                <w:rFonts w:ascii="宋体" w:hAnsi="宋体" w:cs="宋体" w:eastAsia="宋体" w:hint="default"/>
                <w:sz w:val="18"/>
                <w:szCs w:val="18"/>
              </w:rPr>
              <w:t>（财会</w:t>
            </w:r>
          </w:p>
          <w:p>
            <w:pPr>
              <w:pStyle w:val="TableParagraph"/>
              <w:spacing w:line="295" w:lineRule="auto" w:before="66"/>
              <w:ind w:left="15" w:right="1"/>
              <w:jc w:val="both"/>
              <w:rPr>
                <w:rFonts w:ascii="宋体" w:hAnsi="宋体" w:cs="宋体" w:eastAsia="宋体" w:hint="default"/>
                <w:sz w:val="18"/>
                <w:szCs w:val="18"/>
              </w:rPr>
            </w:pPr>
            <w:r>
              <w:rPr>
                <w:rFonts w:ascii="Times New Roman" w:hAnsi="Times New Roman" w:cs="Times New Roman" w:eastAsia="Times New Roman" w:hint="default"/>
                <w:sz w:val="18"/>
                <w:szCs w:val="18"/>
              </w:rPr>
              <w:t>[2019]6 </w:t>
            </w:r>
            <w:r>
              <w:rPr>
                <w:rFonts w:ascii="宋体" w:hAnsi="宋体" w:cs="宋体" w:eastAsia="宋体" w:hint="default"/>
                <w:sz w:val="18"/>
                <w:szCs w:val="18"/>
              </w:rPr>
              <w:t>号）和《关于修订引发合并财务报表格式（</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2"/>
                <w:sz w:val="18"/>
                <w:szCs w:val="18"/>
              </w:rPr>
              <w:t> </w:t>
            </w:r>
            <w:r>
              <w:rPr>
                <w:rFonts w:ascii="宋体" w:hAnsi="宋体" w:cs="宋体" w:eastAsia="宋体" w:hint="default"/>
                <w:spacing w:val="-5"/>
                <w:w w:val="99"/>
                <w:sz w:val="18"/>
                <w:szCs w:val="18"/>
              </w:rPr>
              <w:t>版）的通知》（财会）</w:t>
            </w:r>
            <w:r>
              <w:rPr>
                <w:rFonts w:ascii="Times New Roman" w:hAnsi="Times New Roman" w:cs="Times New Roman" w:eastAsia="Times New Roman" w:hint="default"/>
                <w:spacing w:val="-5"/>
                <w:w w:val="99"/>
                <w:sz w:val="18"/>
                <w:szCs w:val="18"/>
              </w:rPr>
              <w:t>[2019]16</w:t>
            </w:r>
            <w:r>
              <w:rPr>
                <w:rFonts w:ascii="Times New Roman" w:hAnsi="Times New Roman" w:cs="Times New Roman" w:eastAsia="Times New Roman" w:hint="default"/>
                <w:w w:val="99"/>
                <w:sz w:val="18"/>
                <w:szCs w:val="18"/>
              </w:rPr>
              <w:t> </w:t>
            </w:r>
            <w:r>
              <w:rPr>
                <w:rFonts w:ascii="宋体" w:hAnsi="宋体" w:cs="宋体" w:eastAsia="宋体" w:hint="default"/>
                <w:w w:val="99"/>
                <w:sz w:val="18"/>
                <w:szCs w:val="18"/>
              </w:rPr>
              <w:t>号，本集团已采用上述准 </w:t>
            </w:r>
            <w:r>
              <w:rPr>
                <w:rFonts w:ascii="宋体" w:hAnsi="宋体" w:cs="宋体" w:eastAsia="宋体" w:hint="default"/>
                <w:sz w:val="18"/>
                <w:szCs w:val="18"/>
              </w:rPr>
              <w:t>则和通知编制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年度财务报表。修订后非货币性资产</w:t>
            </w:r>
            <w:r>
              <w:rPr>
                <w:rFonts w:ascii="宋体" w:hAnsi="宋体" w:cs="宋体" w:eastAsia="宋体" w:hint="default"/>
                <w:w w:val="99"/>
                <w:sz w:val="18"/>
                <w:szCs w:val="18"/>
              </w:rPr>
              <w:t> </w:t>
            </w:r>
            <w:r>
              <w:rPr>
                <w:rFonts w:ascii="宋体" w:hAnsi="宋体" w:cs="宋体" w:eastAsia="宋体" w:hint="default"/>
                <w:sz w:val="18"/>
                <w:szCs w:val="18"/>
              </w:rPr>
              <w:t>交换准则及债务重组准则对本集团及本公司无显著影响，</w:t>
            </w:r>
          </w:p>
          <w:p>
            <w:pPr>
              <w:pStyle w:val="TableParagraph"/>
              <w:spacing w:line="240" w:lineRule="auto" w:before="38"/>
              <w:ind w:left="15" w:right="0"/>
              <w:jc w:val="both"/>
              <w:rPr>
                <w:rFonts w:ascii="宋体" w:hAnsi="宋体" w:cs="宋体" w:eastAsia="宋体" w:hint="default"/>
                <w:sz w:val="18"/>
                <w:szCs w:val="18"/>
              </w:rPr>
            </w:pPr>
            <w:r>
              <w:rPr>
                <w:rFonts w:ascii="宋体" w:hAnsi="宋体" w:cs="宋体" w:eastAsia="宋体" w:hint="default"/>
                <w:sz w:val="18"/>
                <w:szCs w:val="18"/>
              </w:rPr>
              <w:t>其他修订对本集团及本公司报表的影响列示如下：</w:t>
            </w:r>
          </w:p>
        </w:tc>
        <w:tc>
          <w:tcPr>
            <w:tcW w:w="3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2"/>
                <w:szCs w:val="22"/>
              </w:rPr>
            </w:pPr>
          </w:p>
          <w:p>
            <w:pPr>
              <w:pStyle w:val="TableParagraph"/>
              <w:spacing w:line="273" w:lineRule="auto"/>
              <w:ind w:left="30" w:right="-12"/>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日召开第二届董事会第三 十次会议及第二届监事会第二十次会议、</w:t>
            </w:r>
          </w:p>
          <w:p>
            <w:pPr>
              <w:pStyle w:val="TableParagraph"/>
              <w:spacing w:line="290" w:lineRule="auto" w:before="70"/>
              <w:ind w:left="30" w:right="16"/>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日召开第二届董事会第三 </w:t>
            </w:r>
            <w:r>
              <w:rPr>
                <w:rFonts w:ascii="宋体" w:hAnsi="宋体" w:cs="宋体" w:eastAsia="宋体" w:hint="default"/>
                <w:spacing w:val="-2"/>
                <w:sz w:val="18"/>
                <w:szCs w:val="18"/>
              </w:rPr>
              <w:t>十五次会议、第二届监事会第二十三次会</w:t>
            </w:r>
          </w:p>
          <w:p>
            <w:pPr>
              <w:pStyle w:val="TableParagraph"/>
              <w:spacing w:line="297" w:lineRule="auto" w:before="56"/>
              <w:ind w:left="30" w:right="16"/>
              <w:jc w:val="both"/>
              <w:rPr>
                <w:rFonts w:ascii="宋体" w:hAnsi="宋体" w:cs="宋体" w:eastAsia="宋体" w:hint="default"/>
                <w:sz w:val="18"/>
                <w:szCs w:val="18"/>
              </w:rPr>
            </w:pPr>
            <w:r>
              <w:rPr>
                <w:rFonts w:ascii="宋体" w:hAnsi="宋体" w:cs="宋体" w:eastAsia="宋体" w:hint="default"/>
                <w:spacing w:val="-13"/>
                <w:sz w:val="18"/>
                <w:szCs w:val="18"/>
              </w:rPr>
              <w:t>议、</w:t>
            </w:r>
            <w:r>
              <w:rPr>
                <w:rFonts w:ascii="Times New Roman" w:hAnsi="Times New Roman" w:cs="Times New Roman" w:eastAsia="Times New Roman" w:hint="default"/>
                <w:spacing w:val="-13"/>
                <w:sz w:val="18"/>
                <w:szCs w:val="18"/>
              </w:rPr>
              <w:t>2020</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日召开第三届董事会第 </w:t>
            </w:r>
            <w:r>
              <w:rPr>
                <w:rFonts w:ascii="宋体" w:hAnsi="宋体" w:cs="宋体" w:eastAsia="宋体" w:hint="default"/>
                <w:spacing w:val="-2"/>
                <w:sz w:val="18"/>
                <w:szCs w:val="18"/>
              </w:rPr>
              <w:t>四次会议、第三届监事会第二次会议，分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批审议通过了《关于会计政策变更的议</w:t>
            </w:r>
          </w:p>
          <w:p>
            <w:pPr>
              <w:pStyle w:val="TableParagraph"/>
              <w:spacing w:line="240" w:lineRule="auto" w:before="36"/>
              <w:ind w:left="30" w:right="0"/>
              <w:jc w:val="both"/>
              <w:rPr>
                <w:rFonts w:ascii="宋体" w:hAnsi="宋体" w:cs="宋体" w:eastAsia="宋体" w:hint="default"/>
                <w:sz w:val="18"/>
                <w:szCs w:val="18"/>
              </w:rPr>
            </w:pPr>
            <w:r>
              <w:rPr>
                <w:rFonts w:ascii="宋体" w:hAnsi="宋体" w:cs="宋体" w:eastAsia="宋体" w:hint="default"/>
                <w:sz w:val="18"/>
                <w:szCs w:val="18"/>
              </w:rPr>
              <w:t>案》</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321" w:lineRule="auto"/>
              <w:ind w:left="15" w:right="120"/>
              <w:jc w:val="left"/>
              <w:rPr>
                <w:rFonts w:ascii="宋体" w:hAnsi="宋体" w:cs="宋体" w:eastAsia="宋体" w:hint="default"/>
                <w:sz w:val="18"/>
                <w:szCs w:val="18"/>
              </w:rPr>
            </w:pPr>
            <w:r>
              <w:rPr>
                <w:rFonts w:ascii="宋体" w:hAnsi="宋体" w:cs="宋体" w:eastAsia="宋体" w:hint="default"/>
                <w:sz w:val="18"/>
                <w:szCs w:val="18"/>
              </w:rPr>
              <w:t>具体内容详见以下说 明</w:t>
            </w:r>
          </w:p>
        </w:tc>
      </w:tr>
    </w:tbl>
    <w:p>
      <w:pPr>
        <w:spacing w:line="240" w:lineRule="auto" w:before="11"/>
        <w:rPr>
          <w:rFonts w:ascii="宋体" w:hAnsi="宋体" w:cs="宋体" w:eastAsia="宋体" w:hint="default"/>
          <w:b/>
          <w:bCs/>
          <w:sz w:val="21"/>
          <w:szCs w:val="21"/>
        </w:rPr>
      </w:pPr>
    </w:p>
    <w:p>
      <w:pPr>
        <w:pStyle w:val="BodyText"/>
        <w:spacing w:line="240" w:lineRule="auto" w:before="44"/>
        <w:ind w:left="216" w:right="1105"/>
        <w:jc w:val="left"/>
      </w:pPr>
      <w:r>
        <w:rPr>
          <w:rFonts w:ascii="Times New Roman" w:hAnsi="Times New Roman" w:cs="Times New Roman" w:eastAsia="Times New Roman" w:hint="default"/>
        </w:rPr>
        <w:t>(a)  </w:t>
      </w:r>
      <w:r>
        <w:rPr>
          <w:rFonts w:ascii="Times New Roman" w:hAnsi="Times New Roman" w:cs="Times New Roman" w:eastAsia="Times New Roman" w:hint="default"/>
          <w:spacing w:val="9"/>
        </w:rPr>
        <w:t> </w:t>
      </w:r>
      <w:r>
        <w:rPr/>
        <w:t>一般企业报表格式的修改</w:t>
      </w:r>
    </w:p>
    <w:p>
      <w:pPr>
        <w:spacing w:line="240" w:lineRule="auto" w:before="0"/>
        <w:rPr>
          <w:rFonts w:ascii="宋体" w:hAnsi="宋体" w:cs="宋体" w:eastAsia="宋体" w:hint="default"/>
          <w:sz w:val="18"/>
          <w:szCs w:val="18"/>
        </w:rPr>
      </w:pPr>
    </w:p>
    <w:p>
      <w:pPr>
        <w:pStyle w:val="BodyText"/>
        <w:tabs>
          <w:tab w:pos="561" w:val="left" w:leader="none"/>
        </w:tabs>
        <w:spacing w:line="240" w:lineRule="auto" w:before="145"/>
        <w:ind w:right="1105"/>
        <w:jc w:val="left"/>
      </w:pPr>
      <w:r>
        <w:rPr>
          <w:rFonts w:ascii="Times New Roman" w:hAnsi="Times New Roman" w:cs="Times New Roman" w:eastAsia="Times New Roman" w:hint="default"/>
          <w:spacing w:val="-2"/>
        </w:rPr>
        <w:t>(i)</w:t>
        <w:tab/>
      </w:r>
      <w:r>
        <w:rPr/>
        <w:t>对合并资产负债表的影响列示如下：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4175"/>
        <w:gridCol w:w="2553"/>
        <w:gridCol w:w="2943"/>
      </w:tblGrid>
      <w:tr>
        <w:trPr>
          <w:trHeight w:val="345" w:hRule="exact"/>
        </w:trPr>
        <w:tc>
          <w:tcPr>
            <w:tcW w:w="4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日影响金额</w:t>
            </w:r>
          </w:p>
        </w:tc>
      </w:tr>
      <w:tr>
        <w:trPr>
          <w:trHeight w:val="435" w:hRule="exact"/>
        </w:trPr>
        <w:tc>
          <w:tcPr>
            <w:tcW w:w="4175" w:type="dxa"/>
            <w:vMerge w:val="restart"/>
            <w:tcBorders>
              <w:top w:val="single" w:sz="6" w:space="0" w:color="000000"/>
              <w:left w:val="single" w:sz="6" w:space="0" w:color="000000"/>
              <w:right w:val="single" w:sz="6" w:space="0" w:color="000000"/>
            </w:tcBorders>
          </w:tcPr>
          <w:p>
            <w:pPr>
              <w:pStyle w:val="TableParagraph"/>
              <w:spacing w:line="321" w:lineRule="auto" w:before="14"/>
              <w:ind w:left="15" w:right="3"/>
              <w:jc w:val="left"/>
              <w:rPr>
                <w:rFonts w:ascii="宋体" w:hAnsi="宋体" w:cs="宋体" w:eastAsia="宋体" w:hint="default"/>
                <w:sz w:val="18"/>
                <w:szCs w:val="18"/>
              </w:rPr>
            </w:pPr>
            <w:r>
              <w:rPr>
                <w:rFonts w:ascii="宋体" w:hAnsi="宋体" w:cs="宋体" w:eastAsia="宋体" w:hint="default"/>
                <w:sz w:val="18"/>
                <w:szCs w:val="18"/>
              </w:rPr>
              <w:t>本集团将应收票据及应收账款项目分拆为应收账款项 目和应收票据项目。</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1,422,555,177.11</w:t>
            </w:r>
          </w:p>
        </w:tc>
      </w:tr>
      <w:tr>
        <w:trPr>
          <w:trHeight w:val="421" w:hRule="exact"/>
        </w:trPr>
        <w:tc>
          <w:tcPr>
            <w:tcW w:w="4175" w:type="dxa"/>
            <w:vMerge/>
            <w:tcBorders>
              <w:left w:val="single" w:sz="6" w:space="0" w:color="000000"/>
              <w:right w:val="single" w:sz="6" w:space="0" w:color="000000"/>
            </w:tcBorders>
          </w:tcPr>
          <w:p>
            <w:pP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108,303,954.53</w:t>
            </w:r>
          </w:p>
        </w:tc>
      </w:tr>
      <w:tr>
        <w:trPr>
          <w:trHeight w:val="435" w:hRule="exact"/>
        </w:trPr>
        <w:tc>
          <w:tcPr>
            <w:tcW w:w="4175" w:type="dxa"/>
            <w:vMerge/>
            <w:tcBorders>
              <w:left w:val="single" w:sz="6" w:space="0" w:color="000000"/>
              <w:bottom w:val="single" w:sz="6" w:space="0" w:color="000000"/>
              <w:right w:val="single" w:sz="6" w:space="0" w:color="000000"/>
            </w:tcBorders>
          </w:tcPr>
          <w:p>
            <w:pP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w w:val="95"/>
                <w:sz w:val="18"/>
              </w:rPr>
              <w:t>-1,530,859,131.64</w:t>
            </w:r>
            <w:r>
              <w:rPr>
                <w:rFonts w:ascii="Times New Roman"/>
                <w:sz w:val="18"/>
              </w:rPr>
            </w:r>
          </w:p>
        </w:tc>
      </w:tr>
      <w:tr>
        <w:trPr>
          <w:trHeight w:val="420" w:hRule="exact"/>
        </w:trPr>
        <w:tc>
          <w:tcPr>
            <w:tcW w:w="41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本集团将应付票据及应付账款项目分拆为应付账款项</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437,160,478.14</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4175"/>
        <w:gridCol w:w="2553"/>
        <w:gridCol w:w="2943"/>
      </w:tblGrid>
      <w:tr>
        <w:trPr>
          <w:trHeight w:val="420" w:hRule="exact"/>
        </w:trPr>
        <w:tc>
          <w:tcPr>
            <w:tcW w:w="4175" w:type="dxa"/>
            <w:vMerge w:val="restart"/>
            <w:tcBorders>
              <w:top w:val="single" w:sz="6" w:space="0" w:color="000000"/>
              <w:left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目和应付票据项目。</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4,700,000.00</w:t>
            </w:r>
          </w:p>
        </w:tc>
      </w:tr>
      <w:tr>
        <w:trPr>
          <w:trHeight w:val="435" w:hRule="exact"/>
        </w:trPr>
        <w:tc>
          <w:tcPr>
            <w:tcW w:w="4175" w:type="dxa"/>
            <w:vMerge/>
            <w:tcBorders>
              <w:left w:val="single" w:sz="6" w:space="0" w:color="000000"/>
              <w:bottom w:val="single" w:sz="6" w:space="0" w:color="000000"/>
              <w:right w:val="single" w:sz="6" w:space="0" w:color="000000"/>
            </w:tcBorders>
          </w:tcPr>
          <w:p>
            <w:pP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w w:val="95"/>
                <w:sz w:val="18"/>
              </w:rPr>
              <w:t>-441,860,478.14</w:t>
            </w:r>
            <w:r>
              <w:rPr>
                <w:rFonts w:ascii="Times New Roman"/>
                <w:sz w:val="18"/>
              </w:rPr>
            </w:r>
          </w:p>
        </w:tc>
      </w:tr>
    </w:tbl>
    <w:p>
      <w:pPr>
        <w:pStyle w:val="BodyText"/>
        <w:tabs>
          <w:tab w:pos="561" w:val="left" w:leader="none"/>
        </w:tabs>
        <w:spacing w:line="240" w:lineRule="auto" w:before="14"/>
        <w:ind w:right="1105"/>
        <w:jc w:val="left"/>
      </w:pPr>
      <w:r>
        <w:rPr>
          <w:rFonts w:ascii="Times New Roman" w:hAnsi="Times New Roman" w:cs="Times New Roman" w:eastAsia="Times New Roman" w:hint="default"/>
          <w:spacing w:val="-3"/>
        </w:rPr>
        <w:t>(ii)</w:t>
        <w:tab/>
      </w:r>
      <w:r>
        <w:rPr/>
        <w:t>对公司资产负债表的影响列示如下：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4175"/>
        <w:gridCol w:w="2553"/>
        <w:gridCol w:w="2943"/>
      </w:tblGrid>
      <w:tr>
        <w:trPr>
          <w:trHeight w:val="345" w:hRule="exact"/>
        </w:trPr>
        <w:tc>
          <w:tcPr>
            <w:tcW w:w="4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日影响金额</w:t>
            </w:r>
          </w:p>
        </w:tc>
      </w:tr>
      <w:tr>
        <w:trPr>
          <w:trHeight w:val="435" w:hRule="exact"/>
        </w:trPr>
        <w:tc>
          <w:tcPr>
            <w:tcW w:w="4175" w:type="dxa"/>
            <w:vMerge w:val="restart"/>
            <w:tcBorders>
              <w:top w:val="single" w:sz="6" w:space="0" w:color="000000"/>
              <w:left w:val="single" w:sz="6" w:space="0" w:color="000000"/>
              <w:right w:val="single" w:sz="6" w:space="0" w:color="000000"/>
            </w:tcBorders>
          </w:tcPr>
          <w:p>
            <w:pPr>
              <w:pStyle w:val="TableParagraph"/>
              <w:spacing w:line="321" w:lineRule="auto" w:before="15"/>
              <w:ind w:left="15" w:right="3"/>
              <w:jc w:val="left"/>
              <w:rPr>
                <w:rFonts w:ascii="宋体" w:hAnsi="宋体" w:cs="宋体" w:eastAsia="宋体" w:hint="default"/>
                <w:sz w:val="18"/>
                <w:szCs w:val="18"/>
              </w:rPr>
            </w:pPr>
            <w:r>
              <w:rPr>
                <w:rFonts w:ascii="宋体" w:hAnsi="宋体" w:cs="宋体" w:eastAsia="宋体" w:hint="default"/>
                <w:sz w:val="18"/>
                <w:szCs w:val="18"/>
              </w:rPr>
              <w:t>本公司将应收票据及应收账款项目分拆为应收账款项 目和应收款项票据项目。</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832,820,119.95</w:t>
            </w:r>
          </w:p>
        </w:tc>
      </w:tr>
      <w:tr>
        <w:trPr>
          <w:trHeight w:val="421" w:hRule="exact"/>
        </w:trPr>
        <w:tc>
          <w:tcPr>
            <w:tcW w:w="4175" w:type="dxa"/>
            <w:vMerge/>
            <w:tcBorders>
              <w:left w:val="single" w:sz="6" w:space="0" w:color="000000"/>
              <w:right w:val="single" w:sz="6" w:space="0" w:color="000000"/>
            </w:tcBorders>
          </w:tcPr>
          <w:p>
            <w:pP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42,249,473.53</w:t>
            </w:r>
          </w:p>
        </w:tc>
      </w:tr>
      <w:tr>
        <w:trPr>
          <w:trHeight w:val="435" w:hRule="exact"/>
        </w:trPr>
        <w:tc>
          <w:tcPr>
            <w:tcW w:w="4175" w:type="dxa"/>
            <w:vMerge/>
            <w:tcBorders>
              <w:left w:val="single" w:sz="6" w:space="0" w:color="000000"/>
              <w:bottom w:val="single" w:sz="6" w:space="0" w:color="000000"/>
              <w:right w:val="single" w:sz="6" w:space="0" w:color="000000"/>
            </w:tcBorders>
          </w:tcPr>
          <w:p>
            <w:pP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w w:val="95"/>
                <w:sz w:val="18"/>
              </w:rPr>
              <w:t>-875,069,593.48</w:t>
            </w:r>
            <w:r>
              <w:rPr>
                <w:rFonts w:ascii="Times New Roman"/>
                <w:sz w:val="18"/>
              </w:rPr>
            </w:r>
          </w:p>
        </w:tc>
      </w:tr>
      <w:tr>
        <w:trPr>
          <w:trHeight w:val="420" w:hRule="exact"/>
        </w:trPr>
        <w:tc>
          <w:tcPr>
            <w:tcW w:w="4175" w:type="dxa"/>
            <w:vMerge w:val="restart"/>
            <w:tcBorders>
              <w:top w:val="single" w:sz="6" w:space="0" w:color="000000"/>
              <w:left w:val="single" w:sz="6" w:space="0" w:color="000000"/>
              <w:right w:val="single" w:sz="6" w:space="0" w:color="000000"/>
            </w:tcBorders>
          </w:tcPr>
          <w:p>
            <w:pPr>
              <w:pStyle w:val="TableParagraph"/>
              <w:spacing w:line="307" w:lineRule="auto" w:before="14"/>
              <w:ind w:left="15" w:right="3"/>
              <w:jc w:val="left"/>
              <w:rPr>
                <w:rFonts w:ascii="宋体" w:hAnsi="宋体" w:cs="宋体" w:eastAsia="宋体" w:hint="default"/>
                <w:sz w:val="18"/>
                <w:szCs w:val="18"/>
              </w:rPr>
            </w:pPr>
            <w:r>
              <w:rPr>
                <w:rFonts w:ascii="宋体" w:hAnsi="宋体" w:cs="宋体" w:eastAsia="宋体" w:hint="default"/>
                <w:sz w:val="18"/>
                <w:szCs w:val="18"/>
              </w:rPr>
              <w:t>本公司将应付票据及应付账款项目分拆为应付账款项 目和应付票据项目。</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214,572,721.10</w:t>
            </w:r>
          </w:p>
        </w:tc>
      </w:tr>
      <w:tr>
        <w:trPr>
          <w:trHeight w:val="436" w:hRule="exact"/>
        </w:trPr>
        <w:tc>
          <w:tcPr>
            <w:tcW w:w="4175" w:type="dxa"/>
            <w:vMerge/>
            <w:tcBorders>
              <w:left w:val="single" w:sz="6" w:space="0" w:color="000000"/>
              <w:right w:val="single" w:sz="6" w:space="0" w:color="000000"/>
            </w:tcBorders>
          </w:tcPr>
          <w:p>
            <w:pP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943" w:type="dxa"/>
            <w:tcBorders>
              <w:top w:val="single" w:sz="6" w:space="0" w:color="000000"/>
              <w:left w:val="single" w:sz="6" w:space="0" w:color="000000"/>
              <w:bottom w:val="single" w:sz="6" w:space="0" w:color="000000"/>
              <w:right w:val="single" w:sz="6" w:space="0" w:color="000000"/>
            </w:tcBorders>
          </w:tcPr>
          <w:p>
            <w:pPr/>
          </w:p>
        </w:tc>
      </w:tr>
      <w:tr>
        <w:trPr>
          <w:trHeight w:val="421" w:hRule="exact"/>
        </w:trPr>
        <w:tc>
          <w:tcPr>
            <w:tcW w:w="4175" w:type="dxa"/>
            <w:vMerge/>
            <w:tcBorders>
              <w:left w:val="single" w:sz="6" w:space="0" w:color="000000"/>
              <w:bottom w:val="single" w:sz="6" w:space="0" w:color="000000"/>
              <w:right w:val="single" w:sz="6" w:space="0" w:color="000000"/>
            </w:tcBorders>
          </w:tcPr>
          <w:p>
            <w:pP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-214,572,721.10</w:t>
            </w:r>
            <w:r>
              <w:rPr>
                <w:rFonts w:ascii="Times New Roman"/>
                <w:sz w:val="18"/>
              </w:rPr>
            </w:r>
          </w:p>
        </w:tc>
      </w:tr>
    </w:tbl>
    <w:p>
      <w:pPr>
        <w:spacing w:line="240" w:lineRule="auto" w:before="11"/>
        <w:rPr>
          <w:rFonts w:ascii="宋体" w:hAnsi="宋体" w:cs="宋体" w:eastAsia="宋体" w:hint="default"/>
          <w:sz w:val="21"/>
          <w:szCs w:val="21"/>
        </w:rPr>
      </w:pPr>
    </w:p>
    <w:p>
      <w:pPr>
        <w:pStyle w:val="BodyText"/>
        <w:spacing w:line="240" w:lineRule="auto" w:before="44"/>
        <w:ind w:right="1105"/>
        <w:jc w:val="left"/>
      </w:pPr>
      <w:r>
        <w:rPr>
          <w:rFonts w:ascii="Times New Roman" w:hAnsi="Times New Roman" w:cs="Times New Roman" w:eastAsia="Times New Roman" w:hint="default"/>
        </w:rPr>
        <w:t>(b)</w:t>
      </w:r>
      <w:r>
        <w:rPr/>
        <w:t>金融工具</w:t>
      </w:r>
    </w:p>
    <w:p>
      <w:pPr>
        <w:spacing w:line="240" w:lineRule="auto" w:before="0"/>
        <w:rPr>
          <w:rFonts w:ascii="宋体" w:hAnsi="宋体" w:cs="宋体" w:eastAsia="宋体" w:hint="default"/>
          <w:sz w:val="18"/>
          <w:szCs w:val="18"/>
        </w:rPr>
      </w:pPr>
    </w:p>
    <w:p>
      <w:pPr>
        <w:pStyle w:val="BodyText"/>
        <w:spacing w:line="273" w:lineRule="auto" w:before="146"/>
        <w:ind w:right="1105"/>
        <w:jc w:val="left"/>
      </w:pPr>
      <w:r>
        <w:rPr>
          <w:rFonts w:ascii="Times New Roman" w:hAnsi="Times New Roman" w:cs="Times New Roman" w:eastAsia="Times New Roman" w:hint="default"/>
          <w:spacing w:val="-2"/>
          <w:w w:val="99"/>
        </w:rPr>
        <w:t>(i)</w:t>
      </w:r>
      <w:r>
        <w:rPr>
          <w:spacing w:val="-2"/>
          <w:w w:val="99"/>
        </w:rPr>
        <w:t>于</w:t>
      </w:r>
      <w:r>
        <w:rPr>
          <w:rFonts w:ascii="Times New Roman" w:hAnsi="Times New Roman" w:cs="Times New Roman" w:eastAsia="Times New Roman" w:hint="default"/>
          <w:spacing w:val="-2"/>
          <w:w w:val="99"/>
        </w:rPr>
        <w:t>2019</w:t>
      </w:r>
      <w:r>
        <w:rPr>
          <w:spacing w:val="-2"/>
          <w:w w:val="99"/>
        </w:rPr>
        <w:t>年</w:t>
      </w:r>
      <w:r>
        <w:rPr>
          <w:rFonts w:ascii="Times New Roman" w:hAnsi="Times New Roman" w:cs="Times New Roman" w:eastAsia="Times New Roman" w:hint="default"/>
          <w:spacing w:val="-2"/>
          <w:w w:val="99"/>
        </w:rPr>
        <w:t>1</w:t>
      </w:r>
      <w:r>
        <w:rPr>
          <w:spacing w:val="-2"/>
          <w:w w:val="99"/>
        </w:rPr>
        <w:t>月</w:t>
      </w:r>
      <w:r>
        <w:rPr>
          <w:rFonts w:ascii="Times New Roman" w:hAnsi="Times New Roman" w:cs="Times New Roman" w:eastAsia="Times New Roman" w:hint="default"/>
          <w:spacing w:val="-2"/>
          <w:w w:val="99"/>
        </w:rPr>
        <w:t>1</w:t>
      </w:r>
      <w:r>
        <w:rPr>
          <w:spacing w:val="-2"/>
          <w:w w:val="99"/>
        </w:rPr>
        <w:t>日，本集团合并财务报表中金融资产按照原金融工具准则和新金融工具准则的规定进行分类和计量的结果对</w:t>
      </w:r>
      <w:r>
        <w:rPr>
          <w:spacing w:val="-53"/>
          <w:w w:val="99"/>
        </w:rPr>
        <w:t> </w:t>
      </w:r>
      <w:r>
        <w:rPr>
          <w:spacing w:val="-53"/>
          <w:w w:val="99"/>
        </w:rPr>
      </w:r>
      <w:r>
        <w:rPr/>
        <w:t>比表：</w:t>
      </w:r>
    </w:p>
    <w:p>
      <w:pPr>
        <w:spacing w:line="240" w:lineRule="auto" w:before="3"/>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1382"/>
        <w:gridCol w:w="1457"/>
        <w:gridCol w:w="1667"/>
        <w:gridCol w:w="1562"/>
        <w:gridCol w:w="1938"/>
        <w:gridCol w:w="1667"/>
      </w:tblGrid>
      <w:tr>
        <w:trPr>
          <w:trHeight w:val="345" w:hRule="exact"/>
        </w:trPr>
        <w:tc>
          <w:tcPr>
            <w:tcW w:w="45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51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73"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45"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05"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00"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36"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1,302,866,699.75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1,302,866,699.75</w:t>
            </w:r>
          </w:p>
        </w:tc>
      </w:tr>
      <w:tr>
        <w:trPr>
          <w:trHeight w:val="1592"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14"/>
              <w:jc w:val="both"/>
              <w:rPr>
                <w:rFonts w:ascii="宋体" w:hAnsi="宋体" w:cs="宋体" w:eastAsia="宋体" w:hint="default"/>
                <w:sz w:val="18"/>
                <w:szCs w:val="18"/>
              </w:rPr>
            </w:pPr>
            <w:r>
              <w:rPr>
                <w:rFonts w:ascii="宋体" w:hAnsi="宋体" w:cs="宋体" w:eastAsia="宋体" w:hint="default"/>
                <w:spacing w:val="15"/>
                <w:sz w:val="18"/>
                <w:szCs w:val="18"/>
              </w:rPr>
              <w:t>以公允价值计量 且其变动计入当 期损益的金融资 产（含其他非流 </w:t>
            </w:r>
            <w:r>
              <w:rPr>
                <w:rFonts w:ascii="宋体" w:hAnsi="宋体" w:cs="宋体" w:eastAsia="宋体" w:hint="default"/>
                <w:sz w:val="18"/>
                <w:szCs w:val="18"/>
              </w:rPr>
              <w:t>动资产）</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31"/>
              <w:jc w:val="both"/>
              <w:rPr>
                <w:rFonts w:ascii="宋体" w:hAnsi="宋体" w:cs="宋体" w:eastAsia="宋体" w:hint="default"/>
                <w:sz w:val="18"/>
                <w:szCs w:val="18"/>
              </w:rPr>
            </w:pPr>
            <w:r>
              <w:rPr>
                <w:rFonts w:ascii="宋体" w:hAnsi="宋体" w:cs="宋体" w:eastAsia="宋体" w:hint="default"/>
                <w:spacing w:val="25"/>
                <w:sz w:val="18"/>
                <w:szCs w:val="18"/>
              </w:rPr>
              <w:t>以公允价值计量</w:t>
            </w:r>
            <w:r>
              <w:rPr>
                <w:rFonts w:ascii="宋体" w:hAnsi="宋体" w:cs="宋体" w:eastAsia="宋体" w:hint="default"/>
                <w:spacing w:val="-85"/>
                <w:sz w:val="18"/>
                <w:szCs w:val="18"/>
              </w:rPr>
              <w:t> </w:t>
            </w:r>
            <w:r>
              <w:rPr>
                <w:rFonts w:ascii="宋体" w:hAnsi="宋体" w:cs="宋体" w:eastAsia="宋体" w:hint="default"/>
                <w:spacing w:val="25"/>
                <w:sz w:val="18"/>
                <w:szCs w:val="18"/>
              </w:rPr>
              <w:t>且其变动计入当</w:t>
            </w:r>
            <w:r>
              <w:rPr>
                <w:rFonts w:ascii="宋体" w:hAnsi="宋体" w:cs="宋体" w:eastAsia="宋体" w:hint="default"/>
                <w:spacing w:val="-85"/>
                <w:sz w:val="18"/>
                <w:szCs w:val="18"/>
              </w:rPr>
              <w:t> </w:t>
            </w:r>
            <w:r>
              <w:rPr>
                <w:rFonts w:ascii="宋体" w:hAnsi="宋体" w:cs="宋体" w:eastAsia="宋体" w:hint="default"/>
                <w:sz w:val="18"/>
                <w:szCs w:val="18"/>
              </w:rPr>
              <w:t>期损益</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90,007,207.97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0"/>
              <w:jc w:val="left"/>
              <w:rPr>
                <w:rFonts w:ascii="宋体" w:hAnsi="宋体" w:cs="宋体" w:eastAsia="宋体" w:hint="default"/>
                <w:sz w:val="18"/>
                <w:szCs w:val="18"/>
              </w:rPr>
            </w:pPr>
            <w:r>
              <w:rPr>
                <w:rFonts w:ascii="宋体" w:hAnsi="宋体" w:cs="宋体" w:eastAsia="宋体" w:hint="default"/>
                <w:spacing w:val="13"/>
                <w:sz w:val="18"/>
                <w:szCs w:val="18"/>
              </w:rPr>
              <w:t>其他非流动金融资</w:t>
            </w:r>
            <w:r>
              <w:rPr>
                <w:rFonts w:ascii="宋体" w:hAnsi="宋体" w:cs="宋体" w:eastAsia="宋体" w:hint="default"/>
                <w:sz w:val="18"/>
                <w:szCs w:val="18"/>
              </w:rPr>
              <w:t> 产</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11"/>
              <w:jc w:val="left"/>
              <w:rPr>
                <w:rFonts w:ascii="宋体" w:hAnsi="宋体" w:cs="宋体" w:eastAsia="宋体" w:hint="default"/>
                <w:sz w:val="18"/>
                <w:szCs w:val="18"/>
              </w:rPr>
            </w:pPr>
            <w:r>
              <w:rPr>
                <w:rFonts w:ascii="宋体" w:hAnsi="宋体" w:cs="宋体" w:eastAsia="宋体" w:hint="default"/>
                <w:spacing w:val="11"/>
                <w:sz w:val="18"/>
                <w:szCs w:val="18"/>
              </w:rPr>
              <w:t>以公允价值计量且其变</w:t>
            </w:r>
            <w:r>
              <w:rPr>
                <w:rFonts w:ascii="宋体" w:hAnsi="宋体" w:cs="宋体" w:eastAsia="宋体" w:hint="default"/>
                <w:sz w:val="18"/>
                <w:szCs w:val="18"/>
              </w:rPr>
              <w:t> 动计入当期损益</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90,007,207.97</w:t>
            </w:r>
          </w:p>
        </w:tc>
      </w:tr>
      <w:tr>
        <w:trPr>
          <w:trHeight w:val="435"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1"/>
              <w:jc w:val="right"/>
              <w:rPr>
                <w:rFonts w:ascii="Times New Roman" w:hAnsi="Times New Roman" w:cs="Times New Roman" w:eastAsia="Times New Roman" w:hint="default"/>
                <w:sz w:val="18"/>
                <w:szCs w:val="18"/>
              </w:rPr>
            </w:pPr>
            <w:r>
              <w:rPr>
                <w:rFonts w:ascii="Times New Roman"/>
                <w:sz w:val="18"/>
              </w:rPr>
              <w:t>108,303,954.53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1"/>
              <w:jc w:val="right"/>
              <w:rPr>
                <w:rFonts w:ascii="Times New Roman" w:hAnsi="Times New Roman" w:cs="Times New Roman" w:eastAsia="Times New Roman" w:hint="default"/>
                <w:sz w:val="18"/>
                <w:szCs w:val="18"/>
              </w:rPr>
            </w:pPr>
            <w:r>
              <w:rPr>
                <w:rFonts w:ascii="Times New Roman"/>
                <w:sz w:val="18"/>
              </w:rPr>
              <w:t>108,303,954.53</w:t>
            </w:r>
          </w:p>
        </w:tc>
      </w:tr>
      <w:tr>
        <w:trPr>
          <w:trHeight w:val="420"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1,422,555,177.11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1,422,555,177.11</w:t>
            </w:r>
          </w:p>
        </w:tc>
      </w:tr>
      <w:tr>
        <w:trPr>
          <w:trHeight w:val="436"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51,954,289.91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51,954,289.91</w:t>
            </w:r>
          </w:p>
        </w:tc>
      </w:tr>
      <w:tr>
        <w:trPr>
          <w:trHeight w:val="1276"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14"/>
              <w:jc w:val="left"/>
              <w:rPr>
                <w:rFonts w:ascii="宋体" w:hAnsi="宋体" w:cs="宋体" w:eastAsia="宋体" w:hint="default"/>
                <w:sz w:val="18"/>
                <w:szCs w:val="18"/>
              </w:rPr>
            </w:pPr>
            <w:r>
              <w:rPr>
                <w:rFonts w:ascii="宋体" w:hAnsi="宋体" w:cs="宋体" w:eastAsia="宋体" w:hint="default"/>
                <w:spacing w:val="15"/>
                <w:sz w:val="18"/>
                <w:szCs w:val="18"/>
              </w:rPr>
              <w:t>可供出售金融资 </w:t>
            </w:r>
            <w:r>
              <w:rPr>
                <w:rFonts w:ascii="宋体" w:hAnsi="宋体" w:cs="宋体" w:eastAsia="宋体" w:hint="default"/>
                <w:sz w:val="18"/>
                <w:szCs w:val="18"/>
              </w:rPr>
              <w:t>产</w:t>
            </w:r>
          </w:p>
          <w:p>
            <w:pPr>
              <w:pStyle w:val="TableParagraph"/>
              <w:spacing w:line="321" w:lineRule="auto" w:before="19"/>
              <w:ind w:left="15" w:right="-14"/>
              <w:jc w:val="left"/>
              <w:rPr>
                <w:rFonts w:ascii="宋体" w:hAnsi="宋体" w:cs="宋体" w:eastAsia="宋体" w:hint="default"/>
                <w:sz w:val="18"/>
                <w:szCs w:val="18"/>
              </w:rPr>
            </w:pPr>
            <w:r>
              <w:rPr>
                <w:rFonts w:ascii="宋体" w:hAnsi="宋体" w:cs="宋体" w:eastAsia="宋体" w:hint="default"/>
                <w:spacing w:val="15"/>
                <w:sz w:val="18"/>
                <w:szCs w:val="18"/>
              </w:rPr>
              <w:t>（含其他流动资 </w:t>
            </w:r>
            <w:r>
              <w:rPr>
                <w:rFonts w:ascii="宋体" w:hAnsi="宋体" w:cs="宋体" w:eastAsia="宋体" w:hint="default"/>
                <w:sz w:val="18"/>
                <w:szCs w:val="18"/>
              </w:rPr>
              <w:t>产）</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31"/>
              <w:jc w:val="both"/>
              <w:rPr>
                <w:rFonts w:ascii="宋体" w:hAnsi="宋体" w:cs="宋体" w:eastAsia="宋体" w:hint="default"/>
                <w:sz w:val="18"/>
                <w:szCs w:val="18"/>
              </w:rPr>
            </w:pPr>
            <w:r>
              <w:rPr>
                <w:rFonts w:ascii="宋体" w:hAnsi="宋体" w:cs="宋体" w:eastAsia="宋体" w:hint="default"/>
                <w:spacing w:val="25"/>
                <w:sz w:val="18"/>
                <w:szCs w:val="18"/>
              </w:rPr>
              <w:t>以公允价值计量</w:t>
            </w:r>
            <w:r>
              <w:rPr>
                <w:rFonts w:ascii="宋体" w:hAnsi="宋体" w:cs="宋体" w:eastAsia="宋体" w:hint="default"/>
                <w:spacing w:val="-85"/>
                <w:sz w:val="18"/>
                <w:szCs w:val="18"/>
              </w:rPr>
              <w:t> </w:t>
            </w:r>
            <w:r>
              <w:rPr>
                <w:rFonts w:ascii="宋体" w:hAnsi="宋体" w:cs="宋体" w:eastAsia="宋体" w:hint="default"/>
                <w:spacing w:val="25"/>
                <w:sz w:val="18"/>
                <w:szCs w:val="18"/>
              </w:rPr>
              <w:t>且其变动计入其</w:t>
            </w:r>
            <w:r>
              <w:rPr>
                <w:rFonts w:ascii="宋体" w:hAnsi="宋体" w:cs="宋体" w:eastAsia="宋体" w:hint="default"/>
                <w:spacing w:val="-85"/>
                <w:sz w:val="18"/>
                <w:szCs w:val="18"/>
              </w:rPr>
              <w:t> </w:t>
            </w:r>
            <w:r>
              <w:rPr>
                <w:rFonts w:ascii="宋体" w:hAnsi="宋体" w:cs="宋体" w:eastAsia="宋体" w:hint="default"/>
                <w:sz w:val="18"/>
                <w:szCs w:val="18"/>
              </w:rPr>
              <w:t>他综合收益</w:t>
            </w:r>
          </w:p>
          <w:p>
            <w:pPr>
              <w:pStyle w:val="TableParagraph"/>
              <w:spacing w:line="240" w:lineRule="auto" w:before="18"/>
              <w:ind w:right="0"/>
              <w:jc w:val="both"/>
              <w:rPr>
                <w:rFonts w:ascii="宋体" w:hAnsi="宋体" w:cs="宋体" w:eastAsia="宋体" w:hint="default"/>
                <w:sz w:val="18"/>
                <w:szCs w:val="18"/>
              </w:rPr>
            </w:pPr>
            <w:r>
              <w:rPr>
                <w:rFonts w:ascii="宋体" w:hAnsi="宋体" w:cs="宋体" w:eastAsia="宋体" w:hint="default"/>
                <w:sz w:val="18"/>
                <w:szCs w:val="18"/>
              </w:rPr>
              <w:t>（权益工具）</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201,509,166.66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11"/>
              <w:jc w:val="left"/>
              <w:rPr>
                <w:rFonts w:ascii="宋体" w:hAnsi="宋体" w:cs="宋体" w:eastAsia="宋体" w:hint="default"/>
                <w:sz w:val="18"/>
                <w:szCs w:val="18"/>
              </w:rPr>
            </w:pPr>
            <w:r>
              <w:rPr>
                <w:rFonts w:ascii="宋体" w:hAnsi="宋体" w:cs="宋体" w:eastAsia="宋体" w:hint="default"/>
                <w:spacing w:val="11"/>
                <w:sz w:val="18"/>
                <w:szCs w:val="18"/>
              </w:rPr>
              <w:t>以公允价值计量且其变</w:t>
            </w:r>
            <w:r>
              <w:rPr>
                <w:rFonts w:ascii="宋体" w:hAnsi="宋体" w:cs="宋体" w:eastAsia="宋体" w:hint="default"/>
                <w:sz w:val="18"/>
                <w:szCs w:val="18"/>
              </w:rPr>
              <w:t> 动计入当期损益</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201,509,166.66</w:t>
            </w:r>
          </w:p>
        </w:tc>
      </w:tr>
    </w:tbl>
    <w:p>
      <w:pPr>
        <w:pStyle w:val="BodyText"/>
        <w:spacing w:line="240" w:lineRule="auto" w:before="15"/>
        <w:ind w:right="1105"/>
        <w:jc w:val="left"/>
      </w:pPr>
      <w:r>
        <w:rPr>
          <w:rFonts w:ascii="Times New Roman" w:hAnsi="Times New Roman" w:cs="Times New Roman" w:eastAsia="Times New Roman" w:hint="default"/>
        </w:rPr>
        <w:t>(i)</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日，本公司财务报表执行新金融工具准则调整执行当年年初财务报表相关项目情况：</w:t>
      </w:r>
    </w:p>
    <w:p>
      <w:pPr>
        <w:spacing w:line="240" w:lineRule="auto" w:before="0"/>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1382"/>
        <w:gridCol w:w="1097"/>
        <w:gridCol w:w="2027"/>
        <w:gridCol w:w="1562"/>
        <w:gridCol w:w="1412"/>
        <w:gridCol w:w="2193"/>
      </w:tblGrid>
      <w:tr>
        <w:trPr>
          <w:trHeight w:val="345" w:hRule="exact"/>
        </w:trPr>
        <w:tc>
          <w:tcPr>
            <w:tcW w:w="45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51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73"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45"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20"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885" w:right="0"/>
              <w:jc w:val="left"/>
              <w:rPr>
                <w:rFonts w:ascii="Times New Roman" w:hAnsi="Times New Roman" w:cs="Times New Roman" w:eastAsia="Times New Roman" w:hint="default"/>
                <w:sz w:val="18"/>
                <w:szCs w:val="18"/>
              </w:rPr>
            </w:pPr>
            <w:r>
              <w:rPr>
                <w:rFonts w:ascii="Times New Roman"/>
                <w:sz w:val="18"/>
              </w:rPr>
              <w:t>800,643,359.22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66" w:right="-14"/>
              <w:jc w:val="left"/>
              <w:rPr>
                <w:rFonts w:ascii="Times New Roman" w:hAnsi="Times New Roman" w:cs="Times New Roman" w:eastAsia="Times New Roman" w:hint="default"/>
                <w:sz w:val="18"/>
                <w:szCs w:val="18"/>
              </w:rPr>
            </w:pPr>
            <w:r>
              <w:rPr>
                <w:rFonts w:ascii="Times New Roman"/>
                <w:sz w:val="18"/>
              </w:rPr>
              <w:t>800,643,359.22</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1382"/>
        <w:gridCol w:w="1097"/>
        <w:gridCol w:w="2027"/>
        <w:gridCol w:w="1562"/>
        <w:gridCol w:w="1412"/>
        <w:gridCol w:w="2193"/>
      </w:tblGrid>
      <w:tr>
        <w:trPr>
          <w:trHeight w:val="420"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832,820,119.95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70"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4"/>
              <w:jc w:val="right"/>
              <w:rPr>
                <w:rFonts w:ascii="Times New Roman" w:hAnsi="Times New Roman" w:cs="Times New Roman" w:eastAsia="Times New Roman" w:hint="default"/>
                <w:sz w:val="18"/>
                <w:szCs w:val="18"/>
              </w:rPr>
            </w:pPr>
            <w:r>
              <w:rPr>
                <w:rFonts w:ascii="Times New Roman"/>
                <w:sz w:val="18"/>
              </w:rPr>
              <w:t>832,820,119.95</w:t>
            </w:r>
          </w:p>
        </w:tc>
      </w:tr>
      <w:tr>
        <w:trPr>
          <w:trHeight w:val="435"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117,904,450.72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70"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5"/>
              <w:jc w:val="right"/>
              <w:rPr>
                <w:rFonts w:ascii="Times New Roman" w:hAnsi="Times New Roman" w:cs="Times New Roman" w:eastAsia="Times New Roman" w:hint="default"/>
                <w:sz w:val="18"/>
                <w:szCs w:val="18"/>
              </w:rPr>
            </w:pPr>
            <w:r>
              <w:rPr>
                <w:rFonts w:ascii="Times New Roman"/>
                <w:sz w:val="18"/>
              </w:rPr>
              <w:t>117,904,450.72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73" w:lineRule="auto" w:before="44"/>
        <w:ind w:right="1105"/>
        <w:jc w:val="left"/>
      </w:pPr>
      <w:r>
        <w:rPr>
          <w:rFonts w:ascii="Times New Roman" w:hAnsi="Times New Roman" w:cs="Times New Roman" w:eastAsia="Times New Roman" w:hint="default"/>
        </w:rPr>
        <w:t>(i)</w:t>
      </w:r>
      <w:r>
        <w:rPr>
          <w:rFonts w:ascii="Times New Roman" w:hAnsi="Times New Roman" w:cs="Times New Roman" w:eastAsia="Times New Roman" w:hint="default"/>
          <w:spacing w:val="7"/>
        </w:rPr>
        <w:t> </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日，本集团根据新金融工具准则下的计量类别，将原金融资产账面价值调整为新金融工具准则下的账面价</w:t>
      </w:r>
      <w:r>
        <w:rPr>
          <w:w w:val="99"/>
        </w:rPr>
        <w:t> </w:t>
      </w:r>
      <w:r>
        <w:rPr/>
        <w:t>值的调节表：</w:t>
      </w:r>
    </w:p>
    <w:p>
      <w:pPr>
        <w:spacing w:line="240" w:lineRule="auto" w:before="2"/>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8516"/>
        <w:gridCol w:w="1156"/>
      </w:tblGrid>
      <w:tr>
        <w:trPr>
          <w:trHeight w:val="345" w:hRule="exact"/>
        </w:trPr>
        <w:tc>
          <w:tcPr>
            <w:tcW w:w="8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新金融工具准则下的计量类别</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90" w:right="0"/>
              <w:jc w:val="left"/>
              <w:rPr>
                <w:rFonts w:ascii="宋体" w:hAnsi="宋体" w:cs="宋体" w:eastAsia="宋体" w:hint="default"/>
                <w:sz w:val="18"/>
                <w:szCs w:val="18"/>
              </w:rPr>
            </w:pPr>
            <w:r>
              <w:rPr>
                <w:rFonts w:ascii="宋体" w:hAnsi="宋体" w:cs="宋体" w:eastAsia="宋体" w:hint="default"/>
                <w:sz w:val="18"/>
                <w:szCs w:val="18"/>
              </w:rPr>
              <w:t>注释</w:t>
            </w:r>
          </w:p>
        </w:tc>
      </w:tr>
      <w:tr>
        <w:trPr>
          <w:trHeight w:val="345" w:hRule="exact"/>
        </w:trPr>
        <w:tc>
          <w:tcPr>
            <w:tcW w:w="8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4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表</w:t>
            </w:r>
            <w:r>
              <w:rPr>
                <w:rFonts w:ascii="Times New Roman" w:hAnsi="Times New Roman" w:cs="Times New Roman" w:eastAsia="Times New Roman" w:hint="default"/>
                <w:sz w:val="18"/>
                <w:szCs w:val="18"/>
              </w:rPr>
              <w:t>1</w:t>
            </w:r>
          </w:p>
        </w:tc>
      </w:tr>
      <w:tr>
        <w:trPr>
          <w:trHeight w:val="360" w:hRule="exact"/>
        </w:trPr>
        <w:tc>
          <w:tcPr>
            <w:tcW w:w="8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4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表</w:t>
            </w:r>
            <w:r>
              <w:rPr>
                <w:rFonts w:ascii="Times New Roman" w:hAnsi="Times New Roman" w:cs="Times New Roman" w:eastAsia="Times New Roman" w:hint="default"/>
                <w:sz w:val="18"/>
                <w:szCs w:val="18"/>
              </w:rPr>
              <w:t>2</w:t>
            </w:r>
          </w:p>
        </w:tc>
      </w:tr>
    </w:tbl>
    <w:p>
      <w:pPr>
        <w:spacing w:line="240" w:lineRule="auto" w:before="9"/>
        <w:rPr>
          <w:rFonts w:ascii="宋体" w:hAnsi="宋体" w:cs="宋体" w:eastAsia="宋体" w:hint="default"/>
          <w:sz w:val="20"/>
          <w:szCs w:val="20"/>
        </w:rPr>
      </w:pPr>
    </w:p>
    <w:p>
      <w:pPr>
        <w:pStyle w:val="BodyText"/>
        <w:spacing w:line="240" w:lineRule="auto" w:before="44"/>
        <w:ind w:right="1105"/>
        <w:jc w:val="left"/>
      </w:pPr>
      <w:r>
        <w:rPr/>
        <w:t>表</w:t>
      </w:r>
      <w:r>
        <w:rPr>
          <w:rFonts w:ascii="Times New Roman" w:hAnsi="Times New Roman" w:cs="Times New Roman" w:eastAsia="Times New Roman" w:hint="default"/>
        </w:rPr>
        <w:t>1</w:t>
      </w:r>
      <w:r>
        <w:rPr/>
        <w:t>：新金融工具准则下以摊余成本计量的金融资产</w:t>
      </w:r>
    </w:p>
    <w:p>
      <w:pPr>
        <w:spacing w:line="240" w:lineRule="auto" w:before="1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6053"/>
        <w:gridCol w:w="841"/>
        <w:gridCol w:w="2778"/>
      </w:tblGrid>
      <w:tr>
        <w:trPr>
          <w:trHeight w:val="346" w:hRule="exact"/>
        </w:trPr>
        <w:tc>
          <w:tcPr>
            <w:tcW w:w="6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40" w:right="0"/>
              <w:jc w:val="left"/>
              <w:rPr>
                <w:rFonts w:ascii="宋体" w:hAnsi="宋体" w:cs="宋体" w:eastAsia="宋体" w:hint="default"/>
                <w:sz w:val="18"/>
                <w:szCs w:val="18"/>
              </w:rPr>
            </w:pPr>
            <w:r>
              <w:rPr>
                <w:rFonts w:ascii="宋体" w:hAnsi="宋体" w:cs="宋体" w:eastAsia="宋体" w:hint="default"/>
                <w:sz w:val="18"/>
                <w:szCs w:val="18"/>
              </w:rPr>
              <w:t>注释</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36" w:hRule="exact"/>
        </w:trPr>
        <w:tc>
          <w:tcPr>
            <w:tcW w:w="6053"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2778" w:type="dxa"/>
            <w:tcBorders>
              <w:top w:val="single" w:sz="6" w:space="0" w:color="000000"/>
              <w:left w:val="single" w:sz="6" w:space="0" w:color="000000"/>
              <w:bottom w:val="single" w:sz="6" w:space="0" w:color="000000"/>
              <w:right w:val="single" w:sz="6" w:space="0" w:color="000000"/>
            </w:tcBorders>
          </w:tcPr>
          <w:p>
            <w:pPr/>
          </w:p>
        </w:tc>
      </w:tr>
      <w:tr>
        <w:trPr>
          <w:trHeight w:val="420" w:hRule="exact"/>
        </w:trPr>
        <w:tc>
          <w:tcPr>
            <w:tcW w:w="6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1,302,866,699.75</w:t>
            </w:r>
          </w:p>
        </w:tc>
      </w:tr>
      <w:tr>
        <w:trPr>
          <w:trHeight w:val="435" w:hRule="exact"/>
        </w:trPr>
        <w:tc>
          <w:tcPr>
            <w:tcW w:w="6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1,302,866,699.75</w:t>
            </w:r>
          </w:p>
        </w:tc>
      </w:tr>
      <w:tr>
        <w:trPr>
          <w:trHeight w:val="421" w:hRule="exact"/>
        </w:trPr>
        <w:tc>
          <w:tcPr>
            <w:tcW w:w="6053"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2778" w:type="dxa"/>
            <w:tcBorders>
              <w:top w:val="single" w:sz="6" w:space="0" w:color="000000"/>
              <w:left w:val="single" w:sz="6" w:space="0" w:color="000000"/>
              <w:bottom w:val="single" w:sz="6" w:space="0" w:color="000000"/>
              <w:right w:val="single" w:sz="6" w:space="0" w:color="000000"/>
            </w:tcBorders>
          </w:tcPr>
          <w:p>
            <w:pPr/>
          </w:p>
        </w:tc>
      </w:tr>
      <w:tr>
        <w:trPr>
          <w:trHeight w:val="435" w:hRule="exact"/>
        </w:trPr>
        <w:tc>
          <w:tcPr>
            <w:tcW w:w="6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应收款项</w:t>
            </w:r>
            <w:r>
              <w:rPr>
                <w:rFonts w:ascii="Times New Roman" w:hAnsi="Times New Roman" w:cs="Times New Roman" w:eastAsia="Times New Roman" w:hint="default"/>
                <w:sz w:val="18"/>
                <w:szCs w:val="18"/>
              </w:rPr>
              <w:t>(</w:t>
            </w:r>
            <w:r>
              <w:rPr>
                <w:rFonts w:ascii="宋体" w:hAnsi="宋体" w:cs="宋体" w:eastAsia="宋体" w:hint="default"/>
                <w:sz w:val="18"/>
                <w:szCs w:val="18"/>
              </w:rPr>
              <w:t>注释</w:t>
            </w:r>
            <w:r>
              <w:rPr>
                <w:rFonts w:ascii="Times New Roman" w:hAnsi="Times New Roman" w:cs="Times New Roman" w:eastAsia="Times New Roman" w:hint="default"/>
                <w:sz w:val="18"/>
                <w:szCs w:val="18"/>
              </w:rPr>
              <w:t>1)</w:t>
            </w:r>
          </w:p>
        </w:tc>
        <w:tc>
          <w:tcPr>
            <w:tcW w:w="841" w:type="dxa"/>
            <w:tcBorders>
              <w:top w:val="single" w:sz="6" w:space="0" w:color="000000"/>
              <w:left w:val="single" w:sz="6" w:space="0" w:color="000000"/>
              <w:bottom w:val="single" w:sz="6" w:space="0" w:color="000000"/>
              <w:right w:val="single" w:sz="6" w:space="0" w:color="000000"/>
            </w:tcBorders>
          </w:tcPr>
          <w:p>
            <w:pPr/>
          </w:p>
        </w:tc>
        <w:tc>
          <w:tcPr>
            <w:tcW w:w="2778" w:type="dxa"/>
            <w:tcBorders>
              <w:top w:val="single" w:sz="6" w:space="0" w:color="000000"/>
              <w:left w:val="single" w:sz="6" w:space="0" w:color="000000"/>
              <w:bottom w:val="single" w:sz="6" w:space="0" w:color="000000"/>
              <w:right w:val="single" w:sz="6" w:space="0" w:color="000000"/>
            </w:tcBorders>
          </w:tcPr>
          <w:p>
            <w:pPr/>
          </w:p>
        </w:tc>
      </w:tr>
      <w:tr>
        <w:trPr>
          <w:trHeight w:val="420" w:hRule="exact"/>
        </w:trPr>
        <w:tc>
          <w:tcPr>
            <w:tcW w:w="6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1,582,813,421.55</w:t>
            </w:r>
          </w:p>
        </w:tc>
      </w:tr>
      <w:tr>
        <w:trPr>
          <w:trHeight w:val="435" w:hRule="exact"/>
        </w:trPr>
        <w:tc>
          <w:tcPr>
            <w:tcW w:w="6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55" w:right="0"/>
              <w:jc w:val="left"/>
              <w:rPr>
                <w:rFonts w:ascii="宋体" w:hAnsi="宋体" w:cs="宋体" w:eastAsia="宋体" w:hint="default"/>
                <w:sz w:val="18"/>
                <w:szCs w:val="18"/>
              </w:rPr>
            </w:pPr>
            <w:r>
              <w:rPr>
                <w:rFonts w:ascii="宋体" w:hAnsi="宋体" w:cs="宋体" w:eastAsia="宋体" w:hint="default"/>
                <w:sz w:val="18"/>
                <w:szCs w:val="18"/>
              </w:rPr>
              <w:t>重新计量：预期信用损失合计</w:t>
            </w:r>
          </w:p>
        </w:tc>
        <w:tc>
          <w:tcPr>
            <w:tcW w:w="841" w:type="dxa"/>
            <w:tcBorders>
              <w:top w:val="single" w:sz="6" w:space="0" w:color="000000"/>
              <w:left w:val="single" w:sz="6" w:space="0" w:color="000000"/>
              <w:bottom w:val="single" w:sz="6" w:space="0" w:color="000000"/>
              <w:right w:val="single" w:sz="6" w:space="0" w:color="000000"/>
            </w:tcBorders>
          </w:tcPr>
          <w:p>
            <w:pP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1" w:hRule="exact"/>
        </w:trPr>
        <w:tc>
          <w:tcPr>
            <w:tcW w:w="6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841" w:type="dxa"/>
            <w:tcBorders>
              <w:top w:val="single" w:sz="6" w:space="0" w:color="000000"/>
              <w:left w:val="single" w:sz="6" w:space="0" w:color="000000"/>
              <w:bottom w:val="single" w:sz="6" w:space="0" w:color="000000"/>
              <w:right w:val="single" w:sz="6" w:space="0" w:color="000000"/>
            </w:tcBorders>
          </w:tcPr>
          <w:p>
            <w:pP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1,582,813,421.55</w:t>
            </w:r>
          </w:p>
        </w:tc>
      </w:tr>
      <w:tr>
        <w:trPr>
          <w:trHeight w:val="421" w:hRule="exact"/>
        </w:trPr>
        <w:tc>
          <w:tcPr>
            <w:tcW w:w="6053"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2778" w:type="dxa"/>
            <w:tcBorders>
              <w:top w:val="single" w:sz="6" w:space="0" w:color="000000"/>
              <w:left w:val="single" w:sz="6" w:space="0" w:color="000000"/>
              <w:bottom w:val="single" w:sz="6" w:space="0" w:color="000000"/>
              <w:right w:val="single" w:sz="6" w:space="0" w:color="000000"/>
            </w:tcBorders>
          </w:tcPr>
          <w:p>
            <w:pPr/>
          </w:p>
        </w:tc>
      </w:tr>
      <w:tr>
        <w:trPr>
          <w:trHeight w:val="435" w:hRule="exact"/>
        </w:trPr>
        <w:tc>
          <w:tcPr>
            <w:tcW w:w="6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以摊余成本计量的金融资产合计（新金融工具准则）</w:t>
            </w:r>
          </w:p>
        </w:tc>
        <w:tc>
          <w:tcPr>
            <w:tcW w:w="841" w:type="dxa"/>
            <w:tcBorders>
              <w:top w:val="single" w:sz="6" w:space="0" w:color="000000"/>
              <w:left w:val="single" w:sz="6" w:space="0" w:color="000000"/>
              <w:bottom w:val="single" w:sz="6" w:space="0" w:color="000000"/>
              <w:right w:val="single" w:sz="6" w:space="0" w:color="000000"/>
            </w:tcBorders>
          </w:tcPr>
          <w:p>
            <w:pP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1"/>
              <w:jc w:val="right"/>
              <w:rPr>
                <w:rFonts w:ascii="Times New Roman" w:hAnsi="Times New Roman" w:cs="Times New Roman" w:eastAsia="Times New Roman" w:hint="default"/>
                <w:sz w:val="18"/>
                <w:szCs w:val="18"/>
              </w:rPr>
            </w:pPr>
            <w:r>
              <w:rPr>
                <w:rFonts w:ascii="Times New Roman"/>
                <w:sz w:val="18"/>
              </w:rPr>
              <w:t>2,885,680,121.30</w:t>
            </w:r>
          </w:p>
        </w:tc>
      </w:tr>
    </w:tbl>
    <w:p>
      <w:pPr>
        <w:pStyle w:val="BodyText"/>
        <w:spacing w:line="607" w:lineRule="auto" w:before="15"/>
        <w:ind w:right="2019"/>
        <w:jc w:val="left"/>
      </w:pPr>
      <w:r>
        <w:rPr/>
        <w:pict>
          <v:shape style="position:absolute;margin-left:55.575001pt;margin-top:46.541706pt;width:484.75pt;height:115.6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053"/>
                    <w:gridCol w:w="826"/>
                    <w:gridCol w:w="2793"/>
                  </w:tblGrid>
                  <w:tr>
                    <w:trPr>
                      <w:trHeight w:val="345" w:hRule="exact"/>
                    </w:trPr>
                    <w:tc>
                      <w:tcPr>
                        <w:tcW w:w="6053"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25" w:right="0"/>
                          <w:jc w:val="left"/>
                          <w:rPr>
                            <w:rFonts w:ascii="宋体" w:hAnsi="宋体" w:cs="宋体" w:eastAsia="宋体" w:hint="default"/>
                            <w:sz w:val="18"/>
                            <w:szCs w:val="18"/>
                          </w:rPr>
                        </w:pPr>
                        <w:r>
                          <w:rPr>
                            <w:rFonts w:ascii="宋体" w:hAnsi="宋体" w:cs="宋体" w:eastAsia="宋体" w:hint="default"/>
                            <w:sz w:val="18"/>
                            <w:szCs w:val="18"/>
                          </w:rPr>
                          <w:t>注释</w:t>
                        </w:r>
                      </w:p>
                    </w:tc>
                    <w:tc>
                      <w:tcPr>
                        <w:tcW w:w="2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661" w:hRule="exact"/>
                    </w:trPr>
                    <w:tc>
                      <w:tcPr>
                        <w:tcW w:w="6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10" w:right="0"/>
                          <w:jc w:val="left"/>
                          <w:rPr>
                            <w:rFonts w:ascii="宋体" w:hAnsi="宋体" w:cs="宋体" w:eastAsia="宋体" w:hint="default"/>
                            <w:sz w:val="18"/>
                            <w:szCs w:val="18"/>
                          </w:rPr>
                        </w:pPr>
                        <w:r>
                          <w:rPr>
                            <w:rFonts w:ascii="宋体" w:hAnsi="宋体" w:cs="宋体" w:eastAsia="宋体" w:hint="default"/>
                            <w:sz w:val="18"/>
                            <w:szCs w:val="18"/>
                          </w:rPr>
                          <w:t>其他非流动资产</w:t>
                        </w:r>
                      </w:p>
                      <w:p>
                        <w:pPr>
                          <w:pStyle w:val="TableParagraph"/>
                          <w:spacing w:line="240" w:lineRule="auto" w:before="95"/>
                          <w:ind w:left="2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7"/>
                          <w:jc w:val="center"/>
                          <w:rPr>
                            <w:rFonts w:ascii="Times New Roman" w:hAnsi="Times New Roman" w:cs="Times New Roman" w:eastAsia="Times New Roman" w:hint="default"/>
                            <w:sz w:val="18"/>
                            <w:szCs w:val="18"/>
                          </w:rPr>
                        </w:pPr>
                        <w:r>
                          <w:rPr>
                            <w:rFonts w:ascii="Times New Roman"/>
                            <w:spacing w:val="-6"/>
                            <w:sz w:val="18"/>
                          </w:rPr>
                          <w:t>i)</w:t>
                        </w:r>
                        <w:r>
                          <w:rPr>
                            <w:rFonts w:ascii="Times New Roman"/>
                            <w:sz w:val="18"/>
                          </w:rPr>
                        </w:r>
                      </w:p>
                    </w:tc>
                    <w:tc>
                      <w:tcPr>
                        <w:tcW w:w="2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5"/>
                          <w:jc w:val="right"/>
                          <w:rPr>
                            <w:rFonts w:ascii="Times New Roman" w:hAnsi="Times New Roman" w:cs="Times New Roman" w:eastAsia="Times New Roman" w:hint="default"/>
                            <w:sz w:val="18"/>
                            <w:szCs w:val="18"/>
                          </w:rPr>
                        </w:pPr>
                        <w:r>
                          <w:rPr>
                            <w:rFonts w:ascii="Times New Roman"/>
                            <w:sz w:val="18"/>
                          </w:rPr>
                          <w:t>90,007,207.97</w:t>
                        </w:r>
                      </w:p>
                    </w:tc>
                  </w:tr>
                  <w:tr>
                    <w:trPr>
                      <w:trHeight w:val="435" w:hRule="exact"/>
                    </w:trPr>
                    <w:tc>
                      <w:tcPr>
                        <w:tcW w:w="6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95" w:right="0"/>
                          <w:jc w:val="left"/>
                          <w:rPr>
                            <w:rFonts w:ascii="宋体" w:hAnsi="宋体" w:cs="宋体" w:eastAsia="宋体" w:hint="default"/>
                            <w:sz w:val="18"/>
                            <w:szCs w:val="18"/>
                          </w:rPr>
                        </w:pPr>
                        <w:r>
                          <w:rPr>
                            <w:rFonts w:ascii="宋体" w:hAnsi="宋体" w:cs="宋体" w:eastAsia="宋体" w:hint="default"/>
                            <w:sz w:val="18"/>
                            <w:szCs w:val="18"/>
                          </w:rPr>
                          <w:t>加：自可供出售金融资产转入（原金融工具准则）</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2"/>
                          <w:jc w:val="center"/>
                          <w:rPr>
                            <w:rFonts w:ascii="Times New Roman" w:hAnsi="Times New Roman" w:cs="Times New Roman" w:eastAsia="Times New Roman" w:hint="default"/>
                            <w:sz w:val="18"/>
                            <w:szCs w:val="18"/>
                          </w:rPr>
                        </w:pPr>
                        <w:r>
                          <w:rPr>
                            <w:rFonts w:ascii="Times New Roman"/>
                            <w:spacing w:val="-6"/>
                            <w:sz w:val="18"/>
                          </w:rPr>
                          <w:t>ii)</w:t>
                        </w:r>
                        <w:r>
                          <w:rPr>
                            <w:rFonts w:ascii="Times New Roman"/>
                            <w:sz w:val="18"/>
                          </w:rPr>
                        </w:r>
                      </w:p>
                    </w:tc>
                    <w:tc>
                      <w:tcPr>
                        <w:tcW w:w="2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4"/>
                          <w:jc w:val="right"/>
                          <w:rPr>
                            <w:rFonts w:ascii="Times New Roman" w:hAnsi="Times New Roman" w:cs="Times New Roman" w:eastAsia="Times New Roman" w:hint="default"/>
                            <w:sz w:val="18"/>
                            <w:szCs w:val="18"/>
                          </w:rPr>
                        </w:pPr>
                        <w:r>
                          <w:rPr>
                            <w:rFonts w:ascii="Times New Roman"/>
                            <w:sz w:val="18"/>
                          </w:rPr>
                          <w:t>201,509,166.66</w:t>
                        </w:r>
                      </w:p>
                    </w:tc>
                  </w:tr>
                  <w:tr>
                    <w:trPr>
                      <w:trHeight w:val="420" w:hRule="exact"/>
                    </w:trPr>
                    <w:tc>
                      <w:tcPr>
                        <w:tcW w:w="6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826" w:type="dxa"/>
                        <w:tcBorders>
                          <w:top w:val="single" w:sz="6" w:space="0" w:color="000000"/>
                          <w:left w:val="single" w:sz="6" w:space="0" w:color="000000"/>
                          <w:bottom w:val="single" w:sz="6" w:space="0" w:color="000000"/>
                          <w:right w:val="single" w:sz="6" w:space="0" w:color="000000"/>
                        </w:tcBorders>
                      </w:tcPr>
                      <w:p>
                        <w:pPr/>
                      </w:p>
                    </w:tc>
                    <w:tc>
                      <w:tcPr>
                        <w:tcW w:w="2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4"/>
                          <w:jc w:val="right"/>
                          <w:rPr>
                            <w:rFonts w:ascii="Times New Roman" w:hAnsi="Times New Roman" w:cs="Times New Roman" w:eastAsia="Times New Roman" w:hint="default"/>
                            <w:sz w:val="18"/>
                            <w:szCs w:val="18"/>
                          </w:rPr>
                        </w:pPr>
                        <w:r>
                          <w:rPr>
                            <w:rFonts w:ascii="Times New Roman"/>
                            <w:sz w:val="18"/>
                          </w:rPr>
                          <w:t>291,516,374.63</w:t>
                        </w:r>
                      </w:p>
                    </w:tc>
                  </w:tr>
                  <w:tr>
                    <w:trPr>
                      <w:trHeight w:val="436" w:hRule="exact"/>
                    </w:trPr>
                    <w:tc>
                      <w:tcPr>
                        <w:tcW w:w="6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10"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以公允价值计量且其变动计入当期损益的金融资产合计（新金融工具准则</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13" w:right="0"/>
                          <w:jc w:val="left"/>
                          <w:rPr>
                            <w:rFonts w:ascii="宋体" w:hAnsi="宋体" w:cs="宋体" w:eastAsia="宋体" w:hint="default"/>
                            <w:sz w:val="18"/>
                            <w:szCs w:val="18"/>
                          </w:rPr>
                        </w:pPr>
                        <w:r>
                          <w:rPr>
                            <w:rFonts w:ascii="宋体" w:hAnsi="宋体" w:cs="宋体" w:eastAsia="宋体" w:hint="default"/>
                            <w:sz w:val="18"/>
                            <w:szCs w:val="18"/>
                          </w:rPr>
                          <w:t>）</w:t>
                        </w:r>
                      </w:p>
                    </w:tc>
                    <w:tc>
                      <w:tcPr>
                        <w:tcW w:w="2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4"/>
                          <w:jc w:val="right"/>
                          <w:rPr>
                            <w:rFonts w:ascii="Times New Roman" w:hAnsi="Times New Roman" w:cs="Times New Roman" w:eastAsia="Times New Roman" w:hint="default"/>
                            <w:sz w:val="18"/>
                            <w:szCs w:val="18"/>
                          </w:rPr>
                        </w:pPr>
                        <w:r>
                          <w:rPr>
                            <w:rFonts w:ascii="Times New Roman"/>
                            <w:sz w:val="18"/>
                          </w:rPr>
                          <w:t>291,516,374.63</w:t>
                        </w:r>
                      </w:p>
                    </w:tc>
                  </w:tr>
                </w:tbl>
                <w:p>
                  <w:pPr/>
                </w:p>
              </w:txbxContent>
            </v:textbox>
            <w10:wrap type="none"/>
          </v:shape>
        </w:pict>
      </w:r>
      <w:r>
        <w:rPr/>
        <w:t>注释</w:t>
      </w:r>
      <w:r>
        <w:rPr>
          <w:rFonts w:ascii="Times New Roman" w:hAnsi="Times New Roman" w:cs="Times New Roman" w:eastAsia="Times New Roman" w:hint="default"/>
        </w:rPr>
        <w:t>1</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日，应收款项余额包括应收票据、应收账款和其他应收款等报表项目。 表</w:t>
      </w:r>
      <w:r>
        <w:rPr>
          <w:rFonts w:ascii="Times New Roman" w:hAnsi="Times New Roman" w:cs="Times New Roman" w:eastAsia="Times New Roman" w:hint="default"/>
        </w:rPr>
        <w:t>2</w:t>
      </w:r>
      <w:r>
        <w:rPr/>
        <w:t>：新金融工具准则下以公允价值计量且其变动计入当期损益的金融资产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76" w:lineRule="auto" w:before="44"/>
        <w:ind w:right="1121"/>
        <w:jc w:val="both"/>
      </w:pPr>
      <w:r>
        <w:rPr>
          <w:rFonts w:ascii="Times New Roman" w:hAnsi="Times New Roman" w:cs="Times New Roman" w:eastAsia="Times New Roman" w:hint="default"/>
          <w:spacing w:val="-1"/>
        </w:rPr>
        <w:t>i)</w:t>
      </w:r>
      <w:r>
        <w:rPr>
          <w:spacing w:val="-1"/>
        </w:rPr>
        <w:t>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日，本集团所持有的对基金的投资、可转债投资以及包含回售权的股权投资划分为以公允价值计量且变动计</w:t>
      </w:r>
      <w:r>
        <w:rPr>
          <w:spacing w:val="-40"/>
        </w:rPr>
        <w:t> </w:t>
      </w:r>
      <w:r>
        <w:rPr/>
        <w:t>入当期损益的金融资产，且自资产负债表日起预期持有超过一年，列示为其他非流动金融资产。</w:t>
      </w:r>
    </w:p>
    <w:p>
      <w:pPr>
        <w:spacing w:line="240" w:lineRule="auto" w:before="0"/>
        <w:rPr>
          <w:rFonts w:ascii="宋体" w:hAnsi="宋体" w:cs="宋体" w:eastAsia="宋体" w:hint="default"/>
          <w:sz w:val="18"/>
          <w:szCs w:val="18"/>
        </w:rPr>
      </w:pPr>
    </w:p>
    <w:p>
      <w:pPr>
        <w:pStyle w:val="BodyText"/>
        <w:spacing w:line="297" w:lineRule="auto" w:before="147"/>
        <w:ind w:right="1127"/>
        <w:jc w:val="both"/>
      </w:pPr>
      <w:r>
        <w:rPr>
          <w:rFonts w:ascii="Times New Roman" w:hAnsi="Times New Roman" w:cs="Times New Roman" w:eastAsia="Times New Roman" w:hint="default"/>
        </w:rPr>
        <w:t>ii)</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日，本集团持有非保本浮动收益的短期理财产品账面价值为</w:t>
      </w:r>
      <w:r>
        <w:rPr>
          <w:rFonts w:ascii="Times New Roman" w:hAnsi="Times New Roman" w:cs="Times New Roman" w:eastAsia="Times New Roman" w:hint="default"/>
        </w:rPr>
        <w:t>201,509,166.66</w:t>
      </w:r>
      <w:r>
        <w:rPr/>
        <w:t>元。本集团执行新金融工具准</w:t>
      </w:r>
      <w:r>
        <w:rPr>
          <w:spacing w:val="-27"/>
        </w:rPr>
        <w:t> </w:t>
      </w:r>
      <w:r>
        <w:rPr>
          <w:spacing w:val="-27"/>
        </w:rPr>
      </w:r>
      <w:r>
        <w:rPr>
          <w:spacing w:val="-2"/>
        </w:rPr>
        <w:t>则后，由于该理财产品的合同现金流量特征不符合基本借贷安排。故于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日，本集团将此银行理财产品从可供出售</w:t>
      </w:r>
      <w:r>
        <w:rPr>
          <w:spacing w:val="-63"/>
        </w:rPr>
        <w:t> </w:t>
      </w:r>
      <w:r>
        <w:rPr>
          <w:spacing w:val="-63"/>
        </w:rPr>
      </w:r>
      <w:r>
        <w:rPr>
          <w:spacing w:val="-2"/>
        </w:rPr>
        <w:t>金融资产重分类为以公允价值计量且其变动计入当期损益的金融资产，列示为交易性金融资产。相应地，本集团将累计计入</w:t>
      </w:r>
    </w:p>
    <w:p>
      <w:pPr>
        <w:spacing w:after="0" w:line="297" w:lineRule="auto"/>
        <w:jc w:val="both"/>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02" w:lineRule="auto" w:before="44"/>
        <w:ind w:right="2779"/>
        <w:jc w:val="left"/>
        <w:rPr>
          <w:rFonts w:ascii="Times New Roman" w:hAnsi="Times New Roman" w:cs="Times New Roman" w:eastAsia="Times New Roman" w:hint="default"/>
        </w:rPr>
      </w:pPr>
      <w:r>
        <w:rPr/>
        <w:t>其他综合收益的金额</w:t>
      </w:r>
      <w:r>
        <w:rPr>
          <w:rFonts w:ascii="Times New Roman" w:hAnsi="Times New Roman" w:cs="Times New Roman" w:eastAsia="Times New Roman" w:hint="default"/>
        </w:rPr>
        <w:t>308,057.49</w:t>
      </w:r>
      <w:r>
        <w:rPr/>
        <w:t>元转出至期初留存收益。</w:t>
      </w:r>
      <w:r>
        <w:rPr>
          <w:spacing w:val="-87"/>
        </w:rPr>
        <w:t> </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日，本集团将原金融资产减值准备调整为按照新金融工具准则规定的损失准备的调节表</w:t>
      </w:r>
      <w:r>
        <w:rPr>
          <w:rFonts w:ascii="Times New Roman" w:hAnsi="Times New Roman" w:cs="Times New Roman" w:eastAsia="Times New Roman" w:hint="default"/>
        </w:rPr>
        <w:t>:</w:t>
      </w:r>
    </w:p>
    <w:tbl>
      <w:tblPr>
        <w:tblW w:w="0" w:type="auto"/>
        <w:jc w:val="left"/>
        <w:tblInd w:w="111" w:type="dxa"/>
        <w:tblLayout w:type="fixed"/>
        <w:tblCellMar>
          <w:top w:w="0" w:type="dxa"/>
          <w:left w:w="0" w:type="dxa"/>
          <w:bottom w:w="0" w:type="dxa"/>
          <w:right w:w="0" w:type="dxa"/>
        </w:tblCellMar>
        <w:tblLook w:val="01E0"/>
      </w:tblPr>
      <w:tblGrid>
        <w:gridCol w:w="3364"/>
        <w:gridCol w:w="2253"/>
        <w:gridCol w:w="1562"/>
        <w:gridCol w:w="2493"/>
      </w:tblGrid>
      <w:tr>
        <w:trPr>
          <w:trHeight w:val="660" w:hRule="exact"/>
        </w:trPr>
        <w:tc>
          <w:tcPr>
            <w:tcW w:w="336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hAnsi="宋体" w:cs="宋体" w:eastAsia="宋体" w:hint="default"/>
                <w:sz w:val="18"/>
                <w:szCs w:val="18"/>
              </w:rPr>
              <w:t>按原金融工具准则计提的损</w:t>
            </w:r>
          </w:p>
          <w:p>
            <w:pPr>
              <w:pStyle w:val="TableParagraph"/>
              <w:spacing w:line="240" w:lineRule="auto" w:before="80"/>
              <w:ind w:right="0"/>
              <w:jc w:val="right"/>
              <w:rPr>
                <w:rFonts w:ascii="宋体" w:hAnsi="宋体" w:cs="宋体" w:eastAsia="宋体" w:hint="default"/>
                <w:sz w:val="18"/>
                <w:szCs w:val="18"/>
              </w:rPr>
            </w:pPr>
            <w:r>
              <w:rPr>
                <w:rFonts w:ascii="宋体" w:hAnsi="宋体" w:cs="宋体" w:eastAsia="宋体" w:hint="default"/>
                <w:sz w:val="18"/>
                <w:szCs w:val="18"/>
              </w:rPr>
              <w:t>失准备</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20"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
              <w:jc w:val="right"/>
              <w:rPr>
                <w:rFonts w:ascii="宋体" w:hAnsi="宋体" w:cs="宋体" w:eastAsia="宋体" w:hint="default"/>
                <w:sz w:val="18"/>
                <w:szCs w:val="18"/>
              </w:rPr>
            </w:pPr>
            <w:r>
              <w:rPr>
                <w:rFonts w:ascii="宋体" w:hAnsi="宋体" w:cs="宋体" w:eastAsia="宋体" w:hint="default"/>
                <w:sz w:val="18"/>
                <w:szCs w:val="18"/>
              </w:rPr>
              <w:t>按照新金融工具准则计提的损</w:t>
            </w:r>
          </w:p>
          <w:p>
            <w:pPr>
              <w:pStyle w:val="TableParagraph"/>
              <w:spacing w:line="240" w:lineRule="auto" w:before="80"/>
              <w:ind w:right="0"/>
              <w:jc w:val="right"/>
              <w:rPr>
                <w:rFonts w:ascii="宋体" w:hAnsi="宋体" w:cs="宋体" w:eastAsia="宋体" w:hint="default"/>
                <w:sz w:val="18"/>
                <w:szCs w:val="18"/>
              </w:rPr>
            </w:pPr>
            <w:r>
              <w:rPr>
                <w:rFonts w:ascii="宋体" w:hAnsi="宋体" w:cs="宋体" w:eastAsia="宋体" w:hint="default"/>
                <w:sz w:val="18"/>
                <w:szCs w:val="18"/>
              </w:rPr>
              <w:t>失准备</w:t>
            </w:r>
          </w:p>
        </w:tc>
      </w:tr>
      <w:tr>
        <w:trPr>
          <w:trHeight w:val="421" w:hRule="exact"/>
        </w:trPr>
        <w:tc>
          <w:tcPr>
            <w:tcW w:w="3364" w:type="dxa"/>
            <w:tcBorders>
              <w:top w:val="single" w:sz="6" w:space="0" w:color="000000"/>
              <w:left w:val="single" w:sz="6" w:space="0" w:color="000000"/>
              <w:bottom w:val="single" w:sz="6" w:space="0" w:color="000000"/>
              <w:right w:val="single" w:sz="6" w:space="0" w:color="000000"/>
            </w:tcBorders>
          </w:tcPr>
          <w:p>
            <w:pPr/>
          </w:p>
        </w:tc>
        <w:tc>
          <w:tcPr>
            <w:tcW w:w="2253"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2493" w:type="dxa"/>
            <w:tcBorders>
              <w:top w:val="single" w:sz="6" w:space="0" w:color="000000"/>
              <w:left w:val="single" w:sz="6" w:space="0" w:color="000000"/>
              <w:bottom w:val="single" w:sz="6" w:space="0" w:color="000000"/>
              <w:right w:val="single" w:sz="6" w:space="0" w:color="000000"/>
            </w:tcBorders>
          </w:tcPr>
          <w:p>
            <w:pPr/>
          </w:p>
        </w:tc>
      </w:tr>
      <w:tr>
        <w:trPr>
          <w:trHeight w:val="420" w:hRule="exact"/>
        </w:trPr>
        <w:tc>
          <w:tcPr>
            <w:tcW w:w="3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以摊余成本计量的金融资产</w:t>
            </w:r>
            <w:r>
              <w:rPr>
                <w:rFonts w:ascii="Times New Roman" w:hAnsi="Times New Roman" w:cs="Times New Roman" w:eastAsia="Times New Roman" w:hint="default"/>
                <w:sz w:val="18"/>
                <w:szCs w:val="18"/>
              </w:rPr>
              <w:t>—</w:t>
            </w:r>
          </w:p>
        </w:tc>
        <w:tc>
          <w:tcPr>
            <w:tcW w:w="2253"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2493" w:type="dxa"/>
            <w:tcBorders>
              <w:top w:val="single" w:sz="6" w:space="0" w:color="000000"/>
              <w:left w:val="single" w:sz="6" w:space="0" w:color="000000"/>
              <w:bottom w:val="single" w:sz="6" w:space="0" w:color="000000"/>
              <w:right w:val="single" w:sz="6" w:space="0" w:color="000000"/>
            </w:tcBorders>
          </w:tcPr>
          <w:p>
            <w:pPr/>
          </w:p>
        </w:tc>
      </w:tr>
      <w:tr>
        <w:trPr>
          <w:trHeight w:val="435" w:hRule="exact"/>
        </w:trPr>
        <w:tc>
          <w:tcPr>
            <w:tcW w:w="3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30" w:right="0"/>
              <w:jc w:val="left"/>
              <w:rPr>
                <w:rFonts w:ascii="宋体" w:hAnsi="宋体" w:cs="宋体" w:eastAsia="宋体" w:hint="default"/>
                <w:sz w:val="18"/>
                <w:szCs w:val="18"/>
              </w:rPr>
            </w:pPr>
            <w:r>
              <w:rPr>
                <w:rFonts w:ascii="宋体" w:hAnsi="宋体" w:cs="宋体" w:eastAsia="宋体" w:hint="default"/>
                <w:sz w:val="18"/>
                <w:szCs w:val="18"/>
              </w:rPr>
              <w:t>应收票据减值准备</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1" w:hRule="exact"/>
        </w:trPr>
        <w:tc>
          <w:tcPr>
            <w:tcW w:w="3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30"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53,038,490.88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53,038,490.88</w:t>
            </w:r>
          </w:p>
        </w:tc>
      </w:tr>
      <w:tr>
        <w:trPr>
          <w:trHeight w:val="435" w:hRule="exact"/>
        </w:trPr>
        <w:tc>
          <w:tcPr>
            <w:tcW w:w="3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30"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432,978.08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432,978.08</w:t>
            </w:r>
          </w:p>
        </w:tc>
      </w:tr>
      <w:tr>
        <w:trPr>
          <w:trHeight w:val="420" w:hRule="exact"/>
        </w:trPr>
        <w:tc>
          <w:tcPr>
            <w:tcW w:w="3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53,471,468.96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53,471,468.96</w:t>
            </w:r>
          </w:p>
        </w:tc>
      </w:tr>
    </w:tbl>
    <w:p>
      <w:pPr>
        <w:pStyle w:val="BodyText"/>
        <w:spacing w:line="240" w:lineRule="auto" w:before="15"/>
        <w:ind w:right="1105"/>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日，本公司将原金融资产减值准备调整为按照新金融工具准则规定的损失准备的调节表：</w:t>
      </w:r>
    </w:p>
    <w:p>
      <w:pPr>
        <w:spacing w:line="240" w:lineRule="auto" w:before="13"/>
        <w:rPr>
          <w:rFonts w:ascii="宋体" w:hAnsi="宋体" w:cs="宋体" w:eastAsia="宋体"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3364"/>
        <w:gridCol w:w="2253"/>
        <w:gridCol w:w="1562"/>
        <w:gridCol w:w="2493"/>
      </w:tblGrid>
      <w:tr>
        <w:trPr>
          <w:trHeight w:val="661" w:hRule="exact"/>
        </w:trPr>
        <w:tc>
          <w:tcPr>
            <w:tcW w:w="3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hAnsi="宋体" w:cs="宋体" w:eastAsia="宋体" w:hint="default"/>
                <w:sz w:val="18"/>
                <w:szCs w:val="18"/>
              </w:rPr>
              <w:t>按原金融工具准则计提的损</w:t>
            </w:r>
          </w:p>
          <w:p>
            <w:pPr>
              <w:pStyle w:val="TableParagraph"/>
              <w:spacing w:line="240" w:lineRule="auto" w:before="64"/>
              <w:ind w:right="0"/>
              <w:jc w:val="right"/>
              <w:rPr>
                <w:rFonts w:ascii="宋体" w:hAnsi="宋体" w:cs="宋体" w:eastAsia="宋体" w:hint="default"/>
                <w:sz w:val="18"/>
                <w:szCs w:val="18"/>
              </w:rPr>
            </w:pPr>
            <w:r>
              <w:rPr>
                <w:rFonts w:ascii="宋体" w:hAnsi="宋体" w:cs="宋体" w:eastAsia="宋体" w:hint="default"/>
                <w:sz w:val="18"/>
                <w:szCs w:val="18"/>
              </w:rPr>
              <w:t>失准备</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20"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
              <w:jc w:val="right"/>
              <w:rPr>
                <w:rFonts w:ascii="宋体" w:hAnsi="宋体" w:cs="宋体" w:eastAsia="宋体" w:hint="default"/>
                <w:sz w:val="18"/>
                <w:szCs w:val="18"/>
              </w:rPr>
            </w:pPr>
            <w:r>
              <w:rPr>
                <w:rFonts w:ascii="宋体" w:hAnsi="宋体" w:cs="宋体" w:eastAsia="宋体" w:hint="default"/>
                <w:sz w:val="18"/>
                <w:szCs w:val="18"/>
              </w:rPr>
              <w:t>按照新金融工具准则计提的损</w:t>
            </w:r>
          </w:p>
          <w:p>
            <w:pPr>
              <w:pStyle w:val="TableParagraph"/>
              <w:spacing w:line="240" w:lineRule="auto" w:before="64"/>
              <w:ind w:right="0"/>
              <w:jc w:val="right"/>
              <w:rPr>
                <w:rFonts w:ascii="宋体" w:hAnsi="宋体" w:cs="宋体" w:eastAsia="宋体" w:hint="default"/>
                <w:sz w:val="18"/>
                <w:szCs w:val="18"/>
              </w:rPr>
            </w:pPr>
            <w:r>
              <w:rPr>
                <w:rFonts w:ascii="宋体" w:hAnsi="宋体" w:cs="宋体" w:eastAsia="宋体" w:hint="default"/>
                <w:sz w:val="18"/>
                <w:szCs w:val="18"/>
              </w:rPr>
              <w:t>失准备</w:t>
            </w:r>
          </w:p>
        </w:tc>
      </w:tr>
      <w:tr>
        <w:trPr>
          <w:trHeight w:val="345" w:hRule="exact"/>
        </w:trPr>
        <w:tc>
          <w:tcPr>
            <w:tcW w:w="3364" w:type="dxa"/>
            <w:tcBorders>
              <w:top w:val="single" w:sz="6" w:space="0" w:color="000000"/>
              <w:left w:val="single" w:sz="6" w:space="0" w:color="000000"/>
              <w:bottom w:val="single" w:sz="6" w:space="0" w:color="000000"/>
              <w:right w:val="single" w:sz="6" w:space="0" w:color="000000"/>
            </w:tcBorders>
          </w:tcPr>
          <w:p>
            <w:pPr/>
          </w:p>
        </w:tc>
        <w:tc>
          <w:tcPr>
            <w:tcW w:w="2253"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2493"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以摊余成本计量的金融资产</w:t>
            </w:r>
            <w:r>
              <w:rPr>
                <w:rFonts w:ascii="Times New Roman" w:hAnsi="Times New Roman" w:cs="Times New Roman" w:eastAsia="Times New Roman" w:hint="default"/>
                <w:sz w:val="18"/>
                <w:szCs w:val="18"/>
              </w:rPr>
              <w:t>—</w:t>
            </w:r>
          </w:p>
        </w:tc>
        <w:tc>
          <w:tcPr>
            <w:tcW w:w="2253"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2493"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30" w:right="0"/>
              <w:jc w:val="left"/>
              <w:rPr>
                <w:rFonts w:ascii="宋体" w:hAnsi="宋体" w:cs="宋体" w:eastAsia="宋体" w:hint="default"/>
                <w:sz w:val="18"/>
                <w:szCs w:val="18"/>
              </w:rPr>
            </w:pPr>
            <w:r>
              <w:rPr>
                <w:rFonts w:ascii="宋体" w:hAnsi="宋体" w:cs="宋体" w:eastAsia="宋体" w:hint="default"/>
                <w:sz w:val="18"/>
                <w:szCs w:val="18"/>
              </w:rPr>
              <w:t>应收票据减值准备</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5" w:hRule="exact"/>
        </w:trPr>
        <w:tc>
          <w:tcPr>
            <w:tcW w:w="3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30"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36,996,719.93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36,996,719.93</w:t>
            </w:r>
          </w:p>
        </w:tc>
      </w:tr>
      <w:tr>
        <w:trPr>
          <w:trHeight w:val="420" w:hRule="exact"/>
        </w:trPr>
        <w:tc>
          <w:tcPr>
            <w:tcW w:w="3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630"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427,954.74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427,954.74</w:t>
            </w:r>
          </w:p>
        </w:tc>
      </w:tr>
      <w:tr>
        <w:trPr>
          <w:trHeight w:val="436" w:hRule="exact"/>
        </w:trPr>
        <w:tc>
          <w:tcPr>
            <w:tcW w:w="3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37,424,674.67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37,424,674.67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3"/>
        <w:spacing w:line="240" w:lineRule="auto" w:before="35"/>
        <w:ind w:right="1105"/>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1105"/>
        <w:jc w:val="left"/>
        <w:rPr>
          <w:b w:val="0"/>
          <w:bCs w:val="0"/>
        </w:rPr>
      </w:pPr>
      <w:bookmarkStart w:name="七、与上年度财务报告相比，合并报表范围发生变化的情况说明" w:id="68"/>
      <w:bookmarkEnd w:id="68"/>
      <w:r>
        <w:rPr>
          <w:b w:val="0"/>
          <w:bCs w:val="0"/>
        </w:rPr>
      </w:r>
      <w:r>
        <w:rPr/>
        <w:t>七、与上年度财务报告相比，合并报表范围发生变化的情况说明</w:t>
      </w:r>
      <w:r>
        <w:rPr>
          <w:b w:val="0"/>
          <w:bCs w:val="0"/>
        </w:rPr>
      </w:r>
    </w:p>
    <w:p>
      <w:pPr>
        <w:spacing w:line="240" w:lineRule="auto" w:before="1"/>
        <w:rPr>
          <w:rFonts w:ascii="宋体" w:hAnsi="宋体" w:cs="宋体" w:eastAsia="宋体" w:hint="default"/>
          <w:b/>
          <w:bCs/>
          <w:sz w:val="26"/>
          <w:szCs w:val="26"/>
        </w:rPr>
      </w:pPr>
    </w:p>
    <w:p>
      <w:pPr>
        <w:pStyle w:val="BodyText"/>
        <w:spacing w:line="333" w:lineRule="auto"/>
        <w:ind w:right="78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详见第十二节财务报告附注八（</w:t>
      </w:r>
      <w:r>
        <w:rPr>
          <w:rFonts w:ascii="Times New Roman" w:hAnsi="Times New Roman" w:cs="Times New Roman" w:eastAsia="Times New Roman" w:hint="default"/>
        </w:rPr>
        <w:t>5)</w:t>
      </w:r>
      <w:r>
        <w:rPr/>
        <w:t>。</w:t>
      </w:r>
    </w:p>
    <w:p>
      <w:pPr>
        <w:spacing w:line="240" w:lineRule="auto" w:before="11"/>
        <w:rPr>
          <w:rFonts w:ascii="宋体" w:hAnsi="宋体" w:cs="宋体" w:eastAsia="宋体" w:hint="default"/>
          <w:sz w:val="17"/>
          <w:szCs w:val="17"/>
        </w:rPr>
      </w:pPr>
    </w:p>
    <w:p>
      <w:pPr>
        <w:pStyle w:val="Heading2"/>
        <w:spacing w:line="240" w:lineRule="auto"/>
        <w:ind w:right="1105"/>
        <w:jc w:val="left"/>
        <w:rPr>
          <w:b w:val="0"/>
          <w:bCs w:val="0"/>
        </w:rPr>
      </w:pPr>
      <w:bookmarkStart w:name="八、聘任、解聘会计师事务所情况" w:id="69"/>
      <w:bookmarkEnd w:id="69"/>
      <w:r>
        <w:rPr>
          <w:b w:val="0"/>
          <w:bCs w:val="0"/>
        </w:rPr>
      </w:r>
      <w:r>
        <w:rPr/>
        <w:t>八、聘任、解聘会计师事务所情况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05"/>
        <w:jc w:val="left"/>
      </w:pPr>
      <w:r>
        <w:rPr/>
        <w:t>现聘任的会计事务所</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普华永道中天会计师事务所（特殊普通合伙）</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300</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李雪梅、赵育鹏</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1105"/>
        <w:jc w:val="left"/>
      </w:pPr>
      <w:r>
        <w:rPr/>
        <w:t>是否改聘会计师事务所</w:t>
      </w:r>
    </w:p>
    <w:p>
      <w:pPr>
        <w:pStyle w:val="BodyText"/>
        <w:spacing w:line="331" w:lineRule="auto" w:before="125"/>
        <w:ind w:right="62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聘请内部控制审计会计师事务所、财务顾问或保荐人情况</w:t>
      </w:r>
    </w:p>
    <w:p>
      <w:pPr>
        <w:pStyle w:val="BodyText"/>
        <w:spacing w:line="240" w:lineRule="auto" w:before="56"/>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1105"/>
        <w:jc w:val="left"/>
        <w:rPr>
          <w:b w:val="0"/>
          <w:bCs w:val="0"/>
        </w:rPr>
      </w:pPr>
      <w:bookmarkStart w:name="九、年度报告披露后面临暂停上市和终止上市情况" w:id="70"/>
      <w:bookmarkEnd w:id="70"/>
      <w:r>
        <w:rPr>
          <w:b w:val="0"/>
          <w:bCs w:val="0"/>
        </w:rPr>
      </w:r>
      <w:r>
        <w:rPr/>
        <w:t>九、年度报告披露后面临暂停上市和终止上市情况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1105"/>
        <w:jc w:val="left"/>
        <w:rPr>
          <w:b w:val="0"/>
          <w:bCs w:val="0"/>
        </w:rPr>
      </w:pPr>
      <w:bookmarkStart w:name="十、破产重整相关事项" w:id="71"/>
      <w:bookmarkEnd w:id="71"/>
      <w:r>
        <w:rPr>
          <w:b w:val="0"/>
          <w:bCs w:val="0"/>
        </w:rPr>
      </w:r>
      <w:r>
        <w:rPr/>
        <w:t>十、破产重整相关事项</w:t>
      </w:r>
      <w:r>
        <w:rPr>
          <w:b w:val="0"/>
          <w:bCs w:val="0"/>
        </w:rPr>
      </w:r>
    </w:p>
    <w:p>
      <w:pPr>
        <w:spacing w:line="240" w:lineRule="auto" w:before="1"/>
        <w:rPr>
          <w:rFonts w:ascii="宋体" w:hAnsi="宋体" w:cs="宋体" w:eastAsia="宋体" w:hint="default"/>
          <w:b/>
          <w:bCs/>
          <w:sz w:val="26"/>
          <w:szCs w:val="26"/>
        </w:rPr>
      </w:pPr>
    </w:p>
    <w:p>
      <w:pPr>
        <w:pStyle w:val="BodyText"/>
        <w:spacing w:line="319" w:lineRule="auto"/>
        <w:ind w:right="76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公司报告期未发生破产重整相关事项。</w:t>
      </w:r>
    </w:p>
    <w:p>
      <w:pPr>
        <w:spacing w:line="240" w:lineRule="auto" w:before="8"/>
        <w:rPr>
          <w:rFonts w:ascii="宋体" w:hAnsi="宋体" w:cs="宋体" w:eastAsia="宋体" w:hint="default"/>
          <w:sz w:val="22"/>
          <w:szCs w:val="22"/>
        </w:rPr>
      </w:pPr>
    </w:p>
    <w:p>
      <w:pPr>
        <w:pStyle w:val="Heading2"/>
        <w:spacing w:line="240" w:lineRule="auto"/>
        <w:ind w:right="1105"/>
        <w:jc w:val="left"/>
        <w:rPr>
          <w:b w:val="0"/>
          <w:bCs w:val="0"/>
        </w:rPr>
      </w:pPr>
      <w:bookmarkStart w:name="十一、重大诉讼、仲裁事项" w:id="72"/>
      <w:bookmarkEnd w:id="72"/>
      <w:r>
        <w:rPr>
          <w:b w:val="0"/>
          <w:bCs w:val="0"/>
        </w:rPr>
      </w:r>
      <w:r>
        <w:rPr/>
        <w:t>十一、重大诉讼、仲裁事项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05"/>
        <w:jc w:val="left"/>
      </w:pPr>
      <w:r>
        <w:rPr/>
        <w:pict>
          <v:shape style="position:absolute;margin-left:398.75pt;margin-top:68.316734pt;width:54.85pt;height:86.35pt;mso-position-horizontal-relative:page;mso-position-vertical-relative:paragraph;z-index:-1325464" type="#_x0000_t202" filled="false" stroked="false">
            <v:textbox inset="0,0,0,0">
              <w:txbxContent>
                <w:p>
                  <w:pPr>
                    <w:pStyle w:val="BodyText"/>
                    <w:spacing w:line="240" w:lineRule="auto" w:before="59"/>
                    <w:ind w:left="0" w:right="0"/>
                    <w:jc w:val="left"/>
                  </w:pPr>
                  <w:r>
                    <w:rPr/>
                    <w:t>）</w:t>
                  </w:r>
                </w:p>
                <w:p>
                  <w:pPr>
                    <w:spacing w:line="240" w:lineRule="auto" w:before="0"/>
                    <w:rPr>
                      <w:rFonts w:ascii="宋体" w:hAnsi="宋体" w:cs="宋体" w:eastAsia="宋体" w:hint="default"/>
                      <w:sz w:val="18"/>
                      <w:szCs w:val="18"/>
                    </w:rPr>
                  </w:pPr>
                </w:p>
                <w:p>
                  <w:pPr>
                    <w:pStyle w:val="BodyText"/>
                    <w:spacing w:line="240" w:lineRule="auto" w:before="160"/>
                    <w:ind w:left="0" w:right="0"/>
                    <w:jc w:val="left"/>
                  </w:pPr>
                  <w:r>
                    <w:rPr/>
                    <w:t>）</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457"/>
        <w:gridCol w:w="811"/>
        <w:gridCol w:w="706"/>
        <w:gridCol w:w="856"/>
        <w:gridCol w:w="3124"/>
        <w:gridCol w:w="992"/>
        <w:gridCol w:w="705"/>
        <w:gridCol w:w="931"/>
      </w:tblGrid>
      <w:tr>
        <w:trPr>
          <w:trHeight w:val="1036" w:hRule="exact"/>
        </w:trPr>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88" w:lineRule="auto"/>
              <w:ind w:left="615" w:right="43"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90" w:right="58"/>
              <w:jc w:val="both"/>
              <w:rPr>
                <w:rFonts w:ascii="宋体" w:hAnsi="宋体" w:cs="宋体" w:eastAsia="宋体" w:hint="default"/>
                <w:sz w:val="18"/>
                <w:szCs w:val="18"/>
              </w:rPr>
            </w:pPr>
            <w:r>
              <w:rPr>
                <w:rFonts w:ascii="宋体" w:hAnsi="宋体" w:cs="宋体" w:eastAsia="宋体" w:hint="default"/>
                <w:sz w:val="18"/>
                <w:szCs w:val="18"/>
              </w:rPr>
              <w:t>是否形 成预计 负债</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02" w:lineRule="auto"/>
              <w:ind w:left="120" w:right="119"/>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31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511"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审理结果及影响</w:t>
            </w:r>
          </w:p>
        </w:tc>
        <w:tc>
          <w:tcPr>
            <w:tcW w:w="9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45" w:right="29"/>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判决执行情 况</w:t>
            </w:r>
          </w:p>
        </w:tc>
        <w:tc>
          <w:tcPr>
            <w:tcW w:w="7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70" w:right="5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759"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15" w:right="29"/>
              <w:jc w:val="left"/>
              <w:rPr>
                <w:rFonts w:ascii="宋体" w:hAnsi="宋体" w:cs="宋体" w:eastAsia="宋体" w:hint="default"/>
                <w:sz w:val="18"/>
                <w:szCs w:val="18"/>
              </w:rPr>
            </w:pPr>
            <w:r>
              <w:rPr>
                <w:rFonts w:ascii="宋体" w:hAnsi="宋体" w:cs="宋体" w:eastAsia="宋体" w:hint="default"/>
                <w:sz w:val="18"/>
                <w:szCs w:val="18"/>
              </w:rPr>
              <w:t>协创数据技术股 </w:t>
            </w:r>
            <w:r>
              <w:rPr>
                <w:rFonts w:ascii="宋体" w:hAnsi="宋体" w:cs="宋体" w:eastAsia="宋体" w:hint="default"/>
                <w:spacing w:val="-6"/>
                <w:sz w:val="18"/>
                <w:szCs w:val="18"/>
              </w:rPr>
              <w:t>份有限公司（以下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简称协创数据）与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易视腾买卖合同 纠纷</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50" w:right="0"/>
              <w:jc w:val="left"/>
              <w:rPr>
                <w:rFonts w:ascii="Times New Roman" w:hAnsi="Times New Roman" w:cs="Times New Roman" w:eastAsia="Times New Roman" w:hint="default"/>
                <w:sz w:val="18"/>
                <w:szCs w:val="18"/>
              </w:rPr>
            </w:pPr>
            <w:r>
              <w:rPr>
                <w:rFonts w:ascii="Times New Roman"/>
                <w:sz w:val="18"/>
              </w:rPr>
              <w:t>2,839.23</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04" w:lineRule="auto"/>
              <w:ind w:left="30" w:right="90"/>
              <w:jc w:val="left"/>
              <w:rPr>
                <w:rFonts w:ascii="宋体" w:hAnsi="宋体" w:cs="宋体" w:eastAsia="宋体" w:hint="default"/>
                <w:sz w:val="18"/>
                <w:szCs w:val="18"/>
              </w:rPr>
            </w:pPr>
            <w:r>
              <w:rPr>
                <w:rFonts w:ascii="宋体" w:hAnsi="宋体" w:cs="宋体" w:eastAsia="宋体" w:hint="default"/>
                <w:sz w:val="18"/>
                <w:szCs w:val="18"/>
              </w:rPr>
              <w:t>二审判决 结案</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4"/>
              <w:ind w:left="30" w:right="13"/>
              <w:jc w:val="left"/>
              <w:rPr>
                <w:rFonts w:ascii="宋体" w:hAnsi="宋体" w:cs="宋体" w:eastAsia="宋体" w:hint="default"/>
                <w:sz w:val="18"/>
                <w:szCs w:val="18"/>
              </w:rPr>
            </w:pPr>
            <w:r>
              <w:rPr>
                <w:rFonts w:ascii="宋体" w:hAnsi="宋体" w:cs="宋体" w:eastAsia="宋体" w:hint="default"/>
                <w:spacing w:val="-5"/>
                <w:sz w:val="18"/>
                <w:szCs w:val="18"/>
              </w:rPr>
              <w:t>一、维持无锡市新吴区人民法院（</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0214 </w:t>
            </w:r>
            <w:r>
              <w:rPr>
                <w:rFonts w:ascii="宋体" w:hAnsi="宋体" w:cs="宋体" w:eastAsia="宋体" w:hint="default"/>
                <w:sz w:val="18"/>
                <w:szCs w:val="18"/>
              </w:rPr>
              <w:t>民初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5101 </w:t>
            </w:r>
            <w:r>
              <w:rPr>
                <w:rFonts w:ascii="宋体" w:hAnsi="宋体" w:cs="宋体" w:eastAsia="宋体" w:hint="default"/>
                <w:sz w:val="18"/>
                <w:szCs w:val="18"/>
              </w:rPr>
              <w:t>号民事判决第二项； </w:t>
            </w:r>
            <w:r>
              <w:rPr>
                <w:rFonts w:ascii="宋体" w:hAnsi="宋体" w:cs="宋体" w:eastAsia="宋体" w:hint="default"/>
                <w:spacing w:val="-5"/>
                <w:sz w:val="18"/>
                <w:szCs w:val="18"/>
              </w:rPr>
              <w:t>二、撤销无锡市新吴区人民法院（</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0214 </w:t>
            </w:r>
            <w:r>
              <w:rPr>
                <w:rFonts w:ascii="宋体" w:hAnsi="宋体" w:cs="宋体" w:eastAsia="宋体" w:hint="default"/>
                <w:sz w:val="18"/>
                <w:szCs w:val="18"/>
              </w:rPr>
              <w:t>民初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5101 </w:t>
            </w:r>
            <w:r>
              <w:rPr>
                <w:rFonts w:ascii="宋体" w:hAnsi="宋体" w:cs="宋体" w:eastAsia="宋体" w:hint="default"/>
                <w:sz w:val="18"/>
                <w:szCs w:val="18"/>
              </w:rPr>
              <w:t>号民事判决第三、四 项；三、变更无锡市新吴区人民法院</w:t>
            </w:r>
          </w:p>
          <w:p>
            <w:pPr>
              <w:pStyle w:val="TableParagraph"/>
              <w:spacing w:line="312" w:lineRule="auto" w:before="51"/>
              <w:ind w:left="30" w:right="1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0214 </w:t>
            </w:r>
            <w:r>
              <w:rPr>
                <w:rFonts w:ascii="宋体" w:hAnsi="宋体" w:cs="宋体" w:eastAsia="宋体" w:hint="default"/>
                <w:sz w:val="18"/>
                <w:szCs w:val="18"/>
              </w:rPr>
              <w:t>民初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5101 </w:t>
            </w:r>
            <w:r>
              <w:rPr>
                <w:rFonts w:ascii="宋体" w:hAnsi="宋体" w:cs="宋体" w:eastAsia="宋体" w:hint="default"/>
                <w:sz w:val="18"/>
                <w:szCs w:val="18"/>
              </w:rPr>
              <w:t>号民事判决 一项为易视腾公司于本判决发生法律效 力之日起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日内给付协创公司货款</w:t>
            </w:r>
          </w:p>
          <w:p>
            <w:pPr>
              <w:pStyle w:val="TableParagraph"/>
              <w:spacing w:line="240" w:lineRule="auto" w:before="6"/>
              <w:ind w:left="3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21502456.13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元及逾期付款利</w:t>
            </w:r>
            <w:r>
              <w:rPr>
                <w:rFonts w:ascii="宋体" w:hAnsi="宋体" w:cs="宋体" w:eastAsia="宋体" w:hint="default"/>
                <w:spacing w:val="-90"/>
                <w:sz w:val="18"/>
                <w:szCs w:val="18"/>
              </w:rPr>
              <w:t>息</w:t>
            </w:r>
            <w:r>
              <w:rPr>
                <w:rFonts w:ascii="宋体" w:hAnsi="宋体" w:cs="宋体" w:eastAsia="宋体" w:hint="default"/>
                <w:sz w:val="18"/>
                <w:szCs w:val="18"/>
              </w:rPr>
              <w:t>（计算至</w:t>
            </w:r>
          </w:p>
          <w:p>
            <w:pPr>
              <w:pStyle w:val="TableParagraph"/>
              <w:spacing w:line="240" w:lineRule="auto" w:before="51"/>
              <w:ind w:left="3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812603.05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并自</w:t>
            </w:r>
          </w:p>
          <w:p>
            <w:pPr>
              <w:pStyle w:val="TableParagraph"/>
              <w:spacing w:line="240" w:lineRule="auto" w:before="66"/>
              <w:ind w:left="30"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日起，以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21502456.13</w:t>
            </w:r>
          </w:p>
          <w:p>
            <w:pPr>
              <w:pStyle w:val="TableParagraph"/>
              <w:spacing w:line="304" w:lineRule="auto" w:before="66"/>
              <w:ind w:left="30" w:right="18"/>
              <w:jc w:val="both"/>
              <w:rPr>
                <w:rFonts w:ascii="宋体" w:hAnsi="宋体" w:cs="宋体" w:eastAsia="宋体" w:hint="default"/>
                <w:sz w:val="18"/>
                <w:szCs w:val="18"/>
              </w:rPr>
            </w:pPr>
            <w:r>
              <w:rPr>
                <w:rFonts w:ascii="宋体" w:hAnsi="宋体" w:cs="宋体" w:eastAsia="宋体" w:hint="default"/>
                <w:sz w:val="18"/>
                <w:szCs w:val="18"/>
              </w:rPr>
              <w:t>元为基数，按年利率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4.35%</w:t>
            </w:r>
            <w:r>
              <w:rPr>
                <w:rFonts w:ascii="宋体" w:hAnsi="宋体" w:cs="宋体" w:eastAsia="宋体" w:hint="default"/>
                <w:sz w:val="18"/>
                <w:szCs w:val="18"/>
              </w:rPr>
              <w:t>计算至实际 </w:t>
            </w:r>
            <w:r>
              <w:rPr>
                <w:rFonts w:ascii="宋体" w:hAnsi="宋体" w:cs="宋体" w:eastAsia="宋体" w:hint="default"/>
                <w:spacing w:val="-11"/>
                <w:sz w:val="18"/>
                <w:szCs w:val="18"/>
              </w:rPr>
              <w:t>支付之日止），随本结清；四、驳回协创</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公司的其他本诉请求；五、驳回易视腾 公司的其他上诉请求。</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1726" w:lineRule="exact"/>
              <w:ind w:right="-51"/>
              <w:jc w:val="left"/>
              <w:rPr>
                <w:rFonts w:ascii="宋体" w:hAnsi="宋体" w:cs="宋体" w:eastAsia="宋体" w:hint="default"/>
                <w:sz w:val="20"/>
                <w:szCs w:val="20"/>
              </w:rPr>
            </w:pPr>
            <w:r>
              <w:rPr>
                <w:rFonts w:ascii="宋体" w:hAnsi="宋体" w:cs="宋体" w:eastAsia="宋体" w:hint="default"/>
                <w:position w:val="-34"/>
                <w:sz w:val="20"/>
                <w:szCs w:val="20"/>
              </w:rPr>
              <w:pict>
                <v:group style="width:48.85pt;height:86.35pt;mso-position-horizontal-relative:char;mso-position-vertical-relative:line" coordorigin="0,0" coordsize="977,1727">
                  <v:group style="position:absolute;left:0;top:0;width:977;height:1727" coordorigin="0,0" coordsize="977,1727">
                    <v:shape style="position:absolute;left:0;top:0;width:977;height:1727" coordorigin="0,0" coordsize="977,1727" path="m0,1726l976,1726,976,0,0,0,0,1726xe" filled="true" fillcolor="#ffffff" stroked="false">
                      <v:path arrowok="t"/>
                      <v:fill type="solid"/>
                    </v:shape>
                  </v:group>
                </v:group>
              </w:pict>
            </w:r>
            <w:r>
              <w:rPr>
                <w:rFonts w:ascii="宋体" w:hAnsi="宋体" w:cs="宋体" w:eastAsia="宋体" w:hint="default"/>
                <w:position w:val="-34"/>
                <w:sz w:val="20"/>
                <w:szCs w:val="20"/>
              </w:rPr>
            </w:r>
          </w:p>
          <w:p>
            <w:pPr>
              <w:pStyle w:val="TableParagraph"/>
              <w:spacing w:line="316" w:lineRule="auto" w:before="45"/>
              <w:ind w:left="30" w:right="44"/>
              <w:jc w:val="both"/>
              <w:rPr>
                <w:rFonts w:ascii="宋体" w:hAnsi="宋体" w:cs="宋体" w:eastAsia="宋体" w:hint="default"/>
                <w:sz w:val="18"/>
                <w:szCs w:val="18"/>
              </w:rPr>
            </w:pPr>
            <w:r>
              <w:rPr>
                <w:rFonts w:ascii="宋体" w:hAnsi="宋体" w:cs="宋体" w:eastAsia="宋体" w:hint="default"/>
                <w:sz w:val="18"/>
                <w:szCs w:val="18"/>
              </w:rPr>
              <w:t>易视腾主动 履行判决； 协创数据未 返还模具。</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30" w:right="88"/>
              <w:jc w:val="both"/>
              <w:rPr>
                <w:rFonts w:ascii="宋体" w:hAnsi="宋体" w:cs="宋体" w:eastAsia="宋体" w:hint="default"/>
                <w:sz w:val="18"/>
                <w:szCs w:val="18"/>
              </w:rPr>
            </w:pPr>
            <w:r>
              <w:rPr>
                <w:rFonts w:ascii="宋体" w:hAnsi="宋体" w:cs="宋体" w:eastAsia="宋体" w:hint="default"/>
                <w:sz w:val="18"/>
                <w:szCs w:val="18"/>
              </w:rPr>
              <w:t>披露于巨 潮网上重 组报告书 中</w:t>
            </w:r>
          </w:p>
          <w:p>
            <w:pPr>
              <w:pStyle w:val="TableParagraph"/>
              <w:spacing w:line="364" w:lineRule="auto" w:before="79"/>
              <w:ind w:left="30" w:right="88"/>
              <w:jc w:val="both"/>
              <w:rPr>
                <w:rFonts w:ascii="Times New Roman" w:hAnsi="Times New Roman" w:cs="Times New Roman" w:eastAsia="Times New Roman" w:hint="default"/>
                <w:sz w:val="18"/>
                <w:szCs w:val="18"/>
              </w:rPr>
            </w:pPr>
            <w:r>
              <w:rPr>
                <w:rFonts w:ascii="Times New Roman"/>
                <w:sz w:val="18"/>
              </w:rPr>
              <w:t>www.cninf o.com.cn</w:t>
            </w:r>
          </w:p>
        </w:tc>
      </w:tr>
    </w:tbl>
    <w:p>
      <w:pPr>
        <w:spacing w:after="0" w:line="364" w:lineRule="auto"/>
        <w:jc w:val="both"/>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457"/>
        <w:gridCol w:w="811"/>
        <w:gridCol w:w="706"/>
        <w:gridCol w:w="856"/>
        <w:gridCol w:w="3124"/>
        <w:gridCol w:w="992"/>
        <w:gridCol w:w="705"/>
        <w:gridCol w:w="931"/>
      </w:tblGrid>
      <w:tr>
        <w:trPr>
          <w:trHeight w:val="2897"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7"/>
              <w:ind w:left="15" w:right="164"/>
              <w:jc w:val="both"/>
              <w:rPr>
                <w:rFonts w:ascii="宋体" w:hAnsi="宋体" w:cs="宋体" w:eastAsia="宋体" w:hint="default"/>
                <w:sz w:val="18"/>
                <w:szCs w:val="18"/>
              </w:rPr>
            </w:pPr>
            <w:r>
              <w:rPr>
                <w:rFonts w:ascii="宋体" w:hAnsi="宋体" w:cs="宋体" w:eastAsia="宋体" w:hint="default"/>
                <w:sz w:val="18"/>
                <w:szCs w:val="18"/>
              </w:rPr>
              <w:t>深圳云之尚与协 创数据买卖合同 纠纷</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z w:val="18"/>
              </w:rPr>
              <w:t>1,460.21</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21" w:lineRule="auto"/>
              <w:ind w:left="30" w:right="90"/>
              <w:jc w:val="left"/>
              <w:rPr>
                <w:rFonts w:ascii="宋体" w:hAnsi="宋体" w:cs="宋体" w:eastAsia="宋体" w:hint="default"/>
                <w:sz w:val="18"/>
                <w:szCs w:val="18"/>
              </w:rPr>
            </w:pPr>
            <w:r>
              <w:rPr>
                <w:rFonts w:ascii="宋体" w:hAnsi="宋体" w:cs="宋体" w:eastAsia="宋体" w:hint="default"/>
                <w:sz w:val="18"/>
                <w:szCs w:val="18"/>
              </w:rPr>
              <w:t>一审判决 结案</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8"/>
              <w:jc w:val="both"/>
              <w:rPr>
                <w:rFonts w:ascii="Times New Roman" w:hAnsi="Times New Roman" w:cs="Times New Roman" w:eastAsia="Times New Roman" w:hint="default"/>
                <w:sz w:val="18"/>
                <w:szCs w:val="18"/>
              </w:rPr>
            </w:pPr>
            <w:r>
              <w:rPr>
                <w:rFonts w:ascii="宋体" w:hAnsi="宋体" w:cs="宋体" w:eastAsia="宋体" w:hint="default"/>
                <w:sz w:val="18"/>
                <w:szCs w:val="18"/>
              </w:rPr>
              <w:t>本诉判决：一、被告协创数据于本判决 生效之日起十日内给付原告深圳市云之 尚网络科技有限公司货款</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8,619,096.32</w:t>
            </w:r>
          </w:p>
          <w:p>
            <w:pPr>
              <w:pStyle w:val="TableParagraph"/>
              <w:spacing w:line="219" w:lineRule="exact"/>
              <w:ind w:left="30" w:right="0"/>
              <w:jc w:val="both"/>
              <w:rPr>
                <w:rFonts w:ascii="宋体" w:hAnsi="宋体" w:cs="宋体" w:eastAsia="宋体" w:hint="default"/>
                <w:sz w:val="18"/>
                <w:szCs w:val="18"/>
              </w:rPr>
            </w:pPr>
            <w:r>
              <w:rPr>
                <w:rFonts w:ascii="宋体" w:hAnsi="宋体" w:cs="宋体" w:eastAsia="宋体" w:hint="default"/>
                <w:sz w:val="18"/>
                <w:szCs w:val="18"/>
              </w:rPr>
              <w:t>元；二、驳回原告深圳市云之尚的其他</w:t>
            </w:r>
          </w:p>
          <w:p>
            <w:pPr>
              <w:pStyle w:val="TableParagraph"/>
              <w:spacing w:line="314" w:lineRule="auto" w:before="79"/>
              <w:ind w:left="30" w:right="15"/>
              <w:jc w:val="both"/>
              <w:rPr>
                <w:rFonts w:ascii="宋体" w:hAnsi="宋体" w:cs="宋体" w:eastAsia="宋体" w:hint="default"/>
                <w:sz w:val="18"/>
                <w:szCs w:val="18"/>
              </w:rPr>
            </w:pPr>
            <w:r>
              <w:rPr>
                <w:rFonts w:ascii="宋体" w:hAnsi="宋体" w:cs="宋体" w:eastAsia="宋体" w:hint="default"/>
                <w:sz w:val="18"/>
                <w:szCs w:val="18"/>
              </w:rPr>
              <w:t>诉讼请求。反诉判决：一、被告深圳市 云之尚于本判决生效之日起十日内给付 原告协创数据技术有限公司货款</w:t>
            </w:r>
          </w:p>
          <w:p>
            <w:pPr>
              <w:pStyle w:val="TableParagraph"/>
              <w:spacing w:line="288" w:lineRule="auto" w:before="39"/>
              <w:ind w:left="30" w:right="15"/>
              <w:jc w:val="both"/>
              <w:rPr>
                <w:rFonts w:ascii="宋体" w:hAnsi="宋体" w:cs="宋体" w:eastAsia="宋体" w:hint="default"/>
                <w:sz w:val="18"/>
                <w:szCs w:val="18"/>
              </w:rPr>
            </w:pPr>
            <w:r>
              <w:rPr>
                <w:rFonts w:ascii="Times New Roman" w:hAnsi="Times New Roman" w:cs="Times New Roman" w:eastAsia="Times New Roman" w:hint="default"/>
                <w:sz w:val="18"/>
                <w:szCs w:val="18"/>
              </w:rPr>
              <w:t>3,520,992.6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元；三、驳回原告协创数据 的其他诉讼请求。</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30" w:right="44"/>
              <w:jc w:val="both"/>
              <w:rPr>
                <w:rFonts w:ascii="宋体" w:hAnsi="宋体" w:cs="宋体" w:eastAsia="宋体" w:hint="default"/>
                <w:sz w:val="18"/>
                <w:szCs w:val="18"/>
              </w:rPr>
            </w:pPr>
            <w:r>
              <w:rPr>
                <w:rFonts w:ascii="宋体" w:hAnsi="宋体" w:cs="宋体" w:eastAsia="宋体" w:hint="default"/>
                <w:sz w:val="18"/>
                <w:szCs w:val="18"/>
              </w:rPr>
              <w:t>深圳云之尚 与协创数据 都已执行完 毕。</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30" w:right="88"/>
              <w:jc w:val="both"/>
              <w:rPr>
                <w:rFonts w:ascii="宋体" w:hAnsi="宋体" w:cs="宋体" w:eastAsia="宋体" w:hint="default"/>
                <w:sz w:val="18"/>
                <w:szCs w:val="18"/>
              </w:rPr>
            </w:pPr>
            <w:r>
              <w:rPr>
                <w:rFonts w:ascii="宋体" w:hAnsi="宋体" w:cs="宋体" w:eastAsia="宋体" w:hint="default"/>
                <w:sz w:val="18"/>
                <w:szCs w:val="18"/>
              </w:rPr>
              <w:t>披露于巨 潮网上重 组报告书 中</w:t>
            </w:r>
          </w:p>
          <w:p>
            <w:pPr>
              <w:pStyle w:val="TableParagraph"/>
              <w:spacing w:line="364" w:lineRule="auto" w:before="79"/>
              <w:ind w:left="30" w:right="88"/>
              <w:jc w:val="both"/>
              <w:rPr>
                <w:rFonts w:ascii="Times New Roman" w:hAnsi="Times New Roman" w:cs="Times New Roman" w:eastAsia="Times New Roman" w:hint="default"/>
                <w:sz w:val="18"/>
                <w:szCs w:val="18"/>
              </w:rPr>
            </w:pPr>
            <w:r>
              <w:rPr>
                <w:rFonts w:ascii="Times New Roman"/>
                <w:sz w:val="18"/>
              </w:rPr>
              <w:t>www.cninf o.com.cn</w:t>
            </w:r>
          </w:p>
        </w:tc>
      </w:tr>
      <w:tr>
        <w:trPr>
          <w:trHeight w:val="2597"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西安佳韵社数字 娱乐发行股份有 限公司与中国移 动通信集团北京 </w:t>
            </w:r>
            <w:r>
              <w:rPr>
                <w:rFonts w:ascii="宋体" w:hAnsi="宋体" w:cs="宋体" w:eastAsia="宋体" w:hint="default"/>
                <w:spacing w:val="-6"/>
                <w:sz w:val="18"/>
                <w:szCs w:val="18"/>
              </w:rPr>
              <w:t>有限公司、易视腾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科技之间的侵害 </w:t>
            </w:r>
            <w:r>
              <w:rPr>
                <w:rFonts w:ascii="宋体" w:hAnsi="宋体" w:cs="宋体" w:eastAsia="宋体" w:hint="default"/>
                <w:spacing w:val="-6"/>
                <w:sz w:val="18"/>
                <w:szCs w:val="18"/>
              </w:rPr>
              <w:t>著作权纠纷，共十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案</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48"/>
              <w:ind w:left="30" w:right="90"/>
              <w:jc w:val="left"/>
              <w:rPr>
                <w:rFonts w:ascii="宋体" w:hAnsi="宋体" w:cs="宋体" w:eastAsia="宋体" w:hint="default"/>
                <w:sz w:val="18"/>
                <w:szCs w:val="18"/>
              </w:rPr>
            </w:pPr>
            <w:r>
              <w:rPr>
                <w:rFonts w:ascii="宋体" w:hAnsi="宋体" w:cs="宋体" w:eastAsia="宋体" w:hint="default"/>
                <w:sz w:val="18"/>
                <w:szCs w:val="18"/>
              </w:rPr>
              <w:t>原告撤诉 结案</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1"/>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30" w:right="89"/>
              <w:jc w:val="both"/>
              <w:rPr>
                <w:rFonts w:ascii="宋体" w:hAnsi="宋体" w:cs="宋体" w:eastAsia="宋体" w:hint="default"/>
                <w:sz w:val="18"/>
                <w:szCs w:val="18"/>
              </w:rPr>
            </w:pPr>
            <w:r>
              <w:rPr>
                <w:rFonts w:ascii="宋体" w:hAnsi="宋体" w:cs="宋体" w:eastAsia="宋体" w:hint="default"/>
                <w:sz w:val="18"/>
                <w:szCs w:val="18"/>
              </w:rPr>
              <w:t>披露于巨 潮网上重 组报告书 中</w:t>
            </w:r>
          </w:p>
          <w:p>
            <w:pPr>
              <w:pStyle w:val="TableParagraph"/>
              <w:spacing w:line="348" w:lineRule="auto" w:before="79"/>
              <w:ind w:left="30" w:right="89"/>
              <w:jc w:val="both"/>
              <w:rPr>
                <w:rFonts w:ascii="Times New Roman" w:hAnsi="Times New Roman" w:cs="Times New Roman" w:eastAsia="Times New Roman" w:hint="default"/>
                <w:sz w:val="18"/>
                <w:szCs w:val="18"/>
              </w:rPr>
            </w:pPr>
            <w:r>
              <w:rPr>
                <w:rFonts w:ascii="Times New Roman"/>
                <w:sz w:val="18"/>
              </w:rPr>
              <w:t>www.cninf o.com.cn</w:t>
            </w:r>
          </w:p>
        </w:tc>
      </w:tr>
      <w:tr>
        <w:trPr>
          <w:trHeight w:val="2898"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15" w:right="29"/>
              <w:jc w:val="left"/>
              <w:rPr>
                <w:rFonts w:ascii="宋体" w:hAnsi="宋体" w:cs="宋体" w:eastAsia="宋体" w:hint="default"/>
                <w:sz w:val="18"/>
                <w:szCs w:val="18"/>
              </w:rPr>
            </w:pPr>
            <w:r>
              <w:rPr>
                <w:rFonts w:ascii="宋体" w:hAnsi="宋体" w:cs="宋体" w:eastAsia="宋体" w:hint="default"/>
                <w:sz w:val="18"/>
                <w:szCs w:val="18"/>
              </w:rPr>
              <w:t>华宇华源电子科 </w:t>
            </w:r>
            <w:r>
              <w:rPr>
                <w:rFonts w:ascii="宋体" w:hAnsi="宋体" w:cs="宋体" w:eastAsia="宋体" w:hint="default"/>
                <w:spacing w:val="-8"/>
                <w:sz w:val="18"/>
                <w:szCs w:val="18"/>
              </w:rPr>
              <w:t>技（深圳）有限公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司与深圳泰格华 </w:t>
            </w:r>
            <w:r>
              <w:rPr>
                <w:rFonts w:ascii="宋体" w:hAnsi="宋体" w:cs="宋体" w:eastAsia="宋体" w:hint="default"/>
                <w:spacing w:val="-6"/>
                <w:sz w:val="18"/>
                <w:szCs w:val="18"/>
              </w:rPr>
              <w:t>科技有限公司、刘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万在、易视腾、深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圳维盟科技股份 有限公司、冼伟 </w:t>
            </w:r>
            <w:r>
              <w:rPr>
                <w:rFonts w:ascii="宋体" w:hAnsi="宋体" w:cs="宋体" w:eastAsia="宋体" w:hint="default"/>
                <w:spacing w:val="-6"/>
                <w:sz w:val="18"/>
                <w:szCs w:val="18"/>
              </w:rPr>
              <w:t>权、汪桐之间的承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揽合同纠纷</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249.88</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21" w:lineRule="auto"/>
              <w:ind w:left="30" w:right="90"/>
              <w:jc w:val="left"/>
              <w:rPr>
                <w:rFonts w:ascii="宋体" w:hAnsi="宋体" w:cs="宋体" w:eastAsia="宋体" w:hint="default"/>
                <w:sz w:val="18"/>
                <w:szCs w:val="18"/>
              </w:rPr>
            </w:pPr>
            <w:r>
              <w:rPr>
                <w:rFonts w:ascii="宋体" w:hAnsi="宋体" w:cs="宋体" w:eastAsia="宋体" w:hint="default"/>
                <w:sz w:val="18"/>
                <w:szCs w:val="18"/>
              </w:rPr>
              <w:t>二审判决 结案</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易视腾不承担责任。</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1"/>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21" w:lineRule="auto"/>
              <w:ind w:left="30" w:right="88"/>
              <w:jc w:val="both"/>
              <w:rPr>
                <w:rFonts w:ascii="宋体" w:hAnsi="宋体" w:cs="宋体" w:eastAsia="宋体" w:hint="default"/>
                <w:sz w:val="18"/>
                <w:szCs w:val="18"/>
              </w:rPr>
            </w:pPr>
            <w:r>
              <w:rPr>
                <w:rFonts w:ascii="宋体" w:hAnsi="宋体" w:cs="宋体" w:eastAsia="宋体" w:hint="default"/>
                <w:sz w:val="18"/>
                <w:szCs w:val="18"/>
              </w:rPr>
              <w:t>披露于巨 潮网上重 组报告书 中</w:t>
            </w:r>
          </w:p>
          <w:p>
            <w:pPr>
              <w:pStyle w:val="TableParagraph"/>
              <w:spacing w:line="364" w:lineRule="auto" w:before="61"/>
              <w:ind w:left="30" w:right="88"/>
              <w:jc w:val="both"/>
              <w:rPr>
                <w:rFonts w:ascii="Times New Roman" w:hAnsi="Times New Roman" w:cs="Times New Roman" w:eastAsia="Times New Roman" w:hint="default"/>
                <w:sz w:val="18"/>
                <w:szCs w:val="18"/>
              </w:rPr>
            </w:pPr>
            <w:r>
              <w:rPr>
                <w:rFonts w:ascii="Times New Roman"/>
                <w:sz w:val="18"/>
              </w:rPr>
              <w:t>www.cninf o.com.cn</w:t>
            </w:r>
          </w:p>
        </w:tc>
      </w:tr>
      <w:tr>
        <w:trPr>
          <w:trHeight w:val="4144"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16" w:lineRule="auto"/>
              <w:ind w:left="15" w:right="164"/>
              <w:jc w:val="both"/>
              <w:rPr>
                <w:rFonts w:ascii="宋体" w:hAnsi="宋体" w:cs="宋体" w:eastAsia="宋体" w:hint="default"/>
                <w:sz w:val="18"/>
                <w:szCs w:val="18"/>
              </w:rPr>
            </w:pPr>
            <w:r>
              <w:rPr>
                <w:rFonts w:ascii="宋体" w:hAnsi="宋体" w:cs="宋体" w:eastAsia="宋体" w:hint="default"/>
                <w:sz w:val="18"/>
                <w:szCs w:val="18"/>
              </w:rPr>
              <w:t>易视腾与霍尔果 斯聚视互娱文化 产业有限公司之 间的合作合同纠 纷</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547.32</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裁决结案</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30"/>
              <w:ind w:left="30" w:right="43"/>
              <w:jc w:val="both"/>
              <w:rPr>
                <w:rFonts w:ascii="Times New Roman" w:hAnsi="Times New Roman" w:cs="Times New Roman" w:eastAsia="Times New Roman" w:hint="default"/>
                <w:sz w:val="18"/>
                <w:szCs w:val="18"/>
              </w:rPr>
            </w:pPr>
            <w:r>
              <w:rPr>
                <w:rFonts w:ascii="宋体" w:hAnsi="宋体" w:cs="宋体" w:eastAsia="宋体" w:hint="default"/>
                <w:sz w:val="18"/>
                <w:szCs w:val="18"/>
              </w:rPr>
              <w:t>新疆维吾尔 自治区高级 人民法院伊 利哈萨克自 治州分院出 具（</w:t>
            </w:r>
            <w:r>
              <w:rPr>
                <w:rFonts w:ascii="Times New Roman" w:hAnsi="Times New Roman" w:cs="Times New Roman" w:eastAsia="Times New Roman" w:hint="default"/>
                <w:sz w:val="18"/>
                <w:szCs w:val="18"/>
              </w:rPr>
              <w:t>2019</w:t>
            </w:r>
            <w:r>
              <w:rPr>
                <w:rFonts w:ascii="宋体" w:hAnsi="宋体" w:cs="宋体" w:eastAsia="宋体" w:hint="default"/>
                <w:sz w:val="18"/>
                <w:szCs w:val="18"/>
              </w:rPr>
              <w:t>） 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58</w:t>
            </w:r>
          </w:p>
          <w:p>
            <w:pPr>
              <w:pStyle w:val="TableParagraph"/>
              <w:spacing w:line="221" w:lineRule="exact"/>
              <w:ind w:left="30" w:right="0"/>
              <w:jc w:val="both"/>
              <w:rPr>
                <w:rFonts w:ascii="宋体" w:hAnsi="宋体" w:cs="宋体" w:eastAsia="宋体" w:hint="default"/>
                <w:sz w:val="18"/>
                <w:szCs w:val="18"/>
              </w:rPr>
            </w:pPr>
            <w:r>
              <w:rPr>
                <w:rFonts w:ascii="宋体" w:hAnsi="宋体" w:cs="宋体" w:eastAsia="宋体" w:hint="default"/>
                <w:sz w:val="18"/>
                <w:szCs w:val="18"/>
              </w:rPr>
              <w:t>号执行裁定</w:t>
            </w:r>
          </w:p>
          <w:p>
            <w:pPr>
              <w:pStyle w:val="TableParagraph"/>
              <w:spacing w:line="307" w:lineRule="auto" w:before="79"/>
              <w:ind w:left="30" w:right="44"/>
              <w:jc w:val="both"/>
              <w:rPr>
                <w:rFonts w:ascii="宋体" w:hAnsi="宋体" w:cs="宋体" w:eastAsia="宋体" w:hint="default"/>
                <w:sz w:val="18"/>
                <w:szCs w:val="18"/>
              </w:rPr>
            </w:pPr>
            <w:r>
              <w:rPr>
                <w:rFonts w:ascii="宋体" w:hAnsi="宋体" w:cs="宋体" w:eastAsia="宋体" w:hint="default"/>
                <w:sz w:val="18"/>
                <w:szCs w:val="18"/>
              </w:rPr>
              <w:t>书，强制执 行</w:t>
            </w:r>
          </w:p>
          <w:p>
            <w:pPr>
              <w:pStyle w:val="TableParagraph"/>
              <w:spacing w:line="240" w:lineRule="auto" w:before="86"/>
              <w:ind w:left="30" w:right="0"/>
              <w:jc w:val="both"/>
              <w:rPr>
                <w:rFonts w:ascii="Times New Roman" w:hAnsi="Times New Roman" w:cs="Times New Roman" w:eastAsia="Times New Roman" w:hint="default"/>
                <w:sz w:val="18"/>
                <w:szCs w:val="18"/>
              </w:rPr>
            </w:pPr>
            <w:r>
              <w:rPr>
                <w:rFonts w:ascii="Times New Roman"/>
                <w:sz w:val="18"/>
              </w:rPr>
              <w:t>3,837,217.1</w:t>
            </w:r>
          </w:p>
          <w:p>
            <w:pPr>
              <w:pStyle w:val="TableParagraph"/>
              <w:spacing w:line="288" w:lineRule="auto" w:before="66"/>
              <w:ind w:left="30"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元，已执 行完毕</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30" w:right="89"/>
              <w:jc w:val="both"/>
              <w:rPr>
                <w:rFonts w:ascii="宋体" w:hAnsi="宋体" w:cs="宋体" w:eastAsia="宋体" w:hint="default"/>
                <w:sz w:val="18"/>
                <w:szCs w:val="18"/>
              </w:rPr>
            </w:pPr>
            <w:r>
              <w:rPr>
                <w:rFonts w:ascii="宋体" w:hAnsi="宋体" w:cs="宋体" w:eastAsia="宋体" w:hint="default"/>
                <w:sz w:val="18"/>
                <w:szCs w:val="18"/>
              </w:rPr>
              <w:t>披露于巨 潮网上重 组报告书 中</w:t>
            </w:r>
          </w:p>
          <w:p>
            <w:pPr>
              <w:pStyle w:val="TableParagraph"/>
              <w:spacing w:line="364" w:lineRule="auto" w:before="79"/>
              <w:ind w:left="30" w:right="89"/>
              <w:jc w:val="both"/>
              <w:rPr>
                <w:rFonts w:ascii="Times New Roman" w:hAnsi="Times New Roman" w:cs="Times New Roman" w:eastAsia="Times New Roman" w:hint="default"/>
                <w:sz w:val="18"/>
                <w:szCs w:val="18"/>
              </w:rPr>
            </w:pPr>
            <w:r>
              <w:rPr>
                <w:rFonts w:ascii="Times New Roman"/>
                <w:sz w:val="18"/>
              </w:rPr>
              <w:t>www.cninf o.com.cn</w:t>
            </w:r>
          </w:p>
        </w:tc>
      </w:tr>
    </w:tbl>
    <w:p>
      <w:pPr>
        <w:spacing w:after="0" w:line="364" w:lineRule="auto"/>
        <w:jc w:val="both"/>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457"/>
        <w:gridCol w:w="811"/>
        <w:gridCol w:w="706"/>
        <w:gridCol w:w="856"/>
        <w:gridCol w:w="3124"/>
        <w:gridCol w:w="992"/>
        <w:gridCol w:w="705"/>
        <w:gridCol w:w="931"/>
      </w:tblGrid>
      <w:tr>
        <w:trPr>
          <w:trHeight w:val="1651"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64"/>
              <w:jc w:val="both"/>
              <w:rPr>
                <w:rFonts w:ascii="宋体" w:hAnsi="宋体" w:cs="宋体" w:eastAsia="宋体" w:hint="default"/>
                <w:sz w:val="18"/>
                <w:szCs w:val="18"/>
              </w:rPr>
            </w:pPr>
            <w:r>
              <w:rPr>
                <w:rFonts w:ascii="宋体" w:hAnsi="宋体" w:cs="宋体" w:eastAsia="宋体" w:hint="default"/>
                <w:sz w:val="18"/>
                <w:szCs w:val="18"/>
              </w:rPr>
              <w:t>西安佳韵社数字 娱乐发行股份有 限公司与易视腾 之间的侵害著作 权纠纷，共八案</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104</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04" w:lineRule="auto"/>
              <w:ind w:left="30" w:right="90"/>
              <w:jc w:val="left"/>
              <w:rPr>
                <w:rFonts w:ascii="宋体" w:hAnsi="宋体" w:cs="宋体" w:eastAsia="宋体" w:hint="default"/>
                <w:sz w:val="18"/>
                <w:szCs w:val="18"/>
              </w:rPr>
            </w:pPr>
            <w:r>
              <w:rPr>
                <w:rFonts w:ascii="宋体" w:hAnsi="宋体" w:cs="宋体" w:eastAsia="宋体" w:hint="default"/>
                <w:sz w:val="18"/>
                <w:szCs w:val="18"/>
              </w:rPr>
              <w:t>二审审理 中</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05"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2267" w:hRule="exact"/>
        </w:trPr>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29"/>
              <w:jc w:val="left"/>
              <w:rPr>
                <w:rFonts w:ascii="宋体" w:hAnsi="宋体" w:cs="宋体" w:eastAsia="宋体" w:hint="default"/>
                <w:sz w:val="18"/>
                <w:szCs w:val="18"/>
              </w:rPr>
            </w:pPr>
            <w:r>
              <w:rPr>
                <w:rFonts w:ascii="宋体" w:hAnsi="宋体" w:cs="宋体" w:eastAsia="宋体" w:hint="default"/>
                <w:sz w:val="18"/>
                <w:szCs w:val="18"/>
              </w:rPr>
              <w:t>西安佳韵社数字 娱乐发行股份有 限公司与中国移 动通信集团北京 </w:t>
            </w:r>
            <w:r>
              <w:rPr>
                <w:rFonts w:ascii="宋体" w:hAnsi="宋体" w:cs="宋体" w:eastAsia="宋体" w:hint="default"/>
                <w:spacing w:val="-6"/>
                <w:sz w:val="18"/>
                <w:szCs w:val="18"/>
              </w:rPr>
              <w:t>有限公司、易视腾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之间的侵害著作 权纠纷，共十案</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7" w:lineRule="auto"/>
              <w:ind w:left="30" w:right="90"/>
              <w:jc w:val="left"/>
              <w:rPr>
                <w:rFonts w:ascii="宋体" w:hAnsi="宋体" w:cs="宋体" w:eastAsia="宋体" w:hint="default"/>
                <w:sz w:val="18"/>
                <w:szCs w:val="18"/>
              </w:rPr>
            </w:pPr>
            <w:r>
              <w:rPr>
                <w:rFonts w:ascii="宋体" w:hAnsi="宋体" w:cs="宋体" w:eastAsia="宋体" w:hint="default"/>
                <w:sz w:val="18"/>
                <w:szCs w:val="18"/>
              </w:rPr>
              <w:t>一审审理 中</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05"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4"/>
        <w:rPr>
          <w:rFonts w:ascii="Times New Roman" w:hAnsi="Times New Roman" w:cs="Times New Roman" w:eastAsia="Times New Roman" w:hint="default"/>
          <w:sz w:val="20"/>
          <w:szCs w:val="20"/>
        </w:rPr>
      </w:pPr>
    </w:p>
    <w:p>
      <w:pPr>
        <w:pStyle w:val="Heading2"/>
        <w:spacing w:line="240" w:lineRule="auto" w:before="26"/>
        <w:ind w:right="1105"/>
        <w:jc w:val="left"/>
        <w:rPr>
          <w:b w:val="0"/>
          <w:bCs w:val="0"/>
        </w:rPr>
      </w:pPr>
      <w:bookmarkStart w:name="十二、处罚及整改情况" w:id="73"/>
      <w:bookmarkEnd w:id="73"/>
      <w:r>
        <w:rPr>
          <w:b w:val="0"/>
          <w:bCs w:val="0"/>
        </w:rPr>
      </w:r>
      <w:r>
        <w:rPr/>
        <w:t>十二、处罚及整改情况</w:t>
      </w:r>
      <w:r>
        <w:rPr>
          <w:b w:val="0"/>
          <w:bCs w:val="0"/>
        </w:rPr>
      </w:r>
    </w:p>
    <w:p>
      <w:pPr>
        <w:spacing w:line="240" w:lineRule="auto" w:before="3"/>
        <w:rPr>
          <w:rFonts w:ascii="宋体" w:hAnsi="宋体" w:cs="宋体" w:eastAsia="宋体" w:hint="default"/>
          <w:b/>
          <w:bCs/>
          <w:sz w:val="27"/>
          <w:szCs w:val="27"/>
        </w:rPr>
      </w:pPr>
    </w:p>
    <w:p>
      <w:pPr>
        <w:pStyle w:val="BodyText"/>
        <w:spacing w:line="333" w:lineRule="auto"/>
        <w:ind w:right="78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公司报告期不存在处罚及整改情况。</w:t>
      </w:r>
    </w:p>
    <w:p>
      <w:pPr>
        <w:spacing w:line="240" w:lineRule="auto" w:before="8"/>
        <w:rPr>
          <w:rFonts w:ascii="宋体" w:hAnsi="宋体" w:cs="宋体" w:eastAsia="宋体" w:hint="default"/>
          <w:sz w:val="20"/>
          <w:szCs w:val="20"/>
        </w:rPr>
      </w:pPr>
    </w:p>
    <w:p>
      <w:pPr>
        <w:pStyle w:val="Heading2"/>
        <w:spacing w:line="240" w:lineRule="auto"/>
        <w:ind w:right="1105"/>
        <w:jc w:val="left"/>
        <w:rPr>
          <w:b w:val="0"/>
          <w:bCs w:val="0"/>
        </w:rPr>
      </w:pPr>
      <w:bookmarkStart w:name="十三、公司及其控股股东、实际控制人的诚信状况" w:id="74"/>
      <w:bookmarkEnd w:id="74"/>
      <w:r>
        <w:rPr>
          <w:b w:val="0"/>
          <w:bCs w:val="0"/>
        </w:rPr>
      </w:r>
      <w:r>
        <w:rPr/>
        <w:t>十三、公司及其控股股东、实际控制人的诚信状况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1105"/>
        <w:jc w:val="left"/>
        <w:rPr>
          <w:b w:val="0"/>
          <w:bCs w:val="0"/>
        </w:rPr>
      </w:pPr>
      <w:bookmarkStart w:name="十四、公司股权激励计划、员工持股计划或其他员工激励措施的实施情况" w:id="75"/>
      <w:bookmarkEnd w:id="75"/>
      <w:r>
        <w:rPr>
          <w:b w:val="0"/>
          <w:bCs w:val="0"/>
        </w:rPr>
      </w:r>
      <w:r>
        <w:rPr/>
        <w:t>十四、公司股权激励计划、员工持股计划或其他员工激励措施的实施情况</w:t>
      </w:r>
      <w:r>
        <w:rPr>
          <w:b w:val="0"/>
          <w:bCs w:val="0"/>
        </w:rPr>
      </w:r>
    </w:p>
    <w:p>
      <w:pPr>
        <w:spacing w:line="240" w:lineRule="auto" w:before="1"/>
        <w:rPr>
          <w:rFonts w:ascii="宋体" w:hAnsi="宋体" w:cs="宋体" w:eastAsia="宋体" w:hint="default"/>
          <w:b/>
          <w:bCs/>
          <w:sz w:val="26"/>
          <w:szCs w:val="26"/>
        </w:rPr>
      </w:pPr>
    </w:p>
    <w:p>
      <w:pPr>
        <w:pStyle w:val="BodyText"/>
        <w:spacing w:line="333" w:lineRule="auto"/>
        <w:ind w:right="8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一、</w:t>
      </w:r>
      <w:r>
        <w:rPr>
          <w:rFonts w:ascii="Times New Roman" w:hAnsi="Times New Roman" w:cs="Times New Roman" w:eastAsia="Times New Roman" w:hint="default"/>
        </w:rPr>
        <w:t>2017</w:t>
      </w:r>
      <w:r>
        <w:rPr/>
        <w:t>年度限制性股票激励计划</w:t>
      </w:r>
    </w:p>
    <w:p>
      <w:pPr>
        <w:pStyle w:val="BodyText"/>
        <w:spacing w:line="240" w:lineRule="auto" w:before="18"/>
        <w:ind w:right="1105"/>
        <w:jc w:val="left"/>
      </w:pPr>
      <w:r>
        <w:rPr/>
        <w:t>（一）限制性股票激励计划概述</w:t>
      </w:r>
    </w:p>
    <w:p>
      <w:pPr>
        <w:pStyle w:val="BodyText"/>
        <w:spacing w:line="304" w:lineRule="auto" w:before="124"/>
        <w:ind w:right="1197"/>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日，公司召开了</w:t>
      </w:r>
      <w:r>
        <w:rPr>
          <w:rFonts w:ascii="Times New Roman" w:hAnsi="Times New Roman" w:cs="Times New Roman" w:eastAsia="Times New Roman" w:hint="default"/>
        </w:rPr>
        <w:t>2017</w:t>
      </w:r>
      <w:r>
        <w:rPr/>
        <w:t>年第二次临时股东大会，审议通过了《关于</w:t>
      </w:r>
      <w:r>
        <w:rPr>
          <w:rFonts w:ascii="Times New Roman" w:hAnsi="Times New Roman" w:cs="Times New Roman" w:eastAsia="Times New Roman" w:hint="default"/>
        </w:rPr>
        <w:t>&lt;</w:t>
      </w:r>
      <w:r>
        <w:rPr/>
        <w:t>朗新科技股份有限公司</w:t>
      </w:r>
      <w:r>
        <w:rPr>
          <w:rFonts w:ascii="Times New Roman" w:hAnsi="Times New Roman" w:cs="Times New Roman" w:eastAsia="Times New Roman" w:hint="default"/>
        </w:rPr>
        <w:t>2017</w:t>
      </w:r>
      <w:r>
        <w:rPr/>
        <w:t>年度限制性股票</w:t>
      </w:r>
      <w:r>
        <w:rPr>
          <w:spacing w:val="-82"/>
        </w:rPr>
        <w:t> </w:t>
      </w:r>
      <w:r>
        <w:rPr/>
        <w:t>激励计划（草案）</w:t>
      </w:r>
      <w:r>
        <w:rPr>
          <w:rFonts w:ascii="Times New Roman" w:hAnsi="Times New Roman" w:cs="Times New Roman" w:eastAsia="Times New Roman" w:hint="default"/>
        </w:rPr>
        <w:t>&gt;</w:t>
      </w:r>
      <w:r>
        <w:rPr/>
        <w:t>及其摘要的议案》，其主要内容如下：</w:t>
      </w:r>
    </w:p>
    <w:p>
      <w:pPr>
        <w:pStyle w:val="BodyText"/>
        <w:spacing w:line="340" w:lineRule="auto" w:before="57"/>
        <w:ind w:right="6699"/>
        <w:jc w:val="left"/>
      </w:pPr>
      <w:r>
        <w:rPr/>
        <w:t>（</w:t>
      </w:r>
      <w:r>
        <w:rPr>
          <w:rFonts w:ascii="Times New Roman" w:hAnsi="Times New Roman" w:cs="Times New Roman" w:eastAsia="Times New Roman" w:hint="default"/>
        </w:rPr>
        <w:t>1</w:t>
      </w:r>
      <w:r>
        <w:rPr/>
        <w:t>）激励对象的范围 本激励计划首次授予的激励对象共计</w:t>
      </w:r>
      <w:r>
        <w:rPr>
          <w:rFonts w:ascii="Times New Roman" w:hAnsi="Times New Roman" w:cs="Times New Roman" w:eastAsia="Times New Roman" w:hint="default"/>
        </w:rPr>
        <w:t>334</w:t>
      </w:r>
      <w:r>
        <w:rPr/>
        <w:t>人，包括：</w:t>
      </w:r>
      <w:r>
        <w:rPr>
          <w:spacing w:val="-87"/>
        </w:rPr>
        <w:t> </w:t>
      </w:r>
      <w:r>
        <w:rPr>
          <w:rFonts w:ascii="Times New Roman" w:hAnsi="Times New Roman" w:cs="Times New Roman" w:eastAsia="Times New Roman" w:hint="default"/>
        </w:rPr>
        <w:t>1</w:t>
      </w:r>
      <w:r>
        <w:rPr/>
        <w:t>、公司董事、高级管理人员；</w:t>
      </w:r>
    </w:p>
    <w:p>
      <w:pPr>
        <w:pStyle w:val="BodyText"/>
        <w:spacing w:line="240" w:lineRule="auto" w:before="12"/>
        <w:ind w:right="1105"/>
        <w:jc w:val="left"/>
      </w:pPr>
      <w:r>
        <w:rPr>
          <w:rFonts w:ascii="Times New Roman" w:hAnsi="Times New Roman" w:cs="Times New Roman" w:eastAsia="Times New Roman" w:hint="default"/>
        </w:rPr>
        <w:t>2</w:t>
      </w:r>
      <w:r>
        <w:rPr/>
        <w:t>、公司中层管理人员；</w:t>
      </w:r>
    </w:p>
    <w:p>
      <w:pPr>
        <w:pStyle w:val="BodyText"/>
        <w:spacing w:line="240" w:lineRule="auto" w:before="111"/>
        <w:ind w:right="1105"/>
        <w:jc w:val="left"/>
      </w:pPr>
      <w:r>
        <w:rPr>
          <w:rFonts w:ascii="Times New Roman" w:hAnsi="Times New Roman" w:cs="Times New Roman" w:eastAsia="Times New Roman" w:hint="default"/>
        </w:rPr>
        <w:t>3</w:t>
      </w:r>
      <w:r>
        <w:rPr/>
        <w:t>、核心技术</w:t>
      </w:r>
      <w:r>
        <w:rPr>
          <w:rFonts w:ascii="Times New Roman" w:hAnsi="Times New Roman" w:cs="Times New Roman" w:eastAsia="Times New Roman" w:hint="default"/>
        </w:rPr>
        <w:t>/</w:t>
      </w:r>
      <w:r>
        <w:rPr/>
        <w:t>业务人员；</w:t>
      </w:r>
    </w:p>
    <w:p>
      <w:pPr>
        <w:pStyle w:val="BodyText"/>
        <w:spacing w:line="331" w:lineRule="auto" w:before="96"/>
        <w:ind w:right="7379"/>
        <w:jc w:val="left"/>
      </w:pPr>
      <w:r>
        <w:rPr/>
        <w:t>（</w:t>
      </w:r>
      <w:r>
        <w:rPr>
          <w:rFonts w:ascii="Times New Roman" w:hAnsi="Times New Roman" w:cs="Times New Roman" w:eastAsia="Times New Roman" w:hint="default"/>
        </w:rPr>
        <w:t>2</w:t>
      </w:r>
      <w:r>
        <w:rPr/>
        <w:t>）激励计划的股票来源 公司向激励对象定向发行公司</w:t>
      </w:r>
      <w:r>
        <w:rPr>
          <w:rFonts w:ascii="Times New Roman" w:hAnsi="Times New Roman" w:cs="Times New Roman" w:eastAsia="Times New Roman" w:hint="default"/>
        </w:rPr>
        <w:t>A</w:t>
      </w:r>
      <w:r>
        <w:rPr/>
        <w:t>股普通股。</w:t>
      </w:r>
    </w:p>
    <w:p>
      <w:pPr>
        <w:pStyle w:val="BodyText"/>
        <w:spacing w:line="314" w:lineRule="auto" w:before="35"/>
        <w:ind w:right="1104"/>
        <w:jc w:val="left"/>
      </w:pPr>
      <w:r>
        <w:rPr/>
        <w:t>（</w:t>
      </w:r>
      <w:r>
        <w:rPr>
          <w:rFonts w:ascii="Times New Roman" w:hAnsi="Times New Roman" w:cs="Times New Roman" w:eastAsia="Times New Roman" w:hint="default"/>
        </w:rPr>
        <w:t>3</w:t>
      </w:r>
      <w:r>
        <w:rPr/>
        <w:t>）激励计划标的股票的数量 公司拟向激励对象授予</w:t>
      </w:r>
      <w:r>
        <w:rPr>
          <w:rFonts w:ascii="Times New Roman" w:hAnsi="Times New Roman" w:cs="Times New Roman" w:eastAsia="Times New Roman" w:hint="default"/>
        </w:rPr>
        <w:t>1,215</w:t>
      </w:r>
      <w:r>
        <w:rPr/>
        <w:t>万股公司限制性股票，约占草案公告时公司股份总额</w:t>
      </w:r>
      <w:r>
        <w:rPr>
          <w:rFonts w:ascii="Times New Roman" w:hAnsi="Times New Roman" w:cs="Times New Roman" w:eastAsia="Times New Roman" w:hint="default"/>
        </w:rPr>
        <w:t>40,500</w:t>
      </w:r>
      <w:r>
        <w:rPr/>
        <w:t>万股的</w:t>
      </w:r>
      <w:r>
        <w:rPr>
          <w:rFonts w:ascii="Times New Roman" w:hAnsi="Times New Roman" w:cs="Times New Roman" w:eastAsia="Times New Roman" w:hint="default"/>
        </w:rPr>
        <w:t>3.0000%</w:t>
      </w:r>
      <w:r>
        <w:rPr/>
        <w:t>。在确定授予日后的</w:t>
      </w:r>
      <w:r>
        <w:rPr>
          <w:spacing w:val="-82"/>
        </w:rPr>
        <w:t> </w:t>
      </w:r>
      <w:r>
        <w:rPr/>
        <w:t>资金缴纳、股份登记过程中，有</w:t>
      </w:r>
      <w:r>
        <w:rPr>
          <w:rFonts w:ascii="Times New Roman" w:hAnsi="Times New Roman" w:cs="Times New Roman" w:eastAsia="Times New Roman" w:hint="default"/>
        </w:rPr>
        <w:t>66</w:t>
      </w:r>
      <w:r>
        <w:rPr/>
        <w:t>名激励对象因个人原因自动放弃认购其对应的限制性股票</w:t>
      </w:r>
      <w:r>
        <w:rPr>
          <w:rFonts w:ascii="Times New Roman" w:hAnsi="Times New Roman" w:cs="Times New Roman" w:eastAsia="Times New Roman" w:hint="default"/>
        </w:rPr>
        <w:t>37.97</w:t>
      </w:r>
      <w:r>
        <w:rPr/>
        <w:t>万股，因而公司本次限制</w:t>
      </w:r>
      <w:r>
        <w:rPr>
          <w:spacing w:val="-82"/>
        </w:rPr>
        <w:t> </w:t>
      </w:r>
      <w:r>
        <w:rPr/>
        <w:t>性股票实际授予对象为</w:t>
      </w:r>
      <w:r>
        <w:rPr>
          <w:rFonts w:ascii="Times New Roman" w:hAnsi="Times New Roman" w:cs="Times New Roman" w:eastAsia="Times New Roman" w:hint="default"/>
        </w:rPr>
        <w:t>334</w:t>
      </w:r>
      <w:r>
        <w:rPr/>
        <w:t>人，实际授予数量为</w:t>
      </w:r>
      <w:r>
        <w:rPr>
          <w:rFonts w:ascii="Times New Roman" w:hAnsi="Times New Roman" w:cs="Times New Roman" w:eastAsia="Times New Roman" w:hint="default"/>
        </w:rPr>
        <w:t>1176.03</w:t>
      </w:r>
      <w:r>
        <w:rPr/>
        <w:t>万股，占授予前公司总股本</w:t>
      </w:r>
      <w:r>
        <w:rPr>
          <w:rFonts w:ascii="Times New Roman" w:hAnsi="Times New Roman" w:cs="Times New Roman" w:eastAsia="Times New Roman" w:hint="default"/>
        </w:rPr>
        <w:t>40,500.00</w:t>
      </w:r>
      <w:r>
        <w:rPr/>
        <w:t>万股的</w:t>
      </w:r>
      <w:r>
        <w:rPr>
          <w:rFonts w:ascii="Times New Roman" w:hAnsi="Times New Roman" w:cs="Times New Roman" w:eastAsia="Times New Roman" w:hint="default"/>
        </w:rPr>
        <w:t>2.9038%</w:t>
      </w:r>
      <w:r>
        <w:rPr/>
        <w:t>。</w:t>
      </w:r>
    </w:p>
    <w:p>
      <w:pPr>
        <w:pStyle w:val="BodyText"/>
        <w:spacing w:line="348" w:lineRule="auto" w:before="34"/>
        <w:ind w:right="6877"/>
        <w:jc w:val="left"/>
      </w:pPr>
      <w:r>
        <w:rPr/>
        <w:t>（</w:t>
      </w:r>
      <w:r>
        <w:rPr>
          <w:rFonts w:ascii="Times New Roman" w:hAnsi="Times New Roman" w:cs="Times New Roman" w:eastAsia="Times New Roman" w:hint="default"/>
        </w:rPr>
        <w:t>4</w:t>
      </w:r>
      <w:r>
        <w:rPr/>
        <w:t>）限制性股票的授予价格 </w:t>
      </w:r>
      <w:r>
        <w:rPr>
          <w:spacing w:val="-1"/>
        </w:rPr>
        <w:t>限制性股票的授予价格为</w:t>
      </w:r>
      <w:r>
        <w:rPr>
          <w:rFonts w:ascii="Times New Roman" w:hAnsi="Times New Roman" w:cs="Times New Roman" w:eastAsia="Times New Roman" w:hint="default"/>
          <w:spacing w:val="-1"/>
        </w:rPr>
        <w:t>13.03</w:t>
      </w:r>
      <w:r>
        <w:rPr>
          <w:spacing w:val="-1"/>
        </w:rPr>
        <w:t>元</w:t>
      </w:r>
      <w:r>
        <w:rPr>
          <w:rFonts w:ascii="Times New Roman" w:hAnsi="Times New Roman" w:cs="Times New Roman" w:eastAsia="Times New Roman" w:hint="default"/>
          <w:spacing w:val="-1"/>
        </w:rPr>
        <w:t>/</w:t>
      </w:r>
      <w:r>
        <w:rPr>
          <w:spacing w:val="-1"/>
        </w:rPr>
        <w:t>股。</w:t>
      </w:r>
    </w:p>
    <w:p>
      <w:pPr>
        <w:spacing w:after="0" w:line="348"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both"/>
      </w:pPr>
      <w:r>
        <w:rPr/>
        <w:t>（二）、已履行的相关审批程序</w:t>
      </w:r>
    </w:p>
    <w:p>
      <w:pPr>
        <w:pStyle w:val="BodyText"/>
        <w:spacing w:line="302" w:lineRule="auto" w:before="125"/>
        <w:ind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日，公司第二届董事会第五次会议审议通过了《关于</w:t>
      </w:r>
      <w:r>
        <w:rPr>
          <w:rFonts w:ascii="Times New Roman" w:hAnsi="Times New Roman" w:cs="Times New Roman" w:eastAsia="Times New Roman" w:hint="default"/>
        </w:rPr>
        <w:t>&lt;</w:t>
      </w:r>
      <w:r>
        <w:rPr/>
        <w:t>朗新科技股份有限公司</w:t>
      </w:r>
      <w:r>
        <w:rPr>
          <w:rFonts w:ascii="Times New Roman" w:hAnsi="Times New Roman" w:cs="Times New Roman" w:eastAsia="Times New Roman" w:hint="default"/>
        </w:rPr>
        <w:t>2017</w:t>
      </w:r>
      <w:r>
        <w:rPr/>
        <w:t>年度限制性股票激励</w:t>
      </w:r>
      <w:r>
        <w:rPr>
          <w:spacing w:val="-83"/>
        </w:rPr>
        <w:t> </w:t>
      </w:r>
      <w:r>
        <w:rPr>
          <w:spacing w:val="-5"/>
        </w:rPr>
        <w:t>计划（草案）</w:t>
      </w:r>
      <w:r>
        <w:rPr>
          <w:rFonts w:ascii="Times New Roman" w:hAnsi="Times New Roman" w:cs="Times New Roman" w:eastAsia="Times New Roman" w:hint="default"/>
          <w:spacing w:val="-5"/>
        </w:rPr>
        <w:t>&gt;</w:t>
      </w:r>
      <w:r>
        <w:rPr>
          <w:spacing w:val="-5"/>
        </w:rPr>
        <w:t>及其摘要的议案》、《关于</w:t>
      </w:r>
      <w:r>
        <w:rPr>
          <w:rFonts w:ascii="Times New Roman" w:hAnsi="Times New Roman" w:cs="Times New Roman" w:eastAsia="Times New Roman" w:hint="default"/>
          <w:spacing w:val="-5"/>
        </w:rPr>
        <w:t>&lt;</w:t>
      </w:r>
      <w:r>
        <w:rPr>
          <w:spacing w:val="-5"/>
        </w:rPr>
        <w:t>朗新科技股份有限公司</w:t>
      </w:r>
      <w:r>
        <w:rPr>
          <w:rFonts w:ascii="Times New Roman" w:hAnsi="Times New Roman" w:cs="Times New Roman" w:eastAsia="Times New Roman" w:hint="default"/>
          <w:spacing w:val="-5"/>
        </w:rPr>
        <w:t>2017</w:t>
      </w:r>
      <w:r>
        <w:rPr>
          <w:spacing w:val="-5"/>
        </w:rPr>
        <w:t>年度限制性股票激励计划实施考核管理办法</w:t>
      </w:r>
      <w:r>
        <w:rPr>
          <w:rFonts w:ascii="Times New Roman" w:hAnsi="Times New Roman" w:cs="Times New Roman" w:eastAsia="Times New Roman" w:hint="default"/>
          <w:spacing w:val="-5"/>
        </w:rPr>
        <w:t>&gt;</w:t>
      </w:r>
      <w:r>
        <w:rPr>
          <w:spacing w:val="-5"/>
        </w:rPr>
        <w:t>的议案》、</w:t>
      </w:r>
    </w:p>
    <w:p>
      <w:pPr>
        <w:pStyle w:val="BodyText"/>
        <w:spacing w:line="316" w:lineRule="auto"/>
        <w:ind w:right="1029"/>
        <w:jc w:val="left"/>
      </w:pPr>
      <w:r>
        <w:rPr/>
        <w:t>《关于提请股东大会授权董事会办理限制性股票激励相关事宜的议案》，公司第二届监事会第四次会议审议通过上述议案。 </w:t>
      </w:r>
      <w:r>
        <w:rPr>
          <w:spacing w:val="-2"/>
        </w:rPr>
        <w:t>公司已对激励对象名单在公司内部进行了公示，公示期满后，监事会对本次股权激励计划授予激励对象名单进行了核查并对</w:t>
      </w:r>
      <w:r>
        <w:rPr>
          <w:spacing w:val="-72"/>
        </w:rPr>
        <w:t> </w:t>
      </w:r>
      <w:r>
        <w:rPr>
          <w:spacing w:val="-72"/>
        </w:rPr>
      </w:r>
      <w:r>
        <w:rPr>
          <w:spacing w:val="-2"/>
        </w:rPr>
        <w:t>公示情况进行了说明，公司独立董事就本次股权激励计划是否有利于公司的持续发展及是否存在损害公司及全体股东利益的</w:t>
      </w:r>
      <w:r>
        <w:rPr>
          <w:spacing w:val="-58"/>
        </w:rPr>
        <w:t> </w:t>
      </w:r>
      <w:r>
        <w:rPr>
          <w:spacing w:val="-58"/>
        </w:rPr>
      </w:r>
      <w:r>
        <w:rPr/>
        <w:t>情形发表了独立意见。</w:t>
      </w:r>
    </w:p>
    <w:p>
      <w:pPr>
        <w:pStyle w:val="BodyText"/>
        <w:spacing w:line="240" w:lineRule="auto" w:before="82"/>
        <w:ind w:right="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日，公司第二届董事会第五次会议审议通过了《关于召开</w:t>
      </w:r>
      <w:r>
        <w:rPr>
          <w:rFonts w:ascii="Times New Roman" w:hAnsi="Times New Roman" w:cs="Times New Roman" w:eastAsia="Times New Roman" w:hint="default"/>
        </w:rPr>
        <w:t>2017</w:t>
      </w:r>
      <w:r>
        <w:rPr/>
        <w:t>年第二次临时股东大会的议案》。</w:t>
      </w:r>
    </w:p>
    <w:p>
      <w:pPr>
        <w:pStyle w:val="BodyText"/>
        <w:spacing w:line="297" w:lineRule="auto" w:before="96"/>
        <w:ind w:right="1096"/>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日，公司</w:t>
      </w:r>
      <w:r>
        <w:rPr>
          <w:rFonts w:ascii="Times New Roman" w:hAnsi="Times New Roman" w:cs="Times New Roman" w:eastAsia="Times New Roman" w:hint="default"/>
        </w:rPr>
        <w:t>2017</w:t>
      </w:r>
      <w:r>
        <w:rPr/>
        <w:t>年第二次临时股东大会审议并通过了《关于</w:t>
      </w:r>
      <w:r>
        <w:rPr>
          <w:rFonts w:ascii="Times New Roman" w:hAnsi="Times New Roman" w:cs="Times New Roman" w:eastAsia="Times New Roman" w:hint="default"/>
        </w:rPr>
        <w:t>&lt;</w:t>
      </w:r>
      <w:r>
        <w:rPr/>
        <w:t>朗新科技股份有限公司</w:t>
      </w:r>
      <w:r>
        <w:rPr>
          <w:rFonts w:ascii="Times New Roman" w:hAnsi="Times New Roman" w:cs="Times New Roman" w:eastAsia="Times New Roman" w:hint="default"/>
        </w:rPr>
        <w:t>2017</w:t>
      </w:r>
      <w:r>
        <w:rPr/>
        <w:t>年度限制性股票激</w:t>
      </w:r>
      <w:r>
        <w:rPr>
          <w:spacing w:val="-82"/>
        </w:rPr>
        <w:t> </w:t>
      </w:r>
      <w:r>
        <w:rPr/>
        <w:t>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朗新科技股份有限公司</w:t>
      </w:r>
      <w:r>
        <w:rPr>
          <w:rFonts w:ascii="Times New Roman" w:hAnsi="Times New Roman" w:cs="Times New Roman" w:eastAsia="Times New Roman" w:hint="default"/>
        </w:rPr>
        <w:t>2017</w:t>
      </w:r>
      <w:r>
        <w:rPr/>
        <w:t>年度限制性股票激励计划实施考核管理办法</w:t>
      </w:r>
      <w:r>
        <w:rPr>
          <w:rFonts w:ascii="Times New Roman" w:hAnsi="Times New Roman" w:cs="Times New Roman" w:eastAsia="Times New Roman" w:hint="default"/>
        </w:rPr>
        <w:t>&gt;</w:t>
      </w:r>
      <w:r>
        <w:rPr/>
        <w:t>的议</w:t>
      </w:r>
      <w:r>
        <w:rPr>
          <w:spacing w:val="-88"/>
        </w:rPr>
        <w:t> </w:t>
      </w:r>
      <w:r>
        <w:rPr>
          <w:spacing w:val="-2"/>
        </w:rPr>
        <w:t>案》、《关于提请股东大会授权董事会办理限制性股票激励相关事宜的议案》。公司实施</w:t>
      </w:r>
      <w:r>
        <w:rPr>
          <w:rFonts w:ascii="Times New Roman" w:hAnsi="Times New Roman" w:cs="Times New Roman" w:eastAsia="Times New Roman" w:hint="default"/>
          <w:spacing w:val="-2"/>
        </w:rPr>
        <w:t>2017</w:t>
      </w:r>
      <w:r>
        <w:rPr>
          <w:spacing w:val="-2"/>
        </w:rPr>
        <w:t>年度限制性股票激励计划获得</w:t>
      </w:r>
      <w:r>
        <w:rPr>
          <w:spacing w:val="-46"/>
        </w:rPr>
        <w:t> </w:t>
      </w:r>
      <w:r>
        <w:rPr/>
        <w:t>批准，董事会被授权确定授予日、在激励对象符合条件时向激励对象授予限制性股票，并办理授予所必需的全部事宜。</w:t>
      </w:r>
    </w:p>
    <w:p>
      <w:pPr>
        <w:pStyle w:val="BodyText"/>
        <w:spacing w:line="304" w:lineRule="auto" w:before="82"/>
        <w:ind w:right="1016"/>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日，公司第二届董事会第七次会议和第二届监事会第六次会议审议通过了《关于调整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年度限制性股 </w:t>
      </w:r>
      <w:r>
        <w:rPr>
          <w:spacing w:val="-2"/>
        </w:rPr>
        <w:t>票激励计划激励对象名单及授予权益数量的议案》、《关于向激励对象授予限制性股票的议案》。公司独立董事对此发表了</w:t>
      </w:r>
      <w:r>
        <w:rPr>
          <w:spacing w:val="-58"/>
        </w:rPr>
        <w:t> </w:t>
      </w:r>
      <w:r>
        <w:rPr>
          <w:spacing w:val="-58"/>
        </w:rPr>
      </w:r>
      <w:r>
        <w:rPr>
          <w:spacing w:val="-3"/>
        </w:rPr>
        <w:t>独立意见，认为激励对象主体资格合法、有效，确定的授予日符合相关规定。在确定授予日后的资金缴纳、股份登记过程中，</w:t>
      </w:r>
    </w:p>
    <w:p>
      <w:pPr>
        <w:pStyle w:val="BodyText"/>
        <w:spacing w:line="290" w:lineRule="auto" w:before="46"/>
        <w:ind w:right="1081"/>
        <w:jc w:val="both"/>
      </w:pPr>
      <w:r>
        <w:rPr/>
        <w:t>有</w:t>
      </w:r>
      <w:r>
        <w:rPr>
          <w:rFonts w:ascii="Times New Roman" w:hAnsi="Times New Roman" w:cs="Times New Roman" w:eastAsia="Times New Roman" w:hint="default"/>
        </w:rPr>
        <w:t>66</w:t>
      </w:r>
      <w:r>
        <w:rPr/>
        <w:t>名激励对象因个人原因自动放弃认购其对应的限制性股票</w:t>
      </w:r>
      <w:r>
        <w:rPr>
          <w:rFonts w:ascii="Times New Roman" w:hAnsi="Times New Roman" w:cs="Times New Roman" w:eastAsia="Times New Roman" w:hint="default"/>
        </w:rPr>
        <w:t>37.97</w:t>
      </w:r>
      <w:r>
        <w:rPr/>
        <w:t>万股，因而公司本次限制性股票实际授予对象为</w:t>
      </w:r>
      <w:r>
        <w:rPr>
          <w:rFonts w:ascii="Times New Roman" w:hAnsi="Times New Roman" w:cs="Times New Roman" w:eastAsia="Times New Roman" w:hint="default"/>
        </w:rPr>
        <w:t>334</w:t>
      </w:r>
      <w:r>
        <w:rPr/>
        <w:t>人，</w:t>
      </w:r>
      <w:r>
        <w:rPr>
          <w:spacing w:val="-81"/>
        </w:rPr>
        <w:t> </w:t>
      </w:r>
      <w:r>
        <w:rPr/>
        <w:t>实际授予数量为</w:t>
      </w:r>
      <w:r>
        <w:rPr>
          <w:rFonts w:ascii="Times New Roman" w:hAnsi="Times New Roman" w:cs="Times New Roman" w:eastAsia="Times New Roman" w:hint="default"/>
        </w:rPr>
        <w:t>1176.03</w:t>
      </w:r>
      <w:r>
        <w:rPr/>
        <w:t>万股。</w:t>
      </w:r>
    </w:p>
    <w:p>
      <w:pPr>
        <w:pStyle w:val="BodyText"/>
        <w:spacing w:line="302" w:lineRule="auto" w:before="69"/>
        <w:ind w:right="1133"/>
        <w:jc w:val="both"/>
      </w:pPr>
      <w:r>
        <w:rPr>
          <w:spacing w:val="-3"/>
        </w:rPr>
        <w:t>（</w:t>
      </w: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19</w:t>
      </w:r>
      <w:r>
        <w:rPr>
          <w:spacing w:val="-3"/>
        </w:rPr>
        <w:t>日，公司</w:t>
      </w:r>
      <w:r>
        <w:rPr>
          <w:rFonts w:ascii="Times New Roman" w:hAnsi="Times New Roman" w:cs="Times New Roman" w:eastAsia="Times New Roman" w:hint="default"/>
          <w:spacing w:val="-3"/>
        </w:rPr>
        <w:t>2017</w:t>
      </w:r>
      <w:r>
        <w:rPr>
          <w:spacing w:val="-3"/>
        </w:rPr>
        <w:t>年限制性股票激励计划授予登记完成，并在中国证监会指定创业板信息披露网站公告了《关</w:t>
      </w:r>
      <w:r>
        <w:rPr>
          <w:spacing w:val="-88"/>
        </w:rPr>
        <w:t> </w:t>
      </w:r>
      <w:r>
        <w:rPr>
          <w:spacing w:val="-88"/>
        </w:rPr>
      </w:r>
      <w:r>
        <w:rPr/>
        <w:t>于</w:t>
      </w:r>
      <w:r>
        <w:rPr>
          <w:rFonts w:ascii="Times New Roman" w:hAnsi="Times New Roman" w:cs="Times New Roman" w:eastAsia="Times New Roman" w:hint="default"/>
        </w:rPr>
        <w:t>2017</w:t>
      </w:r>
      <w:r>
        <w:rPr/>
        <w:t>年度限制性股票授予登记完成公告》，并于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日上市。</w:t>
      </w:r>
    </w:p>
    <w:p>
      <w:pPr>
        <w:pStyle w:val="BodyText"/>
        <w:spacing w:line="240" w:lineRule="auto" w:before="29"/>
        <w:ind w:right="0"/>
        <w:jc w:val="both"/>
      </w:pPr>
      <w:r>
        <w:rPr/>
        <w:t>（三）、后续实施进展</w:t>
      </w:r>
    </w:p>
    <w:p>
      <w:pPr>
        <w:pStyle w:val="BodyText"/>
        <w:spacing w:line="288" w:lineRule="auto" w:before="139"/>
        <w:ind w:right="1112"/>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日，公司第二届董事会第十四次会议，审议通过了《关于回购注销部分限制性股票的议案》，公司决定对 </w:t>
      </w:r>
      <w:r>
        <w:rPr>
          <w:spacing w:val="-1"/>
        </w:rPr>
        <w:t>其已获授但尚未解除限售的</w:t>
      </w:r>
      <w:r>
        <w:rPr>
          <w:rFonts w:ascii="Times New Roman" w:hAnsi="Times New Roman" w:cs="Times New Roman" w:eastAsia="Times New Roman" w:hint="default"/>
          <w:spacing w:val="-1"/>
        </w:rPr>
        <w:t>24,000</w:t>
      </w:r>
      <w:r>
        <w:rPr>
          <w:spacing w:val="-1"/>
        </w:rPr>
        <w:t>股限制性股票进行回购注销，回购价格为</w:t>
      </w:r>
      <w:r>
        <w:rPr>
          <w:rFonts w:ascii="Times New Roman" w:hAnsi="Times New Roman" w:cs="Times New Roman" w:eastAsia="Times New Roman" w:hint="default"/>
          <w:spacing w:val="-1"/>
        </w:rPr>
        <w:t>12.979</w:t>
      </w:r>
      <w:r>
        <w:rPr>
          <w:spacing w:val="-1"/>
        </w:rPr>
        <w:t>元</w:t>
      </w:r>
      <w:r>
        <w:rPr>
          <w:rFonts w:ascii="Times New Roman" w:hAnsi="Times New Roman" w:cs="Times New Roman" w:eastAsia="Times New Roman" w:hint="default"/>
          <w:spacing w:val="-1"/>
        </w:rPr>
        <w:t>/</w:t>
      </w:r>
      <w:r>
        <w:rPr>
          <w:spacing w:val="-1"/>
        </w:rPr>
        <w:t>股，本议案经公司</w:t>
      </w:r>
      <w:r>
        <w:rPr>
          <w:rFonts w:ascii="Times New Roman" w:hAnsi="Times New Roman" w:cs="Times New Roman" w:eastAsia="Times New Roman" w:hint="default"/>
          <w:spacing w:val="-1"/>
        </w:rPr>
        <w:t>2018</w:t>
      </w:r>
      <w:r>
        <w:rPr>
          <w:spacing w:val="-1"/>
        </w:rPr>
        <w:t>年第三次临时股</w:t>
      </w:r>
      <w:r>
        <w:rPr>
          <w:spacing w:val="-56"/>
        </w:rPr>
        <w:t> </w:t>
      </w:r>
      <w:r>
        <w:rPr>
          <w:spacing w:val="-2"/>
        </w:rPr>
        <w:t>东大会审议批准。公司独立董事对此发表了独立意见，认为回购注销部分限制性股票的事项，符合相关规定，程序合法、合</w:t>
      </w:r>
    </w:p>
    <w:p>
      <w:pPr>
        <w:pStyle w:val="BodyText"/>
        <w:spacing w:line="304" w:lineRule="auto" w:before="59"/>
        <w:ind w:right="1126"/>
        <w:jc w:val="both"/>
      </w:pPr>
      <w:r>
        <w:rPr/>
        <w:t>规。本次部分限制性股票回购注销后，公司限制性股票激励计划授予的限制性股票数量减少至</w:t>
      </w:r>
      <w:r>
        <w:rPr>
          <w:rFonts w:ascii="Times New Roman" w:hAnsi="Times New Roman" w:cs="Times New Roman" w:eastAsia="Times New Roman" w:hint="default"/>
        </w:rPr>
        <w:t>11,736,300</w:t>
      </w:r>
      <w:r>
        <w:rPr/>
        <w:t>股，授予的激励对</w:t>
      </w:r>
      <w:r>
        <w:rPr>
          <w:spacing w:val="-81"/>
        </w:rPr>
        <w:t> </w:t>
      </w:r>
      <w:r>
        <w:rPr/>
        <w:t>象总人数减少至</w:t>
      </w:r>
      <w:r>
        <w:rPr>
          <w:rFonts w:ascii="Times New Roman" w:hAnsi="Times New Roman" w:cs="Times New Roman" w:eastAsia="Times New Roman" w:hint="default"/>
        </w:rPr>
        <w:t>332</w:t>
      </w:r>
      <w:r>
        <w:rPr/>
        <w:t>人，公司总股本变更为</w:t>
      </w:r>
      <w:r>
        <w:rPr>
          <w:rFonts w:ascii="Times New Roman" w:hAnsi="Times New Roman" w:cs="Times New Roman" w:eastAsia="Times New Roman" w:hint="default"/>
        </w:rPr>
        <w:t>416,736,300</w:t>
      </w:r>
      <w:r>
        <w:rPr/>
        <w:t>股。</w:t>
      </w:r>
    </w:p>
    <w:p>
      <w:pPr>
        <w:pStyle w:val="BodyText"/>
        <w:spacing w:line="312" w:lineRule="auto" w:before="42"/>
        <w:ind w:right="1125"/>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日，公司第二届董事会第二十二次会议和第二届监事会第十七次会议审议通过了《关于</w:t>
      </w:r>
      <w:r>
        <w:rPr>
          <w:rFonts w:ascii="Times New Roman" w:hAnsi="Times New Roman" w:cs="Times New Roman" w:eastAsia="Times New Roman" w:hint="default"/>
        </w:rPr>
        <w:t>2017</w:t>
      </w:r>
      <w:r>
        <w:rPr/>
        <w:t>年度限制性</w:t>
      </w:r>
      <w:r>
        <w:rPr>
          <w:spacing w:val="-83"/>
        </w:rPr>
        <w:t> </w:t>
      </w:r>
      <w:r>
        <w:rPr>
          <w:spacing w:val="-2"/>
        </w:rPr>
        <w:t>股票激励计划第一个解除限售期解除限售条件成就的议案》。公司独立董事对此发表了独立意见。本次符合解除限售条件的</w:t>
      </w:r>
      <w:r>
        <w:rPr>
          <w:spacing w:val="-75"/>
        </w:rPr>
        <w:t> </w:t>
      </w:r>
      <w:r>
        <w:rPr>
          <w:spacing w:val="-75"/>
        </w:rPr>
      </w:r>
      <w:r>
        <w:rPr/>
        <w:t>激励对象共计</w:t>
      </w:r>
      <w:r>
        <w:rPr>
          <w:rFonts w:ascii="Times New Roman" w:hAnsi="Times New Roman" w:cs="Times New Roman" w:eastAsia="Times New Roman" w:hint="default"/>
        </w:rPr>
        <w:t>332</w:t>
      </w:r>
      <w:r>
        <w:rPr/>
        <w:t>人，可解除限售的限制性股票数量</w:t>
      </w:r>
      <w:r>
        <w:rPr>
          <w:rFonts w:ascii="Times New Roman" w:hAnsi="Times New Roman" w:cs="Times New Roman" w:eastAsia="Times New Roman" w:hint="default"/>
        </w:rPr>
        <w:t>2,347,260</w:t>
      </w:r>
      <w:r>
        <w:rPr/>
        <w:t>股，占公司目前总股本</w:t>
      </w:r>
      <w:r>
        <w:rPr>
          <w:rFonts w:ascii="Times New Roman" w:hAnsi="Times New Roman" w:cs="Times New Roman" w:eastAsia="Times New Roman" w:hint="default"/>
        </w:rPr>
        <w:t>429,220,300</w:t>
      </w:r>
      <w:r>
        <w:rPr/>
        <w:t>股的</w:t>
      </w:r>
      <w:r>
        <w:rPr>
          <w:rFonts w:ascii="Times New Roman" w:hAnsi="Times New Roman" w:cs="Times New Roman" w:eastAsia="Times New Roman" w:hint="default"/>
        </w:rPr>
        <w:t>0.55%</w:t>
      </w:r>
      <w:r>
        <w:rPr/>
        <w:t>。本次解除限售</w:t>
      </w:r>
    </w:p>
    <w:p>
      <w:pPr>
        <w:pStyle w:val="BodyText"/>
        <w:spacing w:line="240" w:lineRule="auto" w:before="6"/>
        <w:ind w:right="0"/>
        <w:jc w:val="both"/>
      </w:pPr>
      <w:r>
        <w:rPr/>
        <w:t>股份上市流通日为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w:t>
      </w:r>
    </w:p>
    <w:p>
      <w:pPr>
        <w:pStyle w:val="BodyText"/>
        <w:spacing w:line="300" w:lineRule="auto" w:before="96"/>
        <w:ind w:right="1129"/>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14</w:t>
      </w:r>
      <w:r>
        <w:rPr>
          <w:spacing w:val="-2"/>
        </w:rPr>
        <w:t>日，公司第二届董事会第三十二次会议和第二届监事会第二十一次会议审议通过了《关于回购注销部分限</w:t>
      </w:r>
      <w:r>
        <w:rPr>
          <w:spacing w:val="-67"/>
        </w:rPr>
        <w:t> </w:t>
      </w:r>
      <w:r>
        <w:rPr>
          <w:spacing w:val="-67"/>
        </w:rPr>
      </w:r>
      <w:r>
        <w:rPr/>
        <w:t>制性股票的议案》。公司独立董事对此发表了独立意见。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日，公司召开</w:t>
      </w:r>
      <w:r>
        <w:rPr>
          <w:rFonts w:ascii="Times New Roman" w:hAnsi="Times New Roman" w:cs="Times New Roman" w:eastAsia="Times New Roman" w:hint="default"/>
        </w:rPr>
        <w:t>2019</w:t>
      </w:r>
      <w:r>
        <w:rPr/>
        <w:t>年第三次临时股东大会，审议通过</w:t>
      </w:r>
      <w:r>
        <w:rPr>
          <w:spacing w:val="-84"/>
        </w:rPr>
        <w:t> </w:t>
      </w:r>
      <w:r>
        <w:rPr/>
        <w:t>了《关于回购注销部分限制性股票的议案》。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日，经中国证券登记结算有限责任公司深圳分公司审核确认，公</w:t>
      </w:r>
      <w:r>
        <w:rPr>
          <w:spacing w:val="-86"/>
        </w:rPr>
        <w:t> </w:t>
      </w:r>
      <w:r>
        <w:rPr/>
        <w:t>司本次限制性股票的回购注销事宜已经完成。</w:t>
      </w:r>
    </w:p>
    <w:p>
      <w:pPr>
        <w:pStyle w:val="BodyText"/>
        <w:spacing w:line="292" w:lineRule="auto" w:before="80"/>
        <w:ind w:right="1112"/>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日，公司第二届董事会第三十八次会议和第二届监事会第二十四次会议审议通过了《关于回购注销部分 </w:t>
      </w:r>
      <w:r>
        <w:rPr>
          <w:spacing w:val="-2"/>
        </w:rPr>
        <w:t>限制性股票的议案》。公司独立董事对此发表了独立意见。</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11</w:t>
      </w:r>
      <w:r>
        <w:rPr>
          <w:spacing w:val="-2"/>
        </w:rPr>
        <w:t>日，公司召开</w:t>
      </w:r>
      <w:r>
        <w:rPr>
          <w:rFonts w:ascii="Times New Roman" w:hAnsi="Times New Roman" w:cs="Times New Roman" w:eastAsia="Times New Roman" w:hint="default"/>
          <w:spacing w:val="-2"/>
        </w:rPr>
        <w:t>2019</w:t>
      </w:r>
      <w:r>
        <w:rPr>
          <w:spacing w:val="-2"/>
        </w:rPr>
        <w:t>年第七次临时股东大会，审议通</w:t>
      </w:r>
      <w:r>
        <w:rPr>
          <w:spacing w:val="-40"/>
        </w:rPr>
        <w:t> </w:t>
      </w:r>
      <w:r>
        <w:rPr>
          <w:spacing w:val="-40"/>
        </w:rPr>
      </w:r>
      <w:r>
        <w:rPr>
          <w:spacing w:val="-2"/>
        </w:rPr>
        <w:t>过议案。</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4</w:t>
      </w:r>
      <w:r>
        <w:rPr>
          <w:spacing w:val="-2"/>
        </w:rPr>
        <w:t>日，经中国证券登记结算有限责任公司深圳分公司审核确认，公司本次限制性股票的回购注销事宜已经</w:t>
      </w:r>
      <w:r>
        <w:rPr>
          <w:spacing w:val="-68"/>
        </w:rPr>
        <w:t> </w:t>
      </w:r>
      <w:r>
        <w:rPr>
          <w:spacing w:val="-68"/>
        </w:rPr>
      </w:r>
      <w:r>
        <w:rPr/>
        <w:t>完成。</w:t>
      </w:r>
    </w:p>
    <w:p>
      <w:pPr>
        <w:pStyle w:val="BodyText"/>
        <w:spacing w:line="300" w:lineRule="auto" w:before="100"/>
        <w:ind w:right="1101"/>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日，公司第二届董事会第四十一次会议和第二届监事会第二十七次会议审议通过了《关于回购注销部分 </w:t>
      </w:r>
      <w:r>
        <w:rPr>
          <w:spacing w:val="-2"/>
        </w:rPr>
        <w:t>限制性股票的议案》、《关于</w:t>
      </w:r>
      <w:r>
        <w:rPr>
          <w:rFonts w:ascii="Times New Roman" w:hAnsi="Times New Roman" w:cs="Times New Roman" w:eastAsia="Times New Roman" w:hint="default"/>
          <w:spacing w:val="-2"/>
        </w:rPr>
        <w:t>2017</w:t>
      </w:r>
      <w:r>
        <w:rPr>
          <w:spacing w:val="-2"/>
        </w:rPr>
        <w:t>年度限制性股票激励计划第二个解除限售期解除限售条件成就的议案》。公司独立董事对</w:t>
      </w:r>
      <w:r>
        <w:rPr>
          <w:spacing w:val="-51"/>
        </w:rPr>
        <w:t> </w:t>
      </w:r>
      <w:r>
        <w:rPr>
          <w:spacing w:val="-51"/>
        </w:rPr>
      </w:r>
      <w:r>
        <w:rPr>
          <w:spacing w:val="-1"/>
        </w:rPr>
        <w:t>此发表了独立意见。</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27</w:t>
      </w:r>
      <w:r>
        <w:rPr>
          <w:spacing w:val="-1"/>
        </w:rPr>
        <w:t>日，公司召开</w:t>
      </w:r>
      <w:r>
        <w:rPr>
          <w:rFonts w:ascii="Times New Roman" w:hAnsi="Times New Roman" w:cs="Times New Roman" w:eastAsia="Times New Roman" w:hint="default"/>
          <w:spacing w:val="-1"/>
        </w:rPr>
        <w:t>2019</w:t>
      </w:r>
      <w:r>
        <w:rPr>
          <w:spacing w:val="-1"/>
        </w:rPr>
        <w:t>年第八次临时股东大会，审议通过《关于回购注销部分限制性股票的议</w:t>
      </w:r>
      <w:r>
        <w:rPr>
          <w:spacing w:val="-88"/>
        </w:rPr>
        <w:t> </w:t>
      </w:r>
      <w:r>
        <w:rPr>
          <w:spacing w:val="-88"/>
        </w:rPr>
      </w:r>
      <w:r>
        <w:rPr>
          <w:spacing w:val="-6"/>
        </w:rPr>
        <w:t>案》议案。本次符合解除限售条件的激励对象共计</w:t>
      </w:r>
      <w:r>
        <w:rPr>
          <w:rFonts w:ascii="Times New Roman" w:hAnsi="Times New Roman" w:cs="Times New Roman" w:eastAsia="Times New Roman" w:hint="default"/>
          <w:spacing w:val="-6"/>
        </w:rPr>
        <w:t>327</w:t>
      </w:r>
      <w:r>
        <w:rPr>
          <w:spacing w:val="-6"/>
        </w:rPr>
        <w:t>人，可解除限售的限制性股票数量</w:t>
      </w:r>
      <w:r>
        <w:rPr>
          <w:rFonts w:ascii="Times New Roman" w:hAnsi="Times New Roman" w:cs="Times New Roman" w:eastAsia="Times New Roman" w:hint="default"/>
          <w:spacing w:val="-6"/>
        </w:rPr>
        <w:t>4,551,380</w:t>
      </w:r>
      <w:r>
        <w:rPr>
          <w:spacing w:val="-6"/>
        </w:rPr>
        <w:t>股，占公司总股本</w:t>
      </w:r>
      <w:r>
        <w:rPr>
          <w:rFonts w:ascii="Times New Roman" w:hAnsi="Times New Roman" w:cs="Times New Roman" w:eastAsia="Times New Roman" w:hint="default"/>
          <w:spacing w:val="-6"/>
        </w:rPr>
        <w:t>680,253,493</w:t>
      </w:r>
      <w:r>
        <w:rPr>
          <w:rFonts w:ascii="Times New Roman" w:hAnsi="Times New Roman" w:cs="Times New Roman" w:eastAsia="Times New Roman" w:hint="default"/>
          <w:spacing w:val="11"/>
        </w:rPr>
        <w:t> </w:t>
      </w:r>
      <w:r>
        <w:rPr/>
        <w:t>股的</w:t>
      </w:r>
      <w:r>
        <w:rPr>
          <w:rFonts w:ascii="Times New Roman" w:hAnsi="Times New Roman" w:cs="Times New Roman" w:eastAsia="Times New Roman" w:hint="default"/>
        </w:rPr>
        <w:t>0.67%</w:t>
      </w:r>
      <w:r>
        <w:rPr/>
        <w:t>。本次解除限售股份上市流通日为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w:t>
      </w:r>
    </w:p>
    <w:p>
      <w:pPr>
        <w:spacing w:after="0" w:line="300" w:lineRule="auto"/>
        <w:jc w:val="both"/>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before="44"/>
        <w:ind w:right="1105"/>
        <w:jc w:val="left"/>
      </w:pPr>
      <w:r>
        <w:rPr/>
        <w:t>二、</w:t>
      </w:r>
      <w:r>
        <w:rPr>
          <w:rFonts w:ascii="Times New Roman" w:hAnsi="Times New Roman" w:cs="Times New Roman" w:eastAsia="Times New Roman" w:hint="default"/>
        </w:rPr>
        <w:t>2018</w:t>
      </w:r>
      <w:r>
        <w:rPr/>
        <w:t>年度限制性股票与股票期权激励计划</w:t>
      </w:r>
    </w:p>
    <w:p>
      <w:pPr>
        <w:pStyle w:val="BodyText"/>
        <w:spacing w:line="240" w:lineRule="auto" w:before="81"/>
        <w:ind w:right="1105"/>
        <w:jc w:val="left"/>
      </w:pPr>
      <w:r>
        <w:rPr/>
        <w:t>（一）限制性股票与股票期权激励计划概述</w:t>
      </w:r>
    </w:p>
    <w:p>
      <w:pPr>
        <w:pStyle w:val="BodyText"/>
        <w:spacing w:line="304" w:lineRule="auto" w:before="139"/>
        <w:ind w:right="1107"/>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日，公司召开了</w:t>
      </w:r>
      <w:r>
        <w:rPr>
          <w:rFonts w:ascii="Times New Roman" w:hAnsi="Times New Roman" w:cs="Times New Roman" w:eastAsia="Times New Roman" w:hint="default"/>
        </w:rPr>
        <w:t>2018</w:t>
      </w:r>
      <w:r>
        <w:rPr/>
        <w:t>年第四次临时股东大会，审议通过了《关于</w:t>
      </w:r>
      <w:r>
        <w:rPr>
          <w:rFonts w:ascii="Times New Roman" w:hAnsi="Times New Roman" w:cs="Times New Roman" w:eastAsia="Times New Roman" w:hint="default"/>
        </w:rPr>
        <w:t>&lt;</w:t>
      </w:r>
      <w:r>
        <w:rPr/>
        <w:t>朗新科技股份有限公司</w:t>
      </w:r>
      <w:r>
        <w:rPr>
          <w:rFonts w:ascii="Times New Roman" w:hAnsi="Times New Roman" w:cs="Times New Roman" w:eastAsia="Times New Roman" w:hint="default"/>
        </w:rPr>
        <w:t>2018</w:t>
      </w:r>
      <w:r>
        <w:rPr/>
        <w:t>年度限制性股票与</w:t>
      </w:r>
      <w:r>
        <w:rPr>
          <w:spacing w:val="-82"/>
        </w:rPr>
        <w:t> </w:t>
      </w:r>
      <w:r>
        <w:rPr/>
        <w:t>股票期权激励计划（草案）</w:t>
      </w:r>
      <w:r>
        <w:rPr>
          <w:rFonts w:ascii="Times New Roman" w:hAnsi="Times New Roman" w:cs="Times New Roman" w:eastAsia="Times New Roman" w:hint="default"/>
        </w:rPr>
        <w:t>&gt;</w:t>
      </w:r>
      <w:r>
        <w:rPr/>
        <w:t>及其摘要的议案》，其主要内容如下：</w:t>
      </w:r>
    </w:p>
    <w:p>
      <w:pPr>
        <w:pStyle w:val="BodyText"/>
        <w:spacing w:line="340" w:lineRule="auto" w:before="42"/>
        <w:ind w:right="6699"/>
        <w:jc w:val="left"/>
      </w:pPr>
      <w:r>
        <w:rPr/>
        <w:t>（</w:t>
      </w:r>
      <w:r>
        <w:rPr>
          <w:rFonts w:ascii="Times New Roman" w:hAnsi="Times New Roman" w:cs="Times New Roman" w:eastAsia="Times New Roman" w:hint="default"/>
        </w:rPr>
        <w:t>1</w:t>
      </w:r>
      <w:r>
        <w:rPr/>
        <w:t>）激励对象的范围 本激励计划首次授予的激励对象共计</w:t>
      </w:r>
      <w:r>
        <w:rPr>
          <w:rFonts w:ascii="Times New Roman" w:hAnsi="Times New Roman" w:cs="Times New Roman" w:eastAsia="Times New Roman" w:hint="default"/>
        </w:rPr>
        <w:t>489</w:t>
      </w:r>
      <w:r>
        <w:rPr/>
        <w:t>人，包括：</w:t>
      </w:r>
      <w:r>
        <w:rPr>
          <w:spacing w:val="-87"/>
        </w:rPr>
        <w:t> </w:t>
      </w:r>
      <w:r>
        <w:rPr>
          <w:rFonts w:ascii="Times New Roman" w:hAnsi="Times New Roman" w:cs="Times New Roman" w:eastAsia="Times New Roman" w:hint="default"/>
        </w:rPr>
        <w:t>1</w:t>
      </w:r>
      <w:r>
        <w:rPr/>
        <w:t>、公司董事、高级管理人员；</w:t>
      </w:r>
    </w:p>
    <w:p>
      <w:pPr>
        <w:pStyle w:val="BodyText"/>
        <w:spacing w:line="240" w:lineRule="auto" w:before="27"/>
        <w:ind w:right="1105"/>
        <w:jc w:val="left"/>
      </w:pPr>
      <w:r>
        <w:rPr>
          <w:rFonts w:ascii="Times New Roman" w:hAnsi="Times New Roman" w:cs="Times New Roman" w:eastAsia="Times New Roman" w:hint="default"/>
        </w:rPr>
        <w:t>2</w:t>
      </w:r>
      <w:r>
        <w:rPr/>
        <w:t>、公司中层管理人员；</w:t>
      </w:r>
    </w:p>
    <w:p>
      <w:pPr>
        <w:pStyle w:val="BodyText"/>
        <w:spacing w:line="240" w:lineRule="auto" w:before="96"/>
        <w:ind w:right="1105"/>
        <w:jc w:val="left"/>
      </w:pPr>
      <w:r>
        <w:rPr>
          <w:rFonts w:ascii="Times New Roman" w:hAnsi="Times New Roman" w:cs="Times New Roman" w:eastAsia="Times New Roman" w:hint="default"/>
        </w:rPr>
        <w:t>3</w:t>
      </w:r>
      <w:r>
        <w:rPr/>
        <w:t>、核心技术</w:t>
      </w:r>
      <w:r>
        <w:rPr>
          <w:rFonts w:ascii="Times New Roman" w:hAnsi="Times New Roman" w:cs="Times New Roman" w:eastAsia="Times New Roman" w:hint="default"/>
        </w:rPr>
        <w:t>/</w:t>
      </w:r>
      <w:r>
        <w:rPr/>
        <w:t>业务人员；</w:t>
      </w:r>
    </w:p>
    <w:p>
      <w:pPr>
        <w:pStyle w:val="BodyText"/>
        <w:spacing w:line="333" w:lineRule="auto" w:before="111"/>
        <w:ind w:right="7379"/>
        <w:jc w:val="left"/>
      </w:pPr>
      <w:r>
        <w:rPr/>
        <w:t>（</w:t>
      </w:r>
      <w:r>
        <w:rPr>
          <w:rFonts w:ascii="Times New Roman" w:hAnsi="Times New Roman" w:cs="Times New Roman" w:eastAsia="Times New Roman" w:hint="default"/>
        </w:rPr>
        <w:t>2</w:t>
      </w:r>
      <w:r>
        <w:rPr/>
        <w:t>）激励计划的股票来源 公司向激励对象定向发行公司</w:t>
      </w:r>
      <w:r>
        <w:rPr>
          <w:rFonts w:ascii="Times New Roman" w:hAnsi="Times New Roman" w:cs="Times New Roman" w:eastAsia="Times New Roman" w:hint="default"/>
        </w:rPr>
        <w:t>A</w:t>
      </w:r>
      <w:r>
        <w:rPr/>
        <w:t>股普通股。</w:t>
      </w:r>
    </w:p>
    <w:p>
      <w:pPr>
        <w:pStyle w:val="BodyText"/>
        <w:spacing w:line="326" w:lineRule="auto" w:before="18"/>
        <w:ind w:right="1104"/>
        <w:jc w:val="left"/>
      </w:pPr>
      <w:r>
        <w:rPr/>
        <w:t>（</w:t>
      </w:r>
      <w:r>
        <w:rPr>
          <w:rFonts w:ascii="Times New Roman" w:hAnsi="Times New Roman" w:cs="Times New Roman" w:eastAsia="Times New Roman" w:hint="default"/>
        </w:rPr>
        <w:t>3</w:t>
      </w:r>
      <w:r>
        <w:rPr/>
        <w:t>）激励计划标的股票的数量 公司拟向激励对象授予</w:t>
      </w:r>
      <w:r>
        <w:rPr>
          <w:rFonts w:ascii="Times New Roman" w:hAnsi="Times New Roman" w:cs="Times New Roman" w:eastAsia="Times New Roman" w:hint="default"/>
        </w:rPr>
        <w:t>15,003,371</w:t>
      </w:r>
      <w:r>
        <w:rPr/>
        <w:t>股限制性股票，约占本计划草案公告时公司股份总额</w:t>
      </w:r>
      <w:r>
        <w:rPr>
          <w:rFonts w:ascii="Times New Roman" w:hAnsi="Times New Roman" w:cs="Times New Roman" w:eastAsia="Times New Roman" w:hint="default"/>
        </w:rPr>
        <w:t>416,760,300</w:t>
      </w:r>
      <w:r>
        <w:rPr/>
        <w:t>股的</w:t>
      </w:r>
      <w:r>
        <w:rPr>
          <w:rFonts w:ascii="Times New Roman" w:hAnsi="Times New Roman" w:cs="Times New Roman" w:eastAsia="Times New Roman" w:hint="default"/>
        </w:rPr>
        <w:t>3.6%</w:t>
      </w:r>
      <w:r>
        <w:rPr/>
        <w:t>，其中首次授予</w:t>
      </w:r>
      <w:r>
        <w:rPr>
          <w:spacing w:val="-81"/>
        </w:rPr>
        <w:t> </w:t>
      </w:r>
      <w:r>
        <w:rPr>
          <w:rFonts w:ascii="Times New Roman" w:hAnsi="Times New Roman" w:cs="Times New Roman" w:eastAsia="Times New Roman" w:hint="default"/>
          <w:spacing w:val="-1"/>
        </w:rPr>
        <w:t>12,502,809</w:t>
      </w:r>
      <w:r>
        <w:rPr>
          <w:spacing w:val="-1"/>
        </w:rPr>
        <w:t>股，约占本计划草案公告时公司股份总额</w:t>
      </w:r>
      <w:r>
        <w:rPr>
          <w:rFonts w:ascii="Times New Roman" w:hAnsi="Times New Roman" w:cs="Times New Roman" w:eastAsia="Times New Roman" w:hint="default"/>
          <w:spacing w:val="-1"/>
        </w:rPr>
        <w:t>416,760,300</w:t>
      </w:r>
      <w:r>
        <w:rPr>
          <w:spacing w:val="-1"/>
        </w:rPr>
        <w:t>股的</w:t>
      </w:r>
      <w:r>
        <w:rPr>
          <w:rFonts w:ascii="Times New Roman" w:hAnsi="Times New Roman" w:cs="Times New Roman" w:eastAsia="Times New Roman" w:hint="default"/>
          <w:spacing w:val="-1"/>
        </w:rPr>
        <w:t>3%</w:t>
      </w:r>
      <w:r>
        <w:rPr>
          <w:spacing w:val="-1"/>
        </w:rPr>
        <w:t>；预留</w:t>
      </w:r>
      <w:r>
        <w:rPr>
          <w:rFonts w:ascii="Times New Roman" w:hAnsi="Times New Roman" w:cs="Times New Roman" w:eastAsia="Times New Roman" w:hint="default"/>
          <w:spacing w:val="-1"/>
        </w:rPr>
        <w:t>2,500,562</w:t>
      </w:r>
      <w:r>
        <w:rPr>
          <w:spacing w:val="-1"/>
        </w:rPr>
        <w:t>股，约占本计划草案公告时公司股份</w:t>
      </w:r>
    </w:p>
    <w:p>
      <w:pPr>
        <w:pStyle w:val="BodyText"/>
        <w:spacing w:line="290" w:lineRule="auto"/>
        <w:ind w:right="1179"/>
        <w:jc w:val="left"/>
      </w:pPr>
      <w:r>
        <w:rPr/>
        <w:t>总额</w:t>
      </w:r>
      <w:r>
        <w:rPr>
          <w:rFonts w:ascii="Times New Roman" w:hAnsi="Times New Roman" w:cs="Times New Roman" w:eastAsia="Times New Roman" w:hint="default"/>
        </w:rPr>
        <w:t>416,760,300</w:t>
      </w:r>
      <w:r>
        <w:rPr/>
        <w:t>股的</w:t>
      </w:r>
      <w:r>
        <w:rPr>
          <w:rFonts w:ascii="Times New Roman" w:hAnsi="Times New Roman" w:cs="Times New Roman" w:eastAsia="Times New Roman" w:hint="default"/>
        </w:rPr>
        <w:t>0.6%</w:t>
      </w:r>
      <w:r>
        <w:rPr/>
        <w:t>，预留部分占本次授予权益总额的</w:t>
      </w:r>
      <w:r>
        <w:rPr>
          <w:rFonts w:ascii="Times New Roman" w:hAnsi="Times New Roman" w:cs="Times New Roman" w:eastAsia="Times New Roman" w:hint="default"/>
        </w:rPr>
        <w:t>13.04%</w:t>
      </w:r>
      <w:r>
        <w:rPr/>
        <w:t>。公司拟向激励对象授予</w:t>
      </w:r>
      <w:r>
        <w:rPr>
          <w:rFonts w:ascii="Times New Roman" w:hAnsi="Times New Roman" w:cs="Times New Roman" w:eastAsia="Times New Roman" w:hint="default"/>
        </w:rPr>
        <w:t>4,167,603</w:t>
      </w:r>
      <w:r>
        <w:rPr/>
        <w:t>份股票期权，约占本</w:t>
      </w:r>
      <w:r>
        <w:rPr>
          <w:spacing w:val="-84"/>
        </w:rPr>
        <w:t> </w:t>
      </w:r>
      <w:r>
        <w:rPr/>
        <w:t>计划草案公告时公司股本总额</w:t>
      </w:r>
      <w:r>
        <w:rPr>
          <w:rFonts w:ascii="Times New Roman" w:hAnsi="Times New Roman" w:cs="Times New Roman" w:eastAsia="Times New Roman" w:hint="default"/>
        </w:rPr>
        <w:t>416,760,300</w:t>
      </w:r>
      <w:r>
        <w:rPr/>
        <w:t>股的</w:t>
      </w:r>
      <w:r>
        <w:rPr>
          <w:rFonts w:ascii="Times New Roman" w:hAnsi="Times New Roman" w:cs="Times New Roman" w:eastAsia="Times New Roman" w:hint="default"/>
        </w:rPr>
        <w:t>1%</w:t>
      </w:r>
      <w:r>
        <w:rPr/>
        <w:t>。</w:t>
      </w:r>
    </w:p>
    <w:p>
      <w:pPr>
        <w:pStyle w:val="BodyText"/>
        <w:spacing w:line="288" w:lineRule="auto" w:before="69"/>
        <w:ind w:right="1105"/>
        <w:jc w:val="left"/>
      </w:pPr>
      <w:r>
        <w:rPr/>
        <w:t>限制性股票授予激励对象中</w:t>
      </w:r>
      <w:r>
        <w:rPr>
          <w:rFonts w:ascii="Times New Roman" w:hAnsi="Times New Roman" w:cs="Times New Roman" w:eastAsia="Times New Roman" w:hint="default"/>
        </w:rPr>
        <w:t>162</w:t>
      </w:r>
      <w:r>
        <w:rPr/>
        <w:t>名激励对象由于个人原因自愿放弃公司拟授予的限制性股票，股票期权授予激励对象中</w:t>
      </w:r>
      <w:r>
        <w:rPr>
          <w:rFonts w:ascii="Times New Roman" w:hAnsi="Times New Roman" w:cs="Times New Roman" w:eastAsia="Times New Roman" w:hint="default"/>
        </w:rPr>
        <w:t>276</w:t>
      </w:r>
      <w:r>
        <w:rPr>
          <w:rFonts w:ascii="Times New Roman" w:hAnsi="Times New Roman" w:cs="Times New Roman" w:eastAsia="Times New Roman" w:hint="default"/>
          <w:spacing w:val="-35"/>
        </w:rPr>
        <w:t> </w:t>
      </w:r>
      <w:r>
        <w:rPr/>
        <w:t>名激励对象由于个人原因自愿放弃公司拟授予的股票期权。</w:t>
      </w:r>
    </w:p>
    <w:p>
      <w:pPr>
        <w:pStyle w:val="BodyText"/>
        <w:spacing w:line="297" w:lineRule="auto" w:before="89"/>
        <w:ind w:right="1111"/>
        <w:jc w:val="both"/>
      </w:pPr>
      <w:r>
        <w:rPr>
          <w:spacing w:val="-1"/>
        </w:rPr>
        <w:t>在期权登记过程中，有</w:t>
      </w:r>
      <w:r>
        <w:rPr>
          <w:rFonts w:ascii="Times New Roman" w:hAnsi="Times New Roman" w:cs="Times New Roman" w:eastAsia="Times New Roman" w:hint="default"/>
          <w:spacing w:val="-1"/>
        </w:rPr>
        <w:t>4</w:t>
      </w:r>
      <w:r>
        <w:rPr>
          <w:spacing w:val="-1"/>
        </w:rPr>
        <w:t>名激励对象因个人原因自动放弃授予的股票期权</w:t>
      </w:r>
      <w:r>
        <w:rPr>
          <w:rFonts w:ascii="Times New Roman" w:hAnsi="Times New Roman" w:cs="Times New Roman" w:eastAsia="Times New Roman" w:hint="default"/>
          <w:spacing w:val="-1"/>
        </w:rPr>
        <w:t>30.9603</w:t>
      </w:r>
      <w:r>
        <w:rPr>
          <w:spacing w:val="-1"/>
        </w:rPr>
        <w:t>万份，因而公司本次股票期权实际授予对象</w:t>
      </w:r>
      <w:r>
        <w:rPr>
          <w:spacing w:val="-55"/>
        </w:rPr>
        <w:t> </w:t>
      </w:r>
      <w:r>
        <w:rPr>
          <w:spacing w:val="-55"/>
        </w:rPr>
      </w:r>
      <w:r>
        <w:rPr>
          <w:spacing w:val="-1"/>
        </w:rPr>
        <w:t>为</w:t>
      </w:r>
      <w:r>
        <w:rPr>
          <w:rFonts w:ascii="Times New Roman" w:hAnsi="Times New Roman" w:cs="Times New Roman" w:eastAsia="Times New Roman" w:hint="default"/>
          <w:spacing w:val="-1"/>
        </w:rPr>
        <w:t>160</w:t>
      </w:r>
      <w:r>
        <w:rPr>
          <w:spacing w:val="-1"/>
        </w:rPr>
        <w:t>人，实际授予数量为</w:t>
      </w:r>
      <w:r>
        <w:rPr>
          <w:rFonts w:ascii="Times New Roman" w:hAnsi="Times New Roman" w:cs="Times New Roman" w:eastAsia="Times New Roman" w:hint="default"/>
          <w:spacing w:val="-1"/>
        </w:rPr>
        <w:t>385.80</w:t>
      </w:r>
      <w:r>
        <w:rPr>
          <w:spacing w:val="-1"/>
        </w:rPr>
        <w:t>万份，占授予前公司总股本</w:t>
      </w:r>
      <w:r>
        <w:rPr>
          <w:rFonts w:ascii="Times New Roman" w:hAnsi="Times New Roman" w:cs="Times New Roman" w:eastAsia="Times New Roman" w:hint="default"/>
          <w:spacing w:val="-1"/>
        </w:rPr>
        <w:t>41,673.6300</w:t>
      </w:r>
      <w:r>
        <w:rPr>
          <w:spacing w:val="-1"/>
        </w:rPr>
        <w:t>万股的</w:t>
      </w:r>
      <w:r>
        <w:rPr>
          <w:rFonts w:ascii="Times New Roman" w:hAnsi="Times New Roman" w:cs="Times New Roman" w:eastAsia="Times New Roman" w:hint="default"/>
          <w:spacing w:val="-1"/>
        </w:rPr>
        <w:t>0.93%</w:t>
      </w:r>
      <w:r>
        <w:rPr>
          <w:spacing w:val="-1"/>
        </w:rPr>
        <w:t>。在限制性股票资金缴纳、股份登记过</w:t>
      </w:r>
      <w:r>
        <w:rPr>
          <w:spacing w:val="-80"/>
        </w:rPr>
        <w:t> </w:t>
      </w:r>
      <w:r>
        <w:rPr>
          <w:spacing w:val="-80"/>
        </w:rPr>
      </w:r>
      <w:r>
        <w:rPr>
          <w:spacing w:val="-2"/>
        </w:rPr>
        <w:t>程中，有</w:t>
      </w:r>
      <w:r>
        <w:rPr>
          <w:rFonts w:ascii="Times New Roman" w:hAnsi="Times New Roman" w:cs="Times New Roman" w:eastAsia="Times New Roman" w:hint="default"/>
          <w:spacing w:val="-2"/>
        </w:rPr>
        <w:t>19</w:t>
      </w:r>
      <w:r>
        <w:rPr>
          <w:spacing w:val="-2"/>
        </w:rPr>
        <w:t>名激励对象因个人原因自动放弃认购其对应的限制性股票</w:t>
      </w:r>
      <w:r>
        <w:rPr>
          <w:rFonts w:ascii="Times New Roman" w:hAnsi="Times New Roman" w:cs="Times New Roman" w:eastAsia="Times New Roman" w:hint="default"/>
          <w:spacing w:val="-2"/>
        </w:rPr>
        <w:t>18,809</w:t>
      </w:r>
      <w:r>
        <w:rPr>
          <w:spacing w:val="-2"/>
        </w:rPr>
        <w:t>股，因而公司本次限制性股票实际授予对象为</w:t>
      </w:r>
      <w:r>
        <w:rPr>
          <w:rFonts w:ascii="Times New Roman" w:hAnsi="Times New Roman" w:cs="Times New Roman" w:eastAsia="Times New Roman" w:hint="default"/>
          <w:spacing w:val="-2"/>
        </w:rPr>
        <w:t>308</w:t>
      </w:r>
      <w:r>
        <w:rPr>
          <w:rFonts w:ascii="Times New Roman" w:hAnsi="Times New Roman" w:cs="Times New Roman" w:eastAsia="Times New Roman" w:hint="default"/>
          <w:spacing w:val="-36"/>
        </w:rPr>
        <w:t> </w:t>
      </w:r>
      <w:r>
        <w:rPr/>
        <w:t>人，实际授予数量为</w:t>
      </w:r>
      <w:r>
        <w:rPr>
          <w:rFonts w:ascii="Times New Roman" w:hAnsi="Times New Roman" w:cs="Times New Roman" w:eastAsia="Times New Roman" w:hint="default"/>
        </w:rPr>
        <w:t>12,484,000</w:t>
      </w:r>
      <w:r>
        <w:rPr/>
        <w:t>股，占授予前公司总股本</w:t>
      </w:r>
      <w:r>
        <w:rPr>
          <w:rFonts w:ascii="Times New Roman" w:hAnsi="Times New Roman" w:cs="Times New Roman" w:eastAsia="Times New Roman" w:hint="default"/>
        </w:rPr>
        <w:t>416,736,300</w:t>
      </w:r>
      <w:r>
        <w:rPr/>
        <w:t>股的</w:t>
      </w:r>
      <w:r>
        <w:rPr>
          <w:rFonts w:ascii="Times New Roman" w:hAnsi="Times New Roman" w:cs="Times New Roman" w:eastAsia="Times New Roman" w:hint="default"/>
        </w:rPr>
        <w:t>2.996%</w:t>
      </w:r>
      <w:r>
        <w:rPr/>
        <w:t>。</w:t>
      </w:r>
    </w:p>
    <w:p>
      <w:pPr>
        <w:pStyle w:val="BodyText"/>
        <w:spacing w:line="333" w:lineRule="auto" w:before="63"/>
        <w:ind w:right="2244"/>
        <w:jc w:val="left"/>
      </w:pPr>
      <w:r>
        <w:rPr/>
        <w:t>（</w:t>
      </w:r>
      <w:r>
        <w:rPr>
          <w:rFonts w:ascii="Times New Roman" w:hAnsi="Times New Roman" w:cs="Times New Roman" w:eastAsia="Times New Roman" w:hint="default"/>
        </w:rPr>
        <w:t>4</w:t>
      </w:r>
      <w:r>
        <w:rPr/>
        <w:t>）限制性股票与股票期权的授予价格 </w:t>
      </w:r>
      <w:r>
        <w:rPr>
          <w:spacing w:val="-1"/>
        </w:rPr>
        <w:t>限制性股票的授予价格为</w:t>
      </w:r>
      <w:r>
        <w:rPr>
          <w:rFonts w:ascii="Times New Roman" w:hAnsi="Times New Roman" w:cs="Times New Roman" w:eastAsia="Times New Roman" w:hint="default"/>
          <w:spacing w:val="-1"/>
        </w:rPr>
        <w:t>8.23</w:t>
      </w:r>
      <w:r>
        <w:rPr>
          <w:spacing w:val="-1"/>
        </w:rPr>
        <w:t>元</w:t>
      </w:r>
      <w:r>
        <w:rPr>
          <w:rFonts w:ascii="Times New Roman" w:hAnsi="Times New Roman" w:cs="Times New Roman" w:eastAsia="Times New Roman" w:hint="default"/>
          <w:spacing w:val="-1"/>
        </w:rPr>
        <w:t>/</w:t>
      </w:r>
      <w:r>
        <w:rPr>
          <w:spacing w:val="-1"/>
        </w:rPr>
        <w:t>股，股票期权的授予价格为</w:t>
      </w:r>
      <w:r>
        <w:rPr>
          <w:rFonts w:ascii="Times New Roman" w:hAnsi="Times New Roman" w:cs="Times New Roman" w:eastAsia="Times New Roman" w:hint="default"/>
          <w:spacing w:val="-1"/>
        </w:rPr>
        <w:t>16.45</w:t>
      </w:r>
      <w:r>
        <w:rPr>
          <w:spacing w:val="-1"/>
        </w:rPr>
        <w:t>元</w:t>
      </w:r>
      <w:r>
        <w:rPr>
          <w:rFonts w:ascii="Times New Roman" w:hAnsi="Times New Roman" w:cs="Times New Roman" w:eastAsia="Times New Roman" w:hint="default"/>
          <w:spacing w:val="-1"/>
        </w:rPr>
        <w:t>/</w:t>
      </w:r>
      <w:r>
        <w:rPr>
          <w:spacing w:val="-1"/>
        </w:rPr>
        <w:t>股。</w:t>
      </w:r>
    </w:p>
    <w:p>
      <w:pPr>
        <w:pStyle w:val="BodyText"/>
        <w:spacing w:line="240" w:lineRule="auto" w:before="18"/>
        <w:ind w:right="1105"/>
        <w:jc w:val="left"/>
      </w:pPr>
      <w:r>
        <w:rPr/>
        <w:t>（二）、已履行的相关审批程序</w:t>
      </w:r>
    </w:p>
    <w:p>
      <w:pPr>
        <w:pStyle w:val="BodyText"/>
        <w:spacing w:line="304" w:lineRule="auto" w:before="125"/>
        <w:ind w:right="1107"/>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日，公司第二届董事会第十五次会议审议通过了《关于</w:t>
      </w:r>
      <w:r>
        <w:rPr>
          <w:rFonts w:ascii="Times New Roman" w:hAnsi="Times New Roman" w:cs="Times New Roman" w:eastAsia="Times New Roman" w:hint="default"/>
        </w:rPr>
        <w:t>&lt;</w:t>
      </w:r>
      <w:r>
        <w:rPr/>
        <w:t>朗新科技股份有限公司</w:t>
      </w:r>
      <w:r>
        <w:rPr>
          <w:rFonts w:ascii="Times New Roman" w:hAnsi="Times New Roman" w:cs="Times New Roman" w:eastAsia="Times New Roman" w:hint="default"/>
        </w:rPr>
        <w:t>2018</w:t>
      </w:r>
      <w:r>
        <w:rPr/>
        <w:t>年度限制性股票与股</w:t>
      </w:r>
      <w:r>
        <w:rPr>
          <w:spacing w:val="-80"/>
        </w:rPr>
        <w:t> </w:t>
      </w:r>
      <w:r>
        <w:rPr/>
        <w:t>票期权激励计划（草案）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朗新科技股份有限公司</w:t>
      </w:r>
      <w:r>
        <w:rPr>
          <w:rFonts w:ascii="Times New Roman" w:hAnsi="Times New Roman" w:cs="Times New Roman" w:eastAsia="Times New Roman" w:hint="default"/>
        </w:rPr>
        <w:t>2018</w:t>
      </w:r>
      <w:r>
        <w:rPr/>
        <w:t>年度限制性股票与股票期权激励计划实</w:t>
      </w:r>
      <w:r>
        <w:rPr>
          <w:spacing w:val="-79"/>
        </w:rPr>
        <w:t> </w:t>
      </w:r>
      <w:r>
        <w:rPr/>
        <w:t>施考核管理办法</w:t>
      </w:r>
      <w:r>
        <w:rPr>
          <w:rFonts w:ascii="Times New Roman" w:hAnsi="Times New Roman" w:cs="Times New Roman" w:eastAsia="Times New Roman" w:hint="default"/>
        </w:rPr>
        <w:t>&gt;</w:t>
      </w:r>
      <w:r>
        <w:rPr/>
        <w:t>的议案》、《关于提请股东大会授权董事会办理股权激励相关事宜的议案》，公司第二届监事会第十二次</w:t>
      </w:r>
      <w:r>
        <w:rPr>
          <w:spacing w:val="-86"/>
        </w:rPr>
        <w:t> </w:t>
      </w:r>
      <w:r>
        <w:rPr>
          <w:spacing w:val="-2"/>
        </w:rPr>
        <w:t>会议审议通过了相关议案。公司已对激励对象名单在公司内部进行了公示，公示期满后，监事会对本次股权激励计划授予激</w:t>
      </w:r>
      <w:r>
        <w:rPr>
          <w:spacing w:val="-75"/>
        </w:rPr>
        <w:t> </w:t>
      </w:r>
      <w:r>
        <w:rPr>
          <w:spacing w:val="-75"/>
        </w:rPr>
      </w:r>
      <w:r>
        <w:rPr>
          <w:spacing w:val="-2"/>
        </w:rPr>
        <w:t>励对象名单进行了核查并对公示情况进行了说明，公司独立董事就本次股权激励计划是否有利于公司的持续发展及是否存在</w:t>
      </w:r>
      <w:r>
        <w:rPr>
          <w:spacing w:val="-52"/>
        </w:rPr>
        <w:t> </w:t>
      </w:r>
      <w:r>
        <w:rPr>
          <w:spacing w:val="-52"/>
        </w:rPr>
      </w:r>
      <w:r>
        <w:rPr/>
        <w:t>损害公司及全体股东利益的情形发表了独立意见。</w:t>
      </w:r>
    </w:p>
    <w:p>
      <w:pPr>
        <w:pStyle w:val="BodyText"/>
        <w:spacing w:line="240" w:lineRule="auto" w:before="91"/>
        <w:ind w:right="1105"/>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日，公司第二届董事会第十五次会议审议通过了《关于召开</w:t>
      </w:r>
      <w:r>
        <w:rPr>
          <w:rFonts w:ascii="Times New Roman" w:hAnsi="Times New Roman" w:cs="Times New Roman" w:eastAsia="Times New Roman" w:hint="default"/>
        </w:rPr>
        <w:t>2018</w:t>
      </w:r>
      <w:r>
        <w:rPr/>
        <w:t>年第四次临时股东大会的议案》。</w:t>
      </w:r>
    </w:p>
    <w:p>
      <w:pPr>
        <w:pStyle w:val="BodyText"/>
        <w:spacing w:line="300" w:lineRule="auto" w:before="96"/>
        <w:ind w:right="1107"/>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日，公司</w:t>
      </w:r>
      <w:r>
        <w:rPr>
          <w:rFonts w:ascii="Times New Roman" w:hAnsi="Times New Roman" w:cs="Times New Roman" w:eastAsia="Times New Roman" w:hint="default"/>
        </w:rPr>
        <w:t>2018</w:t>
      </w:r>
      <w:r>
        <w:rPr/>
        <w:t>年第四次临时股东大会审议并通过了《关于</w:t>
      </w:r>
      <w:r>
        <w:rPr>
          <w:rFonts w:ascii="Times New Roman" w:hAnsi="Times New Roman" w:cs="Times New Roman" w:eastAsia="Times New Roman" w:hint="default"/>
        </w:rPr>
        <w:t>&lt;</w:t>
      </w:r>
      <w:r>
        <w:rPr/>
        <w:t>朗新科技股份有限公司</w:t>
      </w:r>
      <w:r>
        <w:rPr>
          <w:rFonts w:ascii="Times New Roman" w:hAnsi="Times New Roman" w:cs="Times New Roman" w:eastAsia="Times New Roman" w:hint="default"/>
        </w:rPr>
        <w:t>2018</w:t>
      </w:r>
      <w:r>
        <w:rPr/>
        <w:t>年度限制性股票与</w:t>
      </w:r>
      <w:r>
        <w:rPr>
          <w:spacing w:val="-82"/>
        </w:rPr>
        <w:t> </w:t>
      </w:r>
      <w:r>
        <w:rPr/>
        <w:t>股票期权激励计划（草案）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朗新科技股份有限公司</w:t>
      </w:r>
      <w:r>
        <w:rPr>
          <w:rFonts w:ascii="Times New Roman" w:hAnsi="Times New Roman" w:cs="Times New Roman" w:eastAsia="Times New Roman" w:hint="default"/>
        </w:rPr>
        <w:t>2018</w:t>
      </w:r>
      <w:r>
        <w:rPr/>
        <w:t>年度限制性股票与股票期权激励计划</w:t>
      </w:r>
      <w:r>
        <w:rPr>
          <w:spacing w:val="-78"/>
        </w:rPr>
        <w:t> </w:t>
      </w:r>
      <w:r>
        <w:rPr/>
        <w:t>实施考核管理办法</w:t>
      </w:r>
      <w:r>
        <w:rPr>
          <w:rFonts w:ascii="Times New Roman" w:hAnsi="Times New Roman" w:cs="Times New Roman" w:eastAsia="Times New Roman" w:hint="default"/>
        </w:rPr>
        <w:t>&gt;</w:t>
      </w:r>
      <w:r>
        <w:rPr/>
        <w:t>的议案》、《关于提请股东大会授权董事会办理股权激励相关事宜的议案》。公司实施</w:t>
      </w:r>
      <w:r>
        <w:rPr>
          <w:rFonts w:ascii="Times New Roman" w:hAnsi="Times New Roman" w:cs="Times New Roman" w:eastAsia="Times New Roman" w:hint="default"/>
        </w:rPr>
        <w:t>2018</w:t>
      </w:r>
      <w:r>
        <w:rPr/>
        <w:t>年度限制性</w:t>
      </w:r>
      <w:r>
        <w:rPr>
          <w:spacing w:val="-79"/>
        </w:rPr>
        <w:t> </w:t>
      </w:r>
      <w:r>
        <w:rPr>
          <w:spacing w:val="-2"/>
        </w:rPr>
        <w:t>股票与股票期权激励计划获得批准，董事会被授权确定授予日、在激励对象符合条件时向激励对象授予限制性股票与股票期</w:t>
      </w:r>
      <w:r>
        <w:rPr>
          <w:spacing w:val="-72"/>
        </w:rPr>
        <w:t> </w:t>
      </w:r>
      <w:r>
        <w:rPr>
          <w:spacing w:val="-72"/>
        </w:rPr>
      </w:r>
      <w:r>
        <w:rPr/>
        <w:t>权，并办理授予所必需的全部事宜。</w:t>
      </w:r>
    </w:p>
    <w:p>
      <w:pPr>
        <w:pStyle w:val="BodyText"/>
        <w:spacing w:line="304" w:lineRule="auto" w:before="95"/>
        <w:ind w:right="1121"/>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日，公司第二届董事会第十七次会议和第二届监事会第十四次会议审议通过了《关于向激励对象授予限制 </w:t>
      </w:r>
      <w:r>
        <w:rPr>
          <w:spacing w:val="-2"/>
        </w:rPr>
        <w:t>性股票与股票期权的议案》。公司独立董事对此发表了独立意见，认为激励对象主体资格合法、有效，确定的授予日符合相</w:t>
      </w:r>
      <w:r>
        <w:rPr>
          <w:spacing w:val="-57"/>
        </w:rPr>
        <w:t> </w:t>
      </w:r>
      <w:r>
        <w:rPr>
          <w:spacing w:val="-57"/>
        </w:rPr>
      </w:r>
      <w:r>
        <w:rPr/>
        <w:t>关规定。</w:t>
      </w:r>
    </w:p>
    <w:p>
      <w:pPr>
        <w:pStyle w:val="BodyText"/>
        <w:spacing w:line="290" w:lineRule="auto" w:before="76"/>
        <w:ind w:right="1096"/>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日，公司第二届董事会第十八次会议和第二届监事会第十五次会议审议通过了《关于调整 </w:t>
      </w:r>
      <w:r>
        <w:rPr>
          <w:rFonts w:ascii="Times New Roman" w:hAnsi="Times New Roman" w:cs="Times New Roman" w:eastAsia="Times New Roman" w:hint="default"/>
        </w:rPr>
        <w:t>2018</w:t>
      </w:r>
      <w:r>
        <w:rPr>
          <w:rFonts w:ascii="Times New Roman" w:hAnsi="Times New Roman" w:cs="Times New Roman" w:eastAsia="Times New Roman" w:hint="default"/>
          <w:spacing w:val="-22"/>
        </w:rPr>
        <w:t> </w:t>
      </w:r>
      <w:r>
        <w:rPr/>
        <w:t>年度限制 性股票与股票期权激励计划激励对象名单的议案》。</w:t>
      </w:r>
    </w:p>
    <w:p>
      <w:pPr>
        <w:spacing w:after="0" w:line="29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88" w:lineRule="auto" w:before="44"/>
        <w:ind w:right="1128"/>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日，公司</w:t>
      </w:r>
      <w:r>
        <w:rPr>
          <w:rFonts w:ascii="Times New Roman" w:hAnsi="Times New Roman" w:cs="Times New Roman" w:eastAsia="Times New Roman" w:hint="default"/>
        </w:rPr>
        <w:t>2018</w:t>
      </w:r>
      <w:r>
        <w:rPr/>
        <w:t>年第五次临时股东大会审议通过了《关于调整</w:t>
      </w:r>
      <w:r>
        <w:rPr>
          <w:rFonts w:ascii="Times New Roman" w:hAnsi="Times New Roman" w:cs="Times New Roman" w:eastAsia="Times New Roman" w:hint="default"/>
        </w:rPr>
        <w:t>2018</w:t>
      </w:r>
      <w:r>
        <w:rPr/>
        <w:t>年度限制性股票与股票期权激励计划激</w:t>
      </w:r>
      <w:r>
        <w:rPr>
          <w:spacing w:val="-87"/>
        </w:rPr>
        <w:t> </w:t>
      </w:r>
      <w:r>
        <w:rPr/>
        <w:t>励对象名单的议案》。</w:t>
      </w:r>
    </w:p>
    <w:p>
      <w:pPr>
        <w:pStyle w:val="BodyText"/>
        <w:spacing w:line="290" w:lineRule="auto" w:before="89"/>
        <w:ind w:right="1126"/>
        <w:jc w:val="both"/>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日，公司</w:t>
      </w:r>
      <w:r>
        <w:rPr>
          <w:rFonts w:ascii="Times New Roman" w:hAnsi="Times New Roman" w:cs="Times New Roman" w:eastAsia="Times New Roman" w:hint="default"/>
        </w:rPr>
        <w:t>2018</w:t>
      </w:r>
      <w:r>
        <w:rPr/>
        <w:t>年股票期权授予登记完成，并在中国证监会指定创业板信息披露网站公告了《关于</w:t>
      </w:r>
      <w:r>
        <w:rPr>
          <w:rFonts w:ascii="Times New Roman" w:hAnsi="Times New Roman" w:cs="Times New Roman" w:eastAsia="Times New Roman" w:hint="default"/>
        </w:rPr>
        <w:t>2018</w:t>
      </w:r>
      <w:r>
        <w:rPr/>
        <w:t>年</w:t>
      </w:r>
      <w:r>
        <w:rPr>
          <w:spacing w:val="-83"/>
        </w:rPr>
        <w:t> </w:t>
      </w:r>
      <w:r>
        <w:rPr/>
        <w:t>股权激励计划股票期权授予登记完成的公告》。</w:t>
      </w:r>
    </w:p>
    <w:p>
      <w:pPr>
        <w:pStyle w:val="BodyText"/>
        <w:spacing w:line="290" w:lineRule="auto" w:before="101"/>
        <w:ind w:right="1126"/>
        <w:jc w:val="both"/>
      </w:pPr>
      <w:r>
        <w:rPr>
          <w:spacing w:val="-3"/>
        </w:rPr>
        <w:t>（</w:t>
      </w:r>
      <w:r>
        <w:rPr>
          <w:rFonts w:ascii="Times New Roman" w:hAnsi="Times New Roman" w:cs="Times New Roman" w:eastAsia="Times New Roman" w:hint="default"/>
          <w:spacing w:val="-3"/>
        </w:rPr>
        <w:t>8</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23</w:t>
      </w:r>
      <w:r>
        <w:rPr>
          <w:spacing w:val="-3"/>
        </w:rPr>
        <w:t>日，公司</w:t>
      </w:r>
      <w:r>
        <w:rPr>
          <w:rFonts w:ascii="Times New Roman" w:hAnsi="Times New Roman" w:cs="Times New Roman" w:eastAsia="Times New Roman" w:hint="default"/>
          <w:spacing w:val="-3"/>
        </w:rPr>
        <w:t>2018</w:t>
      </w:r>
      <w:r>
        <w:rPr>
          <w:spacing w:val="-3"/>
        </w:rPr>
        <w:t>年限制性股票首次授予登记完成并上市，在中国证监会指定创业板信息披露网站公告了《关</w:t>
      </w:r>
      <w:r>
        <w:rPr>
          <w:spacing w:val="-80"/>
        </w:rPr>
        <w:t> </w:t>
      </w:r>
      <w:r>
        <w:rPr>
          <w:spacing w:val="-80"/>
        </w:rPr>
      </w:r>
      <w:r>
        <w:rPr/>
        <w:t>于</w:t>
      </w:r>
      <w:r>
        <w:rPr>
          <w:rFonts w:ascii="Times New Roman" w:hAnsi="Times New Roman" w:cs="Times New Roman" w:eastAsia="Times New Roman" w:hint="default"/>
        </w:rPr>
        <w:t>2018</w:t>
      </w:r>
      <w:r>
        <w:rPr/>
        <w:t>年度股权激励计划限制性股票首次授予登记完成的公告》。</w:t>
      </w:r>
    </w:p>
    <w:p>
      <w:pPr>
        <w:pStyle w:val="BodyText"/>
        <w:spacing w:line="290" w:lineRule="auto" w:before="69"/>
        <w:ind w:right="1134"/>
        <w:jc w:val="both"/>
      </w:pP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日，公司第二届董事会第二十二次会议和第二届监事会第十七次会议审议通过了《关于向激励对象授予 预留限制性股票的议案》。</w:t>
      </w:r>
    </w:p>
    <w:p>
      <w:pPr>
        <w:pStyle w:val="BodyText"/>
        <w:spacing w:line="302" w:lineRule="auto" w:before="87"/>
        <w:ind w:right="1133"/>
        <w:jc w:val="both"/>
      </w:pPr>
      <w:r>
        <w:rPr>
          <w:spacing w:val="-3"/>
        </w:rPr>
        <w:t>（</w:t>
      </w:r>
      <w:r>
        <w:rPr>
          <w:rFonts w:ascii="Times New Roman" w:hAnsi="Times New Roman" w:cs="Times New Roman" w:eastAsia="Times New Roman" w:hint="default"/>
          <w:spacing w:val="-3"/>
        </w:rPr>
        <w:t>10</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30</w:t>
      </w:r>
      <w:r>
        <w:rPr>
          <w:spacing w:val="-3"/>
        </w:rPr>
        <w:t>日，公司</w:t>
      </w:r>
      <w:r>
        <w:rPr>
          <w:rFonts w:ascii="Times New Roman" w:hAnsi="Times New Roman" w:cs="Times New Roman" w:eastAsia="Times New Roman" w:hint="default"/>
          <w:spacing w:val="-3"/>
        </w:rPr>
        <w:t>2018</w:t>
      </w:r>
      <w:r>
        <w:rPr>
          <w:spacing w:val="-3"/>
        </w:rPr>
        <w:t>年限制性股票首次授予登记完成并上市，在中国证监会指定创业板信息披露网站公告了《关</w:t>
      </w:r>
      <w:r>
        <w:rPr>
          <w:spacing w:val="-88"/>
        </w:rPr>
        <w:t> </w:t>
      </w:r>
      <w:r>
        <w:rPr>
          <w:spacing w:val="-88"/>
        </w:rPr>
      </w:r>
      <w:r>
        <w:rPr/>
        <w:t>于</w:t>
      </w:r>
      <w:r>
        <w:rPr>
          <w:rFonts w:ascii="Times New Roman" w:hAnsi="Times New Roman" w:cs="Times New Roman" w:eastAsia="Times New Roman" w:hint="default"/>
        </w:rPr>
        <w:t>2018</w:t>
      </w:r>
      <w:r>
        <w:rPr/>
        <w:t>年度股权激励计划限制性股票预留授予登记完成的公告》。</w:t>
      </w:r>
    </w:p>
    <w:p>
      <w:pPr>
        <w:pStyle w:val="BodyText"/>
        <w:spacing w:line="297" w:lineRule="auto" w:before="44"/>
        <w:ind w:right="1096"/>
        <w:jc w:val="both"/>
      </w:pPr>
      <w:r>
        <w:rPr/>
        <w:t>（</w:t>
      </w:r>
      <w:r>
        <w:rPr>
          <w:rFonts w:ascii="Times New Roman" w:hAnsi="Times New Roman" w:cs="Times New Roman" w:eastAsia="Times New Roman" w:hint="default"/>
        </w:rPr>
        <w:t>11</w:t>
      </w:r>
      <w:r>
        <w:rPr/>
        <w:t>）</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14 </w:t>
      </w:r>
      <w:r>
        <w:rPr/>
        <w:t>日，公司第二届董事会第三十二次会议和第二届监事会第二十一次会议审议通过了《关于调整</w:t>
      </w:r>
      <w:r>
        <w:rPr>
          <w:spacing w:val="-7"/>
        </w:rPr>
        <w:t> </w:t>
      </w:r>
      <w:r>
        <w:rPr>
          <w:rFonts w:ascii="Times New Roman" w:hAnsi="Times New Roman" w:cs="Times New Roman" w:eastAsia="Times New Roman" w:hint="default"/>
        </w:rPr>
        <w:t>2018 </w:t>
      </w:r>
      <w:r>
        <w:rPr>
          <w:spacing w:val="-2"/>
        </w:rPr>
        <w:t>年度限制性股票与股票期权激励计划行权价格的议案》，调整后的行权价格为</w:t>
      </w:r>
      <w:r>
        <w:rPr>
          <w:rFonts w:ascii="Times New Roman" w:hAnsi="Times New Roman" w:cs="Times New Roman" w:eastAsia="Times New Roman" w:hint="default"/>
          <w:spacing w:val="-2"/>
        </w:rPr>
        <w:t>16.369</w:t>
      </w:r>
      <w:r>
        <w:rPr>
          <w:spacing w:val="-2"/>
        </w:rPr>
        <w:t>元</w:t>
      </w:r>
      <w:r>
        <w:rPr>
          <w:rFonts w:ascii="Times New Roman" w:hAnsi="Times New Roman" w:cs="Times New Roman" w:eastAsia="Times New Roman" w:hint="default"/>
          <w:spacing w:val="-2"/>
        </w:rPr>
        <w:t>/</w:t>
      </w:r>
      <w:r>
        <w:rPr>
          <w:spacing w:val="-2"/>
        </w:rPr>
        <w:t>股。公司独立董事对此发表了独立意</w:t>
      </w:r>
      <w:r>
        <w:rPr>
          <w:spacing w:val="-65"/>
        </w:rPr>
        <w:t> </w:t>
      </w:r>
      <w:r>
        <w:rPr>
          <w:spacing w:val="-65"/>
        </w:rPr>
      </w:r>
      <w:r>
        <w:rPr/>
        <w:t>见。</w:t>
      </w:r>
    </w:p>
    <w:p>
      <w:pPr>
        <w:pStyle w:val="BodyText"/>
        <w:spacing w:line="300" w:lineRule="auto" w:before="81"/>
        <w:ind w:right="1089"/>
        <w:jc w:val="left"/>
      </w:pPr>
      <w:r>
        <w:rPr>
          <w:spacing w:val="-2"/>
        </w:rPr>
        <w:t>（</w:t>
      </w:r>
      <w:r>
        <w:rPr>
          <w:rFonts w:ascii="Times New Roman" w:hAnsi="Times New Roman" w:cs="Times New Roman" w:eastAsia="Times New Roman" w:hint="default"/>
          <w:spacing w:val="-2"/>
        </w:rPr>
        <w:t>12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22</w:t>
      </w:r>
      <w:r>
        <w:rPr>
          <w:spacing w:val="-2"/>
        </w:rPr>
        <w:t>日，公司第二届董事会第三十八次会议和第二届监事会第二十四次会议审议通过了《关于注销</w:t>
      </w:r>
      <w:r>
        <w:rPr>
          <w:rFonts w:ascii="Times New Roman" w:hAnsi="Times New Roman" w:cs="Times New Roman" w:eastAsia="Times New Roman" w:hint="default"/>
          <w:spacing w:val="-2"/>
        </w:rPr>
        <w:t>2018</w:t>
      </w:r>
      <w:r>
        <w:rPr>
          <w:spacing w:val="-2"/>
        </w:rPr>
        <w:t>年度</w:t>
      </w:r>
      <w:r>
        <w:rPr>
          <w:spacing w:val="-51"/>
        </w:rPr>
        <w:t> </w:t>
      </w:r>
      <w:r>
        <w:rPr>
          <w:spacing w:val="-2"/>
        </w:rPr>
        <w:t>限制性股票与股票期权激励计划部分股票期权的议案》、《关于公司</w:t>
      </w:r>
      <w:r>
        <w:rPr>
          <w:rFonts w:ascii="Times New Roman" w:hAnsi="Times New Roman" w:cs="Times New Roman" w:eastAsia="Times New Roman" w:hint="default"/>
          <w:spacing w:val="-2"/>
        </w:rPr>
        <w:t>2018</w:t>
      </w:r>
      <w:r>
        <w:rPr>
          <w:spacing w:val="-2"/>
        </w:rPr>
        <w:t>年度限制性股票与股票期权激励计划第一个行权期</w:t>
      </w:r>
      <w:r>
        <w:rPr>
          <w:spacing w:val="-63"/>
        </w:rPr>
        <w:t> </w:t>
      </w:r>
      <w:r>
        <w:rPr>
          <w:spacing w:val="-1"/>
        </w:rPr>
        <w:t>行权条件成就的议案》，公司独立董事对上述事项均发表了独立意见。</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11</w:t>
      </w:r>
      <w:r>
        <w:rPr>
          <w:spacing w:val="-1"/>
        </w:rPr>
        <w:t>日，公司召开</w:t>
      </w:r>
      <w:r>
        <w:rPr>
          <w:rFonts w:ascii="Times New Roman" w:hAnsi="Times New Roman" w:cs="Times New Roman" w:eastAsia="Times New Roman" w:hint="default"/>
          <w:spacing w:val="-1"/>
        </w:rPr>
        <w:t>2019</w:t>
      </w:r>
      <w:r>
        <w:rPr>
          <w:spacing w:val="-1"/>
        </w:rPr>
        <w:t>年第七次临时股东大</w:t>
      </w:r>
      <w:r>
        <w:rPr>
          <w:spacing w:val="-83"/>
        </w:rPr>
        <w:t> </w:t>
      </w:r>
      <w:r>
        <w:rPr/>
        <w:t>会，审议通过议案。本次共注销</w:t>
      </w:r>
      <w:r>
        <w:rPr>
          <w:rFonts w:ascii="Times New Roman" w:hAnsi="Times New Roman" w:cs="Times New Roman" w:eastAsia="Times New Roman" w:hint="default"/>
        </w:rPr>
        <w:t>13</w:t>
      </w:r>
      <w:r>
        <w:rPr/>
        <w:t>名激励对象的股票期权，数量为</w:t>
      </w:r>
      <w:r>
        <w:rPr>
          <w:rFonts w:ascii="Times New Roman" w:hAnsi="Times New Roman" w:cs="Times New Roman" w:eastAsia="Times New Roman" w:hint="default"/>
        </w:rPr>
        <w:t>251,000</w:t>
      </w:r>
      <w:r>
        <w:rPr/>
        <w:t>股。</w:t>
      </w:r>
      <w:r>
        <w:rPr>
          <w:spacing w:val="-85"/>
        </w:rPr>
        <w:t> </w:t>
      </w:r>
      <w:r>
        <w:rPr/>
        <w:t>公司</w:t>
      </w:r>
      <w:r>
        <w:rPr>
          <w:rFonts w:ascii="Times New Roman" w:hAnsi="Times New Roman" w:cs="Times New Roman" w:eastAsia="Times New Roman" w:hint="default"/>
        </w:rPr>
        <w:t>2018</w:t>
      </w:r>
      <w:r>
        <w:rPr/>
        <w:t>度限制性股票与股票期权激励计划第一个行权期符合行权条件的激励对象共</w:t>
      </w:r>
      <w:r>
        <w:rPr>
          <w:rFonts w:ascii="Times New Roman" w:hAnsi="Times New Roman" w:cs="Times New Roman" w:eastAsia="Times New Roman" w:hint="default"/>
        </w:rPr>
        <w:t>147</w:t>
      </w:r>
      <w:r>
        <w:rPr/>
        <w:t>名，可行权的股票期权数量共计</w:t>
      </w:r>
      <w:r>
        <w:rPr>
          <w:spacing w:val="-83"/>
        </w:rPr>
        <w:t> </w:t>
      </w:r>
      <w:r>
        <w:rPr>
          <w:rFonts w:ascii="Times New Roman" w:hAnsi="Times New Roman" w:cs="Times New Roman" w:eastAsia="Times New Roman" w:hint="default"/>
        </w:rPr>
        <w:t>72.14</w:t>
      </w:r>
      <w:r>
        <w:rPr/>
        <w:t>万份，行权价格为</w:t>
      </w:r>
      <w:r>
        <w:rPr>
          <w:rFonts w:ascii="Times New Roman" w:hAnsi="Times New Roman" w:cs="Times New Roman" w:eastAsia="Times New Roman" w:hint="default"/>
        </w:rPr>
        <w:t>16.369</w:t>
      </w:r>
      <w:r>
        <w:rPr/>
        <w:t>元</w:t>
      </w:r>
      <w:r>
        <w:rPr>
          <w:rFonts w:ascii="Times New Roman" w:hAnsi="Times New Roman" w:cs="Times New Roman" w:eastAsia="Times New Roman" w:hint="default"/>
        </w:rPr>
        <w:t>/</w:t>
      </w:r>
      <w:r>
        <w:rPr/>
        <w:t>股。第一个行权期行权期限为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日止。</w:t>
      </w:r>
    </w:p>
    <w:p>
      <w:pPr>
        <w:pStyle w:val="BodyText"/>
        <w:spacing w:line="312" w:lineRule="auto" w:before="16"/>
        <w:ind w:right="1111"/>
        <w:jc w:val="both"/>
      </w:pPr>
      <w:r>
        <w:rPr>
          <w:spacing w:val="-2"/>
        </w:rPr>
        <w:t>（</w:t>
      </w:r>
      <w:r>
        <w:rPr>
          <w:rFonts w:ascii="Times New Roman" w:hAnsi="Times New Roman" w:cs="Times New Roman" w:eastAsia="Times New Roman" w:hint="default"/>
          <w:spacing w:val="-2"/>
        </w:rPr>
        <w:t>13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18</w:t>
      </w:r>
      <w:r>
        <w:rPr>
          <w:spacing w:val="-2"/>
        </w:rPr>
        <w:t>日，公司第二届董事会第四十次会议和第二届监事会第二十六次会议审议通过了《关于公司</w:t>
      </w:r>
      <w:r>
        <w:rPr>
          <w:rFonts w:ascii="Times New Roman" w:hAnsi="Times New Roman" w:cs="Times New Roman" w:eastAsia="Times New Roman" w:hint="default"/>
          <w:spacing w:val="-2"/>
        </w:rPr>
        <w:t>2018</w:t>
      </w:r>
      <w:r>
        <w:rPr>
          <w:spacing w:val="-2"/>
        </w:rPr>
        <w:t>年度限</w:t>
      </w:r>
      <w:r>
        <w:rPr>
          <w:spacing w:val="-51"/>
        </w:rPr>
        <w:t> </w:t>
      </w:r>
      <w:r>
        <w:rPr>
          <w:spacing w:val="-2"/>
        </w:rPr>
        <w:t>制性股票与股票期权激励计划首次授予限制性股票第一个解除限售期解除限售条件成就的议案》，公司独立董事对上述事项</w:t>
      </w:r>
      <w:r>
        <w:rPr>
          <w:spacing w:val="-61"/>
        </w:rPr>
        <w:t> </w:t>
      </w:r>
      <w:r>
        <w:rPr>
          <w:spacing w:val="-61"/>
        </w:rPr>
      </w:r>
      <w:r>
        <w:rPr/>
        <w:t>发表了独立意见。本次限制性股票解除限售数量为</w:t>
      </w:r>
      <w:r>
        <w:rPr>
          <w:rFonts w:ascii="Times New Roman" w:hAnsi="Times New Roman" w:cs="Times New Roman" w:eastAsia="Times New Roman" w:hint="default"/>
        </w:rPr>
        <w:t>2,485,600</w:t>
      </w:r>
      <w:r>
        <w:rPr/>
        <w:t>股，占目前公司总股本</w:t>
      </w:r>
      <w:r>
        <w:rPr>
          <w:rFonts w:ascii="Times New Roman" w:hAnsi="Times New Roman" w:cs="Times New Roman" w:eastAsia="Times New Roman" w:hint="default"/>
        </w:rPr>
        <w:t>680,244,094</w:t>
      </w:r>
      <w:r>
        <w:rPr/>
        <w:t>股的</w:t>
      </w:r>
      <w:r>
        <w:rPr>
          <w:rFonts w:ascii="Times New Roman" w:hAnsi="Times New Roman" w:cs="Times New Roman" w:eastAsia="Times New Roman" w:hint="default"/>
        </w:rPr>
        <w:t>0.37%</w:t>
      </w:r>
      <w:r>
        <w:rPr/>
        <w:t>。本次解除限售股</w:t>
      </w:r>
    </w:p>
    <w:p>
      <w:pPr>
        <w:pStyle w:val="BodyText"/>
        <w:spacing w:line="240" w:lineRule="auto" w:before="6"/>
        <w:ind w:right="0"/>
        <w:jc w:val="both"/>
      </w:pPr>
      <w:r>
        <w:rPr/>
        <w:t>份上市流通日为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w:t>
      </w:r>
    </w:p>
    <w:p>
      <w:pPr>
        <w:pStyle w:val="BodyText"/>
        <w:spacing w:line="312" w:lineRule="auto" w:before="96"/>
        <w:ind w:right="1125"/>
        <w:jc w:val="both"/>
      </w:pPr>
      <w:r>
        <w:rPr>
          <w:spacing w:val="-2"/>
        </w:rPr>
        <w:t>（</w:t>
      </w:r>
      <w:r>
        <w:rPr>
          <w:rFonts w:ascii="Times New Roman" w:hAnsi="Times New Roman" w:cs="Times New Roman" w:eastAsia="Times New Roman" w:hint="default"/>
          <w:spacing w:val="-2"/>
        </w:rPr>
        <w:t>14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11</w:t>
      </w:r>
      <w:r>
        <w:rPr>
          <w:spacing w:val="-2"/>
        </w:rPr>
        <w:t>日，公司第二届董事会第四十一次会议和第二届监事会第二十七次会议审议通过了《关于</w:t>
      </w:r>
      <w:r>
        <w:rPr>
          <w:rFonts w:ascii="Times New Roman" w:hAnsi="Times New Roman" w:cs="Times New Roman" w:eastAsia="Times New Roman" w:hint="default"/>
          <w:spacing w:val="-2"/>
        </w:rPr>
        <w:t>2018</w:t>
      </w:r>
      <w:r>
        <w:rPr>
          <w:spacing w:val="-2"/>
        </w:rPr>
        <w:t>年度限制</w:t>
      </w:r>
      <w:r>
        <w:rPr>
          <w:spacing w:val="-52"/>
        </w:rPr>
        <w:t> </w:t>
      </w:r>
      <w:r>
        <w:rPr>
          <w:spacing w:val="-2"/>
        </w:rPr>
        <w:t>性股票与股票期权激励计划预留授予限制性股票第一个解除限售期解除限售条件成就的议案》，公司独立董事对上述事项发</w:t>
      </w:r>
      <w:r>
        <w:rPr>
          <w:spacing w:val="-72"/>
        </w:rPr>
        <w:t> </w:t>
      </w:r>
      <w:r>
        <w:rPr>
          <w:spacing w:val="-72"/>
        </w:rPr>
      </w:r>
      <w:r>
        <w:rPr>
          <w:spacing w:val="-1"/>
        </w:rPr>
        <w:t>表了独立意见。本次符合解除限售条件的激励对象共计</w:t>
      </w:r>
      <w:r>
        <w:rPr>
          <w:rFonts w:ascii="Times New Roman" w:hAnsi="Times New Roman" w:cs="Times New Roman" w:eastAsia="Times New Roman" w:hint="default"/>
          <w:spacing w:val="-1"/>
        </w:rPr>
        <w:t>3</w:t>
      </w:r>
      <w:r>
        <w:rPr>
          <w:spacing w:val="-1"/>
        </w:rPr>
        <w:t>人，本次限制性股票解除限售数量为</w:t>
      </w:r>
      <w:r>
        <w:rPr>
          <w:rFonts w:ascii="Times New Roman" w:hAnsi="Times New Roman" w:cs="Times New Roman" w:eastAsia="Times New Roman" w:hint="default"/>
          <w:spacing w:val="-1"/>
        </w:rPr>
        <w:t>500,112</w:t>
      </w:r>
      <w:r>
        <w:rPr>
          <w:spacing w:val="-1"/>
        </w:rPr>
        <w:t>股。本次解除限售股份</w:t>
      </w:r>
    </w:p>
    <w:p>
      <w:pPr>
        <w:pStyle w:val="BodyText"/>
        <w:spacing w:line="241" w:lineRule="exact"/>
        <w:ind w:right="0"/>
        <w:jc w:val="both"/>
      </w:pPr>
      <w:r>
        <w:rPr/>
        <w:t>上市流通日为</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3</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ind w:right="0"/>
        <w:jc w:val="both"/>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0"/>
        <w:rPr>
          <w:rFonts w:ascii="宋体" w:hAnsi="宋体" w:cs="宋体" w:eastAsia="宋体" w:hint="default"/>
          <w:sz w:val="23"/>
          <w:szCs w:val="23"/>
        </w:rPr>
      </w:pPr>
    </w:p>
    <w:p>
      <w:pPr>
        <w:pStyle w:val="Heading2"/>
        <w:spacing w:line="240" w:lineRule="auto"/>
        <w:ind w:right="0"/>
        <w:jc w:val="both"/>
        <w:rPr>
          <w:b w:val="0"/>
          <w:bCs w:val="0"/>
        </w:rPr>
      </w:pPr>
      <w:bookmarkStart w:name="十五、重大关联交易" w:id="76"/>
      <w:bookmarkEnd w:id="76"/>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与日常经营相关的关联交易" w:id="77"/>
      <w:bookmarkEnd w:id="77"/>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796"/>
        <w:gridCol w:w="676"/>
        <w:gridCol w:w="691"/>
        <w:gridCol w:w="691"/>
        <w:gridCol w:w="691"/>
        <w:gridCol w:w="676"/>
        <w:gridCol w:w="676"/>
        <w:gridCol w:w="676"/>
        <w:gridCol w:w="660"/>
        <w:gridCol w:w="676"/>
        <w:gridCol w:w="676"/>
        <w:gridCol w:w="676"/>
        <w:gridCol w:w="676"/>
        <w:gridCol w:w="646"/>
      </w:tblGrid>
      <w:tr>
        <w:trPr>
          <w:trHeight w:val="133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300" w:right="30" w:hanging="271"/>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239" w:right="5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60" w:right="73"/>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60"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4" w:lineRule="auto"/>
              <w:ind w:left="75" w:right="60"/>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45" w:right="7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45" w:right="73"/>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21" w:lineRule="auto" w:before="3"/>
              <w:ind w:left="135" w:right="163"/>
              <w:jc w:val="left"/>
              <w:rPr>
                <w:rFonts w:ascii="宋体" w:hAnsi="宋体" w:cs="宋体" w:eastAsia="宋体" w:hint="default"/>
                <w:sz w:val="18"/>
                <w:szCs w:val="18"/>
              </w:rPr>
            </w:pPr>
            <w:r>
              <w:rPr>
                <w:rFonts w:ascii="宋体" w:hAnsi="宋体" w:cs="宋体" w:eastAsia="宋体" w:hint="default"/>
                <w:sz w:val="18"/>
                <w:szCs w:val="18"/>
              </w:rPr>
              <w:t>（万 元）</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45" w:right="75"/>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44" w:right="58"/>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4" w:lineRule="auto"/>
              <w:ind w:left="60" w:right="58"/>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4" w:lineRule="auto"/>
              <w:ind w:left="60"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60" w:right="58"/>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240" w:right="5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210" w:right="58" w:hanging="181"/>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07"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r>
        <w:rPr/>
        <w:pict>
          <v:group style="position:absolute;margin-left:199.75pt;margin-top:139.619995pt;width:33.8pt;height:54.8pt;mso-position-horizontal-relative:page;mso-position-vertical-relative:page;z-index:-1325440" coordorigin="3995,2792" coordsize="676,1096">
            <v:shape style="position:absolute;left:3995;top:2792;width:676;height:1096" coordorigin="3995,2792" coordsize="676,1096" path="m3995,3888l4671,3888,4671,2792,3995,2792,3995,3888xe" filled="true" fillcolor="#ffffff" stroked="false">
              <v:path arrowok="t"/>
              <v:fill type="solid"/>
            </v:shape>
            <w10:wrap type="none"/>
          </v:group>
        </w:pict>
      </w:r>
    </w:p>
    <w:tbl>
      <w:tblPr>
        <w:tblW w:w="0" w:type="auto"/>
        <w:jc w:val="left"/>
        <w:tblInd w:w="126" w:type="dxa"/>
        <w:tblLayout w:type="fixed"/>
        <w:tblCellMar>
          <w:top w:w="0" w:type="dxa"/>
          <w:left w:w="0" w:type="dxa"/>
          <w:bottom w:w="0" w:type="dxa"/>
          <w:right w:w="0" w:type="dxa"/>
        </w:tblCellMar>
        <w:tblLook w:val="01E0"/>
      </w:tblPr>
      <w:tblGrid>
        <w:gridCol w:w="796"/>
        <w:gridCol w:w="676"/>
        <w:gridCol w:w="691"/>
        <w:gridCol w:w="691"/>
        <w:gridCol w:w="691"/>
        <w:gridCol w:w="676"/>
        <w:gridCol w:w="676"/>
        <w:gridCol w:w="676"/>
        <w:gridCol w:w="660"/>
        <w:gridCol w:w="676"/>
        <w:gridCol w:w="676"/>
        <w:gridCol w:w="676"/>
        <w:gridCol w:w="676"/>
        <w:gridCol w:w="646"/>
      </w:tblGrid>
      <w:tr>
        <w:trPr>
          <w:trHeight w:val="13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未来电视</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88"/>
              <w:jc w:val="both"/>
              <w:rPr>
                <w:rFonts w:ascii="宋体" w:hAnsi="宋体" w:cs="宋体" w:eastAsia="宋体" w:hint="default"/>
                <w:sz w:val="18"/>
                <w:szCs w:val="18"/>
              </w:rPr>
            </w:pPr>
            <w:r>
              <w:rPr>
                <w:rFonts w:ascii="宋体" w:hAnsi="宋体" w:cs="宋体" w:eastAsia="宋体" w:hint="default"/>
                <w:sz w:val="18"/>
                <w:szCs w:val="18"/>
              </w:rPr>
              <w:t>徐长军 施加重 大影响 的企业</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30" w:right="103"/>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15" w:right="120"/>
              <w:jc w:val="both"/>
              <w:rPr>
                <w:rFonts w:ascii="宋体" w:hAnsi="宋体" w:cs="宋体" w:eastAsia="宋体" w:hint="default"/>
                <w:sz w:val="18"/>
                <w:szCs w:val="18"/>
              </w:rPr>
            </w:pPr>
            <w:r>
              <w:rPr>
                <w:rFonts w:ascii="宋体" w:hAnsi="宋体" w:cs="宋体" w:eastAsia="宋体" w:hint="default"/>
                <w:sz w:val="18"/>
                <w:szCs w:val="18"/>
              </w:rPr>
              <w:t>用户服 务增值 业务</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30" w:right="105"/>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88"/>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32,560.</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78</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23.11%</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40,000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30" w:right="90"/>
              <w:jc w:val="left"/>
              <w:rPr>
                <w:rFonts w:ascii="宋体" w:hAnsi="宋体" w:cs="宋体" w:eastAsia="宋体" w:hint="default"/>
                <w:sz w:val="18"/>
                <w:szCs w:val="18"/>
              </w:rPr>
            </w:pPr>
            <w:r>
              <w:rPr>
                <w:rFonts w:ascii="宋体" w:hAnsi="宋体" w:cs="宋体" w:eastAsia="宋体" w:hint="default"/>
                <w:sz w:val="18"/>
                <w:szCs w:val="18"/>
              </w:rPr>
              <w:t>银行结 算</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r>
      <w:tr>
        <w:trPr>
          <w:trHeight w:val="2898"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07" w:lineRule="auto"/>
              <w:ind w:left="15" w:right="45"/>
              <w:jc w:val="left"/>
              <w:rPr>
                <w:rFonts w:ascii="宋体" w:hAnsi="宋体" w:cs="宋体" w:eastAsia="宋体" w:hint="default"/>
                <w:sz w:val="18"/>
                <w:szCs w:val="18"/>
              </w:rPr>
            </w:pPr>
            <w:r>
              <w:rPr>
                <w:rFonts w:ascii="宋体" w:hAnsi="宋体" w:cs="宋体" w:eastAsia="宋体" w:hint="default"/>
                <w:sz w:val="18"/>
                <w:szCs w:val="18"/>
              </w:rPr>
              <w:t>支付宝网 络</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 w:right="88"/>
              <w:jc w:val="both"/>
              <w:rPr>
                <w:rFonts w:ascii="宋体" w:hAnsi="宋体" w:cs="宋体" w:eastAsia="宋体" w:hint="default"/>
                <w:sz w:val="18"/>
                <w:szCs w:val="18"/>
              </w:rPr>
            </w:pPr>
            <w:r>
              <w:rPr>
                <w:rFonts w:ascii="宋体" w:hAnsi="宋体" w:cs="宋体" w:eastAsia="宋体" w:hint="default"/>
                <w:sz w:val="18"/>
                <w:szCs w:val="18"/>
              </w:rPr>
              <w:t>与本公 司股东 上海云 鑫受同 一最终 控制人 控制</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21" w:lineRule="auto"/>
              <w:ind w:left="30" w:right="103"/>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691" w:type="dxa"/>
            <w:tcBorders>
              <w:top w:val="single" w:sz="6" w:space="0" w:color="000000"/>
              <w:left w:val="single" w:sz="6" w:space="0" w:color="000000"/>
              <w:bottom w:val="single" w:sz="6" w:space="0" w:color="000000"/>
              <w:right w:val="single" w:sz="12" w:space="0" w:color="FFFFFF"/>
            </w:tcBorders>
          </w:tcPr>
          <w:p>
            <w:pPr>
              <w:pStyle w:val="TableParagraph"/>
              <w:spacing w:line="316" w:lineRule="auto" w:before="44"/>
              <w:ind w:left="15" w:right="111"/>
              <w:jc w:val="both"/>
              <w:rPr>
                <w:rFonts w:ascii="宋体" w:hAnsi="宋体" w:cs="宋体" w:eastAsia="宋体" w:hint="default"/>
                <w:sz w:val="18"/>
                <w:szCs w:val="18"/>
              </w:rPr>
            </w:pPr>
            <w:r>
              <w:rPr>
                <w:rFonts w:ascii="宋体" w:hAnsi="宋体" w:cs="宋体" w:eastAsia="宋体" w:hint="default"/>
                <w:sz w:val="18"/>
                <w:szCs w:val="18"/>
              </w:rPr>
              <w:t>移动支 付云平 台支撑 服务费 定制软 件开发 及互联 网运营 服务</w:t>
            </w:r>
          </w:p>
        </w:tc>
        <w:tc>
          <w:tcPr>
            <w:tcW w:w="691" w:type="dxa"/>
            <w:tcBorders>
              <w:top w:val="single" w:sz="6" w:space="0" w:color="000000"/>
              <w:left w:val="single" w:sz="12" w:space="0" w:color="FFFFFF"/>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00" w:lineRule="exact"/>
              <w:ind w:left="-14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22" w:right="0"/>
              <w:jc w:val="left"/>
              <w:rPr>
                <w:rFonts w:ascii="宋体" w:hAnsi="宋体" w:cs="宋体" w:eastAsia="宋体" w:hint="default"/>
                <w:sz w:val="18"/>
                <w:szCs w:val="18"/>
              </w:rPr>
            </w:pPr>
            <w:r>
              <w:rPr>
                <w:rFonts w:ascii="宋体" w:hAnsi="宋体" w:cs="宋体" w:eastAsia="宋体" w:hint="default"/>
                <w:sz w:val="18"/>
                <w:szCs w:val="18"/>
              </w:rPr>
              <w:t>市场定</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价</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88"/>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19,907.</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35</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14.13%</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30,300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07" w:lineRule="auto"/>
              <w:ind w:left="30" w:right="90"/>
              <w:jc w:val="left"/>
              <w:rPr>
                <w:rFonts w:ascii="宋体" w:hAnsi="宋体" w:cs="宋体" w:eastAsia="宋体" w:hint="default"/>
                <w:sz w:val="18"/>
                <w:szCs w:val="18"/>
              </w:rPr>
            </w:pPr>
            <w:r>
              <w:rPr>
                <w:rFonts w:ascii="宋体" w:hAnsi="宋体" w:cs="宋体" w:eastAsia="宋体" w:hint="default"/>
                <w:sz w:val="18"/>
                <w:szCs w:val="18"/>
              </w:rPr>
              <w:t>银行结 算</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r>
      <w:tr>
        <w:trPr>
          <w:trHeight w:val="158" w:hRule="exact"/>
        </w:trPr>
        <w:tc>
          <w:tcPr>
            <w:tcW w:w="2854" w:type="dxa"/>
            <w:gridSpan w:val="4"/>
            <w:tcBorders>
              <w:top w:val="single" w:sz="6" w:space="0" w:color="000000"/>
              <w:left w:val="single" w:sz="6" w:space="0" w:color="000000"/>
              <w:bottom w:val="nil" w:sz="6" w:space="0" w:color="auto"/>
              <w:right w:val="single" w:sz="6" w:space="0" w:color="000000"/>
            </w:tcBorders>
            <w:shd w:val="clear" w:color="auto" w:fill="D2D2D2"/>
          </w:tcPr>
          <w:p>
            <w:pPr/>
          </w:p>
        </w:tc>
        <w:tc>
          <w:tcPr>
            <w:tcW w:w="691" w:type="dxa"/>
            <w:tcBorders>
              <w:top w:val="single" w:sz="6" w:space="0" w:color="000000"/>
              <w:left w:val="single" w:sz="6" w:space="0" w:color="000000"/>
              <w:bottom w:val="nil" w:sz="6" w:space="0" w:color="auto"/>
              <w:right w:val="single" w:sz="6" w:space="0" w:color="000000"/>
            </w:tcBorders>
            <w:shd w:val="clear" w:color="auto" w:fill="D2D2D2"/>
          </w:tcPr>
          <w:p>
            <w:pPr/>
          </w:p>
        </w:tc>
        <w:tc>
          <w:tcPr>
            <w:tcW w:w="676" w:type="dxa"/>
            <w:tcBorders>
              <w:top w:val="single" w:sz="6" w:space="0" w:color="000000"/>
              <w:left w:val="single" w:sz="6" w:space="0" w:color="000000"/>
              <w:bottom w:val="nil" w:sz="6" w:space="0" w:color="auto"/>
              <w:right w:val="single" w:sz="6" w:space="0" w:color="000000"/>
            </w:tcBorders>
            <w:shd w:val="clear" w:color="auto" w:fill="D2D2D2"/>
          </w:tcPr>
          <w:p>
            <w:pPr/>
          </w:p>
        </w:tc>
        <w:tc>
          <w:tcPr>
            <w:tcW w:w="676" w:type="dxa"/>
            <w:vMerge w:val="restart"/>
            <w:tcBorders>
              <w:top w:val="single" w:sz="6" w:space="0" w:color="000000"/>
              <w:left w:val="single" w:sz="18" w:space="0" w:color="D2D2D2"/>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52,468.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13</w:t>
            </w:r>
          </w:p>
        </w:tc>
        <w:tc>
          <w:tcPr>
            <w:tcW w:w="6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660"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70,300</w:t>
            </w:r>
          </w:p>
        </w:tc>
        <w:tc>
          <w:tcPr>
            <w:tcW w:w="6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2854" w:type="dxa"/>
            <w:gridSpan w:val="4"/>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67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676" w:type="dxa"/>
            <w:vMerge/>
            <w:tcBorders>
              <w:left w:val="single" w:sz="18" w:space="0" w:color="D2D2D2"/>
              <w:right w:val="single" w:sz="6" w:space="0" w:color="000000"/>
            </w:tcBorders>
          </w:tcPr>
          <w:p>
            <w:pPr/>
          </w:p>
        </w:tc>
        <w:tc>
          <w:tcPr>
            <w:tcW w:w="676" w:type="dxa"/>
            <w:vMerge/>
            <w:tcBorders>
              <w:left w:val="single" w:sz="6" w:space="0" w:color="000000"/>
              <w:right w:val="single" w:sz="6" w:space="0" w:color="000000"/>
            </w:tcBorders>
            <w:shd w:val="clear" w:color="auto" w:fill="D2D2D2"/>
          </w:tcPr>
          <w:p>
            <w:pPr/>
          </w:p>
        </w:tc>
        <w:tc>
          <w:tcPr>
            <w:tcW w:w="660" w:type="dxa"/>
            <w:vMerge/>
            <w:tcBorders>
              <w:left w:val="single" w:sz="6" w:space="0" w:color="000000"/>
              <w:right w:val="single" w:sz="6" w:space="0" w:color="000000"/>
            </w:tcBorders>
          </w:tcPr>
          <w:p>
            <w:pPr/>
          </w:p>
        </w:tc>
        <w:tc>
          <w:tcPr>
            <w:tcW w:w="676"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646" w:type="dxa"/>
            <w:vMerge/>
            <w:tcBorders>
              <w:left w:val="single" w:sz="6" w:space="0" w:color="000000"/>
              <w:right w:val="single" w:sz="6" w:space="0" w:color="000000"/>
            </w:tcBorders>
            <w:shd w:val="clear" w:color="auto" w:fill="D2D2D2"/>
          </w:tcPr>
          <w:p>
            <w:pPr/>
          </w:p>
        </w:tc>
      </w:tr>
      <w:tr>
        <w:trPr>
          <w:trHeight w:val="158" w:hRule="exact"/>
        </w:trPr>
        <w:tc>
          <w:tcPr>
            <w:tcW w:w="2854" w:type="dxa"/>
            <w:gridSpan w:val="4"/>
            <w:tcBorders>
              <w:top w:val="nil" w:sz="6" w:space="0" w:color="auto"/>
              <w:left w:val="single" w:sz="6" w:space="0" w:color="000000"/>
              <w:bottom w:val="single" w:sz="6" w:space="0" w:color="000000"/>
              <w:right w:val="single" w:sz="6" w:space="0" w:color="000000"/>
            </w:tcBorders>
            <w:shd w:val="clear" w:color="auto" w:fill="D2D2D2"/>
          </w:tcPr>
          <w:p>
            <w:pPr/>
          </w:p>
        </w:tc>
        <w:tc>
          <w:tcPr>
            <w:tcW w:w="691" w:type="dxa"/>
            <w:tcBorders>
              <w:top w:val="nil" w:sz="6" w:space="0" w:color="auto"/>
              <w:left w:val="single" w:sz="6" w:space="0" w:color="000000"/>
              <w:bottom w:val="single" w:sz="6" w:space="0" w:color="000000"/>
              <w:right w:val="single" w:sz="6" w:space="0" w:color="000000"/>
            </w:tcBorders>
            <w:shd w:val="clear" w:color="auto" w:fill="D2D2D2"/>
          </w:tcPr>
          <w:p>
            <w:pPr/>
          </w:p>
        </w:tc>
        <w:tc>
          <w:tcPr>
            <w:tcW w:w="676" w:type="dxa"/>
            <w:tcBorders>
              <w:top w:val="nil" w:sz="6" w:space="0" w:color="auto"/>
              <w:left w:val="single" w:sz="6" w:space="0" w:color="000000"/>
              <w:bottom w:val="single" w:sz="6" w:space="0" w:color="000000"/>
              <w:right w:val="single" w:sz="6" w:space="0" w:color="000000"/>
            </w:tcBorders>
            <w:shd w:val="clear" w:color="auto" w:fill="D2D2D2"/>
          </w:tcPr>
          <w:p>
            <w:pPr/>
          </w:p>
        </w:tc>
        <w:tc>
          <w:tcPr>
            <w:tcW w:w="676" w:type="dxa"/>
            <w:vMerge/>
            <w:tcBorders>
              <w:left w:val="single" w:sz="18" w:space="0" w:color="D2D2D2"/>
              <w:bottom w:val="single" w:sz="6" w:space="0" w:color="000000"/>
              <w:right w:val="single" w:sz="6" w:space="0" w:color="000000"/>
            </w:tcBorders>
          </w:tcPr>
          <w:p>
            <w:pPr/>
          </w:p>
        </w:tc>
        <w:tc>
          <w:tcPr>
            <w:tcW w:w="676" w:type="dxa"/>
            <w:vMerge/>
            <w:tcBorders>
              <w:left w:val="single" w:sz="6" w:space="0" w:color="000000"/>
              <w:bottom w:val="single" w:sz="6" w:space="0" w:color="000000"/>
              <w:right w:val="single" w:sz="6" w:space="0" w:color="000000"/>
            </w:tcBorders>
            <w:shd w:val="clear" w:color="auto" w:fill="D2D2D2"/>
          </w:tcPr>
          <w:p>
            <w:pPr/>
          </w:p>
        </w:tc>
        <w:tc>
          <w:tcPr>
            <w:tcW w:w="660" w:type="dxa"/>
            <w:vMerge/>
            <w:tcBorders>
              <w:left w:val="single" w:sz="6" w:space="0" w:color="000000"/>
              <w:bottom w:val="single" w:sz="6" w:space="0" w:color="000000"/>
              <w:right w:val="single" w:sz="6" w:space="0" w:color="000000"/>
            </w:tcBorders>
          </w:tcPr>
          <w:p>
            <w:pPr/>
          </w:p>
        </w:tc>
        <w:tc>
          <w:tcPr>
            <w:tcW w:w="676" w:type="dxa"/>
            <w:vMerge/>
            <w:tcBorders>
              <w:left w:val="single" w:sz="6" w:space="0" w:color="000000"/>
              <w:bottom w:val="single" w:sz="6" w:space="0" w:color="000000"/>
              <w:right w:val="single" w:sz="6" w:space="0" w:color="000000"/>
            </w:tcBorders>
            <w:shd w:val="clear" w:color="auto" w:fill="D2D2D2"/>
          </w:tcPr>
          <w:p>
            <w:pPr/>
          </w:p>
        </w:tc>
        <w:tc>
          <w:tcPr>
            <w:tcW w:w="676" w:type="dxa"/>
            <w:vMerge/>
            <w:tcBorders>
              <w:left w:val="single" w:sz="6" w:space="0" w:color="000000"/>
              <w:bottom w:val="single" w:sz="6" w:space="0" w:color="000000"/>
              <w:right w:val="single" w:sz="6" w:space="0" w:color="000000"/>
            </w:tcBorders>
            <w:shd w:val="clear" w:color="auto" w:fill="D2D2D2"/>
          </w:tcPr>
          <w:p>
            <w:pPr/>
          </w:p>
        </w:tc>
        <w:tc>
          <w:tcPr>
            <w:tcW w:w="676" w:type="dxa"/>
            <w:vMerge/>
            <w:tcBorders>
              <w:left w:val="single" w:sz="6" w:space="0" w:color="000000"/>
              <w:bottom w:val="single" w:sz="6" w:space="0" w:color="000000"/>
              <w:right w:val="single" w:sz="6" w:space="0" w:color="000000"/>
            </w:tcBorders>
            <w:shd w:val="clear" w:color="auto" w:fill="D2D2D2"/>
          </w:tcPr>
          <w:p>
            <w:pPr/>
          </w:p>
        </w:tc>
        <w:tc>
          <w:tcPr>
            <w:tcW w:w="676" w:type="dxa"/>
            <w:vMerge/>
            <w:tcBorders>
              <w:left w:val="single" w:sz="6" w:space="0" w:color="000000"/>
              <w:bottom w:val="single" w:sz="6" w:space="0" w:color="000000"/>
              <w:right w:val="single" w:sz="6" w:space="0" w:color="000000"/>
            </w:tcBorders>
            <w:shd w:val="clear" w:color="auto" w:fill="D2D2D2"/>
          </w:tcPr>
          <w:p>
            <w:pPr/>
          </w:p>
        </w:tc>
        <w:tc>
          <w:tcPr>
            <w:tcW w:w="64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2854"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28" w:type="dxa"/>
            <w:gridSpan w:val="10"/>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1" w:hRule="exact"/>
        </w:trPr>
        <w:tc>
          <w:tcPr>
            <w:tcW w:w="2854"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6"/>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实际履行情况（如有）</w:t>
            </w:r>
          </w:p>
        </w:tc>
        <w:tc>
          <w:tcPr>
            <w:tcW w:w="6728" w:type="dxa"/>
            <w:gridSpan w:val="10"/>
            <w:tcBorders>
              <w:top w:val="single" w:sz="6" w:space="0" w:color="000000"/>
              <w:left w:val="single" w:sz="12" w:space="0" w:color="D2D2D2"/>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05" w:hRule="exact"/>
        </w:trPr>
        <w:tc>
          <w:tcPr>
            <w:tcW w:w="2854"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2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28" w:type="dxa"/>
            <w:gridSpan w:val="10"/>
            <w:tcBorders>
              <w:top w:val="single" w:sz="6" w:space="0" w:color="000000"/>
              <w:left w:val="single" w:sz="12"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2、资产或股权收购、出售发生的关联交易" w:id="78"/>
      <w:bookmarkEnd w:id="78"/>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5"/>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856"/>
        <w:gridCol w:w="751"/>
        <w:gridCol w:w="796"/>
        <w:gridCol w:w="796"/>
        <w:gridCol w:w="811"/>
        <w:gridCol w:w="796"/>
        <w:gridCol w:w="796"/>
        <w:gridCol w:w="796"/>
        <w:gridCol w:w="796"/>
        <w:gridCol w:w="796"/>
        <w:gridCol w:w="796"/>
        <w:gridCol w:w="796"/>
      </w:tblGrid>
      <w:tr>
        <w:trPr>
          <w:trHeight w:val="1021" w:hRule="exact"/>
        </w:trPr>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270" w:right="104" w:hanging="181"/>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210" w:right="30"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29" w:right="44"/>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30"/>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45"/>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19"/>
                <w:sz w:val="18"/>
                <w:szCs w:val="18"/>
              </w:rPr>
              <w:t>值（万元</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200" w:lineRule="exact" w:before="65"/>
              <w:ind w:left="14"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00"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5" w:right="43"/>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6"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105"/>
              <w:jc w:val="both"/>
              <w:rPr>
                <w:rFonts w:ascii="宋体" w:hAnsi="宋体" w:cs="宋体" w:eastAsia="宋体" w:hint="default"/>
                <w:sz w:val="18"/>
                <w:szCs w:val="18"/>
              </w:rPr>
            </w:pPr>
            <w:r>
              <w:rPr>
                <w:rFonts w:ascii="宋体" w:hAnsi="宋体" w:cs="宋体" w:eastAsia="宋体" w:hint="default"/>
                <w:sz w:val="18"/>
                <w:szCs w:val="18"/>
              </w:rPr>
              <w:t>易视腾科 技股份有 限公司</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4" w:right="179"/>
              <w:jc w:val="both"/>
              <w:rPr>
                <w:rFonts w:ascii="宋体" w:hAnsi="宋体" w:cs="宋体" w:eastAsia="宋体" w:hint="default"/>
                <w:sz w:val="18"/>
                <w:szCs w:val="18"/>
              </w:rPr>
            </w:pPr>
            <w:r>
              <w:rPr>
                <w:rFonts w:ascii="宋体" w:hAnsi="宋体" w:cs="宋体" w:eastAsia="宋体" w:hint="default"/>
                <w:sz w:val="18"/>
                <w:szCs w:val="18"/>
              </w:rPr>
              <w:t>同受最 终实际 控制人 控制</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45"/>
              <w:jc w:val="right"/>
              <w:rPr>
                <w:rFonts w:ascii="宋体" w:hAnsi="宋体" w:cs="宋体" w:eastAsia="宋体" w:hint="default"/>
                <w:sz w:val="18"/>
                <w:szCs w:val="18"/>
              </w:rPr>
            </w:pPr>
            <w:r>
              <w:rPr>
                <w:rFonts w:ascii="宋体" w:hAnsi="宋体" w:cs="宋体" w:eastAsia="宋体" w:hint="default"/>
                <w:sz w:val="18"/>
                <w:szCs w:val="18"/>
              </w:rPr>
              <w:t>股权收购</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购买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96%</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29" w:right="44"/>
              <w:jc w:val="both"/>
              <w:rPr>
                <w:rFonts w:ascii="宋体" w:hAnsi="宋体" w:cs="宋体" w:eastAsia="宋体" w:hint="default"/>
                <w:sz w:val="18"/>
                <w:szCs w:val="18"/>
              </w:rPr>
            </w:pPr>
            <w:r>
              <w:rPr>
                <w:rFonts w:ascii="宋体" w:hAnsi="宋体" w:cs="宋体" w:eastAsia="宋体" w:hint="default"/>
                <w:sz w:val="18"/>
                <w:szCs w:val="18"/>
              </w:rPr>
              <w:t>采用收益 法评估结 果作为评 估值</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137,584.8</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295,296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295,296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48" w:lineRule="auto"/>
              <w:ind w:left="30" w:right="14"/>
              <w:jc w:val="left"/>
              <w:rPr>
                <w:rFonts w:ascii="Times New Roman" w:hAnsi="Times New Roman" w:cs="Times New Roman" w:eastAsia="Times New Roman" w:hint="default"/>
                <w:sz w:val="18"/>
                <w:szCs w:val="18"/>
              </w:rPr>
            </w:pPr>
            <w:r>
              <w:rPr>
                <w:rFonts w:ascii="Times New Roman"/>
                <w:sz w:val="18"/>
              </w:rPr>
              <w:t>www.cnin fo.com.cn</w:t>
            </w:r>
          </w:p>
        </w:tc>
      </w:tr>
      <w:tr>
        <w:trPr>
          <w:trHeight w:val="1351"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15" w:right="105"/>
              <w:jc w:val="left"/>
              <w:rPr>
                <w:rFonts w:ascii="宋体" w:hAnsi="宋体" w:cs="宋体" w:eastAsia="宋体" w:hint="default"/>
                <w:sz w:val="18"/>
                <w:szCs w:val="18"/>
              </w:rPr>
            </w:pPr>
            <w:r>
              <w:rPr>
                <w:rFonts w:ascii="宋体" w:hAnsi="宋体" w:cs="宋体" w:eastAsia="宋体" w:hint="default"/>
                <w:sz w:val="18"/>
                <w:szCs w:val="18"/>
              </w:rPr>
              <w:t>邦道科技 有限公司</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4" w:right="179"/>
              <w:jc w:val="both"/>
              <w:rPr>
                <w:rFonts w:ascii="宋体" w:hAnsi="宋体" w:cs="宋体" w:eastAsia="宋体" w:hint="default"/>
                <w:sz w:val="18"/>
                <w:szCs w:val="18"/>
              </w:rPr>
            </w:pPr>
            <w:r>
              <w:rPr>
                <w:rFonts w:ascii="宋体" w:hAnsi="宋体" w:cs="宋体" w:eastAsia="宋体" w:hint="default"/>
                <w:sz w:val="18"/>
                <w:szCs w:val="18"/>
              </w:rPr>
              <w:t>本公司 之合资 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45"/>
              <w:jc w:val="right"/>
              <w:rPr>
                <w:rFonts w:ascii="宋体" w:hAnsi="宋体" w:cs="宋体" w:eastAsia="宋体" w:hint="default"/>
                <w:sz w:val="18"/>
                <w:szCs w:val="18"/>
              </w:rPr>
            </w:pPr>
            <w:r>
              <w:rPr>
                <w:rFonts w:ascii="宋体" w:hAnsi="宋体" w:cs="宋体" w:eastAsia="宋体" w:hint="default"/>
                <w:sz w:val="18"/>
                <w:szCs w:val="18"/>
              </w:rPr>
              <w:t>股权收购</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购买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29" w:right="44"/>
              <w:jc w:val="both"/>
              <w:rPr>
                <w:rFonts w:ascii="宋体" w:hAnsi="宋体" w:cs="宋体" w:eastAsia="宋体" w:hint="default"/>
                <w:sz w:val="18"/>
                <w:szCs w:val="18"/>
              </w:rPr>
            </w:pPr>
            <w:r>
              <w:rPr>
                <w:rFonts w:ascii="宋体" w:hAnsi="宋体" w:cs="宋体" w:eastAsia="宋体" w:hint="default"/>
                <w:sz w:val="18"/>
                <w:szCs w:val="18"/>
              </w:rPr>
              <w:t>采用收益 法评估结 果作为评 估值</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17,624.95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80,000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48" w:lineRule="auto"/>
              <w:ind w:left="30" w:right="14"/>
              <w:jc w:val="left"/>
              <w:rPr>
                <w:rFonts w:ascii="Times New Roman" w:hAnsi="Times New Roman" w:cs="Times New Roman" w:eastAsia="Times New Roman" w:hint="default"/>
                <w:sz w:val="18"/>
                <w:szCs w:val="18"/>
              </w:rPr>
            </w:pPr>
            <w:r>
              <w:rPr>
                <w:rFonts w:ascii="Times New Roman"/>
                <w:sz w:val="18"/>
              </w:rPr>
              <w:t>www.cnin fo.com.cn</w:t>
            </w:r>
          </w:p>
        </w:tc>
      </w:tr>
      <w:tr>
        <w:trPr>
          <w:trHeight w:val="705" w:hRule="exact"/>
        </w:trPr>
        <w:tc>
          <w:tcPr>
            <w:tcW w:w="319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07"/>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大的原因（如有）</w:t>
            </w:r>
          </w:p>
        </w:tc>
        <w:tc>
          <w:tcPr>
            <w:tcW w:w="6383" w:type="dxa"/>
            <w:gridSpan w:val="8"/>
            <w:tcBorders>
              <w:top w:val="single" w:sz="6" w:space="0" w:color="000000"/>
              <w:left w:val="single" w:sz="12"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6" w:hRule="exact"/>
        </w:trPr>
        <w:tc>
          <w:tcPr>
            <w:tcW w:w="319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383" w:type="dxa"/>
            <w:gridSpan w:val="8"/>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影响重大</w:t>
            </w:r>
          </w:p>
        </w:tc>
      </w:tr>
      <w:tr>
        <w:trPr>
          <w:trHeight w:val="750" w:hRule="exact"/>
        </w:trPr>
        <w:tc>
          <w:tcPr>
            <w:tcW w:w="319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59"/>
              <w:ind w:left="15" w:right="103"/>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的业绩实现情况</w:t>
            </w:r>
          </w:p>
        </w:tc>
        <w:tc>
          <w:tcPr>
            <w:tcW w:w="6383" w:type="dxa"/>
            <w:gridSpan w:val="8"/>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适用，详见“第五节重要事项二</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1105"/>
        <w:jc w:val="left"/>
        <w:rPr>
          <w:b w:val="0"/>
          <w:bCs w:val="0"/>
        </w:rPr>
      </w:pPr>
      <w:bookmarkStart w:name="3、共同对外投资的关联交易" w:id="79"/>
      <w:bookmarkEnd w:id="79"/>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7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公司报告期未发生共同对外投资的关联交易。</w:t>
      </w:r>
    </w:p>
    <w:p>
      <w:pPr>
        <w:spacing w:line="240" w:lineRule="auto" w:before="3"/>
        <w:rPr>
          <w:rFonts w:ascii="宋体" w:hAnsi="宋体" w:cs="宋体" w:eastAsia="宋体" w:hint="default"/>
          <w:sz w:val="25"/>
          <w:szCs w:val="25"/>
        </w:rPr>
      </w:pPr>
    </w:p>
    <w:p>
      <w:pPr>
        <w:pStyle w:val="Heading3"/>
        <w:spacing w:line="240" w:lineRule="auto"/>
        <w:ind w:right="1105"/>
        <w:jc w:val="left"/>
        <w:rPr>
          <w:b w:val="0"/>
          <w:bCs w:val="0"/>
        </w:rPr>
      </w:pPr>
      <w:bookmarkStart w:name="4、关联债权债务往来" w:id="80"/>
      <w:bookmarkEnd w:id="80"/>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3"/>
        <w:rPr>
          <w:rFonts w:ascii="宋体" w:hAnsi="宋体" w:cs="宋体" w:eastAsia="宋体" w:hint="default"/>
          <w:b/>
          <w:bCs/>
          <w:sz w:val="25"/>
          <w:szCs w:val="25"/>
        </w:rPr>
      </w:pPr>
    </w:p>
    <w:p>
      <w:pPr>
        <w:pStyle w:val="BodyText"/>
        <w:spacing w:line="331" w:lineRule="auto"/>
        <w:ind w:right="76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公司报告期不存在关联债权债务往来。</w:t>
      </w:r>
    </w:p>
    <w:p>
      <w:pPr>
        <w:spacing w:line="240" w:lineRule="auto" w:before="6"/>
        <w:rPr>
          <w:rFonts w:ascii="宋体" w:hAnsi="宋体" w:cs="宋体" w:eastAsia="宋体" w:hint="default"/>
          <w:sz w:val="23"/>
          <w:szCs w:val="23"/>
        </w:rPr>
      </w:pPr>
    </w:p>
    <w:p>
      <w:pPr>
        <w:pStyle w:val="Heading3"/>
        <w:spacing w:line="240" w:lineRule="auto"/>
        <w:ind w:right="1105"/>
        <w:jc w:val="left"/>
        <w:rPr>
          <w:b w:val="0"/>
          <w:bCs w:val="0"/>
        </w:rPr>
      </w:pPr>
      <w:bookmarkStart w:name="5、其他重大关联交易" w:id="81"/>
      <w:bookmarkEnd w:id="81"/>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3"/>
        <w:rPr>
          <w:rFonts w:ascii="宋体" w:hAnsi="宋体" w:cs="宋体" w:eastAsia="宋体" w:hint="default"/>
          <w:b/>
          <w:bCs/>
          <w:sz w:val="25"/>
          <w:szCs w:val="25"/>
        </w:rPr>
      </w:pPr>
    </w:p>
    <w:p>
      <w:pPr>
        <w:pStyle w:val="BodyText"/>
        <w:spacing w:line="331" w:lineRule="auto"/>
        <w:ind w:right="8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公司报告期无其他重大关联交易。</w:t>
      </w:r>
    </w:p>
    <w:p>
      <w:pPr>
        <w:spacing w:line="240" w:lineRule="auto" w:before="10"/>
        <w:rPr>
          <w:rFonts w:ascii="宋体" w:hAnsi="宋体" w:cs="宋体" w:eastAsia="宋体" w:hint="default"/>
          <w:sz w:val="20"/>
          <w:szCs w:val="20"/>
        </w:rPr>
      </w:pPr>
    </w:p>
    <w:p>
      <w:pPr>
        <w:pStyle w:val="Heading2"/>
        <w:spacing w:line="240" w:lineRule="auto"/>
        <w:ind w:right="1105"/>
        <w:jc w:val="left"/>
        <w:rPr>
          <w:b w:val="0"/>
          <w:bCs w:val="0"/>
        </w:rPr>
      </w:pPr>
      <w:bookmarkStart w:name="十六、重大合同及其履行情况" w:id="82"/>
      <w:bookmarkEnd w:id="82"/>
      <w:r>
        <w:rPr>
          <w:b w:val="0"/>
          <w:bCs w:val="0"/>
        </w:rPr>
      </w:r>
      <w:r>
        <w:rPr/>
        <w:t>十六、重大合同及其履行情况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05"/>
        <w:jc w:val="left"/>
        <w:rPr>
          <w:b w:val="0"/>
          <w:bCs w:val="0"/>
        </w:rPr>
      </w:pPr>
      <w:bookmarkStart w:name="1、托管、承包、租赁事项情况" w:id="83"/>
      <w:bookmarkEnd w:id="8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1）托管情况" w:id="84"/>
      <w:bookmarkEnd w:id="84"/>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5"/>
        <w:rPr>
          <w:rFonts w:ascii="宋体" w:hAnsi="宋体" w:cs="宋体" w:eastAsia="宋体" w:hint="default"/>
          <w:b/>
          <w:bCs/>
          <w:sz w:val="26"/>
          <w:szCs w:val="26"/>
        </w:rPr>
      </w:pPr>
    </w:p>
    <w:p>
      <w:pPr>
        <w:pStyle w:val="BodyText"/>
        <w:spacing w:line="331"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公司报告期不存在托管情况。</w:t>
      </w:r>
    </w:p>
    <w:p>
      <w:pPr>
        <w:spacing w:line="240" w:lineRule="auto" w:before="6"/>
        <w:rPr>
          <w:rFonts w:ascii="宋体" w:hAnsi="宋体" w:cs="宋体" w:eastAsia="宋体" w:hint="default"/>
          <w:sz w:val="23"/>
          <w:szCs w:val="23"/>
        </w:rPr>
      </w:pPr>
    </w:p>
    <w:p>
      <w:pPr>
        <w:pStyle w:val="Heading3"/>
        <w:spacing w:line="240" w:lineRule="auto"/>
        <w:ind w:right="1105"/>
        <w:jc w:val="left"/>
        <w:rPr>
          <w:b w:val="0"/>
          <w:bCs w:val="0"/>
        </w:rPr>
      </w:pPr>
      <w:bookmarkStart w:name="（2）承包情况" w:id="85"/>
      <w:bookmarkEnd w:id="85"/>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3"/>
        <w:rPr>
          <w:rFonts w:ascii="宋体" w:hAnsi="宋体" w:cs="宋体" w:eastAsia="宋体" w:hint="default"/>
          <w:b/>
          <w:bCs/>
          <w:sz w:val="25"/>
          <w:szCs w:val="25"/>
        </w:rPr>
      </w:pPr>
    </w:p>
    <w:p>
      <w:pPr>
        <w:pStyle w:val="BodyText"/>
        <w:spacing w:line="333"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公司报告期不存在承包情况。</w:t>
      </w:r>
    </w:p>
    <w:p>
      <w:pPr>
        <w:spacing w:line="240" w:lineRule="auto" w:before="4"/>
        <w:rPr>
          <w:rFonts w:ascii="宋体" w:hAnsi="宋体" w:cs="宋体" w:eastAsia="宋体" w:hint="default"/>
          <w:sz w:val="23"/>
          <w:szCs w:val="23"/>
        </w:rPr>
      </w:pPr>
    </w:p>
    <w:p>
      <w:pPr>
        <w:pStyle w:val="Heading3"/>
        <w:spacing w:line="240" w:lineRule="auto"/>
        <w:ind w:right="1105"/>
        <w:jc w:val="left"/>
        <w:rPr>
          <w:b w:val="0"/>
          <w:bCs w:val="0"/>
        </w:rPr>
      </w:pPr>
      <w:bookmarkStart w:name="（3）租赁情况" w:id="86"/>
      <w:bookmarkEnd w:id="86"/>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3"/>
        <w:rPr>
          <w:rFonts w:ascii="宋体" w:hAnsi="宋体" w:cs="宋体" w:eastAsia="宋体" w:hint="default"/>
          <w:b/>
          <w:bCs/>
          <w:sz w:val="25"/>
          <w:szCs w:val="25"/>
        </w:rPr>
      </w:pPr>
    </w:p>
    <w:p>
      <w:pPr>
        <w:pStyle w:val="BodyText"/>
        <w:spacing w:line="333" w:lineRule="auto"/>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租赁情况说明</w:t>
      </w:r>
    </w:p>
    <w:p>
      <w:pPr>
        <w:spacing w:line="240" w:lineRule="auto" w:before="0"/>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570"/>
        <w:gridCol w:w="856"/>
        <w:gridCol w:w="2103"/>
        <w:gridCol w:w="2974"/>
        <w:gridCol w:w="1982"/>
        <w:gridCol w:w="811"/>
        <w:gridCol w:w="571"/>
      </w:tblGrid>
      <w:tr>
        <w:trPr>
          <w:trHeight w:val="345"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b/>
                <w:bCs/>
                <w:sz w:val="18"/>
                <w:szCs w:val="18"/>
              </w:rPr>
              <w:t>承租方</w:t>
            </w:r>
            <w:r>
              <w:rPr>
                <w:rFonts w:ascii="宋体" w:hAnsi="宋体" w:cs="宋体" w:eastAsia="宋体" w:hint="default"/>
                <w:sz w:val="18"/>
                <w:szCs w:val="18"/>
              </w:rPr>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b/>
                <w:bCs/>
                <w:sz w:val="18"/>
                <w:szCs w:val="18"/>
              </w:rPr>
              <w:t>出租方</w:t>
            </w:r>
            <w:r>
              <w:rPr>
                <w:rFonts w:ascii="宋体" w:hAnsi="宋体" w:cs="宋体" w:eastAsia="宋体" w:hint="default"/>
                <w:sz w:val="18"/>
                <w:szCs w:val="18"/>
              </w:rPr>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46" w:right="0"/>
              <w:jc w:val="left"/>
              <w:rPr>
                <w:rFonts w:ascii="宋体" w:hAnsi="宋体" w:cs="宋体" w:eastAsia="宋体" w:hint="default"/>
                <w:sz w:val="18"/>
                <w:szCs w:val="18"/>
              </w:rPr>
            </w:pPr>
            <w:r>
              <w:rPr>
                <w:rFonts w:ascii="宋体" w:hAnsi="宋体" w:cs="宋体" w:eastAsia="宋体" w:hint="default"/>
                <w:b/>
                <w:bCs/>
                <w:sz w:val="18"/>
                <w:szCs w:val="18"/>
              </w:rPr>
              <w:t>租赁房屋地址</w:t>
            </w:r>
            <w:r>
              <w:rPr>
                <w:rFonts w:ascii="宋体" w:hAnsi="宋体" w:cs="宋体" w:eastAsia="宋体" w:hint="default"/>
                <w:sz w:val="18"/>
                <w:szCs w:val="18"/>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b/>
                <w:bCs/>
                <w:sz w:val="18"/>
                <w:szCs w:val="18"/>
              </w:rPr>
              <w:t>租赁期间</w:t>
            </w:r>
            <w:r>
              <w:rPr>
                <w:rFonts w:ascii="宋体" w:hAnsi="宋体" w:cs="宋体" w:eastAsia="宋体" w:hint="default"/>
                <w:sz w:val="18"/>
                <w:szCs w:val="18"/>
              </w:rPr>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10" w:right="0"/>
              <w:jc w:val="left"/>
              <w:rPr>
                <w:rFonts w:ascii="宋体" w:hAnsi="宋体" w:cs="宋体" w:eastAsia="宋体" w:hint="default"/>
                <w:sz w:val="18"/>
                <w:szCs w:val="18"/>
              </w:rPr>
            </w:pPr>
            <w:r>
              <w:rPr>
                <w:rFonts w:ascii="宋体" w:hAnsi="宋体" w:cs="宋体" w:eastAsia="宋体" w:hint="default"/>
                <w:b/>
                <w:bCs/>
                <w:sz w:val="18"/>
                <w:szCs w:val="18"/>
              </w:rPr>
              <w:t>面积</w:t>
            </w:r>
            <w:r>
              <w:rPr>
                <w:rFonts w:ascii="宋体" w:hAnsi="宋体" w:cs="宋体" w:eastAsia="宋体" w:hint="default"/>
                <w:sz w:val="18"/>
                <w:szCs w:val="18"/>
              </w:rPr>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b/>
                <w:bCs/>
                <w:sz w:val="18"/>
                <w:szCs w:val="18"/>
              </w:rPr>
              <w:t>用途</w:t>
            </w:r>
            <w:r>
              <w:rPr>
                <w:rFonts w:ascii="宋体" w:hAnsi="宋体" w:cs="宋体" w:eastAsia="宋体" w:hint="default"/>
                <w:sz w:val="18"/>
                <w:szCs w:val="18"/>
              </w:rPr>
            </w:r>
          </w:p>
        </w:tc>
      </w:tr>
      <w:tr>
        <w:trPr>
          <w:trHeight w:val="78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sz w:val="18"/>
              </w:rPr>
              <w:t>1</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朗新科技</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74"/>
              <w:ind w:left="45" w:right="60"/>
              <w:jc w:val="left"/>
              <w:rPr>
                <w:rFonts w:ascii="宋体" w:hAnsi="宋体" w:cs="宋体" w:eastAsia="宋体" w:hint="default"/>
                <w:sz w:val="18"/>
                <w:szCs w:val="18"/>
              </w:rPr>
            </w:pPr>
            <w:r>
              <w:rPr>
                <w:rFonts w:ascii="宋体" w:hAnsi="宋体" w:cs="宋体" w:eastAsia="宋体" w:hint="default"/>
                <w:sz w:val="18"/>
                <w:szCs w:val="18"/>
              </w:rPr>
              <w:t>北京北辰实业股份有限公 司写字楼经营管理分公司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89"/>
              <w:ind w:left="105" w:right="74" w:hanging="15"/>
              <w:jc w:val="left"/>
              <w:rPr>
                <w:rFonts w:ascii="宋体" w:hAnsi="宋体" w:cs="宋体" w:eastAsia="宋体" w:hint="default"/>
                <w:sz w:val="18"/>
                <w:szCs w:val="18"/>
              </w:rPr>
            </w:pPr>
            <w:r>
              <w:rPr>
                <w:rFonts w:ascii="宋体" w:hAnsi="宋体" w:cs="宋体" w:eastAsia="宋体" w:hint="default"/>
                <w:sz w:val="18"/>
                <w:szCs w:val="18"/>
              </w:rPr>
              <w:t>北京市朝阳区北辰东路</w:t>
            </w:r>
            <w:r>
              <w:rPr>
                <w:rFonts w:ascii="Times New Roman" w:hAnsi="Times New Roman" w:cs="Times New Roman" w:eastAsia="Times New Roman" w:hint="default"/>
                <w:sz w:val="18"/>
                <w:szCs w:val="18"/>
              </w:rPr>
              <w:t>8</w:t>
            </w:r>
            <w:r>
              <w:rPr>
                <w:rFonts w:ascii="宋体" w:hAnsi="宋体" w:cs="宋体" w:eastAsia="宋体" w:hint="default"/>
                <w:sz w:val="18"/>
                <w:szCs w:val="18"/>
              </w:rPr>
              <w:t>号北辰时代 大厦</w:t>
            </w:r>
            <w:r>
              <w:rPr>
                <w:rFonts w:ascii="Times New Roman" w:hAnsi="Times New Roman" w:cs="Times New Roman" w:eastAsia="Times New Roman" w:hint="default"/>
                <w:sz w:val="18"/>
                <w:szCs w:val="18"/>
              </w:rPr>
              <w:t>18</w:t>
            </w:r>
            <w:r>
              <w:rPr>
                <w:rFonts w:ascii="宋体" w:hAnsi="宋体" w:cs="宋体" w:eastAsia="宋体" w:hint="default"/>
                <w:sz w:val="18"/>
                <w:szCs w:val="18"/>
              </w:rPr>
              <w:t>层</w:t>
            </w:r>
            <w:r>
              <w:rPr>
                <w:rFonts w:ascii="Times New Roman" w:hAnsi="Times New Roman" w:cs="Times New Roman" w:eastAsia="Times New Roman" w:hint="default"/>
                <w:sz w:val="18"/>
                <w:szCs w:val="18"/>
              </w:rPr>
              <w:t>1801</w:t>
            </w:r>
            <w:r>
              <w:rPr>
                <w:rFonts w:ascii="宋体" w:hAnsi="宋体" w:cs="宋体" w:eastAsia="宋体" w:hint="default"/>
                <w:sz w:val="18"/>
                <w:szCs w:val="18"/>
              </w:rPr>
              <w:t>内</w:t>
            </w:r>
            <w:r>
              <w:rPr>
                <w:rFonts w:ascii="Times New Roman" w:hAnsi="Times New Roman" w:cs="Times New Roman" w:eastAsia="Times New Roman" w:hint="default"/>
                <w:sz w:val="18"/>
                <w:szCs w:val="18"/>
              </w:rPr>
              <w:t>1802-1805</w:t>
            </w:r>
            <w:r>
              <w:rPr>
                <w:rFonts w:ascii="宋体" w:hAnsi="宋体" w:cs="宋体" w:eastAsia="宋体" w:hint="default"/>
                <w:sz w:val="18"/>
                <w:szCs w:val="18"/>
              </w:rPr>
              <w:t>、</w:t>
            </w:r>
            <w:r>
              <w:rPr>
                <w:rFonts w:ascii="Times New Roman" w:hAnsi="Times New Roman" w:cs="Times New Roman" w:eastAsia="Times New Roman" w:hint="default"/>
                <w:sz w:val="18"/>
                <w:szCs w:val="18"/>
              </w:rPr>
              <w:t>1807</w:t>
            </w:r>
            <w:r>
              <w:rPr>
                <w:rFonts w:ascii="宋体" w:hAnsi="宋体" w:cs="宋体" w:eastAsia="宋体" w:hint="default"/>
                <w:sz w:val="18"/>
                <w:szCs w:val="18"/>
              </w:rPr>
              <w:t>号</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2017.03.15-2020.03.14</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5"/>
              <w:jc w:val="right"/>
              <w:rPr>
                <w:rFonts w:ascii="Times New Roman" w:hAnsi="Times New Roman" w:cs="Times New Roman" w:eastAsia="Times New Roman" w:hint="default"/>
                <w:sz w:val="18"/>
                <w:szCs w:val="18"/>
              </w:rPr>
            </w:pPr>
            <w:r>
              <w:rPr>
                <w:rFonts w:ascii="Times New Roman"/>
                <w:sz w:val="18"/>
              </w:rPr>
              <w:t>725.68</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780"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sz w:val="18"/>
              </w:rPr>
              <w:t>2</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朗新科技</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74"/>
              <w:ind w:left="45" w:right="60"/>
              <w:jc w:val="left"/>
              <w:rPr>
                <w:rFonts w:ascii="宋体" w:hAnsi="宋体" w:cs="宋体" w:eastAsia="宋体" w:hint="default"/>
                <w:sz w:val="18"/>
                <w:szCs w:val="18"/>
              </w:rPr>
            </w:pPr>
            <w:r>
              <w:rPr>
                <w:rFonts w:ascii="宋体" w:hAnsi="宋体" w:cs="宋体" w:eastAsia="宋体" w:hint="default"/>
                <w:sz w:val="18"/>
                <w:szCs w:val="18"/>
              </w:rPr>
              <w:t>北京北辰实业股份有限公 司写字楼经营管理分公司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89"/>
              <w:ind w:left="645" w:right="74" w:hanging="556"/>
              <w:jc w:val="left"/>
              <w:rPr>
                <w:rFonts w:ascii="宋体" w:hAnsi="宋体" w:cs="宋体" w:eastAsia="宋体" w:hint="default"/>
                <w:sz w:val="18"/>
                <w:szCs w:val="18"/>
              </w:rPr>
            </w:pPr>
            <w:r>
              <w:rPr>
                <w:rFonts w:ascii="宋体" w:hAnsi="宋体" w:cs="宋体" w:eastAsia="宋体" w:hint="default"/>
                <w:sz w:val="18"/>
                <w:szCs w:val="18"/>
              </w:rPr>
              <w:t>北京市朝阳区北辰东路</w:t>
            </w:r>
            <w:r>
              <w:rPr>
                <w:rFonts w:ascii="Times New Roman" w:hAnsi="Times New Roman" w:cs="Times New Roman" w:eastAsia="Times New Roman" w:hint="default"/>
                <w:sz w:val="18"/>
                <w:szCs w:val="18"/>
              </w:rPr>
              <w:t>8</w:t>
            </w:r>
            <w:r>
              <w:rPr>
                <w:rFonts w:ascii="宋体" w:hAnsi="宋体" w:cs="宋体" w:eastAsia="宋体" w:hint="default"/>
                <w:sz w:val="18"/>
                <w:szCs w:val="18"/>
              </w:rPr>
              <w:t>号北辰时代 大厦</w:t>
            </w:r>
            <w:r>
              <w:rPr>
                <w:rFonts w:ascii="Times New Roman" w:hAnsi="Times New Roman" w:cs="Times New Roman" w:eastAsia="Times New Roman" w:hint="default"/>
                <w:sz w:val="18"/>
                <w:szCs w:val="18"/>
              </w:rPr>
              <w:t>1801</w:t>
            </w:r>
            <w:r>
              <w:rPr>
                <w:rFonts w:ascii="宋体" w:hAnsi="宋体" w:cs="宋体" w:eastAsia="宋体" w:hint="default"/>
                <w:sz w:val="18"/>
                <w:szCs w:val="18"/>
              </w:rPr>
              <w:t>内</w:t>
            </w:r>
            <w:r>
              <w:rPr>
                <w:rFonts w:ascii="Times New Roman" w:hAnsi="Times New Roman" w:cs="Times New Roman" w:eastAsia="Times New Roman" w:hint="default"/>
                <w:sz w:val="18"/>
                <w:szCs w:val="18"/>
              </w:rPr>
              <w:t>1802-05</w:t>
            </w:r>
            <w:r>
              <w:rPr>
                <w:rFonts w:ascii="宋体" w:hAnsi="宋体" w:cs="宋体" w:eastAsia="宋体" w:hint="default"/>
                <w:sz w:val="18"/>
                <w:szCs w:val="18"/>
              </w:rPr>
              <w:t>号</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2018.10.15-2020.03.14</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5"/>
              <w:jc w:val="right"/>
              <w:rPr>
                <w:rFonts w:ascii="Times New Roman" w:hAnsi="Times New Roman" w:cs="Times New Roman" w:eastAsia="Times New Roman" w:hint="default"/>
                <w:sz w:val="18"/>
                <w:szCs w:val="18"/>
              </w:rPr>
            </w:pPr>
            <w:r>
              <w:rPr>
                <w:rFonts w:ascii="Times New Roman"/>
                <w:sz w:val="18"/>
              </w:rPr>
              <w:t>484.47</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4"/>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78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sz w:val="18"/>
              </w:rPr>
              <w:t>3</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朗新科技</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75"/>
              <w:ind w:left="45" w:right="60"/>
              <w:jc w:val="left"/>
              <w:rPr>
                <w:rFonts w:ascii="宋体" w:hAnsi="宋体" w:cs="宋体" w:eastAsia="宋体" w:hint="default"/>
                <w:sz w:val="18"/>
                <w:szCs w:val="18"/>
              </w:rPr>
            </w:pPr>
            <w:r>
              <w:rPr>
                <w:rFonts w:ascii="宋体" w:hAnsi="宋体" w:cs="宋体" w:eastAsia="宋体" w:hint="default"/>
                <w:sz w:val="18"/>
                <w:szCs w:val="18"/>
              </w:rPr>
              <w:t>北京北辰实业股份有限公 司写字楼经营管理分公司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90"/>
              <w:ind w:left="736" w:right="74" w:hanging="646"/>
              <w:jc w:val="left"/>
              <w:rPr>
                <w:rFonts w:ascii="宋体" w:hAnsi="宋体" w:cs="宋体" w:eastAsia="宋体" w:hint="default"/>
                <w:sz w:val="18"/>
                <w:szCs w:val="18"/>
              </w:rPr>
            </w:pPr>
            <w:r>
              <w:rPr>
                <w:rFonts w:ascii="宋体" w:hAnsi="宋体" w:cs="宋体" w:eastAsia="宋体" w:hint="default"/>
                <w:sz w:val="18"/>
                <w:szCs w:val="18"/>
              </w:rPr>
              <w:t>北京市朝阳区北辰东路</w:t>
            </w:r>
            <w:r>
              <w:rPr>
                <w:rFonts w:ascii="Times New Roman" w:hAnsi="Times New Roman" w:cs="Times New Roman" w:eastAsia="Times New Roman" w:hint="default"/>
                <w:sz w:val="18"/>
                <w:szCs w:val="18"/>
              </w:rPr>
              <w:t>8</w:t>
            </w:r>
            <w:r>
              <w:rPr>
                <w:rFonts w:ascii="宋体" w:hAnsi="宋体" w:cs="宋体" w:eastAsia="宋体" w:hint="default"/>
                <w:sz w:val="18"/>
                <w:szCs w:val="18"/>
              </w:rPr>
              <w:t>号北辰时代 大厦</w:t>
            </w:r>
            <w:r>
              <w:rPr>
                <w:rFonts w:ascii="Times New Roman" w:hAnsi="Times New Roman" w:cs="Times New Roman" w:eastAsia="Times New Roman" w:hint="default"/>
                <w:sz w:val="18"/>
                <w:szCs w:val="18"/>
              </w:rPr>
              <w:t>18</w:t>
            </w:r>
            <w:r>
              <w:rPr>
                <w:rFonts w:ascii="宋体" w:hAnsi="宋体" w:cs="宋体" w:eastAsia="宋体" w:hint="default"/>
                <w:sz w:val="18"/>
                <w:szCs w:val="18"/>
              </w:rPr>
              <w:t>层</w:t>
            </w:r>
            <w:r>
              <w:rPr>
                <w:rFonts w:ascii="Times New Roman" w:hAnsi="Times New Roman" w:cs="Times New Roman" w:eastAsia="Times New Roman" w:hint="default"/>
                <w:sz w:val="18"/>
                <w:szCs w:val="18"/>
              </w:rPr>
              <w:t>1808-15</w:t>
            </w:r>
            <w:r>
              <w:rPr>
                <w:rFonts w:ascii="宋体" w:hAnsi="宋体" w:cs="宋体" w:eastAsia="宋体" w:hint="default"/>
                <w:sz w:val="18"/>
                <w:szCs w:val="18"/>
              </w:rPr>
              <w:t>号</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2018.07.15-2021.07.14</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20"/>
              <w:jc w:val="right"/>
              <w:rPr>
                <w:rFonts w:ascii="Times New Roman" w:hAnsi="Times New Roman" w:cs="Times New Roman" w:eastAsia="Times New Roman" w:hint="default"/>
                <w:sz w:val="18"/>
                <w:szCs w:val="18"/>
              </w:rPr>
            </w:pPr>
            <w:r>
              <w:rPr>
                <w:rFonts w:ascii="Times New Roman"/>
                <w:sz w:val="18"/>
              </w:rPr>
              <w:t>1148.22</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3"/>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780"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sz w:val="18"/>
              </w:rPr>
              <w:t>4</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北京朗新</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74"/>
              <w:ind w:left="45" w:right="60"/>
              <w:jc w:val="left"/>
              <w:rPr>
                <w:rFonts w:ascii="宋体" w:hAnsi="宋体" w:cs="宋体" w:eastAsia="宋体" w:hint="default"/>
                <w:sz w:val="18"/>
                <w:szCs w:val="18"/>
              </w:rPr>
            </w:pPr>
            <w:r>
              <w:rPr>
                <w:rFonts w:ascii="宋体" w:hAnsi="宋体" w:cs="宋体" w:eastAsia="宋体" w:hint="default"/>
                <w:sz w:val="18"/>
                <w:szCs w:val="18"/>
              </w:rPr>
              <w:t>北京北辰实业股份有限公 司写字楼经营管理分公司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89"/>
              <w:ind w:left="856" w:right="74" w:hanging="766"/>
              <w:jc w:val="left"/>
              <w:rPr>
                <w:rFonts w:ascii="宋体" w:hAnsi="宋体" w:cs="宋体" w:eastAsia="宋体" w:hint="default"/>
                <w:sz w:val="18"/>
                <w:szCs w:val="18"/>
              </w:rPr>
            </w:pPr>
            <w:r>
              <w:rPr>
                <w:rFonts w:ascii="宋体" w:hAnsi="宋体" w:cs="宋体" w:eastAsia="宋体" w:hint="default"/>
                <w:sz w:val="18"/>
                <w:szCs w:val="18"/>
              </w:rPr>
              <w:t>北京市朝阳区北辰东路</w:t>
            </w:r>
            <w:r>
              <w:rPr>
                <w:rFonts w:ascii="Times New Roman" w:hAnsi="Times New Roman" w:cs="Times New Roman" w:eastAsia="Times New Roman" w:hint="default"/>
                <w:sz w:val="18"/>
                <w:szCs w:val="18"/>
              </w:rPr>
              <w:t>8</w:t>
            </w:r>
            <w:r>
              <w:rPr>
                <w:rFonts w:ascii="宋体" w:hAnsi="宋体" w:cs="宋体" w:eastAsia="宋体" w:hint="default"/>
                <w:sz w:val="18"/>
                <w:szCs w:val="18"/>
              </w:rPr>
              <w:t>号北辰时代 大厦</w:t>
            </w:r>
            <w:r>
              <w:rPr>
                <w:rFonts w:ascii="Times New Roman" w:hAnsi="Times New Roman" w:cs="Times New Roman" w:eastAsia="Times New Roman" w:hint="default"/>
                <w:sz w:val="18"/>
                <w:szCs w:val="18"/>
              </w:rPr>
              <w:t>18</w:t>
            </w:r>
            <w:r>
              <w:rPr>
                <w:rFonts w:ascii="宋体" w:hAnsi="宋体" w:cs="宋体" w:eastAsia="宋体" w:hint="default"/>
                <w:sz w:val="18"/>
                <w:szCs w:val="18"/>
              </w:rPr>
              <w:t>层</w:t>
            </w:r>
            <w:r>
              <w:rPr>
                <w:rFonts w:ascii="Times New Roman" w:hAnsi="Times New Roman" w:cs="Times New Roman" w:eastAsia="Times New Roman" w:hint="default"/>
                <w:sz w:val="18"/>
                <w:szCs w:val="18"/>
              </w:rPr>
              <w:t>1801</w:t>
            </w:r>
            <w:r>
              <w:rPr>
                <w:rFonts w:ascii="宋体" w:hAnsi="宋体" w:cs="宋体" w:eastAsia="宋体" w:hint="default"/>
                <w:sz w:val="18"/>
                <w:szCs w:val="18"/>
              </w:rPr>
              <w:t>号</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2017.03.15-2020.03.14</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5"/>
              <w:jc w:val="right"/>
              <w:rPr>
                <w:rFonts w:ascii="Times New Roman" w:hAnsi="Times New Roman" w:cs="Times New Roman" w:eastAsia="Times New Roman" w:hint="default"/>
                <w:sz w:val="18"/>
                <w:szCs w:val="18"/>
              </w:rPr>
            </w:pPr>
            <w:r>
              <w:rPr>
                <w:rFonts w:ascii="Times New Roman"/>
                <w:sz w:val="18"/>
              </w:rPr>
              <w:t>163.57</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center"/>
              <w:rPr>
                <w:rFonts w:ascii="宋体" w:hAnsi="宋体" w:cs="宋体" w:eastAsia="宋体" w:hint="default"/>
                <w:sz w:val="18"/>
                <w:szCs w:val="18"/>
              </w:rPr>
            </w:pPr>
            <w:r>
              <w:rPr>
                <w:rFonts w:ascii="宋体" w:hAnsi="宋体" w:cs="宋体" w:eastAsia="宋体" w:hint="default"/>
                <w:sz w:val="18"/>
                <w:szCs w:val="18"/>
              </w:rPr>
              <w:t>办公</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570"/>
        <w:gridCol w:w="856"/>
        <w:gridCol w:w="2103"/>
        <w:gridCol w:w="2974"/>
        <w:gridCol w:w="1982"/>
        <w:gridCol w:w="811"/>
        <w:gridCol w:w="571"/>
      </w:tblGrid>
      <w:tr>
        <w:trPr>
          <w:trHeight w:val="1095"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sz w:val="18"/>
              </w:rPr>
              <w:t>5</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74"/>
              <w:ind w:left="60" w:right="60"/>
              <w:jc w:val="center"/>
              <w:rPr>
                <w:rFonts w:ascii="宋体" w:hAnsi="宋体" w:cs="宋体" w:eastAsia="宋体" w:hint="default"/>
                <w:sz w:val="18"/>
                <w:szCs w:val="18"/>
              </w:rPr>
            </w:pPr>
            <w:r>
              <w:rPr>
                <w:rFonts w:ascii="宋体" w:hAnsi="宋体" w:cs="宋体" w:eastAsia="宋体" w:hint="default"/>
                <w:sz w:val="18"/>
                <w:szCs w:val="18"/>
              </w:rPr>
              <w:t>朗新科技 北京分公 司</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74"/>
              <w:ind w:left="45" w:right="60"/>
              <w:jc w:val="left"/>
              <w:rPr>
                <w:rFonts w:ascii="宋体" w:hAnsi="宋体" w:cs="宋体" w:eastAsia="宋体" w:hint="default"/>
                <w:sz w:val="18"/>
                <w:szCs w:val="18"/>
              </w:rPr>
            </w:pPr>
            <w:r>
              <w:rPr>
                <w:rFonts w:ascii="宋体" w:hAnsi="宋体" w:cs="宋体" w:eastAsia="宋体" w:hint="default"/>
                <w:sz w:val="18"/>
                <w:szCs w:val="18"/>
              </w:rPr>
              <w:t>北京北辰实业股份有限公 司写字楼经营管理分公司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89"/>
              <w:ind w:left="585" w:right="74" w:hanging="496"/>
              <w:jc w:val="left"/>
              <w:rPr>
                <w:rFonts w:ascii="宋体" w:hAnsi="宋体" w:cs="宋体" w:eastAsia="宋体" w:hint="default"/>
                <w:sz w:val="18"/>
                <w:szCs w:val="18"/>
              </w:rPr>
            </w:pPr>
            <w:r>
              <w:rPr>
                <w:rFonts w:ascii="宋体" w:hAnsi="宋体" w:cs="宋体" w:eastAsia="宋体" w:hint="default"/>
                <w:sz w:val="18"/>
                <w:szCs w:val="18"/>
              </w:rPr>
              <w:t>北京市朝阳区北辰东路</w:t>
            </w:r>
            <w:r>
              <w:rPr>
                <w:rFonts w:ascii="Times New Roman" w:hAnsi="Times New Roman" w:cs="Times New Roman" w:eastAsia="Times New Roman" w:hint="default"/>
                <w:sz w:val="18"/>
                <w:szCs w:val="18"/>
              </w:rPr>
              <w:t>8</w:t>
            </w:r>
            <w:r>
              <w:rPr>
                <w:rFonts w:ascii="宋体" w:hAnsi="宋体" w:cs="宋体" w:eastAsia="宋体" w:hint="default"/>
                <w:sz w:val="18"/>
                <w:szCs w:val="18"/>
              </w:rPr>
              <w:t>号北辰时代 大厦</w:t>
            </w:r>
            <w:r>
              <w:rPr>
                <w:rFonts w:ascii="Times New Roman" w:hAnsi="Times New Roman" w:cs="Times New Roman" w:eastAsia="Times New Roman" w:hint="default"/>
                <w:sz w:val="18"/>
                <w:szCs w:val="18"/>
              </w:rPr>
              <w:t>18</w:t>
            </w:r>
            <w:r>
              <w:rPr>
                <w:rFonts w:ascii="宋体" w:hAnsi="宋体" w:cs="宋体" w:eastAsia="宋体" w:hint="default"/>
                <w:sz w:val="18"/>
                <w:szCs w:val="18"/>
              </w:rPr>
              <w:t>层</w:t>
            </w:r>
            <w:r>
              <w:rPr>
                <w:rFonts w:ascii="Times New Roman" w:hAnsi="Times New Roman" w:cs="Times New Roman" w:eastAsia="Times New Roman" w:hint="default"/>
                <w:sz w:val="18"/>
                <w:szCs w:val="18"/>
              </w:rPr>
              <w:t>1801</w:t>
            </w:r>
            <w:r>
              <w:rPr>
                <w:rFonts w:ascii="宋体" w:hAnsi="宋体" w:cs="宋体" w:eastAsia="宋体" w:hint="default"/>
                <w:sz w:val="18"/>
                <w:szCs w:val="18"/>
              </w:rPr>
              <w:t>内</w:t>
            </w:r>
            <w:r>
              <w:rPr>
                <w:rFonts w:ascii="Times New Roman" w:hAnsi="Times New Roman" w:cs="Times New Roman" w:eastAsia="Times New Roman" w:hint="default"/>
                <w:sz w:val="18"/>
                <w:szCs w:val="18"/>
              </w:rPr>
              <w:t>1806</w:t>
            </w:r>
            <w:r>
              <w:rPr>
                <w:rFonts w:ascii="宋体" w:hAnsi="宋体" w:cs="宋体" w:eastAsia="宋体" w:hint="default"/>
                <w:sz w:val="18"/>
                <w:szCs w:val="18"/>
              </w:rPr>
              <w:t>号</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2017.03.15-2020.03.14</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5"/>
              <w:jc w:val="right"/>
              <w:rPr>
                <w:rFonts w:ascii="Times New Roman" w:hAnsi="Times New Roman" w:cs="Times New Roman" w:eastAsia="Times New Roman" w:hint="default"/>
                <w:sz w:val="18"/>
                <w:szCs w:val="18"/>
              </w:rPr>
            </w:pPr>
            <w:r>
              <w:rPr>
                <w:rFonts w:ascii="Times New Roman"/>
                <w:sz w:val="18"/>
              </w:rPr>
              <w:t>161.49</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78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center"/>
              <w:rPr>
                <w:rFonts w:ascii="Times New Roman" w:hAnsi="Times New Roman" w:cs="Times New Roman" w:eastAsia="Times New Roman" w:hint="default"/>
                <w:sz w:val="18"/>
                <w:szCs w:val="18"/>
              </w:rPr>
            </w:pPr>
            <w:r>
              <w:rPr>
                <w:rFonts w:ascii="Times New Roman"/>
                <w:sz w:val="18"/>
              </w:rPr>
              <w:t>6</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朗新科技</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60"/>
              <w:ind w:left="856" w:right="60" w:hanging="811"/>
              <w:jc w:val="left"/>
              <w:rPr>
                <w:rFonts w:ascii="宋体" w:hAnsi="宋体" w:cs="宋体" w:eastAsia="宋体" w:hint="default"/>
                <w:sz w:val="18"/>
                <w:szCs w:val="18"/>
              </w:rPr>
            </w:pPr>
            <w:r>
              <w:rPr>
                <w:rFonts w:ascii="宋体" w:hAnsi="宋体" w:cs="宋体" w:eastAsia="宋体" w:hint="default"/>
                <w:sz w:val="18"/>
                <w:szCs w:val="18"/>
              </w:rPr>
              <w:t>杭州东部软件园股份有限 公司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4" w:right="0"/>
              <w:jc w:val="center"/>
              <w:rPr>
                <w:rFonts w:ascii="宋体" w:hAnsi="宋体" w:cs="宋体" w:eastAsia="宋体" w:hint="default"/>
                <w:sz w:val="18"/>
                <w:szCs w:val="18"/>
              </w:rPr>
            </w:pPr>
            <w:r>
              <w:rPr>
                <w:rFonts w:ascii="宋体" w:hAnsi="宋体" w:cs="宋体" w:eastAsia="宋体" w:hint="default"/>
                <w:sz w:val="18"/>
                <w:szCs w:val="18"/>
              </w:rPr>
              <w:t>杭州市西湖区文三路</w:t>
            </w:r>
            <w:r>
              <w:rPr>
                <w:rFonts w:ascii="Times New Roman" w:hAnsi="Times New Roman" w:cs="Times New Roman" w:eastAsia="Times New Roman" w:hint="default"/>
                <w:sz w:val="18"/>
                <w:szCs w:val="18"/>
              </w:rPr>
              <w:t>90</w:t>
            </w:r>
            <w:r>
              <w:rPr>
                <w:rFonts w:ascii="宋体" w:hAnsi="宋体" w:cs="宋体" w:eastAsia="宋体" w:hint="default"/>
                <w:sz w:val="18"/>
                <w:szCs w:val="18"/>
              </w:rPr>
              <w:t>号</w:t>
            </w:r>
            <w:r>
              <w:rPr>
                <w:rFonts w:ascii="Times New Roman" w:hAnsi="Times New Roman" w:cs="Times New Roman" w:eastAsia="Times New Roman" w:hint="default"/>
                <w:sz w:val="18"/>
                <w:szCs w:val="18"/>
              </w:rPr>
              <w:t>71</w:t>
            </w:r>
            <w:r>
              <w:rPr>
                <w:rFonts w:ascii="宋体" w:hAnsi="宋体" w:cs="宋体" w:eastAsia="宋体" w:hint="default"/>
                <w:sz w:val="18"/>
                <w:szCs w:val="18"/>
              </w:rPr>
              <w:t>幢</w:t>
            </w:r>
            <w:r>
              <w:rPr>
                <w:rFonts w:ascii="Times New Roman" w:hAnsi="Times New Roman" w:cs="Times New Roman" w:eastAsia="Times New Roman" w:hint="default"/>
                <w:sz w:val="18"/>
                <w:szCs w:val="18"/>
              </w:rPr>
              <w:t>16</w:t>
            </w:r>
            <w:r>
              <w:rPr>
                <w:rFonts w:ascii="宋体" w:hAnsi="宋体" w:cs="宋体" w:eastAsia="宋体" w:hint="default"/>
                <w:sz w:val="18"/>
                <w:szCs w:val="18"/>
              </w:rPr>
              <w:t>层</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5"/>
              <w:jc w:val="center"/>
              <w:rPr>
                <w:rFonts w:ascii="Times New Roman" w:hAnsi="Times New Roman" w:cs="Times New Roman" w:eastAsia="Times New Roman" w:hint="default"/>
                <w:sz w:val="18"/>
                <w:szCs w:val="18"/>
              </w:rPr>
            </w:pPr>
            <w:r>
              <w:rPr>
                <w:rFonts w:ascii="Times New Roman"/>
                <w:sz w:val="18"/>
              </w:rPr>
              <w:t>2018.07.30-2021.07.29</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20"/>
              <w:jc w:val="right"/>
              <w:rPr>
                <w:rFonts w:ascii="Times New Roman" w:hAnsi="Times New Roman" w:cs="Times New Roman" w:eastAsia="Times New Roman" w:hint="default"/>
                <w:sz w:val="18"/>
                <w:szCs w:val="18"/>
              </w:rPr>
            </w:pPr>
            <w:r>
              <w:rPr>
                <w:rFonts w:ascii="Times New Roman"/>
                <w:sz w:val="18"/>
              </w:rPr>
              <w:t>1892.08</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right="13"/>
              <w:jc w:val="left"/>
              <w:rPr>
                <w:rFonts w:ascii="宋体" w:hAnsi="宋体" w:cs="宋体" w:eastAsia="宋体" w:hint="default"/>
                <w:sz w:val="18"/>
                <w:szCs w:val="18"/>
              </w:rPr>
            </w:pPr>
            <w:r>
              <w:rPr>
                <w:rFonts w:ascii="宋体" w:hAnsi="宋体" w:cs="宋体" w:eastAsia="宋体" w:hint="default"/>
                <w:sz w:val="18"/>
                <w:szCs w:val="18"/>
              </w:rPr>
              <w:t>从事经 营活动</w:t>
            </w:r>
          </w:p>
        </w:tc>
      </w:tr>
      <w:tr>
        <w:trPr>
          <w:trHeight w:val="780"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center"/>
              <w:rPr>
                <w:rFonts w:ascii="Times New Roman" w:hAnsi="Times New Roman" w:cs="Times New Roman" w:eastAsia="Times New Roman" w:hint="default"/>
                <w:sz w:val="18"/>
                <w:szCs w:val="18"/>
              </w:rPr>
            </w:pPr>
            <w:r>
              <w:rPr>
                <w:rFonts w:ascii="Times New Roman"/>
                <w:sz w:val="18"/>
              </w:rPr>
              <w:t>7</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朗新科技</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59"/>
              <w:ind w:left="856" w:right="60" w:hanging="811"/>
              <w:jc w:val="left"/>
              <w:rPr>
                <w:rFonts w:ascii="宋体" w:hAnsi="宋体" w:cs="宋体" w:eastAsia="宋体" w:hint="default"/>
                <w:sz w:val="18"/>
                <w:szCs w:val="18"/>
              </w:rPr>
            </w:pPr>
            <w:r>
              <w:rPr>
                <w:rFonts w:ascii="宋体" w:hAnsi="宋体" w:cs="宋体" w:eastAsia="宋体" w:hint="default"/>
                <w:sz w:val="18"/>
                <w:szCs w:val="18"/>
              </w:rPr>
              <w:t>杭州东部软件园股份有限 公司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5" w:right="0"/>
              <w:jc w:val="center"/>
              <w:rPr>
                <w:rFonts w:ascii="宋体" w:hAnsi="宋体" w:cs="宋体" w:eastAsia="宋体" w:hint="default"/>
                <w:sz w:val="18"/>
                <w:szCs w:val="18"/>
              </w:rPr>
            </w:pPr>
            <w:r>
              <w:rPr>
                <w:rFonts w:ascii="宋体" w:hAnsi="宋体" w:cs="宋体" w:eastAsia="宋体" w:hint="default"/>
                <w:sz w:val="18"/>
                <w:szCs w:val="18"/>
              </w:rPr>
              <w:t>杭州市西湖区文三路</w:t>
            </w:r>
            <w:r>
              <w:rPr>
                <w:rFonts w:ascii="Times New Roman" w:hAnsi="Times New Roman" w:cs="Times New Roman" w:eastAsia="Times New Roman" w:hint="default"/>
                <w:sz w:val="18"/>
                <w:szCs w:val="18"/>
              </w:rPr>
              <w:t>90</w:t>
            </w:r>
            <w:r>
              <w:rPr>
                <w:rFonts w:ascii="宋体" w:hAnsi="宋体" w:cs="宋体" w:eastAsia="宋体" w:hint="default"/>
                <w:sz w:val="18"/>
                <w:szCs w:val="18"/>
              </w:rPr>
              <w:t>号</w:t>
            </w:r>
            <w:r>
              <w:rPr>
                <w:rFonts w:ascii="Times New Roman" w:hAnsi="Times New Roman" w:cs="Times New Roman" w:eastAsia="Times New Roman" w:hint="default"/>
                <w:sz w:val="18"/>
                <w:szCs w:val="18"/>
              </w:rPr>
              <w:t>71</w:t>
            </w:r>
            <w:r>
              <w:rPr>
                <w:rFonts w:ascii="宋体" w:hAnsi="宋体" w:cs="宋体" w:eastAsia="宋体" w:hint="default"/>
                <w:sz w:val="18"/>
                <w:szCs w:val="18"/>
              </w:rPr>
              <w:t>幢</w:t>
            </w:r>
            <w:r>
              <w:rPr>
                <w:rFonts w:ascii="Times New Roman" w:hAnsi="Times New Roman" w:cs="Times New Roman" w:eastAsia="Times New Roman" w:hint="default"/>
                <w:sz w:val="18"/>
                <w:szCs w:val="18"/>
              </w:rPr>
              <w:t>1</w:t>
            </w:r>
            <w:r>
              <w:rPr>
                <w:rFonts w:ascii="宋体" w:hAnsi="宋体" w:cs="宋体" w:eastAsia="宋体" w:hint="default"/>
                <w:sz w:val="18"/>
                <w:szCs w:val="18"/>
              </w:rPr>
              <w:t>层</w:t>
            </w:r>
            <w:r>
              <w:rPr>
                <w:rFonts w:ascii="Times New Roman" w:hAnsi="Times New Roman" w:cs="Times New Roman" w:eastAsia="Times New Roman" w:hint="default"/>
                <w:sz w:val="18"/>
                <w:szCs w:val="18"/>
              </w:rPr>
              <w:t>B</w:t>
            </w:r>
            <w:r>
              <w:rPr>
                <w:rFonts w:ascii="宋体" w:hAnsi="宋体" w:cs="宋体" w:eastAsia="宋体" w:hint="default"/>
                <w:sz w:val="18"/>
                <w:szCs w:val="18"/>
              </w:rPr>
              <w:t>座</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5"/>
              <w:jc w:val="center"/>
              <w:rPr>
                <w:rFonts w:ascii="Times New Roman" w:hAnsi="Times New Roman" w:cs="Times New Roman" w:eastAsia="Times New Roman" w:hint="default"/>
                <w:sz w:val="18"/>
                <w:szCs w:val="18"/>
              </w:rPr>
            </w:pPr>
            <w:r>
              <w:rPr>
                <w:rFonts w:ascii="Times New Roman"/>
                <w:sz w:val="18"/>
              </w:rPr>
              <w:t>2018.07.30-2021.07.29</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20"/>
              <w:jc w:val="right"/>
              <w:rPr>
                <w:rFonts w:ascii="Times New Roman" w:hAnsi="Times New Roman" w:cs="Times New Roman" w:eastAsia="Times New Roman" w:hint="default"/>
                <w:sz w:val="18"/>
                <w:szCs w:val="18"/>
              </w:rPr>
            </w:pPr>
            <w:r>
              <w:rPr>
                <w:rFonts w:ascii="Times New Roman"/>
                <w:sz w:val="18"/>
              </w:rPr>
              <w:t>1374.23</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right="13"/>
              <w:jc w:val="left"/>
              <w:rPr>
                <w:rFonts w:ascii="宋体" w:hAnsi="宋体" w:cs="宋体" w:eastAsia="宋体" w:hint="default"/>
                <w:sz w:val="18"/>
                <w:szCs w:val="18"/>
              </w:rPr>
            </w:pPr>
            <w:r>
              <w:rPr>
                <w:rFonts w:ascii="宋体" w:hAnsi="宋体" w:cs="宋体" w:eastAsia="宋体" w:hint="default"/>
                <w:sz w:val="18"/>
                <w:szCs w:val="18"/>
              </w:rPr>
              <w:t>从事经 营活动</w:t>
            </w:r>
          </w:p>
        </w:tc>
      </w:tr>
      <w:tr>
        <w:trPr>
          <w:trHeight w:val="736"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center"/>
              <w:rPr>
                <w:rFonts w:ascii="Times New Roman" w:hAnsi="Times New Roman" w:cs="Times New Roman" w:eastAsia="Times New Roman" w:hint="default"/>
                <w:sz w:val="18"/>
                <w:szCs w:val="18"/>
              </w:rPr>
            </w:pPr>
            <w:r>
              <w:rPr>
                <w:rFonts w:ascii="Times New Roman"/>
                <w:sz w:val="18"/>
              </w:rPr>
              <w:t>8</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朗新科技</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5" w:right="0"/>
              <w:jc w:val="left"/>
              <w:rPr>
                <w:rFonts w:ascii="宋体" w:hAnsi="宋体" w:cs="宋体" w:eastAsia="宋体" w:hint="default"/>
                <w:sz w:val="18"/>
                <w:szCs w:val="18"/>
              </w:rPr>
            </w:pPr>
            <w:r>
              <w:rPr>
                <w:rFonts w:ascii="宋体" w:hAnsi="宋体" w:cs="宋体" w:eastAsia="宋体" w:hint="default"/>
                <w:sz w:val="18"/>
                <w:szCs w:val="18"/>
              </w:rPr>
              <w:t>杭州东部软件园有限公司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4" w:right="0"/>
              <w:jc w:val="center"/>
              <w:rPr>
                <w:rFonts w:ascii="宋体" w:hAnsi="宋体" w:cs="宋体" w:eastAsia="宋体" w:hint="default"/>
                <w:sz w:val="18"/>
                <w:szCs w:val="18"/>
              </w:rPr>
            </w:pPr>
            <w:r>
              <w:rPr>
                <w:rFonts w:ascii="宋体" w:hAnsi="宋体" w:cs="宋体" w:eastAsia="宋体" w:hint="default"/>
                <w:sz w:val="18"/>
                <w:szCs w:val="18"/>
              </w:rPr>
              <w:t>杭州市文三路</w:t>
            </w:r>
            <w:r>
              <w:rPr>
                <w:rFonts w:ascii="Times New Roman" w:hAnsi="Times New Roman" w:cs="Times New Roman" w:eastAsia="Times New Roman" w:hint="default"/>
                <w:sz w:val="18"/>
                <w:szCs w:val="18"/>
              </w:rPr>
              <w:t>90</w:t>
            </w:r>
            <w:r>
              <w:rPr>
                <w:rFonts w:ascii="宋体" w:hAnsi="宋体" w:cs="宋体" w:eastAsia="宋体" w:hint="default"/>
                <w:sz w:val="18"/>
                <w:szCs w:val="18"/>
              </w:rPr>
              <w:t>号</w:t>
            </w:r>
            <w:r>
              <w:rPr>
                <w:rFonts w:ascii="Times New Roman" w:hAnsi="Times New Roman" w:cs="Times New Roman" w:eastAsia="Times New Roman" w:hint="default"/>
                <w:sz w:val="18"/>
                <w:szCs w:val="18"/>
              </w:rPr>
              <w:t>71</w:t>
            </w:r>
            <w:r>
              <w:rPr>
                <w:rFonts w:ascii="宋体" w:hAnsi="宋体" w:cs="宋体" w:eastAsia="宋体" w:hint="default"/>
                <w:sz w:val="18"/>
                <w:szCs w:val="18"/>
              </w:rPr>
              <w:t>幢</w:t>
            </w:r>
            <w:r>
              <w:rPr>
                <w:rFonts w:ascii="Times New Roman" w:hAnsi="Times New Roman" w:cs="Times New Roman" w:eastAsia="Times New Roman" w:hint="default"/>
                <w:sz w:val="18"/>
                <w:szCs w:val="18"/>
              </w:rPr>
              <w:t>1</w:t>
            </w:r>
            <w:r>
              <w:rPr>
                <w:rFonts w:ascii="宋体" w:hAnsi="宋体" w:cs="宋体" w:eastAsia="宋体" w:hint="default"/>
                <w:sz w:val="18"/>
                <w:szCs w:val="18"/>
              </w:rPr>
              <w:t>层东</w:t>
            </w:r>
            <w:r>
              <w:rPr>
                <w:rFonts w:ascii="Times New Roman" w:hAnsi="Times New Roman" w:cs="Times New Roman" w:eastAsia="Times New Roman" w:hint="default"/>
                <w:sz w:val="18"/>
                <w:szCs w:val="18"/>
              </w:rPr>
              <w:t>101</w:t>
            </w:r>
            <w:r>
              <w:rPr>
                <w:rFonts w:ascii="宋体" w:hAnsi="宋体" w:cs="宋体" w:eastAsia="宋体" w:hint="default"/>
                <w:sz w:val="18"/>
                <w:szCs w:val="18"/>
              </w:rPr>
              <w:t>房间</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5"/>
              <w:jc w:val="center"/>
              <w:rPr>
                <w:rFonts w:ascii="Times New Roman" w:hAnsi="Times New Roman" w:cs="Times New Roman" w:eastAsia="Times New Roman" w:hint="default"/>
                <w:sz w:val="18"/>
                <w:szCs w:val="18"/>
              </w:rPr>
            </w:pPr>
            <w:r>
              <w:rPr>
                <w:rFonts w:ascii="Times New Roman"/>
                <w:sz w:val="18"/>
              </w:rPr>
              <w:t>2018.07.30-2021.07.29</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55" w:right="0"/>
              <w:jc w:val="left"/>
              <w:rPr>
                <w:rFonts w:ascii="Times New Roman" w:hAnsi="Times New Roman" w:cs="Times New Roman" w:eastAsia="Times New Roman" w:hint="default"/>
                <w:sz w:val="18"/>
                <w:szCs w:val="18"/>
              </w:rPr>
            </w:pPr>
            <w:r>
              <w:rPr>
                <w:rFonts w:ascii="Times New Roman"/>
                <w:sz w:val="18"/>
              </w:rPr>
              <w:t>337</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right="14"/>
              <w:jc w:val="left"/>
              <w:rPr>
                <w:rFonts w:ascii="宋体" w:hAnsi="宋体" w:cs="宋体" w:eastAsia="宋体" w:hint="default"/>
                <w:sz w:val="18"/>
                <w:szCs w:val="18"/>
              </w:rPr>
            </w:pPr>
            <w:r>
              <w:rPr>
                <w:rFonts w:ascii="宋体" w:hAnsi="宋体" w:cs="宋体" w:eastAsia="宋体" w:hint="default"/>
                <w:sz w:val="18"/>
                <w:szCs w:val="18"/>
              </w:rPr>
              <w:t>从事经 营活动</w:t>
            </w:r>
          </w:p>
        </w:tc>
      </w:tr>
      <w:tr>
        <w:trPr>
          <w:trHeight w:val="78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sz w:val="18"/>
              </w:rPr>
              <w:t>9</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朗新智能</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74"/>
              <w:ind w:left="495" w:right="60" w:hanging="451"/>
              <w:jc w:val="left"/>
              <w:rPr>
                <w:rFonts w:ascii="宋体" w:hAnsi="宋体" w:cs="宋体" w:eastAsia="宋体" w:hint="default"/>
                <w:sz w:val="18"/>
                <w:szCs w:val="18"/>
              </w:rPr>
            </w:pPr>
            <w:r>
              <w:rPr>
                <w:rFonts w:ascii="宋体" w:hAnsi="宋体" w:cs="宋体" w:eastAsia="宋体" w:hint="default"/>
                <w:sz w:val="18"/>
                <w:szCs w:val="18"/>
              </w:rPr>
              <w:t>杭州市下城区人民政府长 庆街道办事处</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4" w:right="0"/>
              <w:jc w:val="center"/>
              <w:rPr>
                <w:rFonts w:ascii="宋体" w:hAnsi="宋体" w:cs="宋体" w:eastAsia="宋体" w:hint="default"/>
                <w:sz w:val="18"/>
                <w:szCs w:val="18"/>
              </w:rPr>
            </w:pPr>
            <w:r>
              <w:rPr>
                <w:rFonts w:ascii="宋体" w:hAnsi="宋体" w:cs="宋体" w:eastAsia="宋体" w:hint="default"/>
                <w:sz w:val="18"/>
                <w:szCs w:val="18"/>
              </w:rPr>
              <w:t>杭州市下城区水星阁</w:t>
            </w:r>
            <w:r>
              <w:rPr>
                <w:rFonts w:ascii="Times New Roman" w:hAnsi="Times New Roman" w:cs="Times New Roman" w:eastAsia="Times New Roman" w:hint="default"/>
                <w:sz w:val="18"/>
                <w:szCs w:val="18"/>
              </w:rPr>
              <w:t>27</w:t>
            </w:r>
            <w:r>
              <w:rPr>
                <w:rFonts w:ascii="宋体" w:hAnsi="宋体" w:cs="宋体" w:eastAsia="宋体" w:hint="default"/>
                <w:sz w:val="18"/>
                <w:szCs w:val="18"/>
              </w:rPr>
              <w:t>幢</w:t>
            </w:r>
            <w:r>
              <w:rPr>
                <w:rFonts w:ascii="Times New Roman" w:hAnsi="Times New Roman" w:cs="Times New Roman" w:eastAsia="Times New Roman" w:hint="default"/>
                <w:sz w:val="18"/>
                <w:szCs w:val="18"/>
              </w:rPr>
              <w:t>207</w:t>
            </w:r>
            <w:r>
              <w:rPr>
                <w:rFonts w:ascii="宋体" w:hAnsi="宋体" w:cs="宋体" w:eastAsia="宋体" w:hint="default"/>
                <w:sz w:val="18"/>
                <w:szCs w:val="18"/>
              </w:rPr>
              <w:t>室</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2019.03.14-2020.03.13</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2"/>
              <w:jc w:val="center"/>
              <w:rPr>
                <w:rFonts w:ascii="Times New Roman" w:hAnsi="Times New Roman" w:cs="Times New Roman" w:eastAsia="Times New Roman" w:hint="default"/>
                <w:sz w:val="18"/>
                <w:szCs w:val="18"/>
              </w:rPr>
            </w:pPr>
            <w:r>
              <w:rPr>
                <w:rFonts w:ascii="Times New Roman"/>
                <w:sz w:val="18"/>
              </w:rPr>
              <w:t>25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1096"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center"/>
              <w:rPr>
                <w:rFonts w:ascii="Times New Roman" w:hAnsi="Times New Roman" w:cs="Times New Roman" w:eastAsia="Times New Roman" w:hint="default"/>
                <w:sz w:val="18"/>
                <w:szCs w:val="18"/>
              </w:rPr>
            </w:pPr>
            <w:r>
              <w:rPr>
                <w:rFonts w:ascii="Times New Roman"/>
                <w:sz w:val="18"/>
              </w:rPr>
              <w:t>10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59"/>
              <w:ind w:left="60" w:right="60"/>
              <w:jc w:val="center"/>
              <w:rPr>
                <w:rFonts w:ascii="宋体" w:hAnsi="宋体" w:cs="宋体" w:eastAsia="宋体" w:hint="default"/>
                <w:sz w:val="18"/>
                <w:szCs w:val="18"/>
              </w:rPr>
            </w:pPr>
            <w:r>
              <w:rPr>
                <w:rFonts w:ascii="宋体" w:hAnsi="宋体" w:cs="宋体" w:eastAsia="宋体" w:hint="default"/>
                <w:sz w:val="18"/>
                <w:szCs w:val="18"/>
              </w:rPr>
              <w:t>朗新科技 杭州分公 司</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59"/>
              <w:ind w:left="495" w:right="60" w:hanging="451"/>
              <w:jc w:val="left"/>
              <w:rPr>
                <w:rFonts w:ascii="宋体" w:hAnsi="宋体" w:cs="宋体" w:eastAsia="宋体" w:hint="default"/>
                <w:sz w:val="18"/>
                <w:szCs w:val="18"/>
              </w:rPr>
            </w:pPr>
            <w:r>
              <w:rPr>
                <w:rFonts w:ascii="宋体" w:hAnsi="宋体" w:cs="宋体" w:eastAsia="宋体" w:hint="default"/>
                <w:sz w:val="18"/>
                <w:szCs w:val="18"/>
              </w:rPr>
              <w:t>杭州市下城区人民政府长 庆街道办事处</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5" w:right="0"/>
              <w:jc w:val="center"/>
              <w:rPr>
                <w:rFonts w:ascii="宋体" w:hAnsi="宋体" w:cs="宋体" w:eastAsia="宋体" w:hint="default"/>
                <w:sz w:val="18"/>
                <w:szCs w:val="18"/>
              </w:rPr>
            </w:pPr>
            <w:r>
              <w:rPr>
                <w:rFonts w:ascii="宋体" w:hAnsi="宋体" w:cs="宋体" w:eastAsia="宋体" w:hint="default"/>
                <w:sz w:val="18"/>
                <w:szCs w:val="18"/>
              </w:rPr>
              <w:t>杭州市下城区新坝</w:t>
            </w:r>
            <w:r>
              <w:rPr>
                <w:rFonts w:ascii="Times New Roman" w:hAnsi="Times New Roman" w:cs="Times New Roman" w:eastAsia="Times New Roman" w:hint="default"/>
                <w:sz w:val="18"/>
                <w:szCs w:val="18"/>
              </w:rPr>
              <w:t>21</w:t>
            </w:r>
            <w:r>
              <w:rPr>
                <w:rFonts w:ascii="宋体" w:hAnsi="宋体" w:cs="宋体" w:eastAsia="宋体" w:hint="default"/>
                <w:sz w:val="18"/>
                <w:szCs w:val="18"/>
              </w:rPr>
              <w:t>号</w:t>
            </w:r>
            <w:r>
              <w:rPr>
                <w:rFonts w:ascii="Times New Roman" w:hAnsi="Times New Roman" w:cs="Times New Roman" w:eastAsia="Times New Roman" w:hint="default"/>
                <w:sz w:val="18"/>
                <w:szCs w:val="18"/>
              </w:rPr>
              <w:t>606</w:t>
            </w:r>
            <w:r>
              <w:rPr>
                <w:rFonts w:ascii="宋体" w:hAnsi="宋体" w:cs="宋体" w:eastAsia="宋体" w:hint="default"/>
                <w:sz w:val="18"/>
                <w:szCs w:val="18"/>
              </w:rPr>
              <w:t>室</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5"/>
              <w:jc w:val="center"/>
              <w:rPr>
                <w:rFonts w:ascii="Times New Roman" w:hAnsi="Times New Roman" w:cs="Times New Roman" w:eastAsia="Times New Roman" w:hint="default"/>
                <w:sz w:val="18"/>
                <w:szCs w:val="18"/>
              </w:rPr>
            </w:pPr>
            <w:r>
              <w:rPr>
                <w:rFonts w:ascii="Times New Roman"/>
                <w:sz w:val="18"/>
              </w:rPr>
              <w:t>2019.08.15-2020.08.14</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2"/>
              <w:jc w:val="center"/>
              <w:rPr>
                <w:rFonts w:ascii="Times New Roman" w:hAnsi="Times New Roman" w:cs="Times New Roman" w:eastAsia="Times New Roman" w:hint="default"/>
                <w:sz w:val="18"/>
                <w:szCs w:val="18"/>
              </w:rPr>
            </w:pPr>
            <w:r>
              <w:rPr>
                <w:rFonts w:ascii="Times New Roman"/>
                <w:sz w:val="18"/>
              </w:rPr>
              <w:t>25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766"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center"/>
              <w:rPr>
                <w:rFonts w:ascii="Times New Roman" w:hAnsi="Times New Roman" w:cs="Times New Roman" w:eastAsia="Times New Roman" w:hint="default"/>
                <w:sz w:val="18"/>
                <w:szCs w:val="18"/>
              </w:rPr>
            </w:pPr>
            <w:r>
              <w:rPr>
                <w:rFonts w:ascii="Times New Roman"/>
                <w:sz w:val="18"/>
              </w:rPr>
              <w:t>11</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朗新科技</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59"/>
              <w:ind w:left="585" w:right="16" w:hanging="586"/>
              <w:jc w:val="left"/>
              <w:rPr>
                <w:rFonts w:ascii="宋体" w:hAnsi="宋体" w:cs="宋体" w:eastAsia="宋体" w:hint="default"/>
                <w:sz w:val="18"/>
                <w:szCs w:val="18"/>
              </w:rPr>
            </w:pPr>
            <w:r>
              <w:rPr>
                <w:rFonts w:ascii="宋体" w:hAnsi="宋体" w:cs="宋体" w:eastAsia="宋体" w:hint="default"/>
                <w:spacing w:val="-8"/>
                <w:sz w:val="18"/>
                <w:szCs w:val="18"/>
              </w:rPr>
              <w:t>张伟、刘中愉、刘仁强、陈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建设、刘虹</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59"/>
              <w:ind w:left="420" w:right="31" w:hanging="376"/>
              <w:jc w:val="left"/>
              <w:rPr>
                <w:rFonts w:ascii="宋体" w:hAnsi="宋体" w:cs="宋体" w:eastAsia="宋体" w:hint="default"/>
                <w:sz w:val="18"/>
                <w:szCs w:val="18"/>
              </w:rPr>
            </w:pPr>
            <w:r>
              <w:rPr>
                <w:rFonts w:ascii="宋体" w:hAnsi="宋体" w:cs="宋体" w:eastAsia="宋体" w:hint="default"/>
                <w:sz w:val="18"/>
                <w:szCs w:val="18"/>
              </w:rPr>
              <w:t>武汉市东湖开发区光谷软件园中路以 西光谷软件园六期</w:t>
            </w:r>
            <w:r>
              <w:rPr>
                <w:rFonts w:ascii="Times New Roman" w:hAnsi="Times New Roman" w:cs="Times New Roman" w:eastAsia="Times New Roman" w:hint="default"/>
                <w:sz w:val="18"/>
                <w:szCs w:val="18"/>
              </w:rPr>
              <w:t>2</w:t>
            </w:r>
            <w:r>
              <w:rPr>
                <w:rFonts w:ascii="宋体" w:hAnsi="宋体" w:cs="宋体" w:eastAsia="宋体" w:hint="default"/>
                <w:sz w:val="18"/>
                <w:szCs w:val="18"/>
              </w:rPr>
              <w:t>栋</w:t>
            </w:r>
            <w:r>
              <w:rPr>
                <w:rFonts w:ascii="Times New Roman" w:hAnsi="Times New Roman" w:cs="Times New Roman" w:eastAsia="Times New Roman" w:hint="default"/>
                <w:sz w:val="18"/>
                <w:szCs w:val="18"/>
              </w:rPr>
              <w:t>2-3</w:t>
            </w:r>
            <w:r>
              <w:rPr>
                <w:rFonts w:ascii="宋体" w:hAnsi="宋体" w:cs="宋体" w:eastAsia="宋体" w:hint="default"/>
                <w:sz w:val="18"/>
                <w:szCs w:val="18"/>
              </w:rPr>
              <w:t>层</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5"/>
              <w:jc w:val="center"/>
              <w:rPr>
                <w:rFonts w:ascii="Times New Roman" w:hAnsi="Times New Roman" w:cs="Times New Roman" w:eastAsia="Times New Roman" w:hint="default"/>
                <w:sz w:val="18"/>
                <w:szCs w:val="18"/>
              </w:rPr>
            </w:pPr>
            <w:r>
              <w:rPr>
                <w:rFonts w:ascii="Times New Roman"/>
                <w:sz w:val="18"/>
              </w:rPr>
              <w:t>2018.03.15-2021.03.14</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20"/>
              <w:jc w:val="right"/>
              <w:rPr>
                <w:rFonts w:ascii="Times New Roman" w:hAnsi="Times New Roman" w:cs="Times New Roman" w:eastAsia="Times New Roman" w:hint="default"/>
                <w:sz w:val="18"/>
                <w:szCs w:val="18"/>
              </w:rPr>
            </w:pPr>
            <w:r>
              <w:rPr>
                <w:rFonts w:ascii="Times New Roman"/>
                <w:sz w:val="18"/>
              </w:rPr>
              <w:t>3272.95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90" w:right="13" w:hanging="90"/>
              <w:jc w:val="left"/>
              <w:rPr>
                <w:rFonts w:ascii="宋体" w:hAnsi="宋体" w:cs="宋体" w:eastAsia="宋体" w:hint="default"/>
                <w:sz w:val="18"/>
                <w:szCs w:val="18"/>
              </w:rPr>
            </w:pPr>
            <w:r>
              <w:rPr>
                <w:rFonts w:ascii="宋体" w:hAnsi="宋体" w:cs="宋体" w:eastAsia="宋体" w:hint="default"/>
                <w:sz w:val="18"/>
                <w:szCs w:val="18"/>
              </w:rPr>
              <w:t>办公及 研发</w:t>
            </w:r>
          </w:p>
        </w:tc>
      </w:tr>
      <w:tr>
        <w:trPr>
          <w:trHeight w:val="78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sz w:val="18"/>
              </w:rPr>
              <w:t>12</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朗新科技</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75"/>
              <w:ind w:left="946" w:right="60" w:hanging="901"/>
              <w:jc w:val="left"/>
              <w:rPr>
                <w:rFonts w:ascii="宋体" w:hAnsi="宋体" w:cs="宋体" w:eastAsia="宋体" w:hint="default"/>
                <w:sz w:val="18"/>
                <w:szCs w:val="18"/>
              </w:rPr>
            </w:pPr>
            <w:r>
              <w:rPr>
                <w:rFonts w:ascii="宋体" w:hAnsi="宋体" w:cs="宋体" w:eastAsia="宋体" w:hint="default"/>
                <w:sz w:val="18"/>
                <w:szCs w:val="18"/>
              </w:rPr>
              <w:t>厦门清大智慧科技有限公 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90"/>
              <w:ind w:left="150" w:right="74" w:hanging="60"/>
              <w:jc w:val="left"/>
              <w:rPr>
                <w:rFonts w:ascii="宋体" w:hAnsi="宋体" w:cs="宋体" w:eastAsia="宋体" w:hint="default"/>
                <w:sz w:val="18"/>
                <w:szCs w:val="18"/>
              </w:rPr>
            </w:pPr>
            <w:r>
              <w:rPr>
                <w:rFonts w:ascii="宋体" w:hAnsi="宋体" w:cs="宋体" w:eastAsia="宋体" w:hint="default"/>
                <w:sz w:val="18"/>
                <w:szCs w:val="18"/>
              </w:rPr>
              <w:t>厦门市湖里区岐山北路</w:t>
            </w:r>
            <w:r>
              <w:rPr>
                <w:rFonts w:ascii="Times New Roman" w:hAnsi="Times New Roman" w:cs="Times New Roman" w:eastAsia="Times New Roman" w:hint="default"/>
                <w:sz w:val="18"/>
                <w:szCs w:val="18"/>
              </w:rPr>
              <w:t>508</w:t>
            </w:r>
            <w:r>
              <w:rPr>
                <w:rFonts w:ascii="宋体" w:hAnsi="宋体" w:cs="宋体" w:eastAsia="宋体" w:hint="default"/>
                <w:sz w:val="18"/>
                <w:szCs w:val="18"/>
              </w:rPr>
              <w:t>号清华海 峡研究院创新中心</w:t>
            </w:r>
            <w:r>
              <w:rPr>
                <w:rFonts w:ascii="Times New Roman" w:hAnsi="Times New Roman" w:cs="Times New Roman" w:eastAsia="Times New Roman" w:hint="default"/>
                <w:sz w:val="18"/>
                <w:szCs w:val="18"/>
              </w:rPr>
              <w:t>A</w:t>
            </w:r>
            <w:r>
              <w:rPr>
                <w:rFonts w:ascii="宋体" w:hAnsi="宋体" w:cs="宋体" w:eastAsia="宋体" w:hint="default"/>
                <w:sz w:val="18"/>
                <w:szCs w:val="18"/>
              </w:rPr>
              <w:t>栋</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层</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2019.01.01-2023.12.31</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10" w:right="0"/>
              <w:jc w:val="left"/>
              <w:rPr>
                <w:rFonts w:ascii="Times New Roman" w:hAnsi="Times New Roman" w:cs="Times New Roman" w:eastAsia="Times New Roman" w:hint="default"/>
                <w:sz w:val="18"/>
                <w:szCs w:val="18"/>
              </w:rPr>
            </w:pPr>
            <w:r>
              <w:rPr>
                <w:rFonts w:ascii="Times New Roman"/>
                <w:sz w:val="18"/>
              </w:rPr>
              <w:t>3000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60"/>
              <w:ind w:left="90" w:right="13" w:hanging="90"/>
              <w:jc w:val="left"/>
              <w:rPr>
                <w:rFonts w:ascii="宋体" w:hAnsi="宋体" w:cs="宋体" w:eastAsia="宋体" w:hint="default"/>
                <w:sz w:val="18"/>
                <w:szCs w:val="18"/>
              </w:rPr>
            </w:pPr>
            <w:r>
              <w:rPr>
                <w:rFonts w:ascii="宋体" w:hAnsi="宋体" w:cs="宋体" w:eastAsia="宋体" w:hint="default"/>
                <w:sz w:val="18"/>
                <w:szCs w:val="18"/>
              </w:rPr>
              <w:t>科研、 办公</w:t>
            </w:r>
          </w:p>
        </w:tc>
      </w:tr>
      <w:tr>
        <w:trPr>
          <w:trHeight w:val="78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sz w:val="18"/>
              </w:rPr>
              <w:t>13</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朗新科技</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74"/>
              <w:ind w:left="946" w:right="60" w:hanging="901"/>
              <w:jc w:val="left"/>
              <w:rPr>
                <w:rFonts w:ascii="宋体" w:hAnsi="宋体" w:cs="宋体" w:eastAsia="宋体" w:hint="default"/>
                <w:sz w:val="18"/>
                <w:szCs w:val="18"/>
              </w:rPr>
            </w:pPr>
            <w:r>
              <w:rPr>
                <w:rFonts w:ascii="宋体" w:hAnsi="宋体" w:cs="宋体" w:eastAsia="宋体" w:hint="default"/>
                <w:sz w:val="18"/>
                <w:szCs w:val="18"/>
              </w:rPr>
              <w:t>国网湖北电力实业有限公 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89"/>
              <w:ind w:left="946" w:right="73" w:hanging="856"/>
              <w:jc w:val="left"/>
              <w:rPr>
                <w:rFonts w:ascii="宋体" w:hAnsi="宋体" w:cs="宋体" w:eastAsia="宋体" w:hint="default"/>
                <w:sz w:val="18"/>
                <w:szCs w:val="18"/>
              </w:rPr>
            </w:pPr>
            <w:r>
              <w:rPr>
                <w:rFonts w:ascii="宋体" w:hAnsi="宋体" w:cs="宋体" w:eastAsia="宋体" w:hint="default"/>
                <w:sz w:val="18"/>
                <w:szCs w:val="18"/>
              </w:rPr>
              <w:t>湖北省武汉市武昌中北路</w:t>
            </w:r>
            <w:r>
              <w:rPr>
                <w:rFonts w:ascii="Times New Roman" w:hAnsi="Times New Roman" w:cs="Times New Roman" w:eastAsia="Times New Roman" w:hint="default"/>
                <w:sz w:val="18"/>
                <w:szCs w:val="18"/>
              </w:rPr>
              <w:t>156</w:t>
            </w:r>
            <w:r>
              <w:rPr>
                <w:rFonts w:ascii="宋体" w:hAnsi="宋体" w:cs="宋体" w:eastAsia="宋体" w:hint="default"/>
                <w:sz w:val="18"/>
                <w:szCs w:val="18"/>
              </w:rPr>
              <w:t>号长源 大厦</w:t>
            </w:r>
            <w:r>
              <w:rPr>
                <w:rFonts w:ascii="Times New Roman" w:hAnsi="Times New Roman" w:cs="Times New Roman" w:eastAsia="Times New Roman" w:hint="default"/>
                <w:sz w:val="18"/>
                <w:szCs w:val="18"/>
              </w:rPr>
              <w:t>18</w:t>
            </w:r>
            <w:r>
              <w:rPr>
                <w:rFonts w:ascii="宋体" w:hAnsi="宋体" w:cs="宋体" w:eastAsia="宋体" w:hint="default"/>
                <w:sz w:val="18"/>
                <w:szCs w:val="18"/>
              </w:rPr>
              <w:t>层整层</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2019.04.25-2020.04.24</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55" w:right="0"/>
              <w:jc w:val="left"/>
              <w:rPr>
                <w:rFonts w:ascii="Times New Roman" w:hAnsi="Times New Roman" w:cs="Times New Roman" w:eastAsia="Times New Roman" w:hint="default"/>
                <w:sz w:val="18"/>
                <w:szCs w:val="18"/>
              </w:rPr>
            </w:pPr>
            <w:r>
              <w:rPr>
                <w:rFonts w:ascii="Times New Roman"/>
                <w:sz w:val="18"/>
              </w:rPr>
              <w:t>486</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78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sz w:val="18"/>
              </w:rPr>
              <w:t>14</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北京朗新</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74"/>
              <w:ind w:left="946" w:right="60" w:hanging="901"/>
              <w:jc w:val="left"/>
              <w:rPr>
                <w:rFonts w:ascii="宋体" w:hAnsi="宋体" w:cs="宋体" w:eastAsia="宋体" w:hint="default"/>
                <w:sz w:val="18"/>
                <w:szCs w:val="18"/>
              </w:rPr>
            </w:pPr>
            <w:r>
              <w:rPr>
                <w:rFonts w:ascii="宋体" w:hAnsi="宋体" w:cs="宋体" w:eastAsia="宋体" w:hint="default"/>
                <w:sz w:val="18"/>
                <w:szCs w:val="18"/>
              </w:rPr>
              <w:t>北京瑞企创业科技有限公 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89"/>
              <w:ind w:left="856" w:right="74" w:hanging="766"/>
              <w:jc w:val="left"/>
              <w:rPr>
                <w:rFonts w:ascii="宋体" w:hAnsi="宋体" w:cs="宋体" w:eastAsia="宋体" w:hint="default"/>
                <w:sz w:val="18"/>
                <w:szCs w:val="18"/>
              </w:rPr>
            </w:pPr>
            <w:r>
              <w:rPr>
                <w:rFonts w:ascii="宋体" w:hAnsi="宋体" w:cs="宋体" w:eastAsia="宋体" w:hint="default"/>
                <w:sz w:val="18"/>
                <w:szCs w:val="18"/>
              </w:rPr>
              <w:t>北京市海淀区知春路</w:t>
            </w:r>
            <w:r>
              <w:rPr>
                <w:rFonts w:ascii="Times New Roman" w:hAnsi="Times New Roman" w:cs="Times New Roman" w:eastAsia="Times New Roman" w:hint="default"/>
                <w:sz w:val="18"/>
                <w:szCs w:val="18"/>
              </w:rPr>
              <w:t>51</w:t>
            </w:r>
            <w:r>
              <w:rPr>
                <w:rFonts w:ascii="宋体" w:hAnsi="宋体" w:cs="宋体" w:eastAsia="宋体" w:hint="default"/>
                <w:sz w:val="18"/>
                <w:szCs w:val="18"/>
              </w:rPr>
              <w:t>号慎昌大厦</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层第</w:t>
            </w:r>
            <w:r>
              <w:rPr>
                <w:rFonts w:ascii="Times New Roman" w:hAnsi="Times New Roman" w:cs="Times New Roman" w:eastAsia="Times New Roman" w:hint="default"/>
                <w:sz w:val="18"/>
                <w:szCs w:val="18"/>
              </w:rPr>
              <w:t>4568</w:t>
            </w:r>
            <w:r>
              <w:rPr>
                <w:rFonts w:ascii="宋体" w:hAnsi="宋体" w:cs="宋体" w:eastAsia="宋体" w:hint="default"/>
                <w:sz w:val="18"/>
                <w:szCs w:val="18"/>
              </w:rPr>
              <w:t>号房屋</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2020.01.01-2020.12.31</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2"/>
              <w:jc w:val="center"/>
              <w:rPr>
                <w:rFonts w:ascii="Times New Roman" w:hAnsi="Times New Roman" w:cs="Times New Roman" w:eastAsia="Times New Roman" w:hint="default"/>
                <w:sz w:val="18"/>
                <w:szCs w:val="18"/>
              </w:rPr>
            </w:pPr>
            <w:r>
              <w:rPr>
                <w:rFonts w:ascii="Times New Roman"/>
                <w:sz w:val="18"/>
              </w:rPr>
              <w:t>20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78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sz w:val="18"/>
              </w:rPr>
              <w:t>15</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朗新科技</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75"/>
              <w:ind w:left="405" w:right="60" w:hanging="360"/>
              <w:jc w:val="left"/>
              <w:rPr>
                <w:rFonts w:ascii="宋体" w:hAnsi="宋体" w:cs="宋体" w:eastAsia="宋体" w:hint="default"/>
                <w:sz w:val="18"/>
                <w:szCs w:val="18"/>
              </w:rPr>
            </w:pPr>
            <w:r>
              <w:rPr>
                <w:rFonts w:ascii="宋体" w:hAnsi="宋体" w:cs="宋体" w:eastAsia="宋体" w:hint="default"/>
                <w:sz w:val="18"/>
                <w:szCs w:val="18"/>
              </w:rPr>
              <w:t>广州怡顺房地产开发有限 公司琶洲分公司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75"/>
              <w:ind w:left="630" w:right="29" w:hanging="586"/>
              <w:jc w:val="left"/>
              <w:rPr>
                <w:rFonts w:ascii="宋体" w:hAnsi="宋体" w:cs="宋体" w:eastAsia="宋体" w:hint="default"/>
                <w:sz w:val="18"/>
                <w:szCs w:val="18"/>
              </w:rPr>
            </w:pPr>
            <w:r>
              <w:rPr>
                <w:rFonts w:ascii="宋体" w:hAnsi="宋体" w:cs="宋体" w:eastAsia="宋体" w:hint="default"/>
                <w:sz w:val="18"/>
                <w:szCs w:val="18"/>
              </w:rPr>
              <w:t>广州市海珠区暄悦东街</w:t>
            </w:r>
            <w:r>
              <w:rPr>
                <w:rFonts w:ascii="Times New Roman" w:hAnsi="Times New Roman" w:cs="Times New Roman" w:eastAsia="Times New Roman" w:hint="default"/>
                <w:sz w:val="18"/>
                <w:szCs w:val="18"/>
              </w:rPr>
              <w:t>23</w:t>
            </w:r>
            <w:r>
              <w:rPr>
                <w:rFonts w:ascii="宋体" w:hAnsi="宋体" w:cs="宋体" w:eastAsia="宋体" w:hint="default"/>
                <w:sz w:val="18"/>
                <w:szCs w:val="18"/>
              </w:rPr>
              <w:t>号保利中悦 广场第</w:t>
            </w:r>
            <w:r>
              <w:rPr>
                <w:rFonts w:ascii="Times New Roman" w:hAnsi="Times New Roman" w:cs="Times New Roman" w:eastAsia="Times New Roman" w:hint="default"/>
                <w:sz w:val="18"/>
                <w:szCs w:val="18"/>
              </w:rPr>
              <w:t>22</w:t>
            </w:r>
            <w:r>
              <w:rPr>
                <w:rFonts w:ascii="宋体" w:hAnsi="宋体" w:cs="宋体" w:eastAsia="宋体" w:hint="default"/>
                <w:sz w:val="18"/>
                <w:szCs w:val="18"/>
              </w:rPr>
              <w:t>层自编</w:t>
            </w:r>
            <w:r>
              <w:rPr>
                <w:rFonts w:ascii="Times New Roman" w:hAnsi="Times New Roman" w:cs="Times New Roman" w:eastAsia="Times New Roman" w:hint="default"/>
                <w:sz w:val="18"/>
                <w:szCs w:val="18"/>
              </w:rPr>
              <w:t>3</w:t>
            </w:r>
            <w:r>
              <w:rPr>
                <w:rFonts w:ascii="宋体" w:hAnsi="宋体" w:cs="宋体" w:eastAsia="宋体" w:hint="default"/>
                <w:sz w:val="18"/>
                <w:szCs w:val="18"/>
              </w:rPr>
              <w:t>单元</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2018.10.01-2023.09.30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55" w:right="0"/>
              <w:jc w:val="left"/>
              <w:rPr>
                <w:rFonts w:ascii="Times New Roman" w:hAnsi="Times New Roman" w:cs="Times New Roman" w:eastAsia="Times New Roman" w:hint="default"/>
                <w:sz w:val="18"/>
                <w:szCs w:val="18"/>
              </w:rPr>
            </w:pPr>
            <w:r>
              <w:rPr>
                <w:rFonts w:ascii="Times New Roman"/>
                <w:sz w:val="18"/>
              </w:rPr>
              <w:t>690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3"/>
              <w:jc w:val="center"/>
              <w:rPr>
                <w:rFonts w:ascii="宋体" w:hAnsi="宋体" w:cs="宋体" w:eastAsia="宋体" w:hint="default"/>
                <w:sz w:val="18"/>
                <w:szCs w:val="18"/>
              </w:rPr>
            </w:pPr>
            <w:r>
              <w:rPr>
                <w:rFonts w:ascii="宋体" w:hAnsi="宋体" w:cs="宋体" w:eastAsia="宋体" w:hint="default"/>
                <w:sz w:val="18"/>
                <w:szCs w:val="18"/>
              </w:rPr>
              <w:t>办公室</w:t>
            </w:r>
          </w:p>
        </w:tc>
      </w:tr>
      <w:tr>
        <w:trPr>
          <w:trHeight w:val="780"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3"/>
              <w:jc w:val="center"/>
              <w:rPr>
                <w:rFonts w:ascii="Times New Roman" w:hAnsi="Times New Roman" w:cs="Times New Roman" w:eastAsia="Times New Roman" w:hint="default"/>
                <w:sz w:val="18"/>
                <w:szCs w:val="18"/>
              </w:rPr>
            </w:pPr>
            <w:r>
              <w:rPr>
                <w:rFonts w:ascii="Times New Roman"/>
                <w:sz w:val="18"/>
              </w:rPr>
              <w:t>16</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朗新科技</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74"/>
              <w:ind w:left="946" w:right="60" w:hanging="901"/>
              <w:jc w:val="left"/>
              <w:rPr>
                <w:rFonts w:ascii="宋体" w:hAnsi="宋体" w:cs="宋体" w:eastAsia="宋体" w:hint="default"/>
                <w:sz w:val="18"/>
                <w:szCs w:val="18"/>
              </w:rPr>
            </w:pPr>
            <w:r>
              <w:rPr>
                <w:rFonts w:ascii="宋体" w:hAnsi="宋体" w:cs="宋体" w:eastAsia="宋体" w:hint="default"/>
                <w:sz w:val="18"/>
                <w:szCs w:val="18"/>
              </w:rPr>
              <w:t>无锡软件产业发展有限公 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74"/>
              <w:ind w:left="525" w:right="28" w:hanging="481"/>
              <w:jc w:val="left"/>
              <w:rPr>
                <w:rFonts w:ascii="宋体" w:hAnsi="宋体" w:cs="宋体" w:eastAsia="宋体" w:hint="default"/>
                <w:sz w:val="18"/>
                <w:szCs w:val="18"/>
              </w:rPr>
            </w:pPr>
            <w:r>
              <w:rPr>
                <w:rFonts w:ascii="宋体" w:hAnsi="宋体" w:cs="宋体" w:eastAsia="宋体" w:hint="default"/>
                <w:sz w:val="18"/>
                <w:szCs w:val="18"/>
              </w:rPr>
              <w:t>江苏省无锡市新区净慧东道</w:t>
            </w:r>
            <w:r>
              <w:rPr>
                <w:rFonts w:ascii="Times New Roman" w:hAnsi="Times New Roman" w:cs="Times New Roman" w:eastAsia="Times New Roman" w:hint="default"/>
                <w:sz w:val="18"/>
                <w:szCs w:val="18"/>
              </w:rPr>
              <w:t>90</w:t>
            </w:r>
            <w:r>
              <w:rPr>
                <w:rFonts w:ascii="宋体" w:hAnsi="宋体" w:cs="宋体" w:eastAsia="宋体" w:hint="default"/>
                <w:sz w:val="18"/>
                <w:szCs w:val="18"/>
              </w:rPr>
              <w:t>号无锡 软件园天鹅座</w:t>
            </w:r>
            <w:r>
              <w:rPr>
                <w:rFonts w:ascii="Times New Roman" w:hAnsi="Times New Roman" w:cs="Times New Roman" w:eastAsia="Times New Roman" w:hint="default"/>
                <w:sz w:val="18"/>
                <w:szCs w:val="18"/>
              </w:rPr>
              <w:t>B</w:t>
            </w:r>
            <w:r>
              <w:rPr>
                <w:rFonts w:ascii="宋体" w:hAnsi="宋体" w:cs="宋体" w:eastAsia="宋体" w:hint="default"/>
                <w:sz w:val="18"/>
                <w:szCs w:val="18"/>
              </w:rPr>
              <w:t>栋</w:t>
            </w:r>
            <w:r>
              <w:rPr>
                <w:rFonts w:ascii="Times New Roman" w:hAnsi="Times New Roman" w:cs="Times New Roman" w:eastAsia="Times New Roman" w:hint="default"/>
                <w:sz w:val="18"/>
                <w:szCs w:val="18"/>
              </w:rPr>
              <w:t>1101</w:t>
            </w:r>
            <w:r>
              <w:rPr>
                <w:rFonts w:ascii="宋体" w:hAnsi="宋体" w:cs="宋体" w:eastAsia="宋体" w:hint="default"/>
                <w:sz w:val="18"/>
                <w:szCs w:val="18"/>
              </w:rPr>
              <w:t>楼</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15"/>
              <w:jc w:val="center"/>
              <w:rPr>
                <w:rFonts w:ascii="Times New Roman" w:hAnsi="Times New Roman" w:cs="Times New Roman" w:eastAsia="Times New Roman" w:hint="default"/>
                <w:sz w:val="18"/>
                <w:szCs w:val="18"/>
              </w:rPr>
            </w:pPr>
            <w:r>
              <w:rPr>
                <w:rFonts w:ascii="Times New Roman"/>
                <w:sz w:val="18"/>
              </w:rPr>
              <w:t>2019.01.01-2020.12.31</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left="255" w:right="0"/>
              <w:jc w:val="left"/>
              <w:rPr>
                <w:rFonts w:ascii="Times New Roman" w:hAnsi="Times New Roman" w:cs="Times New Roman" w:eastAsia="Times New Roman" w:hint="default"/>
                <w:sz w:val="18"/>
                <w:szCs w:val="18"/>
              </w:rPr>
            </w:pPr>
            <w:r>
              <w:rPr>
                <w:rFonts w:ascii="Times New Roman"/>
                <w:sz w:val="18"/>
              </w:rPr>
              <w:t>970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78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sz w:val="18"/>
              </w:rPr>
              <w:t>17</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新耀能源</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75"/>
              <w:ind w:left="585" w:right="60" w:hanging="541"/>
              <w:jc w:val="left"/>
              <w:rPr>
                <w:rFonts w:ascii="宋体" w:hAnsi="宋体" w:cs="宋体" w:eastAsia="宋体" w:hint="default"/>
                <w:sz w:val="18"/>
                <w:szCs w:val="18"/>
              </w:rPr>
            </w:pPr>
            <w:r>
              <w:rPr>
                <w:rFonts w:ascii="宋体" w:hAnsi="宋体" w:cs="宋体" w:eastAsia="宋体" w:hint="default"/>
                <w:sz w:val="18"/>
                <w:szCs w:val="18"/>
              </w:rPr>
              <w:t>嘉兴秀洲光伏小镇开发建 设有限公司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75"/>
              <w:ind w:left="766" w:right="29" w:hanging="721"/>
              <w:jc w:val="left"/>
              <w:rPr>
                <w:rFonts w:ascii="宋体" w:hAnsi="宋体" w:cs="宋体" w:eastAsia="宋体" w:hint="default"/>
                <w:sz w:val="18"/>
                <w:szCs w:val="18"/>
              </w:rPr>
            </w:pPr>
            <w:r>
              <w:rPr>
                <w:rFonts w:ascii="宋体" w:hAnsi="宋体" w:cs="宋体" w:eastAsia="宋体" w:hint="default"/>
                <w:sz w:val="18"/>
                <w:szCs w:val="18"/>
              </w:rPr>
              <w:t>嘉兴市秀洲区康和路</w:t>
            </w:r>
            <w:r>
              <w:rPr>
                <w:rFonts w:ascii="Times New Roman" w:hAnsi="Times New Roman" w:cs="Times New Roman" w:eastAsia="Times New Roman" w:hint="default"/>
                <w:sz w:val="18"/>
                <w:szCs w:val="18"/>
              </w:rPr>
              <w:t>1288</w:t>
            </w:r>
            <w:r>
              <w:rPr>
                <w:rFonts w:ascii="宋体" w:hAnsi="宋体" w:cs="宋体" w:eastAsia="宋体" w:hint="default"/>
                <w:sz w:val="18"/>
                <w:szCs w:val="18"/>
              </w:rPr>
              <w:t>号嘉兴光伏 科创园</w:t>
            </w:r>
            <w:r>
              <w:rPr>
                <w:rFonts w:ascii="Times New Roman" w:hAnsi="Times New Roman" w:cs="Times New Roman" w:eastAsia="Times New Roman" w:hint="default"/>
                <w:sz w:val="18"/>
                <w:szCs w:val="18"/>
              </w:rPr>
              <w:t>6</w:t>
            </w:r>
            <w:r>
              <w:rPr>
                <w:rFonts w:ascii="宋体" w:hAnsi="宋体" w:cs="宋体" w:eastAsia="宋体" w:hint="default"/>
                <w:sz w:val="18"/>
                <w:szCs w:val="18"/>
              </w:rPr>
              <w:t>号楼</w:t>
            </w:r>
            <w:r>
              <w:rPr>
                <w:rFonts w:ascii="Times New Roman" w:hAnsi="Times New Roman" w:cs="Times New Roman" w:eastAsia="Times New Roman" w:hint="default"/>
                <w:sz w:val="18"/>
                <w:szCs w:val="18"/>
              </w:rPr>
              <w:t>7</w:t>
            </w:r>
            <w:r>
              <w:rPr>
                <w:rFonts w:ascii="宋体" w:hAnsi="宋体" w:cs="宋体" w:eastAsia="宋体" w:hint="default"/>
                <w:sz w:val="18"/>
                <w:szCs w:val="18"/>
              </w:rPr>
              <w:t>层东</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6"/>
              <w:jc w:val="center"/>
              <w:rPr>
                <w:rFonts w:ascii="Times New Roman" w:hAnsi="Times New Roman" w:cs="Times New Roman" w:eastAsia="Times New Roman" w:hint="default"/>
                <w:sz w:val="16"/>
                <w:szCs w:val="16"/>
              </w:rPr>
            </w:pPr>
            <w:r>
              <w:rPr>
                <w:rFonts w:ascii="Times New Roman"/>
                <w:spacing w:val="-3"/>
                <w:w w:val="105"/>
                <w:sz w:val="16"/>
              </w:rPr>
              <w:t>2019.03.01-2022.02.28</w:t>
            </w:r>
            <w:r>
              <w:rPr>
                <w:rFonts w:ascii="Times New Roman"/>
                <w:spacing w:val="-3"/>
                <w:sz w:val="16"/>
              </w:rPr>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10" w:right="0"/>
              <w:jc w:val="left"/>
              <w:rPr>
                <w:rFonts w:ascii="Times New Roman" w:hAnsi="Times New Roman" w:cs="Times New Roman" w:eastAsia="Times New Roman" w:hint="default"/>
                <w:sz w:val="18"/>
                <w:szCs w:val="18"/>
              </w:rPr>
            </w:pPr>
            <w:r>
              <w:rPr>
                <w:rFonts w:ascii="Times New Roman"/>
                <w:sz w:val="18"/>
              </w:rPr>
              <w:t>1000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60"/>
              <w:ind w:left="90" w:right="13" w:hanging="90"/>
              <w:jc w:val="left"/>
              <w:rPr>
                <w:rFonts w:ascii="宋体" w:hAnsi="宋体" w:cs="宋体" w:eastAsia="宋体" w:hint="default"/>
                <w:sz w:val="18"/>
                <w:szCs w:val="18"/>
              </w:rPr>
            </w:pPr>
            <w:r>
              <w:rPr>
                <w:rFonts w:ascii="宋体" w:hAnsi="宋体" w:cs="宋体" w:eastAsia="宋体" w:hint="default"/>
                <w:sz w:val="18"/>
                <w:szCs w:val="18"/>
              </w:rPr>
              <w:t>生产及 研发</w:t>
            </w:r>
          </w:p>
        </w:tc>
      </w:tr>
      <w:tr>
        <w:trPr>
          <w:trHeight w:val="78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sz w:val="18"/>
              </w:rPr>
              <w:t>18</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朗新金关</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75"/>
              <w:ind w:left="946" w:right="60" w:hanging="901"/>
              <w:jc w:val="left"/>
              <w:rPr>
                <w:rFonts w:ascii="宋体" w:hAnsi="宋体" w:cs="宋体" w:eastAsia="宋体" w:hint="default"/>
                <w:sz w:val="18"/>
                <w:szCs w:val="18"/>
              </w:rPr>
            </w:pPr>
            <w:r>
              <w:rPr>
                <w:rFonts w:ascii="宋体" w:hAnsi="宋体" w:cs="宋体" w:eastAsia="宋体" w:hint="default"/>
                <w:sz w:val="18"/>
                <w:szCs w:val="18"/>
              </w:rPr>
              <w:t>无锡软件产业发展有限公 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75"/>
              <w:ind w:left="525" w:right="28" w:hanging="481"/>
              <w:jc w:val="left"/>
              <w:rPr>
                <w:rFonts w:ascii="宋体" w:hAnsi="宋体" w:cs="宋体" w:eastAsia="宋体" w:hint="default"/>
                <w:sz w:val="18"/>
                <w:szCs w:val="18"/>
              </w:rPr>
            </w:pPr>
            <w:r>
              <w:rPr>
                <w:rFonts w:ascii="宋体" w:hAnsi="宋体" w:cs="宋体" w:eastAsia="宋体" w:hint="default"/>
                <w:sz w:val="18"/>
                <w:szCs w:val="18"/>
              </w:rPr>
              <w:t>江苏省无锡市新区净慧东道</w:t>
            </w:r>
            <w:r>
              <w:rPr>
                <w:rFonts w:ascii="Times New Roman" w:hAnsi="Times New Roman" w:cs="Times New Roman" w:eastAsia="Times New Roman" w:hint="default"/>
                <w:sz w:val="18"/>
                <w:szCs w:val="18"/>
              </w:rPr>
              <w:t>90</w:t>
            </w:r>
            <w:r>
              <w:rPr>
                <w:rFonts w:ascii="宋体" w:hAnsi="宋体" w:cs="宋体" w:eastAsia="宋体" w:hint="default"/>
                <w:sz w:val="18"/>
                <w:szCs w:val="18"/>
              </w:rPr>
              <w:t>号无锡 软件园天鹅座</w:t>
            </w:r>
            <w:r>
              <w:rPr>
                <w:rFonts w:ascii="Times New Roman" w:hAnsi="Times New Roman" w:cs="Times New Roman" w:eastAsia="Times New Roman" w:hint="default"/>
                <w:sz w:val="18"/>
                <w:szCs w:val="18"/>
              </w:rPr>
              <w:t>B</w:t>
            </w:r>
            <w:r>
              <w:rPr>
                <w:rFonts w:ascii="宋体" w:hAnsi="宋体" w:cs="宋体" w:eastAsia="宋体" w:hint="default"/>
                <w:sz w:val="18"/>
                <w:szCs w:val="18"/>
              </w:rPr>
              <w:t>栋</w:t>
            </w:r>
            <w:r>
              <w:rPr>
                <w:rFonts w:ascii="Times New Roman" w:hAnsi="Times New Roman" w:cs="Times New Roman" w:eastAsia="Times New Roman" w:hint="default"/>
                <w:sz w:val="18"/>
                <w:szCs w:val="18"/>
              </w:rPr>
              <w:t>1102</w:t>
            </w:r>
            <w:r>
              <w:rPr>
                <w:rFonts w:ascii="宋体" w:hAnsi="宋体" w:cs="宋体" w:eastAsia="宋体" w:hint="default"/>
                <w:sz w:val="18"/>
                <w:szCs w:val="18"/>
              </w:rPr>
              <w:t>室</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2019.01.01-2020.12.31</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55" w:right="0"/>
              <w:jc w:val="left"/>
              <w:rPr>
                <w:rFonts w:ascii="Times New Roman" w:hAnsi="Times New Roman" w:cs="Times New Roman" w:eastAsia="Times New Roman" w:hint="default"/>
                <w:sz w:val="18"/>
                <w:szCs w:val="18"/>
              </w:rPr>
            </w:pPr>
            <w:r>
              <w:rPr>
                <w:rFonts w:ascii="Times New Roman"/>
                <w:sz w:val="18"/>
              </w:rPr>
              <w:t>600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3"/>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780"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sz w:val="18"/>
              </w:rPr>
              <w:t>19</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朗新金关</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74"/>
              <w:ind w:left="405" w:right="1" w:hanging="406"/>
              <w:jc w:val="left"/>
              <w:rPr>
                <w:rFonts w:ascii="宋体" w:hAnsi="宋体" w:cs="宋体" w:eastAsia="宋体" w:hint="default"/>
                <w:sz w:val="18"/>
                <w:szCs w:val="18"/>
              </w:rPr>
            </w:pPr>
            <w:r>
              <w:rPr>
                <w:rFonts w:ascii="宋体" w:hAnsi="宋体" w:cs="宋体" w:eastAsia="宋体" w:hint="default"/>
                <w:spacing w:val="-7"/>
                <w:sz w:val="18"/>
                <w:szCs w:val="18"/>
              </w:rPr>
              <w:t>腾飞科技园发展（苏州工业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园区）有限公司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4" w:right="0"/>
              <w:jc w:val="center"/>
              <w:rPr>
                <w:rFonts w:ascii="宋体" w:hAnsi="宋体" w:cs="宋体" w:eastAsia="宋体" w:hint="default"/>
                <w:sz w:val="18"/>
                <w:szCs w:val="18"/>
              </w:rPr>
            </w:pPr>
            <w:r>
              <w:rPr>
                <w:rFonts w:ascii="宋体" w:hAnsi="宋体" w:cs="宋体" w:eastAsia="宋体" w:hint="default"/>
                <w:sz w:val="18"/>
                <w:szCs w:val="18"/>
              </w:rPr>
              <w:t>江苏省苏州市工业园区新平街</w:t>
            </w:r>
            <w:r>
              <w:rPr>
                <w:rFonts w:ascii="Times New Roman" w:hAnsi="Times New Roman" w:cs="Times New Roman" w:eastAsia="Times New Roman" w:hint="default"/>
                <w:sz w:val="18"/>
                <w:szCs w:val="18"/>
              </w:rPr>
              <w:t>388</w:t>
            </w:r>
            <w:r>
              <w:rPr>
                <w:rFonts w:ascii="宋体" w:hAnsi="宋体" w:cs="宋体" w:eastAsia="宋体" w:hint="default"/>
                <w:sz w:val="18"/>
                <w:szCs w:val="18"/>
              </w:rPr>
              <w:t>号</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2018.08.27-2021.08.26</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55" w:right="0"/>
              <w:jc w:val="left"/>
              <w:rPr>
                <w:rFonts w:ascii="Times New Roman" w:hAnsi="Times New Roman" w:cs="Times New Roman" w:eastAsia="Times New Roman" w:hint="default"/>
                <w:sz w:val="18"/>
                <w:szCs w:val="18"/>
              </w:rPr>
            </w:pPr>
            <w:r>
              <w:rPr>
                <w:rFonts w:ascii="Times New Roman"/>
                <w:sz w:val="18"/>
              </w:rPr>
              <w:t>204</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59"/>
              <w:ind w:left="90" w:right="13" w:hanging="90"/>
              <w:jc w:val="left"/>
              <w:rPr>
                <w:rFonts w:ascii="宋体" w:hAnsi="宋体" w:cs="宋体" w:eastAsia="宋体" w:hint="default"/>
                <w:sz w:val="18"/>
                <w:szCs w:val="18"/>
              </w:rPr>
            </w:pPr>
            <w:r>
              <w:rPr>
                <w:rFonts w:ascii="宋体" w:hAnsi="宋体" w:cs="宋体" w:eastAsia="宋体" w:hint="default"/>
                <w:sz w:val="18"/>
                <w:szCs w:val="18"/>
              </w:rPr>
              <w:t>科研及 办公</w:t>
            </w:r>
          </w:p>
        </w:tc>
      </w:tr>
      <w:tr>
        <w:trPr>
          <w:trHeight w:val="78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sz w:val="18"/>
              </w:rPr>
              <w:t>20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瀚云科技</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75"/>
              <w:ind w:left="946" w:right="60" w:hanging="901"/>
              <w:jc w:val="left"/>
              <w:rPr>
                <w:rFonts w:ascii="宋体" w:hAnsi="宋体" w:cs="宋体" w:eastAsia="宋体" w:hint="default"/>
                <w:sz w:val="18"/>
                <w:szCs w:val="18"/>
              </w:rPr>
            </w:pPr>
            <w:r>
              <w:rPr>
                <w:rFonts w:ascii="宋体" w:hAnsi="宋体" w:cs="宋体" w:eastAsia="宋体" w:hint="default"/>
                <w:sz w:val="18"/>
                <w:szCs w:val="18"/>
              </w:rPr>
              <w:t>无锡软件产业发展有限公 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75"/>
              <w:ind w:left="525" w:right="28" w:hanging="481"/>
              <w:jc w:val="left"/>
              <w:rPr>
                <w:rFonts w:ascii="宋体" w:hAnsi="宋体" w:cs="宋体" w:eastAsia="宋体" w:hint="default"/>
                <w:sz w:val="18"/>
                <w:szCs w:val="18"/>
              </w:rPr>
            </w:pPr>
            <w:r>
              <w:rPr>
                <w:rFonts w:ascii="宋体" w:hAnsi="宋体" w:cs="宋体" w:eastAsia="宋体" w:hint="default"/>
                <w:sz w:val="18"/>
                <w:szCs w:val="18"/>
              </w:rPr>
              <w:t>江苏省无锡市新区净慧东道</w:t>
            </w:r>
            <w:r>
              <w:rPr>
                <w:rFonts w:ascii="Times New Roman" w:hAnsi="Times New Roman" w:cs="Times New Roman" w:eastAsia="Times New Roman" w:hint="default"/>
                <w:sz w:val="18"/>
                <w:szCs w:val="18"/>
              </w:rPr>
              <w:t>90</w:t>
            </w:r>
            <w:r>
              <w:rPr>
                <w:rFonts w:ascii="宋体" w:hAnsi="宋体" w:cs="宋体" w:eastAsia="宋体" w:hint="default"/>
                <w:sz w:val="18"/>
                <w:szCs w:val="18"/>
              </w:rPr>
              <w:t>号无锡 软件园天鹅座</w:t>
            </w:r>
            <w:r>
              <w:rPr>
                <w:rFonts w:ascii="Times New Roman" w:hAnsi="Times New Roman" w:cs="Times New Roman" w:eastAsia="Times New Roman" w:hint="default"/>
                <w:sz w:val="18"/>
                <w:szCs w:val="18"/>
              </w:rPr>
              <w:t>B</w:t>
            </w:r>
            <w:r>
              <w:rPr>
                <w:rFonts w:ascii="宋体" w:hAnsi="宋体" w:cs="宋体" w:eastAsia="宋体" w:hint="default"/>
                <w:sz w:val="18"/>
                <w:szCs w:val="18"/>
              </w:rPr>
              <w:t>栋</w:t>
            </w:r>
            <w:r>
              <w:rPr>
                <w:rFonts w:ascii="Times New Roman" w:hAnsi="Times New Roman" w:cs="Times New Roman" w:eastAsia="Times New Roman" w:hint="default"/>
                <w:sz w:val="18"/>
                <w:szCs w:val="18"/>
              </w:rPr>
              <w:t>1103</w:t>
            </w:r>
            <w:r>
              <w:rPr>
                <w:rFonts w:ascii="宋体" w:hAnsi="宋体" w:cs="宋体" w:eastAsia="宋体" w:hint="default"/>
                <w:sz w:val="18"/>
                <w:szCs w:val="18"/>
              </w:rPr>
              <w:t>室</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2019.01.01-2020.12.31</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55" w:right="0"/>
              <w:jc w:val="left"/>
              <w:rPr>
                <w:rFonts w:ascii="Times New Roman" w:hAnsi="Times New Roman" w:cs="Times New Roman" w:eastAsia="Times New Roman" w:hint="default"/>
                <w:sz w:val="18"/>
                <w:szCs w:val="18"/>
              </w:rPr>
            </w:pPr>
            <w:r>
              <w:rPr>
                <w:rFonts w:ascii="Times New Roman"/>
                <w:sz w:val="18"/>
              </w:rPr>
              <w:t>900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3"/>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780"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sz w:val="18"/>
              </w:rPr>
              <w:t>21</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瀚云科技</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74"/>
              <w:ind w:left="765" w:right="60" w:hanging="721"/>
              <w:jc w:val="left"/>
              <w:rPr>
                <w:rFonts w:ascii="宋体" w:hAnsi="宋体" w:cs="宋体" w:eastAsia="宋体" w:hint="default"/>
                <w:sz w:val="18"/>
                <w:szCs w:val="18"/>
              </w:rPr>
            </w:pPr>
            <w:r>
              <w:rPr>
                <w:rFonts w:ascii="宋体" w:hAnsi="宋体" w:cs="宋体" w:eastAsia="宋体" w:hint="default"/>
                <w:sz w:val="18"/>
                <w:szCs w:val="18"/>
              </w:rPr>
              <w:t>重庆渝高新兴科技发展有 限公司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74"/>
              <w:ind w:left="841" w:right="18" w:hanging="826"/>
              <w:jc w:val="left"/>
              <w:rPr>
                <w:rFonts w:ascii="宋体" w:hAnsi="宋体" w:cs="宋体" w:eastAsia="宋体" w:hint="default"/>
                <w:sz w:val="18"/>
                <w:szCs w:val="18"/>
              </w:rPr>
            </w:pPr>
            <w:r>
              <w:rPr>
                <w:rFonts w:ascii="宋体" w:hAnsi="宋体" w:cs="宋体" w:eastAsia="宋体" w:hint="default"/>
                <w:sz w:val="18"/>
                <w:szCs w:val="18"/>
              </w:rPr>
              <w:t>重庆市渝北区杨柳北路</w:t>
            </w:r>
            <w:r>
              <w:rPr>
                <w:rFonts w:ascii="Times New Roman" w:hAnsi="Times New Roman" w:cs="Times New Roman" w:eastAsia="Times New Roman" w:hint="default"/>
                <w:sz w:val="18"/>
                <w:szCs w:val="18"/>
              </w:rPr>
              <w:t>6</w:t>
            </w:r>
            <w:r>
              <w:rPr>
                <w:rFonts w:ascii="宋体" w:hAnsi="宋体" w:cs="宋体" w:eastAsia="宋体" w:hint="default"/>
                <w:sz w:val="18"/>
                <w:szCs w:val="18"/>
              </w:rPr>
              <w:t>号渝兴拓展</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区</w:t>
            </w:r>
            <w:r>
              <w:rPr>
                <w:rFonts w:ascii="Times New Roman" w:hAnsi="Times New Roman" w:cs="Times New Roman" w:eastAsia="Times New Roman" w:hint="default"/>
                <w:sz w:val="18"/>
                <w:szCs w:val="18"/>
              </w:rPr>
              <w:t>D4</w:t>
            </w:r>
            <w:r>
              <w:rPr>
                <w:rFonts w:ascii="宋体" w:hAnsi="宋体" w:cs="宋体" w:eastAsia="宋体" w:hint="default"/>
                <w:sz w:val="18"/>
                <w:szCs w:val="18"/>
              </w:rPr>
              <w:t>栋</w:t>
            </w:r>
            <w:r>
              <w:rPr>
                <w:rFonts w:ascii="Times New Roman" w:hAnsi="Times New Roman" w:cs="Times New Roman" w:eastAsia="Times New Roman" w:hint="default"/>
                <w:sz w:val="18"/>
                <w:szCs w:val="18"/>
              </w:rPr>
              <w:t>6</w:t>
            </w:r>
            <w:r>
              <w:rPr>
                <w:rFonts w:ascii="宋体" w:hAnsi="宋体" w:cs="宋体" w:eastAsia="宋体" w:hint="default"/>
                <w:sz w:val="18"/>
                <w:szCs w:val="18"/>
              </w:rPr>
              <w:t>层</w:t>
            </w:r>
            <w:r>
              <w:rPr>
                <w:rFonts w:ascii="Times New Roman" w:hAnsi="Times New Roman" w:cs="Times New Roman" w:eastAsia="Times New Roman" w:hint="default"/>
                <w:sz w:val="18"/>
                <w:szCs w:val="18"/>
              </w:rPr>
              <w:t>1-4</w:t>
            </w:r>
            <w:r>
              <w:rPr>
                <w:rFonts w:ascii="宋体" w:hAnsi="宋体" w:cs="宋体" w:eastAsia="宋体" w:hint="default"/>
                <w:sz w:val="18"/>
                <w:szCs w:val="18"/>
              </w:rPr>
              <w:t>号</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2019.11.01-2022.10.31</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5"/>
              <w:jc w:val="right"/>
              <w:rPr>
                <w:rFonts w:ascii="Times New Roman" w:hAnsi="Times New Roman" w:cs="Times New Roman" w:eastAsia="Times New Roman" w:hint="default"/>
                <w:sz w:val="18"/>
                <w:szCs w:val="18"/>
              </w:rPr>
            </w:pPr>
            <w:r>
              <w:rPr>
                <w:rFonts w:ascii="Times New Roman"/>
                <w:sz w:val="18"/>
              </w:rPr>
              <w:t>936.66</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center"/>
              <w:rPr>
                <w:rFonts w:ascii="宋体" w:hAnsi="宋体" w:cs="宋体" w:eastAsia="宋体" w:hint="default"/>
                <w:sz w:val="18"/>
                <w:szCs w:val="18"/>
              </w:rPr>
            </w:pPr>
            <w:r>
              <w:rPr>
                <w:rFonts w:ascii="宋体" w:hAnsi="宋体" w:cs="宋体" w:eastAsia="宋体" w:hint="default"/>
                <w:sz w:val="18"/>
                <w:szCs w:val="18"/>
              </w:rPr>
              <w:t>办公</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570"/>
        <w:gridCol w:w="856"/>
        <w:gridCol w:w="2103"/>
        <w:gridCol w:w="2974"/>
        <w:gridCol w:w="1982"/>
        <w:gridCol w:w="811"/>
        <w:gridCol w:w="571"/>
      </w:tblGrid>
      <w:tr>
        <w:trPr>
          <w:trHeight w:val="780"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93"/>
              <w:jc w:val="right"/>
              <w:rPr>
                <w:rFonts w:ascii="Times New Roman" w:hAnsi="Times New Roman" w:cs="Times New Roman" w:eastAsia="Times New Roman" w:hint="default"/>
                <w:sz w:val="18"/>
                <w:szCs w:val="18"/>
              </w:rPr>
            </w:pPr>
            <w:r>
              <w:rPr>
                <w:rFonts w:ascii="Times New Roman"/>
                <w:sz w:val="18"/>
              </w:rPr>
              <w:t>22</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朗新科技</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74"/>
              <w:ind w:left="405" w:right="17" w:hanging="406"/>
              <w:jc w:val="left"/>
              <w:rPr>
                <w:rFonts w:ascii="宋体" w:hAnsi="宋体" w:cs="宋体" w:eastAsia="宋体" w:hint="default"/>
                <w:sz w:val="18"/>
                <w:szCs w:val="18"/>
              </w:rPr>
            </w:pPr>
            <w:r>
              <w:rPr>
                <w:rFonts w:ascii="宋体" w:hAnsi="宋体" w:cs="宋体" w:eastAsia="宋体" w:hint="default"/>
                <w:spacing w:val="-8"/>
                <w:sz w:val="18"/>
                <w:szCs w:val="18"/>
              </w:rPr>
              <w:t>上海久隆电力（集团）有限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公司物资分公司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4" w:right="0"/>
              <w:jc w:val="center"/>
              <w:rPr>
                <w:rFonts w:ascii="宋体" w:hAnsi="宋体" w:cs="宋体" w:eastAsia="宋体" w:hint="default"/>
                <w:sz w:val="18"/>
                <w:szCs w:val="18"/>
              </w:rPr>
            </w:pPr>
            <w:r>
              <w:rPr>
                <w:rFonts w:ascii="宋体" w:hAnsi="宋体" w:cs="宋体" w:eastAsia="宋体" w:hint="default"/>
                <w:sz w:val="18"/>
                <w:szCs w:val="18"/>
              </w:rPr>
              <w:t>上海市徐汇区南丹东路</w:t>
            </w:r>
            <w:r>
              <w:rPr>
                <w:rFonts w:ascii="Times New Roman" w:hAnsi="Times New Roman" w:cs="Times New Roman" w:eastAsia="Times New Roman" w:hint="default"/>
                <w:sz w:val="18"/>
                <w:szCs w:val="18"/>
              </w:rPr>
              <w:t>188</w:t>
            </w:r>
            <w:r>
              <w:rPr>
                <w:rFonts w:ascii="宋体" w:hAnsi="宋体" w:cs="宋体" w:eastAsia="宋体" w:hint="default"/>
                <w:sz w:val="18"/>
                <w:szCs w:val="18"/>
              </w:rPr>
              <w:t>号</w:t>
            </w:r>
            <w:r>
              <w:rPr>
                <w:rFonts w:ascii="Times New Roman" w:hAnsi="Times New Roman" w:cs="Times New Roman" w:eastAsia="Times New Roman" w:hint="default"/>
                <w:sz w:val="18"/>
                <w:szCs w:val="18"/>
              </w:rPr>
              <w:t>1</w:t>
            </w:r>
            <w:r>
              <w:rPr>
                <w:rFonts w:ascii="宋体" w:hAnsi="宋体" w:cs="宋体" w:eastAsia="宋体" w:hint="default"/>
                <w:sz w:val="18"/>
                <w:szCs w:val="18"/>
              </w:rPr>
              <w:t>幢</w:t>
            </w:r>
          </w:p>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1102-1106</w:t>
            </w:r>
            <w:r>
              <w:rPr>
                <w:rFonts w:ascii="宋体" w:hAnsi="宋体" w:cs="宋体" w:eastAsia="宋体" w:hint="default"/>
                <w:sz w:val="18"/>
                <w:szCs w:val="18"/>
              </w:rPr>
              <w:t>室</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2019.05.15-2021.05.14</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208"/>
              <w:jc w:val="right"/>
              <w:rPr>
                <w:rFonts w:ascii="Times New Roman" w:hAnsi="Times New Roman" w:cs="Times New Roman" w:eastAsia="Times New Roman" w:hint="default"/>
                <w:sz w:val="18"/>
                <w:szCs w:val="18"/>
              </w:rPr>
            </w:pPr>
            <w:r>
              <w:rPr>
                <w:rFonts w:ascii="Times New Roman"/>
                <w:sz w:val="18"/>
              </w:rPr>
              <w:t>516.1</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center"/>
              <w:rPr>
                <w:rFonts w:ascii="宋体" w:hAnsi="宋体" w:cs="宋体" w:eastAsia="宋体" w:hint="default"/>
                <w:sz w:val="18"/>
                <w:szCs w:val="18"/>
              </w:rPr>
            </w:pPr>
            <w:r>
              <w:rPr>
                <w:rFonts w:ascii="宋体" w:hAnsi="宋体" w:cs="宋体" w:eastAsia="宋体" w:hint="default"/>
                <w:sz w:val="18"/>
                <w:szCs w:val="18"/>
              </w:rPr>
              <w:t>商办</w:t>
            </w:r>
          </w:p>
        </w:tc>
      </w:tr>
      <w:tr>
        <w:trPr>
          <w:trHeight w:val="1096"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93"/>
              <w:jc w:val="right"/>
              <w:rPr>
                <w:rFonts w:ascii="Times New Roman" w:hAnsi="Times New Roman" w:cs="Times New Roman" w:eastAsia="Times New Roman" w:hint="default"/>
                <w:sz w:val="18"/>
                <w:szCs w:val="18"/>
              </w:rPr>
            </w:pPr>
            <w:r>
              <w:rPr>
                <w:rFonts w:ascii="Times New Roman"/>
                <w:sz w:val="18"/>
              </w:rPr>
              <w:t>23</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朗新数据</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74"/>
              <w:ind w:left="45" w:right="60"/>
              <w:jc w:val="center"/>
              <w:rPr>
                <w:rFonts w:ascii="宋体" w:hAnsi="宋体" w:cs="宋体" w:eastAsia="宋体" w:hint="default"/>
                <w:sz w:val="18"/>
                <w:szCs w:val="18"/>
              </w:rPr>
            </w:pPr>
            <w:r>
              <w:rPr>
                <w:rFonts w:ascii="宋体" w:hAnsi="宋体" w:cs="宋体" w:eastAsia="宋体" w:hint="default"/>
                <w:sz w:val="18"/>
                <w:szCs w:val="18"/>
              </w:rPr>
              <w:t>武汉临空港经济技术开发 区现代服务产业建设管理 办公室</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1" w:right="0"/>
              <w:jc w:val="center"/>
              <w:rPr>
                <w:rFonts w:ascii="宋体" w:hAnsi="宋体" w:cs="宋体" w:eastAsia="宋体" w:hint="default"/>
                <w:sz w:val="18"/>
                <w:szCs w:val="18"/>
              </w:rPr>
            </w:pPr>
            <w:r>
              <w:rPr>
                <w:rFonts w:ascii="宋体" w:hAnsi="宋体" w:cs="宋体" w:eastAsia="宋体" w:hint="default"/>
                <w:sz w:val="18"/>
                <w:szCs w:val="18"/>
              </w:rPr>
              <w:t>武汉临空港经济技术开发区五环大道</w:t>
            </w:r>
          </w:p>
          <w:p>
            <w:pPr>
              <w:pStyle w:val="TableParagraph"/>
              <w:spacing w:line="240" w:lineRule="auto" w:before="80"/>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666</w:t>
            </w:r>
            <w:r>
              <w:rPr>
                <w:rFonts w:ascii="宋体" w:hAnsi="宋体" w:cs="宋体" w:eastAsia="宋体" w:hint="default"/>
                <w:sz w:val="18"/>
                <w:szCs w:val="18"/>
              </w:rPr>
              <w:t>号</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2019.08.06-2020.08.05</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55" w:right="0"/>
              <w:jc w:val="left"/>
              <w:rPr>
                <w:rFonts w:ascii="Times New Roman" w:hAnsi="Times New Roman" w:cs="Times New Roman" w:eastAsia="Times New Roman" w:hint="default"/>
                <w:sz w:val="18"/>
                <w:szCs w:val="18"/>
              </w:rPr>
            </w:pPr>
            <w:r>
              <w:rPr>
                <w:rFonts w:ascii="Times New Roman"/>
                <w:sz w:val="18"/>
              </w:rPr>
              <w:t>100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780"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93"/>
              <w:jc w:val="right"/>
              <w:rPr>
                <w:rFonts w:ascii="Times New Roman" w:hAnsi="Times New Roman" w:cs="Times New Roman" w:eastAsia="Times New Roman" w:hint="default"/>
                <w:sz w:val="18"/>
                <w:szCs w:val="18"/>
              </w:rPr>
            </w:pPr>
            <w:r>
              <w:rPr>
                <w:rFonts w:ascii="Times New Roman"/>
                <w:sz w:val="18"/>
              </w:rPr>
              <w:t>24</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朗新数据</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59"/>
              <w:ind w:left="765" w:right="60" w:hanging="721"/>
              <w:jc w:val="left"/>
              <w:rPr>
                <w:rFonts w:ascii="宋体" w:hAnsi="宋体" w:cs="宋体" w:eastAsia="宋体" w:hint="default"/>
                <w:sz w:val="18"/>
                <w:szCs w:val="18"/>
              </w:rPr>
            </w:pPr>
            <w:r>
              <w:rPr>
                <w:rFonts w:ascii="宋体" w:hAnsi="宋体" w:cs="宋体" w:eastAsia="宋体" w:hint="default"/>
                <w:sz w:val="18"/>
                <w:szCs w:val="18"/>
              </w:rPr>
              <w:t>贵州汇金博邦商业管理有 限公司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59"/>
              <w:ind w:left="675" w:right="28" w:hanging="631"/>
              <w:jc w:val="left"/>
              <w:rPr>
                <w:rFonts w:ascii="宋体" w:hAnsi="宋体" w:cs="宋体" w:eastAsia="宋体" w:hint="default"/>
                <w:sz w:val="18"/>
                <w:szCs w:val="18"/>
              </w:rPr>
            </w:pPr>
            <w:r>
              <w:rPr>
                <w:rFonts w:ascii="宋体" w:hAnsi="宋体" w:cs="宋体" w:eastAsia="宋体" w:hint="default"/>
                <w:sz w:val="18"/>
                <w:szCs w:val="18"/>
              </w:rPr>
              <w:t>贵州省贵阳市云岩区延安西路</w:t>
            </w:r>
            <w:r>
              <w:rPr>
                <w:rFonts w:ascii="Times New Roman" w:hAnsi="Times New Roman" w:cs="Times New Roman" w:eastAsia="Times New Roman" w:hint="default"/>
                <w:sz w:val="18"/>
                <w:szCs w:val="18"/>
              </w:rPr>
              <w:t>66</w:t>
            </w:r>
            <w:r>
              <w:rPr>
                <w:rFonts w:ascii="宋体" w:hAnsi="宋体" w:cs="宋体" w:eastAsia="宋体" w:hint="default"/>
                <w:sz w:val="18"/>
                <w:szCs w:val="18"/>
              </w:rPr>
              <w:t>号汇 金国际广场</w:t>
            </w:r>
            <w:r>
              <w:rPr>
                <w:rFonts w:ascii="Times New Roman" w:hAnsi="Times New Roman" w:cs="Times New Roman" w:eastAsia="Times New Roman" w:hint="default"/>
                <w:sz w:val="18"/>
                <w:szCs w:val="18"/>
              </w:rPr>
              <w:t>3009</w:t>
            </w:r>
            <w:r>
              <w:rPr>
                <w:rFonts w:ascii="宋体" w:hAnsi="宋体" w:cs="宋体" w:eastAsia="宋体" w:hint="default"/>
                <w:sz w:val="18"/>
                <w:szCs w:val="18"/>
              </w:rPr>
              <w:t>单元</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5"/>
              <w:jc w:val="center"/>
              <w:rPr>
                <w:rFonts w:ascii="Times New Roman" w:hAnsi="Times New Roman" w:cs="Times New Roman" w:eastAsia="Times New Roman" w:hint="default"/>
                <w:sz w:val="18"/>
                <w:szCs w:val="18"/>
              </w:rPr>
            </w:pPr>
            <w:r>
              <w:rPr>
                <w:rFonts w:ascii="Times New Roman"/>
                <w:sz w:val="18"/>
              </w:rPr>
              <w:t>2019.11.01-2020.10.31</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55" w:right="0"/>
              <w:jc w:val="left"/>
              <w:rPr>
                <w:rFonts w:ascii="Times New Roman" w:hAnsi="Times New Roman" w:cs="Times New Roman" w:eastAsia="Times New Roman" w:hint="default"/>
                <w:sz w:val="18"/>
                <w:szCs w:val="18"/>
              </w:rPr>
            </w:pPr>
            <w:r>
              <w:rPr>
                <w:rFonts w:ascii="Times New Roman"/>
                <w:sz w:val="18"/>
              </w:rPr>
              <w:t>215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80" w:right="13" w:hanging="181"/>
              <w:jc w:val="left"/>
              <w:rPr>
                <w:rFonts w:ascii="宋体" w:hAnsi="宋体" w:cs="宋体" w:eastAsia="宋体" w:hint="default"/>
                <w:sz w:val="18"/>
                <w:szCs w:val="18"/>
              </w:rPr>
            </w:pPr>
            <w:r>
              <w:rPr>
                <w:rFonts w:ascii="宋体" w:hAnsi="宋体" w:cs="宋体" w:eastAsia="宋体" w:hint="default"/>
                <w:sz w:val="18"/>
                <w:szCs w:val="18"/>
              </w:rPr>
              <w:t>商务办 公</w:t>
            </w:r>
          </w:p>
        </w:tc>
      </w:tr>
      <w:tr>
        <w:trPr>
          <w:trHeight w:val="736"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93"/>
              <w:jc w:val="right"/>
              <w:rPr>
                <w:rFonts w:ascii="Times New Roman" w:hAnsi="Times New Roman" w:cs="Times New Roman" w:eastAsia="Times New Roman" w:hint="default"/>
                <w:sz w:val="18"/>
                <w:szCs w:val="18"/>
              </w:rPr>
            </w:pPr>
            <w:r>
              <w:rPr>
                <w:rFonts w:ascii="Times New Roman"/>
                <w:sz w:val="18"/>
              </w:rPr>
              <w:t>25</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朗新数据</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2"/>
              <w:jc w:val="center"/>
              <w:rPr>
                <w:rFonts w:ascii="宋体" w:hAnsi="宋体" w:cs="宋体" w:eastAsia="宋体" w:hint="default"/>
                <w:sz w:val="18"/>
                <w:szCs w:val="18"/>
              </w:rPr>
            </w:pPr>
            <w:r>
              <w:rPr>
                <w:rFonts w:ascii="宋体" w:hAnsi="宋体" w:cs="宋体" w:eastAsia="宋体" w:hint="default"/>
                <w:sz w:val="18"/>
                <w:szCs w:val="18"/>
              </w:rPr>
              <w:t>张锋</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0"/>
              <w:ind w:left="315" w:right="73" w:hanging="225"/>
              <w:jc w:val="left"/>
              <w:rPr>
                <w:rFonts w:ascii="宋体" w:hAnsi="宋体" w:cs="宋体" w:eastAsia="宋体" w:hint="default"/>
                <w:sz w:val="18"/>
                <w:szCs w:val="18"/>
              </w:rPr>
            </w:pPr>
            <w:r>
              <w:rPr>
                <w:rFonts w:ascii="宋体" w:hAnsi="宋体" w:cs="宋体" w:eastAsia="宋体" w:hint="default"/>
                <w:sz w:val="18"/>
                <w:szCs w:val="18"/>
              </w:rPr>
              <w:t>南宁市桂春路南二里</w:t>
            </w:r>
            <w:r>
              <w:rPr>
                <w:rFonts w:ascii="Times New Roman" w:hAnsi="Times New Roman" w:cs="Times New Roman" w:eastAsia="Times New Roman" w:hint="default"/>
                <w:sz w:val="18"/>
                <w:szCs w:val="18"/>
              </w:rPr>
              <w:t>8</w:t>
            </w:r>
            <w:r>
              <w:rPr>
                <w:rFonts w:ascii="宋体" w:hAnsi="宋体" w:cs="宋体" w:eastAsia="宋体" w:hint="default"/>
                <w:sz w:val="18"/>
                <w:szCs w:val="18"/>
              </w:rPr>
              <w:t>号和兴大厦</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楼</w:t>
            </w:r>
            <w:r>
              <w:rPr>
                <w:rFonts w:ascii="Times New Roman" w:hAnsi="Times New Roman" w:cs="Times New Roman" w:eastAsia="Times New Roman" w:hint="default"/>
                <w:sz w:val="18"/>
                <w:szCs w:val="18"/>
              </w:rPr>
              <w:t>1201</w:t>
            </w:r>
            <w:r>
              <w:rPr>
                <w:rFonts w:ascii="宋体" w:hAnsi="宋体" w:cs="宋体" w:eastAsia="宋体" w:hint="default"/>
                <w:sz w:val="18"/>
                <w:szCs w:val="18"/>
              </w:rPr>
              <w:t>、</w:t>
            </w:r>
            <w:r>
              <w:rPr>
                <w:rFonts w:ascii="Times New Roman" w:hAnsi="Times New Roman" w:cs="Times New Roman" w:eastAsia="Times New Roman" w:hint="default"/>
                <w:sz w:val="18"/>
                <w:szCs w:val="18"/>
              </w:rPr>
              <w:t>1202</w:t>
            </w:r>
            <w:r>
              <w:rPr>
                <w:rFonts w:ascii="宋体" w:hAnsi="宋体" w:cs="宋体" w:eastAsia="宋体" w:hint="default"/>
                <w:sz w:val="18"/>
                <w:szCs w:val="18"/>
              </w:rPr>
              <w:t>、</w:t>
            </w:r>
            <w:r>
              <w:rPr>
                <w:rFonts w:ascii="Times New Roman" w:hAnsi="Times New Roman" w:cs="Times New Roman" w:eastAsia="Times New Roman" w:hint="default"/>
                <w:sz w:val="18"/>
                <w:szCs w:val="18"/>
              </w:rPr>
              <w:t>1204</w:t>
            </w:r>
            <w:r>
              <w:rPr>
                <w:rFonts w:ascii="宋体" w:hAnsi="宋体" w:cs="宋体" w:eastAsia="宋体" w:hint="default"/>
                <w:sz w:val="18"/>
                <w:szCs w:val="18"/>
              </w:rPr>
              <w:t>、</w:t>
            </w:r>
            <w:r>
              <w:rPr>
                <w:rFonts w:ascii="Times New Roman" w:hAnsi="Times New Roman" w:cs="Times New Roman" w:eastAsia="Times New Roman" w:hint="default"/>
                <w:sz w:val="18"/>
                <w:szCs w:val="18"/>
              </w:rPr>
              <w:t>1205</w:t>
            </w:r>
            <w:r>
              <w:rPr>
                <w:rFonts w:ascii="宋体" w:hAnsi="宋体" w:cs="宋体" w:eastAsia="宋体" w:hint="default"/>
                <w:sz w:val="18"/>
                <w:szCs w:val="18"/>
              </w:rPr>
              <w:t>室</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5"/>
              <w:jc w:val="center"/>
              <w:rPr>
                <w:rFonts w:ascii="Times New Roman" w:hAnsi="Times New Roman" w:cs="Times New Roman" w:eastAsia="Times New Roman" w:hint="default"/>
                <w:sz w:val="18"/>
                <w:szCs w:val="18"/>
              </w:rPr>
            </w:pPr>
            <w:r>
              <w:rPr>
                <w:rFonts w:ascii="Times New Roman"/>
                <w:sz w:val="18"/>
              </w:rPr>
              <w:t>2017.08.01-2020.07.31</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65"/>
              <w:jc w:val="right"/>
              <w:rPr>
                <w:rFonts w:ascii="Times New Roman" w:hAnsi="Times New Roman" w:cs="Times New Roman" w:eastAsia="Times New Roman" w:hint="default"/>
                <w:sz w:val="18"/>
                <w:szCs w:val="18"/>
              </w:rPr>
            </w:pPr>
            <w:r>
              <w:rPr>
                <w:rFonts w:ascii="Times New Roman"/>
                <w:sz w:val="18"/>
              </w:rPr>
              <w:t>271.51</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736"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93"/>
              <w:jc w:val="right"/>
              <w:rPr>
                <w:rFonts w:ascii="Times New Roman" w:hAnsi="Times New Roman" w:cs="Times New Roman" w:eastAsia="Times New Roman" w:hint="default"/>
                <w:sz w:val="18"/>
                <w:szCs w:val="18"/>
              </w:rPr>
            </w:pPr>
            <w:r>
              <w:rPr>
                <w:rFonts w:ascii="Times New Roman"/>
                <w:sz w:val="18"/>
              </w:rPr>
              <w:t>26</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朗新数据</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4"/>
              <w:jc w:val="center"/>
              <w:rPr>
                <w:rFonts w:ascii="宋体" w:hAnsi="宋体" w:cs="宋体" w:eastAsia="宋体" w:hint="default"/>
                <w:sz w:val="18"/>
                <w:szCs w:val="18"/>
              </w:rPr>
            </w:pPr>
            <w:r>
              <w:rPr>
                <w:rFonts w:ascii="宋体" w:hAnsi="宋体" w:cs="宋体" w:eastAsia="宋体" w:hint="default"/>
                <w:sz w:val="18"/>
                <w:szCs w:val="18"/>
              </w:rPr>
              <w:t>余驿华</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74"/>
              <w:ind w:left="1126" w:right="73" w:hanging="1036"/>
              <w:jc w:val="left"/>
              <w:rPr>
                <w:rFonts w:ascii="宋体" w:hAnsi="宋体" w:cs="宋体" w:eastAsia="宋体" w:hint="default"/>
                <w:sz w:val="18"/>
                <w:szCs w:val="18"/>
              </w:rPr>
            </w:pPr>
            <w:r>
              <w:rPr>
                <w:rFonts w:ascii="宋体" w:hAnsi="宋体" w:cs="宋体" w:eastAsia="宋体" w:hint="default"/>
                <w:sz w:val="18"/>
                <w:szCs w:val="18"/>
              </w:rPr>
              <w:t>南宁市桂春路南二里</w:t>
            </w:r>
            <w:r>
              <w:rPr>
                <w:rFonts w:ascii="Times New Roman" w:hAnsi="Times New Roman" w:cs="Times New Roman" w:eastAsia="Times New Roman" w:hint="default"/>
                <w:sz w:val="18"/>
                <w:szCs w:val="18"/>
              </w:rPr>
              <w:t>8</w:t>
            </w:r>
            <w:r>
              <w:rPr>
                <w:rFonts w:ascii="宋体" w:hAnsi="宋体" w:cs="宋体" w:eastAsia="宋体" w:hint="default"/>
                <w:sz w:val="18"/>
                <w:szCs w:val="18"/>
              </w:rPr>
              <w:t>号和兴大厦</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楼</w:t>
            </w:r>
            <w:r>
              <w:rPr>
                <w:rFonts w:ascii="Times New Roman" w:hAnsi="Times New Roman" w:cs="Times New Roman" w:eastAsia="Times New Roman" w:hint="default"/>
                <w:sz w:val="18"/>
                <w:szCs w:val="18"/>
              </w:rPr>
              <w:t>1203</w:t>
            </w:r>
            <w:r>
              <w:rPr>
                <w:rFonts w:ascii="宋体" w:hAnsi="宋体" w:cs="宋体" w:eastAsia="宋体" w:hint="default"/>
                <w:sz w:val="18"/>
                <w:szCs w:val="18"/>
              </w:rPr>
              <w:t>室</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2017.04.01-2020.04.15</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208"/>
              <w:jc w:val="right"/>
              <w:rPr>
                <w:rFonts w:ascii="Times New Roman" w:hAnsi="Times New Roman" w:cs="Times New Roman" w:eastAsia="Times New Roman" w:hint="default"/>
                <w:sz w:val="18"/>
                <w:szCs w:val="18"/>
              </w:rPr>
            </w:pPr>
            <w:r>
              <w:rPr>
                <w:rFonts w:ascii="Times New Roman"/>
                <w:sz w:val="18"/>
              </w:rPr>
              <w:t>258.2</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59"/>
              <w:ind w:left="180" w:right="13" w:hanging="181"/>
              <w:jc w:val="left"/>
              <w:rPr>
                <w:rFonts w:ascii="宋体" w:hAnsi="宋体" w:cs="宋体" w:eastAsia="宋体" w:hint="default"/>
                <w:sz w:val="18"/>
                <w:szCs w:val="18"/>
              </w:rPr>
            </w:pPr>
            <w:r>
              <w:rPr>
                <w:rFonts w:ascii="宋体" w:hAnsi="宋体" w:cs="宋体" w:eastAsia="宋体" w:hint="default"/>
                <w:sz w:val="18"/>
                <w:szCs w:val="18"/>
              </w:rPr>
              <w:t>日常办 公</w:t>
            </w:r>
          </w:p>
        </w:tc>
      </w:tr>
      <w:tr>
        <w:trPr>
          <w:trHeight w:val="78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93"/>
              <w:jc w:val="right"/>
              <w:rPr>
                <w:rFonts w:ascii="Times New Roman" w:hAnsi="Times New Roman" w:cs="Times New Roman" w:eastAsia="Times New Roman" w:hint="default"/>
                <w:sz w:val="18"/>
                <w:szCs w:val="18"/>
              </w:rPr>
            </w:pPr>
            <w:r>
              <w:rPr>
                <w:rFonts w:ascii="Times New Roman"/>
                <w:sz w:val="18"/>
              </w:rPr>
              <w:t>27</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朗新云商</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74"/>
              <w:ind w:left="675" w:right="60" w:hanging="631"/>
              <w:jc w:val="left"/>
              <w:rPr>
                <w:rFonts w:ascii="宋体" w:hAnsi="宋体" w:cs="宋体" w:eastAsia="宋体" w:hint="default"/>
                <w:sz w:val="18"/>
                <w:szCs w:val="18"/>
              </w:rPr>
            </w:pPr>
            <w:r>
              <w:rPr>
                <w:rFonts w:ascii="宋体" w:hAnsi="宋体" w:cs="宋体" w:eastAsia="宋体" w:hint="default"/>
                <w:sz w:val="18"/>
                <w:szCs w:val="18"/>
              </w:rPr>
              <w:t>杭州未来科技城资产管理 有限公司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74"/>
              <w:ind w:left="1036" w:right="73" w:hanging="946"/>
              <w:jc w:val="left"/>
              <w:rPr>
                <w:rFonts w:ascii="宋体" w:hAnsi="宋体" w:cs="宋体" w:eastAsia="宋体" w:hint="default"/>
                <w:sz w:val="18"/>
                <w:szCs w:val="18"/>
              </w:rPr>
            </w:pPr>
            <w:r>
              <w:rPr>
                <w:rFonts w:ascii="宋体" w:hAnsi="宋体" w:cs="宋体" w:eastAsia="宋体" w:hint="default"/>
                <w:sz w:val="18"/>
                <w:szCs w:val="18"/>
              </w:rPr>
              <w:t>杭州市余杭区五常街道文一西路</w:t>
            </w:r>
            <w:r>
              <w:rPr>
                <w:rFonts w:ascii="Times New Roman" w:hAnsi="Times New Roman" w:cs="Times New Roman" w:eastAsia="Times New Roman" w:hint="default"/>
                <w:sz w:val="18"/>
                <w:szCs w:val="18"/>
              </w:rPr>
              <w:t>998</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4</w:t>
            </w:r>
            <w:r>
              <w:rPr>
                <w:rFonts w:ascii="宋体" w:hAnsi="宋体" w:cs="宋体" w:eastAsia="宋体" w:hint="default"/>
                <w:sz w:val="18"/>
                <w:szCs w:val="18"/>
              </w:rPr>
              <w:t>幢</w:t>
            </w:r>
            <w:r>
              <w:rPr>
                <w:rFonts w:ascii="Times New Roman" w:hAnsi="Times New Roman" w:cs="Times New Roman" w:eastAsia="Times New Roman" w:hint="default"/>
                <w:sz w:val="18"/>
                <w:szCs w:val="18"/>
              </w:rPr>
              <w:t>803</w:t>
            </w:r>
            <w:r>
              <w:rPr>
                <w:rFonts w:ascii="宋体" w:hAnsi="宋体" w:cs="宋体" w:eastAsia="宋体" w:hint="default"/>
                <w:sz w:val="18"/>
                <w:szCs w:val="18"/>
              </w:rPr>
              <w:t>室</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3"/>
              <w:jc w:val="center"/>
              <w:rPr>
                <w:rFonts w:ascii="宋体" w:hAnsi="宋体" w:cs="宋体" w:eastAsia="宋体" w:hint="default"/>
                <w:sz w:val="18"/>
                <w:szCs w:val="18"/>
              </w:rPr>
            </w:pPr>
            <w:r>
              <w:rPr>
                <w:rFonts w:ascii="宋体" w:hAnsi="宋体" w:cs="宋体" w:eastAsia="宋体" w:hint="default"/>
                <w:sz w:val="18"/>
                <w:szCs w:val="18"/>
              </w:rPr>
              <w:t>尚在签署过程中</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5"/>
              <w:jc w:val="right"/>
              <w:rPr>
                <w:rFonts w:ascii="Times New Roman" w:hAnsi="Times New Roman" w:cs="Times New Roman" w:eastAsia="Times New Roman" w:hint="default"/>
                <w:sz w:val="18"/>
                <w:szCs w:val="18"/>
              </w:rPr>
            </w:pPr>
            <w:r>
              <w:rPr>
                <w:rFonts w:ascii="Times New Roman"/>
                <w:sz w:val="18"/>
              </w:rPr>
              <w:t>426.54</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59"/>
              <w:ind w:left="180" w:right="13" w:hanging="181"/>
              <w:jc w:val="left"/>
              <w:rPr>
                <w:rFonts w:ascii="宋体" w:hAnsi="宋体" w:cs="宋体" w:eastAsia="宋体" w:hint="default"/>
                <w:sz w:val="18"/>
                <w:szCs w:val="18"/>
              </w:rPr>
            </w:pPr>
            <w:r>
              <w:rPr>
                <w:rFonts w:ascii="宋体" w:hAnsi="宋体" w:cs="宋体" w:eastAsia="宋体" w:hint="default"/>
                <w:sz w:val="18"/>
                <w:szCs w:val="18"/>
              </w:rPr>
              <w:t>办公研 发</w:t>
            </w:r>
          </w:p>
        </w:tc>
      </w:tr>
      <w:tr>
        <w:trPr>
          <w:trHeight w:val="78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93"/>
              <w:jc w:val="right"/>
              <w:rPr>
                <w:rFonts w:ascii="Times New Roman" w:hAnsi="Times New Roman" w:cs="Times New Roman" w:eastAsia="Times New Roman" w:hint="default"/>
                <w:sz w:val="18"/>
                <w:szCs w:val="18"/>
              </w:rPr>
            </w:pPr>
            <w:r>
              <w:rPr>
                <w:rFonts w:ascii="Times New Roman"/>
                <w:sz w:val="18"/>
              </w:rPr>
              <w:t>28</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朗新云商</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75"/>
              <w:ind w:left="675" w:right="60" w:hanging="631"/>
              <w:jc w:val="left"/>
              <w:rPr>
                <w:rFonts w:ascii="宋体" w:hAnsi="宋体" w:cs="宋体" w:eastAsia="宋体" w:hint="default"/>
                <w:sz w:val="18"/>
                <w:szCs w:val="18"/>
              </w:rPr>
            </w:pPr>
            <w:r>
              <w:rPr>
                <w:rFonts w:ascii="宋体" w:hAnsi="宋体" w:cs="宋体" w:eastAsia="宋体" w:hint="default"/>
                <w:sz w:val="18"/>
                <w:szCs w:val="18"/>
              </w:rPr>
              <w:t>杭州未来科技城资产管理 有限公司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75"/>
              <w:ind w:left="1036" w:right="73" w:hanging="946"/>
              <w:jc w:val="left"/>
              <w:rPr>
                <w:rFonts w:ascii="宋体" w:hAnsi="宋体" w:cs="宋体" w:eastAsia="宋体" w:hint="default"/>
                <w:sz w:val="18"/>
                <w:szCs w:val="18"/>
              </w:rPr>
            </w:pPr>
            <w:r>
              <w:rPr>
                <w:rFonts w:ascii="宋体" w:hAnsi="宋体" w:cs="宋体" w:eastAsia="宋体" w:hint="default"/>
                <w:sz w:val="18"/>
                <w:szCs w:val="18"/>
              </w:rPr>
              <w:t>杭州市余杭区五常街道文一西路</w:t>
            </w:r>
            <w:r>
              <w:rPr>
                <w:rFonts w:ascii="Times New Roman" w:hAnsi="Times New Roman" w:cs="Times New Roman" w:eastAsia="Times New Roman" w:hint="default"/>
                <w:sz w:val="18"/>
                <w:szCs w:val="18"/>
              </w:rPr>
              <w:t>998</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4</w:t>
            </w:r>
            <w:r>
              <w:rPr>
                <w:rFonts w:ascii="宋体" w:hAnsi="宋体" w:cs="宋体" w:eastAsia="宋体" w:hint="default"/>
                <w:sz w:val="18"/>
                <w:szCs w:val="18"/>
              </w:rPr>
              <w:t>幢</w:t>
            </w:r>
            <w:r>
              <w:rPr>
                <w:rFonts w:ascii="Times New Roman" w:hAnsi="Times New Roman" w:cs="Times New Roman" w:eastAsia="Times New Roman" w:hint="default"/>
                <w:sz w:val="18"/>
                <w:szCs w:val="18"/>
              </w:rPr>
              <w:t>805</w:t>
            </w:r>
            <w:r>
              <w:rPr>
                <w:rFonts w:ascii="宋体" w:hAnsi="宋体" w:cs="宋体" w:eastAsia="宋体" w:hint="default"/>
                <w:sz w:val="18"/>
                <w:szCs w:val="18"/>
              </w:rPr>
              <w:t>室</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4"/>
              <w:jc w:val="center"/>
              <w:rPr>
                <w:rFonts w:ascii="宋体" w:hAnsi="宋体" w:cs="宋体" w:eastAsia="宋体" w:hint="default"/>
                <w:sz w:val="18"/>
                <w:szCs w:val="18"/>
              </w:rPr>
            </w:pPr>
            <w:r>
              <w:rPr>
                <w:rFonts w:ascii="宋体" w:hAnsi="宋体" w:cs="宋体" w:eastAsia="宋体" w:hint="default"/>
                <w:sz w:val="18"/>
                <w:szCs w:val="18"/>
              </w:rPr>
              <w:t>尚在签署过程中</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65"/>
              <w:jc w:val="right"/>
              <w:rPr>
                <w:rFonts w:ascii="Times New Roman" w:hAnsi="Times New Roman" w:cs="Times New Roman" w:eastAsia="Times New Roman" w:hint="default"/>
                <w:sz w:val="18"/>
                <w:szCs w:val="18"/>
              </w:rPr>
            </w:pPr>
            <w:r>
              <w:rPr>
                <w:rFonts w:ascii="Times New Roman"/>
                <w:sz w:val="18"/>
              </w:rPr>
              <w:t>455.74</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60"/>
              <w:ind w:left="180" w:right="13" w:hanging="181"/>
              <w:jc w:val="left"/>
              <w:rPr>
                <w:rFonts w:ascii="宋体" w:hAnsi="宋体" w:cs="宋体" w:eastAsia="宋体" w:hint="default"/>
                <w:sz w:val="18"/>
                <w:szCs w:val="18"/>
              </w:rPr>
            </w:pPr>
            <w:r>
              <w:rPr>
                <w:rFonts w:ascii="宋体" w:hAnsi="宋体" w:cs="宋体" w:eastAsia="宋体" w:hint="default"/>
                <w:sz w:val="18"/>
                <w:szCs w:val="18"/>
              </w:rPr>
              <w:t>办公研 发</w:t>
            </w:r>
          </w:p>
        </w:tc>
      </w:tr>
      <w:tr>
        <w:trPr>
          <w:trHeight w:val="780"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93"/>
              <w:jc w:val="right"/>
              <w:rPr>
                <w:rFonts w:ascii="Times New Roman" w:hAnsi="Times New Roman" w:cs="Times New Roman" w:eastAsia="Times New Roman" w:hint="default"/>
                <w:sz w:val="18"/>
                <w:szCs w:val="18"/>
              </w:rPr>
            </w:pPr>
            <w:r>
              <w:rPr>
                <w:rFonts w:ascii="Times New Roman"/>
                <w:sz w:val="18"/>
              </w:rPr>
              <w:t>29</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邦道科技</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74"/>
              <w:ind w:left="946" w:right="60" w:hanging="901"/>
              <w:jc w:val="left"/>
              <w:rPr>
                <w:rFonts w:ascii="宋体" w:hAnsi="宋体" w:cs="宋体" w:eastAsia="宋体" w:hint="default"/>
                <w:sz w:val="18"/>
                <w:szCs w:val="18"/>
              </w:rPr>
            </w:pPr>
            <w:r>
              <w:rPr>
                <w:rFonts w:ascii="宋体" w:hAnsi="宋体" w:cs="宋体" w:eastAsia="宋体" w:hint="default"/>
                <w:sz w:val="18"/>
                <w:szCs w:val="18"/>
              </w:rPr>
              <w:t>无锡软件产业发展有限公 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74"/>
              <w:ind w:left="435" w:right="73" w:hanging="346"/>
              <w:jc w:val="left"/>
              <w:rPr>
                <w:rFonts w:ascii="宋体" w:hAnsi="宋体" w:cs="宋体" w:eastAsia="宋体" w:hint="default"/>
                <w:sz w:val="18"/>
                <w:szCs w:val="18"/>
              </w:rPr>
            </w:pPr>
            <w:r>
              <w:rPr>
                <w:rFonts w:ascii="宋体" w:hAnsi="宋体" w:cs="宋体" w:eastAsia="宋体" w:hint="default"/>
                <w:sz w:val="18"/>
                <w:szCs w:val="18"/>
              </w:rPr>
              <w:t>江苏省无锡市新吴区菱湖大道</w:t>
            </w:r>
            <w:r>
              <w:rPr>
                <w:rFonts w:ascii="Times New Roman" w:hAnsi="Times New Roman" w:cs="Times New Roman" w:eastAsia="Times New Roman" w:hint="default"/>
                <w:sz w:val="18"/>
                <w:szCs w:val="18"/>
              </w:rPr>
              <w:t>111</w:t>
            </w:r>
            <w:r>
              <w:rPr>
                <w:rFonts w:ascii="宋体" w:hAnsi="宋体" w:cs="宋体" w:eastAsia="宋体" w:hint="default"/>
                <w:sz w:val="18"/>
                <w:szCs w:val="18"/>
              </w:rPr>
              <w:t>号</w:t>
            </w:r>
            <w:r>
              <w:rPr>
                <w:rFonts w:ascii="宋体" w:hAnsi="宋体" w:cs="宋体" w:eastAsia="宋体" w:hint="default"/>
                <w:spacing w:val="-87"/>
                <w:sz w:val="18"/>
                <w:szCs w:val="18"/>
              </w:rPr>
              <w:t> </w:t>
            </w:r>
            <w:r>
              <w:rPr>
                <w:rFonts w:ascii="宋体" w:hAnsi="宋体" w:cs="宋体" w:eastAsia="宋体" w:hint="default"/>
                <w:sz w:val="18"/>
                <w:szCs w:val="18"/>
              </w:rPr>
              <w:t>无锡软件园天鹅座</w:t>
            </w:r>
            <w:r>
              <w:rPr>
                <w:rFonts w:ascii="Times New Roman" w:hAnsi="Times New Roman" w:cs="Times New Roman" w:eastAsia="Times New Roman" w:hint="default"/>
                <w:sz w:val="18"/>
                <w:szCs w:val="18"/>
              </w:rPr>
              <w:t>B</w:t>
            </w:r>
            <w:r>
              <w:rPr>
                <w:rFonts w:ascii="宋体" w:hAnsi="宋体" w:cs="宋体" w:eastAsia="宋体" w:hint="default"/>
                <w:sz w:val="18"/>
                <w:szCs w:val="18"/>
              </w:rPr>
              <w:t>栋</w:t>
            </w:r>
            <w:r>
              <w:rPr>
                <w:rFonts w:ascii="Times New Roman" w:hAnsi="Times New Roman" w:cs="Times New Roman" w:eastAsia="Times New Roman" w:hint="default"/>
                <w:sz w:val="18"/>
                <w:szCs w:val="18"/>
              </w:rPr>
              <w:t>10</w:t>
            </w:r>
            <w:r>
              <w:rPr>
                <w:rFonts w:ascii="宋体" w:hAnsi="宋体" w:cs="宋体" w:eastAsia="宋体" w:hint="default"/>
                <w:sz w:val="18"/>
                <w:szCs w:val="18"/>
              </w:rPr>
              <w:t>楼</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2019.01.01-2020.12.31</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10" w:right="0"/>
              <w:jc w:val="left"/>
              <w:rPr>
                <w:rFonts w:ascii="Times New Roman" w:hAnsi="Times New Roman" w:cs="Times New Roman" w:eastAsia="Times New Roman" w:hint="default"/>
                <w:sz w:val="18"/>
                <w:szCs w:val="18"/>
              </w:rPr>
            </w:pPr>
            <w:r>
              <w:rPr>
                <w:rFonts w:ascii="Times New Roman"/>
                <w:sz w:val="18"/>
              </w:rPr>
              <w:t>2470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780"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93"/>
              <w:jc w:val="right"/>
              <w:rPr>
                <w:rFonts w:ascii="Times New Roman" w:hAnsi="Times New Roman" w:cs="Times New Roman" w:eastAsia="Times New Roman" w:hint="default"/>
                <w:sz w:val="18"/>
                <w:szCs w:val="18"/>
              </w:rPr>
            </w:pPr>
            <w:r>
              <w:rPr>
                <w:rFonts w:ascii="Times New Roman"/>
                <w:sz w:val="18"/>
              </w:rPr>
              <w:t>30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邦道科技</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74"/>
              <w:ind w:left="946" w:right="60" w:hanging="901"/>
              <w:jc w:val="left"/>
              <w:rPr>
                <w:rFonts w:ascii="宋体" w:hAnsi="宋体" w:cs="宋体" w:eastAsia="宋体" w:hint="default"/>
                <w:sz w:val="18"/>
                <w:szCs w:val="18"/>
              </w:rPr>
            </w:pPr>
            <w:r>
              <w:rPr>
                <w:rFonts w:ascii="宋体" w:hAnsi="宋体" w:cs="宋体" w:eastAsia="宋体" w:hint="default"/>
                <w:sz w:val="18"/>
                <w:szCs w:val="18"/>
              </w:rPr>
              <w:t>无锡软件产业发展有限公 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74"/>
              <w:ind w:left="570" w:right="28" w:hanging="526"/>
              <w:jc w:val="left"/>
              <w:rPr>
                <w:rFonts w:ascii="宋体" w:hAnsi="宋体" w:cs="宋体" w:eastAsia="宋体" w:hint="default"/>
                <w:sz w:val="18"/>
                <w:szCs w:val="18"/>
              </w:rPr>
            </w:pPr>
            <w:r>
              <w:rPr>
                <w:rFonts w:ascii="宋体" w:hAnsi="宋体" w:cs="宋体" w:eastAsia="宋体" w:hint="default"/>
                <w:sz w:val="18"/>
                <w:szCs w:val="18"/>
              </w:rPr>
              <w:t>江苏省无锡市新吴区震泽路</w:t>
            </w:r>
            <w:r>
              <w:rPr>
                <w:rFonts w:ascii="Times New Roman" w:hAnsi="Times New Roman" w:cs="Times New Roman" w:eastAsia="Times New Roman" w:hint="default"/>
                <w:sz w:val="18"/>
                <w:szCs w:val="18"/>
              </w:rPr>
              <w:t>18</w:t>
            </w:r>
            <w:r>
              <w:rPr>
                <w:rFonts w:ascii="宋体" w:hAnsi="宋体" w:cs="宋体" w:eastAsia="宋体" w:hint="default"/>
                <w:sz w:val="18"/>
                <w:szCs w:val="18"/>
              </w:rPr>
              <w:t>号无锡 软件园天鹅座</w:t>
            </w:r>
            <w:r>
              <w:rPr>
                <w:rFonts w:ascii="Times New Roman" w:hAnsi="Times New Roman" w:cs="Times New Roman" w:eastAsia="Times New Roman" w:hint="default"/>
                <w:sz w:val="18"/>
                <w:szCs w:val="18"/>
              </w:rPr>
              <w:t>B</w:t>
            </w:r>
            <w:r>
              <w:rPr>
                <w:rFonts w:ascii="宋体" w:hAnsi="宋体" w:cs="宋体" w:eastAsia="宋体" w:hint="default"/>
                <w:sz w:val="18"/>
                <w:szCs w:val="18"/>
              </w:rPr>
              <w:t>栋</w:t>
            </w:r>
            <w:r>
              <w:rPr>
                <w:rFonts w:ascii="Times New Roman" w:hAnsi="Times New Roman" w:cs="Times New Roman" w:eastAsia="Times New Roman" w:hint="default"/>
                <w:sz w:val="18"/>
                <w:szCs w:val="18"/>
              </w:rPr>
              <w:t>802</w:t>
            </w:r>
            <w:r>
              <w:rPr>
                <w:rFonts w:ascii="宋体" w:hAnsi="宋体" w:cs="宋体" w:eastAsia="宋体" w:hint="default"/>
                <w:sz w:val="18"/>
                <w:szCs w:val="18"/>
              </w:rPr>
              <w:t>室</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2019.11.01-2022.12.31</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10" w:right="0"/>
              <w:jc w:val="left"/>
              <w:rPr>
                <w:rFonts w:ascii="Times New Roman" w:hAnsi="Times New Roman" w:cs="Times New Roman" w:eastAsia="Times New Roman" w:hint="default"/>
                <w:sz w:val="18"/>
                <w:szCs w:val="18"/>
              </w:rPr>
            </w:pPr>
            <w:r>
              <w:rPr>
                <w:rFonts w:ascii="Times New Roman"/>
                <w:sz w:val="18"/>
              </w:rPr>
              <w:t>1235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78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93"/>
              <w:jc w:val="right"/>
              <w:rPr>
                <w:rFonts w:ascii="Times New Roman" w:hAnsi="Times New Roman" w:cs="Times New Roman" w:eastAsia="Times New Roman" w:hint="default"/>
                <w:sz w:val="18"/>
                <w:szCs w:val="18"/>
              </w:rPr>
            </w:pPr>
            <w:r>
              <w:rPr>
                <w:rFonts w:ascii="Times New Roman"/>
                <w:sz w:val="18"/>
              </w:rPr>
              <w:t>31</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涵谷科技</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75"/>
              <w:ind w:left="946" w:right="60" w:hanging="901"/>
              <w:jc w:val="left"/>
              <w:rPr>
                <w:rFonts w:ascii="宋体" w:hAnsi="宋体" w:cs="宋体" w:eastAsia="宋体" w:hint="default"/>
                <w:sz w:val="18"/>
                <w:szCs w:val="18"/>
              </w:rPr>
            </w:pPr>
            <w:r>
              <w:rPr>
                <w:rFonts w:ascii="宋体" w:hAnsi="宋体" w:cs="宋体" w:eastAsia="宋体" w:hint="default"/>
                <w:sz w:val="18"/>
                <w:szCs w:val="18"/>
              </w:rPr>
              <w:t>无锡软件产业发展有限公 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75"/>
              <w:ind w:left="390" w:right="73" w:hanging="301"/>
              <w:jc w:val="left"/>
              <w:rPr>
                <w:rFonts w:ascii="宋体" w:hAnsi="宋体" w:cs="宋体" w:eastAsia="宋体" w:hint="default"/>
                <w:sz w:val="18"/>
                <w:szCs w:val="18"/>
              </w:rPr>
            </w:pPr>
            <w:r>
              <w:rPr>
                <w:rFonts w:ascii="宋体" w:hAnsi="宋体" w:cs="宋体" w:eastAsia="宋体" w:hint="default"/>
                <w:sz w:val="18"/>
                <w:szCs w:val="18"/>
              </w:rPr>
              <w:t>江苏省无锡市新吴区菱湖大道</w:t>
            </w:r>
            <w:r>
              <w:rPr>
                <w:rFonts w:ascii="Times New Roman" w:hAnsi="Times New Roman" w:cs="Times New Roman" w:eastAsia="Times New Roman" w:hint="default"/>
                <w:sz w:val="18"/>
                <w:szCs w:val="18"/>
              </w:rPr>
              <w:t>111</w:t>
            </w:r>
            <w:r>
              <w:rPr>
                <w:rFonts w:ascii="宋体" w:hAnsi="宋体" w:cs="宋体" w:eastAsia="宋体" w:hint="default"/>
                <w:sz w:val="18"/>
                <w:szCs w:val="18"/>
              </w:rPr>
              <w:t>号</w:t>
            </w:r>
            <w:r>
              <w:rPr>
                <w:rFonts w:ascii="宋体" w:hAnsi="宋体" w:cs="宋体" w:eastAsia="宋体" w:hint="default"/>
                <w:spacing w:val="-87"/>
                <w:sz w:val="18"/>
                <w:szCs w:val="18"/>
              </w:rPr>
              <w:t> </w:t>
            </w:r>
            <w:r>
              <w:rPr>
                <w:rFonts w:ascii="宋体" w:hAnsi="宋体" w:cs="宋体" w:eastAsia="宋体" w:hint="default"/>
                <w:sz w:val="18"/>
                <w:szCs w:val="18"/>
              </w:rPr>
              <w:t>无锡软件园天鹅座</w:t>
            </w:r>
            <w:r>
              <w:rPr>
                <w:rFonts w:ascii="Times New Roman" w:hAnsi="Times New Roman" w:cs="Times New Roman" w:eastAsia="Times New Roman" w:hint="default"/>
                <w:sz w:val="18"/>
                <w:szCs w:val="18"/>
              </w:rPr>
              <w:t>B</w:t>
            </w:r>
            <w:r>
              <w:rPr>
                <w:rFonts w:ascii="宋体" w:hAnsi="宋体" w:cs="宋体" w:eastAsia="宋体" w:hint="default"/>
                <w:sz w:val="18"/>
                <w:szCs w:val="18"/>
              </w:rPr>
              <w:t>栋</w:t>
            </w:r>
            <w:r>
              <w:rPr>
                <w:rFonts w:ascii="Times New Roman" w:hAnsi="Times New Roman" w:cs="Times New Roman" w:eastAsia="Times New Roman" w:hint="default"/>
                <w:sz w:val="18"/>
                <w:szCs w:val="18"/>
              </w:rPr>
              <w:t>902</w:t>
            </w:r>
            <w:r>
              <w:rPr>
                <w:rFonts w:ascii="宋体" w:hAnsi="宋体" w:cs="宋体" w:eastAsia="宋体" w:hint="default"/>
                <w:sz w:val="18"/>
                <w:szCs w:val="18"/>
              </w:rPr>
              <w:t>室</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2019.09.01-2022.12.31</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55" w:right="0"/>
              <w:jc w:val="left"/>
              <w:rPr>
                <w:rFonts w:ascii="Times New Roman" w:hAnsi="Times New Roman" w:cs="Times New Roman" w:eastAsia="Times New Roman" w:hint="default"/>
                <w:sz w:val="18"/>
                <w:szCs w:val="18"/>
              </w:rPr>
            </w:pPr>
            <w:r>
              <w:rPr>
                <w:rFonts w:ascii="Times New Roman"/>
                <w:sz w:val="18"/>
              </w:rPr>
              <w:t>700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3"/>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780"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93"/>
              <w:jc w:val="right"/>
              <w:rPr>
                <w:rFonts w:ascii="Times New Roman" w:hAnsi="Times New Roman" w:cs="Times New Roman" w:eastAsia="Times New Roman" w:hint="default"/>
                <w:sz w:val="18"/>
                <w:szCs w:val="18"/>
              </w:rPr>
            </w:pPr>
            <w:r>
              <w:rPr>
                <w:rFonts w:ascii="Times New Roman"/>
                <w:sz w:val="18"/>
              </w:rPr>
              <w:t>32</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朗新科技</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59"/>
              <w:ind w:left="946" w:right="60" w:hanging="901"/>
              <w:jc w:val="left"/>
              <w:rPr>
                <w:rFonts w:ascii="宋体" w:hAnsi="宋体" w:cs="宋体" w:eastAsia="宋体" w:hint="default"/>
                <w:sz w:val="18"/>
                <w:szCs w:val="18"/>
              </w:rPr>
            </w:pPr>
            <w:r>
              <w:rPr>
                <w:rFonts w:ascii="宋体" w:hAnsi="宋体" w:cs="宋体" w:eastAsia="宋体" w:hint="default"/>
                <w:sz w:val="18"/>
                <w:szCs w:val="18"/>
              </w:rPr>
              <w:t>无锡软件产业发展有限公 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59"/>
              <w:ind w:left="390" w:right="73" w:hanging="301"/>
              <w:jc w:val="left"/>
              <w:rPr>
                <w:rFonts w:ascii="宋体" w:hAnsi="宋体" w:cs="宋体" w:eastAsia="宋体" w:hint="default"/>
                <w:sz w:val="18"/>
                <w:szCs w:val="18"/>
              </w:rPr>
            </w:pPr>
            <w:r>
              <w:rPr>
                <w:rFonts w:ascii="宋体" w:hAnsi="宋体" w:cs="宋体" w:eastAsia="宋体" w:hint="default"/>
                <w:sz w:val="18"/>
                <w:szCs w:val="18"/>
              </w:rPr>
              <w:t>江苏省无锡市新吴区菱湖大道</w:t>
            </w:r>
            <w:r>
              <w:rPr>
                <w:rFonts w:ascii="Times New Roman" w:hAnsi="Times New Roman" w:cs="Times New Roman" w:eastAsia="Times New Roman" w:hint="default"/>
                <w:sz w:val="18"/>
                <w:szCs w:val="18"/>
              </w:rPr>
              <w:t>111</w:t>
            </w:r>
            <w:r>
              <w:rPr>
                <w:rFonts w:ascii="宋体" w:hAnsi="宋体" w:cs="宋体" w:eastAsia="宋体" w:hint="default"/>
                <w:sz w:val="18"/>
                <w:szCs w:val="18"/>
              </w:rPr>
              <w:t>号</w:t>
            </w:r>
            <w:r>
              <w:rPr>
                <w:rFonts w:ascii="宋体" w:hAnsi="宋体" w:cs="宋体" w:eastAsia="宋体" w:hint="default"/>
                <w:spacing w:val="-87"/>
                <w:sz w:val="18"/>
                <w:szCs w:val="18"/>
              </w:rPr>
              <w:t> </w:t>
            </w:r>
            <w:r>
              <w:rPr>
                <w:rFonts w:ascii="宋体" w:hAnsi="宋体" w:cs="宋体" w:eastAsia="宋体" w:hint="default"/>
                <w:sz w:val="18"/>
                <w:szCs w:val="18"/>
              </w:rPr>
              <w:t>无锡软件园天鹅座</w:t>
            </w:r>
            <w:r>
              <w:rPr>
                <w:rFonts w:ascii="Times New Roman" w:hAnsi="Times New Roman" w:cs="Times New Roman" w:eastAsia="Times New Roman" w:hint="default"/>
                <w:sz w:val="18"/>
                <w:szCs w:val="18"/>
              </w:rPr>
              <w:t>B</w:t>
            </w:r>
            <w:r>
              <w:rPr>
                <w:rFonts w:ascii="宋体" w:hAnsi="宋体" w:cs="宋体" w:eastAsia="宋体" w:hint="default"/>
                <w:sz w:val="18"/>
                <w:szCs w:val="18"/>
              </w:rPr>
              <w:t>栋</w:t>
            </w:r>
            <w:r>
              <w:rPr>
                <w:rFonts w:ascii="Times New Roman" w:hAnsi="Times New Roman" w:cs="Times New Roman" w:eastAsia="Times New Roman" w:hint="default"/>
                <w:sz w:val="18"/>
                <w:szCs w:val="18"/>
              </w:rPr>
              <w:t>801</w:t>
            </w:r>
            <w:r>
              <w:rPr>
                <w:rFonts w:ascii="宋体" w:hAnsi="宋体" w:cs="宋体" w:eastAsia="宋体" w:hint="default"/>
                <w:sz w:val="18"/>
                <w:szCs w:val="18"/>
              </w:rPr>
              <w:t>室</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15"/>
              <w:jc w:val="center"/>
              <w:rPr>
                <w:rFonts w:ascii="Times New Roman" w:hAnsi="Times New Roman" w:cs="Times New Roman" w:eastAsia="Times New Roman" w:hint="default"/>
                <w:sz w:val="18"/>
                <w:szCs w:val="18"/>
              </w:rPr>
            </w:pPr>
            <w:r>
              <w:rPr>
                <w:rFonts w:ascii="Times New Roman"/>
                <w:sz w:val="18"/>
              </w:rPr>
              <w:t>2019.11.01-2022.12.31</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10" w:right="0"/>
              <w:jc w:val="left"/>
              <w:rPr>
                <w:rFonts w:ascii="Times New Roman" w:hAnsi="Times New Roman" w:cs="Times New Roman" w:eastAsia="Times New Roman" w:hint="default"/>
                <w:sz w:val="18"/>
                <w:szCs w:val="18"/>
              </w:rPr>
            </w:pPr>
            <w:r>
              <w:rPr>
                <w:rFonts w:ascii="Times New Roman"/>
                <w:sz w:val="18"/>
              </w:rPr>
              <w:t>1235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105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93"/>
              <w:jc w:val="right"/>
              <w:rPr>
                <w:rFonts w:ascii="Times New Roman" w:hAnsi="Times New Roman" w:cs="Times New Roman" w:eastAsia="Times New Roman" w:hint="default"/>
                <w:sz w:val="18"/>
                <w:szCs w:val="18"/>
              </w:rPr>
            </w:pPr>
            <w:r>
              <w:rPr>
                <w:rFonts w:ascii="Times New Roman"/>
                <w:sz w:val="18"/>
              </w:rPr>
              <w:t>33</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合肥新耀</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60"/>
              <w:ind w:left="946" w:right="60" w:hanging="901"/>
              <w:jc w:val="left"/>
              <w:rPr>
                <w:rFonts w:ascii="宋体" w:hAnsi="宋体" w:cs="宋体" w:eastAsia="宋体" w:hint="default"/>
                <w:sz w:val="18"/>
                <w:szCs w:val="18"/>
              </w:rPr>
            </w:pPr>
            <w:r>
              <w:rPr>
                <w:rFonts w:ascii="宋体" w:hAnsi="宋体" w:cs="宋体" w:eastAsia="宋体" w:hint="default"/>
                <w:sz w:val="18"/>
                <w:szCs w:val="18"/>
              </w:rPr>
              <w:t>合肥力恒液压系统有限公 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396" w:right="31" w:hanging="1352"/>
              <w:jc w:val="left"/>
              <w:rPr>
                <w:rFonts w:ascii="宋体" w:hAnsi="宋体" w:cs="宋体" w:eastAsia="宋体" w:hint="default"/>
                <w:sz w:val="18"/>
                <w:szCs w:val="18"/>
              </w:rPr>
            </w:pPr>
            <w:r>
              <w:rPr>
                <w:rFonts w:ascii="宋体" w:hAnsi="宋体" w:cs="宋体" w:eastAsia="宋体" w:hint="default"/>
                <w:sz w:val="18"/>
                <w:szCs w:val="18"/>
              </w:rPr>
              <w:t>安徽省合肥市高新区机电产业园杨林 路</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5"/>
              <w:jc w:val="center"/>
              <w:rPr>
                <w:rFonts w:ascii="Times New Roman" w:hAnsi="Times New Roman" w:cs="Times New Roman" w:eastAsia="Times New Roman" w:hint="default"/>
                <w:sz w:val="18"/>
                <w:szCs w:val="18"/>
              </w:rPr>
            </w:pPr>
            <w:r>
              <w:rPr>
                <w:rFonts w:ascii="Times New Roman"/>
                <w:sz w:val="18"/>
              </w:rPr>
              <w:t>2019.03.18-2024.03.17</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2"/>
              <w:jc w:val="center"/>
              <w:rPr>
                <w:rFonts w:ascii="Times New Roman" w:hAnsi="Times New Roman" w:cs="Times New Roman" w:eastAsia="Times New Roman" w:hint="default"/>
                <w:sz w:val="18"/>
                <w:szCs w:val="18"/>
              </w:rPr>
            </w:pPr>
            <w:r>
              <w:rPr>
                <w:rFonts w:ascii="Times New Roman"/>
                <w:sz w:val="18"/>
              </w:rPr>
              <w:t>50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right="13"/>
              <w:jc w:val="both"/>
              <w:rPr>
                <w:rFonts w:ascii="宋体" w:hAnsi="宋体" w:cs="宋体" w:eastAsia="宋体" w:hint="default"/>
                <w:sz w:val="18"/>
                <w:szCs w:val="18"/>
              </w:rPr>
            </w:pPr>
            <w:r>
              <w:rPr>
                <w:rFonts w:ascii="宋体" w:hAnsi="宋体" w:cs="宋体" w:eastAsia="宋体" w:hint="default"/>
                <w:sz w:val="18"/>
                <w:szCs w:val="18"/>
              </w:rPr>
              <w:t>科研生 产和办 公场所</w:t>
            </w:r>
          </w:p>
        </w:tc>
      </w:tr>
      <w:tr>
        <w:trPr>
          <w:trHeight w:val="78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93"/>
              <w:jc w:val="right"/>
              <w:rPr>
                <w:rFonts w:ascii="Times New Roman" w:hAnsi="Times New Roman" w:cs="Times New Roman" w:eastAsia="Times New Roman" w:hint="default"/>
                <w:sz w:val="18"/>
                <w:szCs w:val="18"/>
              </w:rPr>
            </w:pPr>
            <w:r>
              <w:rPr>
                <w:rFonts w:ascii="Times New Roman"/>
                <w:sz w:val="18"/>
              </w:rPr>
              <w:t>34</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瀚云风鹏</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59"/>
              <w:ind w:left="765" w:right="60" w:hanging="721"/>
              <w:jc w:val="left"/>
              <w:rPr>
                <w:rFonts w:ascii="宋体" w:hAnsi="宋体" w:cs="宋体" w:eastAsia="宋体" w:hint="default"/>
                <w:sz w:val="18"/>
                <w:szCs w:val="18"/>
              </w:rPr>
            </w:pPr>
            <w:r>
              <w:rPr>
                <w:rFonts w:ascii="宋体" w:hAnsi="宋体" w:cs="宋体" w:eastAsia="宋体" w:hint="default"/>
                <w:sz w:val="18"/>
                <w:szCs w:val="18"/>
              </w:rPr>
              <w:t>重庆渝高新兴科技发展有 限公司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59"/>
              <w:ind w:left="841" w:right="18" w:hanging="826"/>
              <w:jc w:val="left"/>
              <w:rPr>
                <w:rFonts w:ascii="宋体" w:hAnsi="宋体" w:cs="宋体" w:eastAsia="宋体" w:hint="default"/>
                <w:sz w:val="18"/>
                <w:szCs w:val="18"/>
              </w:rPr>
            </w:pPr>
            <w:r>
              <w:rPr>
                <w:rFonts w:ascii="宋体" w:hAnsi="宋体" w:cs="宋体" w:eastAsia="宋体" w:hint="default"/>
                <w:sz w:val="18"/>
                <w:szCs w:val="18"/>
              </w:rPr>
              <w:t>重庆市渝北区杨柳北路</w:t>
            </w:r>
            <w:r>
              <w:rPr>
                <w:rFonts w:ascii="Times New Roman" w:hAnsi="Times New Roman" w:cs="Times New Roman" w:eastAsia="Times New Roman" w:hint="default"/>
                <w:sz w:val="18"/>
                <w:szCs w:val="18"/>
              </w:rPr>
              <w:t>6</w:t>
            </w:r>
            <w:r>
              <w:rPr>
                <w:rFonts w:ascii="宋体" w:hAnsi="宋体" w:cs="宋体" w:eastAsia="宋体" w:hint="default"/>
                <w:sz w:val="18"/>
                <w:szCs w:val="18"/>
              </w:rPr>
              <w:t>号渝兴拓展</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区</w:t>
            </w:r>
            <w:r>
              <w:rPr>
                <w:rFonts w:ascii="Times New Roman" w:hAnsi="Times New Roman" w:cs="Times New Roman" w:eastAsia="Times New Roman" w:hint="default"/>
                <w:sz w:val="18"/>
                <w:szCs w:val="18"/>
              </w:rPr>
              <w:t>D4</w:t>
            </w:r>
            <w:r>
              <w:rPr>
                <w:rFonts w:ascii="宋体" w:hAnsi="宋体" w:cs="宋体" w:eastAsia="宋体" w:hint="default"/>
                <w:sz w:val="18"/>
                <w:szCs w:val="18"/>
              </w:rPr>
              <w:t>栋</w:t>
            </w:r>
            <w:r>
              <w:rPr>
                <w:rFonts w:ascii="Times New Roman" w:hAnsi="Times New Roman" w:cs="Times New Roman" w:eastAsia="Times New Roman" w:hint="default"/>
                <w:sz w:val="18"/>
                <w:szCs w:val="18"/>
              </w:rPr>
              <w:t>7</w:t>
            </w:r>
            <w:r>
              <w:rPr>
                <w:rFonts w:ascii="宋体" w:hAnsi="宋体" w:cs="宋体" w:eastAsia="宋体" w:hint="default"/>
                <w:sz w:val="18"/>
                <w:szCs w:val="18"/>
              </w:rPr>
              <w:t>层</w:t>
            </w:r>
            <w:r>
              <w:rPr>
                <w:rFonts w:ascii="Times New Roman" w:hAnsi="Times New Roman" w:cs="Times New Roman" w:eastAsia="Times New Roman" w:hint="default"/>
                <w:sz w:val="18"/>
                <w:szCs w:val="18"/>
              </w:rPr>
              <w:t>1-4</w:t>
            </w:r>
            <w:r>
              <w:rPr>
                <w:rFonts w:ascii="宋体" w:hAnsi="宋体" w:cs="宋体" w:eastAsia="宋体" w:hint="default"/>
                <w:sz w:val="18"/>
                <w:szCs w:val="18"/>
              </w:rPr>
              <w:t>号</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5"/>
              <w:jc w:val="center"/>
              <w:rPr>
                <w:rFonts w:ascii="Times New Roman" w:hAnsi="Times New Roman" w:cs="Times New Roman" w:eastAsia="Times New Roman" w:hint="default"/>
                <w:sz w:val="18"/>
                <w:szCs w:val="18"/>
              </w:rPr>
            </w:pPr>
            <w:r>
              <w:rPr>
                <w:rFonts w:ascii="Times New Roman"/>
                <w:sz w:val="18"/>
              </w:rPr>
              <w:t>2019.11.01-2022.10.31</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65"/>
              <w:jc w:val="right"/>
              <w:rPr>
                <w:rFonts w:ascii="Times New Roman" w:hAnsi="Times New Roman" w:cs="Times New Roman" w:eastAsia="Times New Roman" w:hint="default"/>
                <w:sz w:val="18"/>
                <w:szCs w:val="18"/>
              </w:rPr>
            </w:pPr>
            <w:r>
              <w:rPr>
                <w:rFonts w:ascii="Times New Roman"/>
                <w:sz w:val="18"/>
              </w:rPr>
              <w:t>936.66</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105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93"/>
              <w:jc w:val="right"/>
              <w:rPr>
                <w:rFonts w:ascii="Times New Roman" w:hAnsi="Times New Roman" w:cs="Times New Roman" w:eastAsia="Times New Roman" w:hint="default"/>
                <w:sz w:val="18"/>
                <w:szCs w:val="18"/>
              </w:rPr>
            </w:pPr>
            <w:r>
              <w:rPr>
                <w:rFonts w:ascii="Times New Roman"/>
                <w:sz w:val="18"/>
              </w:rPr>
              <w:t>35</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朗新科技</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60"/>
              <w:ind w:left="765" w:right="60" w:hanging="721"/>
              <w:jc w:val="left"/>
              <w:rPr>
                <w:rFonts w:ascii="宋体" w:hAnsi="宋体" w:cs="宋体" w:eastAsia="宋体" w:hint="default"/>
                <w:sz w:val="18"/>
                <w:szCs w:val="18"/>
              </w:rPr>
            </w:pPr>
            <w:r>
              <w:rPr>
                <w:rFonts w:ascii="宋体" w:hAnsi="宋体" w:cs="宋体" w:eastAsia="宋体" w:hint="default"/>
                <w:sz w:val="18"/>
                <w:szCs w:val="18"/>
              </w:rPr>
              <w:t>北京中科鸿泰信息技术有 限公司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45"/>
              <w:ind w:left="15" w:right="31" w:firstLine="3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北京市昌平区回龙观镇朱辛庄北农路 </w:t>
            </w:r>
            <w:r>
              <w:rPr>
                <w:rFonts w:ascii="Times New Roman" w:hAnsi="Times New Roman" w:cs="Times New Roman" w:eastAsia="Times New Roman" w:hint="default"/>
                <w:spacing w:val="-10"/>
                <w:w w:val="99"/>
                <w:sz w:val="18"/>
                <w:szCs w:val="18"/>
              </w:rPr>
              <w:t>2</w:t>
            </w:r>
            <w:r>
              <w:rPr>
                <w:rFonts w:ascii="宋体" w:hAnsi="宋体" w:cs="宋体" w:eastAsia="宋体" w:hint="default"/>
                <w:spacing w:val="-10"/>
                <w:w w:val="99"/>
                <w:sz w:val="18"/>
                <w:szCs w:val="18"/>
              </w:rPr>
              <w:t>号主楼</w:t>
            </w:r>
            <w:r>
              <w:rPr>
                <w:rFonts w:ascii="Times New Roman" w:hAnsi="Times New Roman" w:cs="Times New Roman" w:eastAsia="Times New Roman" w:hint="default"/>
                <w:spacing w:val="-10"/>
                <w:w w:val="99"/>
                <w:sz w:val="18"/>
                <w:szCs w:val="18"/>
              </w:rPr>
              <w:t>E0726</w:t>
            </w:r>
            <w:r>
              <w:rPr>
                <w:rFonts w:ascii="宋体" w:hAnsi="宋体" w:cs="宋体" w:eastAsia="宋体" w:hint="default"/>
                <w:spacing w:val="-10"/>
                <w:w w:val="99"/>
                <w:sz w:val="18"/>
                <w:szCs w:val="18"/>
              </w:rPr>
              <w:t>、</w:t>
            </w:r>
            <w:r>
              <w:rPr>
                <w:rFonts w:ascii="Times New Roman" w:hAnsi="Times New Roman" w:cs="Times New Roman" w:eastAsia="Times New Roman" w:hint="default"/>
                <w:spacing w:val="-10"/>
                <w:w w:val="99"/>
                <w:sz w:val="18"/>
                <w:szCs w:val="18"/>
              </w:rPr>
              <w:t>D1312</w:t>
            </w:r>
            <w:r>
              <w:rPr>
                <w:rFonts w:ascii="宋体" w:hAnsi="宋体" w:cs="宋体" w:eastAsia="宋体" w:hint="default"/>
                <w:spacing w:val="-10"/>
                <w:w w:val="99"/>
                <w:sz w:val="18"/>
                <w:szCs w:val="18"/>
              </w:rPr>
              <w:t>、</w:t>
            </w:r>
            <w:r>
              <w:rPr>
                <w:rFonts w:ascii="Times New Roman" w:hAnsi="Times New Roman" w:cs="Times New Roman" w:eastAsia="Times New Roman" w:hint="default"/>
                <w:spacing w:val="-10"/>
                <w:w w:val="99"/>
                <w:sz w:val="18"/>
                <w:szCs w:val="18"/>
              </w:rPr>
              <w:t>D1321</w:t>
            </w:r>
            <w:r>
              <w:rPr>
                <w:rFonts w:ascii="宋体" w:hAnsi="宋体" w:cs="宋体" w:eastAsia="宋体" w:hint="default"/>
                <w:spacing w:val="-10"/>
                <w:w w:val="99"/>
                <w:sz w:val="18"/>
                <w:szCs w:val="18"/>
              </w:rPr>
              <w:t>、</w:t>
            </w:r>
            <w:r>
              <w:rPr>
                <w:rFonts w:ascii="Times New Roman" w:hAnsi="Times New Roman" w:cs="Times New Roman" w:eastAsia="Times New Roman" w:hint="default"/>
                <w:spacing w:val="-10"/>
                <w:w w:val="99"/>
                <w:sz w:val="18"/>
                <w:szCs w:val="18"/>
              </w:rPr>
              <w:t>D1121</w:t>
            </w:r>
            <w:r>
              <w:rPr>
                <w:rFonts w:ascii="Times New Roman" w:hAnsi="Times New Roman" w:cs="Times New Roman" w:eastAsia="Times New Roman" w:hint="default"/>
                <w:sz w:val="18"/>
                <w:szCs w:val="18"/>
              </w:rPr>
              <w:t> D1127</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5"/>
              <w:jc w:val="center"/>
              <w:rPr>
                <w:rFonts w:ascii="Times New Roman" w:hAnsi="Times New Roman" w:cs="Times New Roman" w:eastAsia="Times New Roman" w:hint="default"/>
                <w:sz w:val="18"/>
                <w:szCs w:val="18"/>
              </w:rPr>
            </w:pPr>
            <w:r>
              <w:rPr>
                <w:rFonts w:ascii="Times New Roman"/>
                <w:sz w:val="18"/>
              </w:rPr>
              <w:t>2019.04.01-2020.03.31</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55" w:right="0"/>
              <w:jc w:val="left"/>
              <w:rPr>
                <w:rFonts w:ascii="Times New Roman" w:hAnsi="Times New Roman" w:cs="Times New Roman" w:eastAsia="Times New Roman" w:hint="default"/>
                <w:sz w:val="18"/>
                <w:szCs w:val="18"/>
              </w:rPr>
            </w:pPr>
            <w:r>
              <w:rPr>
                <w:rFonts w:ascii="Times New Roman"/>
                <w:sz w:val="18"/>
              </w:rPr>
              <w:t>414</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78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93"/>
              <w:jc w:val="right"/>
              <w:rPr>
                <w:rFonts w:ascii="Times New Roman" w:hAnsi="Times New Roman" w:cs="Times New Roman" w:eastAsia="Times New Roman" w:hint="default"/>
                <w:sz w:val="18"/>
                <w:szCs w:val="18"/>
              </w:rPr>
            </w:pPr>
            <w:r>
              <w:rPr>
                <w:rFonts w:ascii="Times New Roman"/>
                <w:sz w:val="18"/>
              </w:rPr>
              <w:t>36</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朗新科技</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60"/>
              <w:ind w:left="856" w:right="60" w:hanging="811"/>
              <w:jc w:val="left"/>
              <w:rPr>
                <w:rFonts w:ascii="宋体" w:hAnsi="宋体" w:cs="宋体" w:eastAsia="宋体" w:hint="default"/>
                <w:sz w:val="18"/>
                <w:szCs w:val="18"/>
              </w:rPr>
            </w:pPr>
            <w:r>
              <w:rPr>
                <w:rFonts w:ascii="宋体" w:hAnsi="宋体" w:cs="宋体" w:eastAsia="宋体" w:hint="default"/>
                <w:sz w:val="18"/>
                <w:szCs w:val="18"/>
              </w:rPr>
              <w:t>北京庄胜房地产开发有限 公司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0"/>
              <w:ind w:left="540" w:right="88" w:hanging="526"/>
              <w:jc w:val="left"/>
              <w:rPr>
                <w:rFonts w:ascii="宋体" w:hAnsi="宋体" w:cs="宋体" w:eastAsia="宋体" w:hint="default"/>
                <w:sz w:val="18"/>
                <w:szCs w:val="18"/>
              </w:rPr>
            </w:pPr>
            <w:r>
              <w:rPr>
                <w:rFonts w:ascii="宋体" w:hAnsi="宋体" w:cs="宋体" w:eastAsia="宋体" w:hint="default"/>
                <w:spacing w:val="-2"/>
                <w:sz w:val="18"/>
                <w:szCs w:val="18"/>
              </w:rPr>
              <w:t>北京市西城区宣武门外大街</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10</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号</w:t>
            </w:r>
            <w:r>
              <w:rPr>
                <w:rFonts w:ascii="Times New Roman" w:hAnsi="Times New Roman" w:cs="Times New Roman" w:eastAsia="Times New Roman" w:hint="default"/>
                <w:sz w:val="18"/>
                <w:szCs w:val="18"/>
              </w:rPr>
              <w:t>6</w:t>
            </w:r>
            <w:r>
              <w:rPr>
                <w:rFonts w:ascii="宋体" w:hAnsi="宋体" w:cs="宋体" w:eastAsia="宋体" w:hint="default"/>
                <w:sz w:val="18"/>
                <w:szCs w:val="18"/>
              </w:rPr>
              <w:t>号楼</w:t>
            </w:r>
            <w:r>
              <w:rPr>
                <w:rFonts w:ascii="Times New Roman" w:hAnsi="Times New Roman" w:cs="Times New Roman" w:eastAsia="Times New Roman" w:hint="default"/>
                <w:sz w:val="18"/>
                <w:szCs w:val="18"/>
              </w:rPr>
              <w:t>16</w:t>
            </w:r>
            <w:r>
              <w:rPr>
                <w:rFonts w:ascii="宋体" w:hAnsi="宋体" w:cs="宋体" w:eastAsia="宋体" w:hint="default"/>
                <w:sz w:val="18"/>
                <w:szCs w:val="18"/>
              </w:rPr>
              <w:t>层</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5"/>
              <w:jc w:val="center"/>
              <w:rPr>
                <w:rFonts w:ascii="Times New Roman" w:hAnsi="Times New Roman" w:cs="Times New Roman" w:eastAsia="Times New Roman" w:hint="default"/>
                <w:sz w:val="18"/>
                <w:szCs w:val="18"/>
              </w:rPr>
            </w:pPr>
            <w:r>
              <w:rPr>
                <w:rFonts w:ascii="Times New Roman"/>
                <w:sz w:val="18"/>
              </w:rPr>
              <w:t>2019.07.11-2021.07.10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20"/>
              <w:jc w:val="right"/>
              <w:rPr>
                <w:rFonts w:ascii="Times New Roman" w:hAnsi="Times New Roman" w:cs="Times New Roman" w:eastAsia="Times New Roman" w:hint="default"/>
                <w:sz w:val="18"/>
                <w:szCs w:val="18"/>
              </w:rPr>
            </w:pPr>
            <w:r>
              <w:rPr>
                <w:rFonts w:ascii="Times New Roman"/>
                <w:sz w:val="18"/>
              </w:rPr>
              <w:t>2982.14</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78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93"/>
              <w:jc w:val="right"/>
              <w:rPr>
                <w:rFonts w:ascii="Times New Roman" w:hAnsi="Times New Roman" w:cs="Times New Roman" w:eastAsia="Times New Roman" w:hint="default"/>
                <w:sz w:val="18"/>
                <w:szCs w:val="18"/>
              </w:rPr>
            </w:pPr>
            <w:r>
              <w:rPr>
                <w:rFonts w:ascii="Times New Roman"/>
                <w:sz w:val="18"/>
              </w:rPr>
              <w:t>37</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涵谷科技</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59"/>
              <w:ind w:left="765" w:right="17" w:hanging="766"/>
              <w:jc w:val="left"/>
              <w:rPr>
                <w:rFonts w:ascii="宋体" w:hAnsi="宋体" w:cs="宋体" w:eastAsia="宋体" w:hint="default"/>
                <w:sz w:val="18"/>
                <w:szCs w:val="18"/>
              </w:rPr>
            </w:pPr>
            <w:r>
              <w:rPr>
                <w:rFonts w:ascii="宋体" w:hAnsi="宋体" w:cs="宋体" w:eastAsia="宋体" w:hint="default"/>
                <w:spacing w:val="-8"/>
                <w:sz w:val="18"/>
                <w:szCs w:val="18"/>
              </w:rPr>
              <w:t>氪空间（天津）信息技术有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59"/>
              <w:ind w:left="1261" w:right="74" w:hanging="1172"/>
              <w:jc w:val="left"/>
              <w:rPr>
                <w:rFonts w:ascii="Times New Roman" w:hAnsi="Times New Roman" w:cs="Times New Roman" w:eastAsia="Times New Roman" w:hint="default"/>
                <w:sz w:val="18"/>
                <w:szCs w:val="18"/>
              </w:rPr>
            </w:pPr>
            <w:r>
              <w:rPr>
                <w:rFonts w:ascii="宋体" w:hAnsi="宋体" w:cs="宋体" w:eastAsia="宋体" w:hint="default"/>
                <w:sz w:val="18"/>
                <w:szCs w:val="18"/>
              </w:rPr>
              <w:t>天津市和平区南京路</w:t>
            </w:r>
            <w:r>
              <w:rPr>
                <w:rFonts w:ascii="Times New Roman" w:hAnsi="Times New Roman" w:cs="Times New Roman" w:eastAsia="Times New Roman" w:hint="default"/>
                <w:sz w:val="18"/>
                <w:szCs w:val="18"/>
              </w:rPr>
              <w:t>199</w:t>
            </w:r>
            <w:r>
              <w:rPr>
                <w:rFonts w:ascii="宋体" w:hAnsi="宋体" w:cs="宋体" w:eastAsia="宋体" w:hint="default"/>
                <w:sz w:val="18"/>
                <w:szCs w:val="18"/>
              </w:rPr>
              <w:t>号号外时尚 馆</w:t>
            </w:r>
            <w:r>
              <w:rPr>
                <w:rFonts w:ascii="Times New Roman" w:hAnsi="Times New Roman" w:cs="Times New Roman" w:eastAsia="Times New Roman" w:hint="default"/>
                <w:sz w:val="18"/>
                <w:szCs w:val="18"/>
              </w:rPr>
              <w:t>501</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5"/>
              <w:jc w:val="center"/>
              <w:rPr>
                <w:rFonts w:ascii="Times New Roman" w:hAnsi="Times New Roman" w:cs="Times New Roman" w:eastAsia="Times New Roman" w:hint="default"/>
                <w:sz w:val="18"/>
                <w:szCs w:val="18"/>
              </w:rPr>
            </w:pPr>
            <w:r>
              <w:rPr>
                <w:rFonts w:ascii="Times New Roman"/>
                <w:sz w:val="18"/>
              </w:rPr>
              <w:t>2020.01.01-2020.03.31</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208"/>
              <w:jc w:val="right"/>
              <w:rPr>
                <w:rFonts w:ascii="Times New Roman" w:hAnsi="Times New Roman" w:cs="Times New Roman" w:eastAsia="Times New Roman" w:hint="default"/>
                <w:sz w:val="18"/>
                <w:szCs w:val="18"/>
              </w:rPr>
            </w:pPr>
            <w:r>
              <w:rPr>
                <w:rFonts w:ascii="Times New Roman"/>
                <w:sz w:val="18"/>
              </w:rPr>
              <w:t>72.38</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420"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93"/>
              <w:jc w:val="right"/>
              <w:rPr>
                <w:rFonts w:ascii="Times New Roman" w:hAnsi="Times New Roman" w:cs="Times New Roman" w:eastAsia="Times New Roman" w:hint="default"/>
                <w:sz w:val="18"/>
                <w:szCs w:val="18"/>
              </w:rPr>
            </w:pPr>
            <w:r>
              <w:rPr>
                <w:rFonts w:ascii="Times New Roman"/>
                <w:sz w:val="18"/>
              </w:rPr>
              <w:t>38</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视加天辰</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北京北辰实业股份有限公</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90" w:right="0"/>
              <w:jc w:val="left"/>
              <w:rPr>
                <w:rFonts w:ascii="宋体" w:hAnsi="宋体" w:cs="宋体" w:eastAsia="宋体" w:hint="default"/>
                <w:sz w:val="18"/>
                <w:szCs w:val="18"/>
              </w:rPr>
            </w:pPr>
            <w:r>
              <w:rPr>
                <w:rFonts w:ascii="宋体" w:hAnsi="宋体" w:cs="宋体" w:eastAsia="宋体" w:hint="default"/>
                <w:sz w:val="18"/>
                <w:szCs w:val="18"/>
              </w:rPr>
              <w:t>北京市朝阳区北辰东路</w:t>
            </w:r>
            <w:r>
              <w:rPr>
                <w:rFonts w:ascii="Times New Roman" w:hAnsi="Times New Roman" w:cs="Times New Roman" w:eastAsia="Times New Roman" w:hint="default"/>
                <w:sz w:val="18"/>
                <w:szCs w:val="18"/>
              </w:rPr>
              <w:t>8</w:t>
            </w:r>
            <w:r>
              <w:rPr>
                <w:rFonts w:ascii="宋体" w:hAnsi="宋体" w:cs="宋体" w:eastAsia="宋体" w:hint="default"/>
                <w:sz w:val="18"/>
                <w:szCs w:val="18"/>
              </w:rPr>
              <w:t>号北辰时代</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2018.12.15-2020.6.14</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5"/>
              <w:jc w:val="right"/>
              <w:rPr>
                <w:rFonts w:ascii="Times New Roman" w:hAnsi="Times New Roman" w:cs="Times New Roman" w:eastAsia="Times New Roman" w:hint="default"/>
                <w:sz w:val="18"/>
                <w:szCs w:val="18"/>
              </w:rPr>
            </w:pPr>
            <w:r>
              <w:rPr>
                <w:rFonts w:ascii="Times New Roman"/>
                <w:sz w:val="18"/>
              </w:rPr>
              <w:t>146.19</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办公</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570"/>
        <w:gridCol w:w="856"/>
        <w:gridCol w:w="2103"/>
        <w:gridCol w:w="2974"/>
        <w:gridCol w:w="1982"/>
        <w:gridCol w:w="811"/>
        <w:gridCol w:w="571"/>
      </w:tblGrid>
      <w:tr>
        <w:trPr>
          <w:trHeight w:val="390" w:hRule="exact"/>
        </w:trPr>
        <w:tc>
          <w:tcPr>
            <w:tcW w:w="570"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5" w:right="0"/>
              <w:jc w:val="left"/>
              <w:rPr>
                <w:rFonts w:ascii="宋体" w:hAnsi="宋体" w:cs="宋体" w:eastAsia="宋体" w:hint="default"/>
                <w:sz w:val="18"/>
                <w:szCs w:val="18"/>
              </w:rPr>
            </w:pPr>
            <w:r>
              <w:rPr>
                <w:rFonts w:ascii="宋体" w:hAnsi="宋体" w:cs="宋体" w:eastAsia="宋体" w:hint="default"/>
                <w:sz w:val="18"/>
                <w:szCs w:val="18"/>
              </w:rPr>
              <w:t>司写字楼经营管理分公司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Times New Roman" w:hAnsi="Times New Roman" w:cs="Times New Roman" w:eastAsia="Times New Roman" w:hint="default"/>
                <w:sz w:val="18"/>
                <w:szCs w:val="18"/>
              </w:rPr>
              <w:t>17</w:t>
            </w:r>
            <w:r>
              <w:rPr>
                <w:rFonts w:ascii="宋体" w:hAnsi="宋体" w:cs="宋体" w:eastAsia="宋体" w:hint="default"/>
                <w:sz w:val="18"/>
                <w:szCs w:val="18"/>
              </w:rPr>
              <w:t>层</w:t>
            </w:r>
            <w:r>
              <w:rPr>
                <w:rFonts w:ascii="Times New Roman" w:hAnsi="Times New Roman" w:cs="Times New Roman" w:eastAsia="Times New Roman" w:hint="default"/>
                <w:sz w:val="18"/>
                <w:szCs w:val="18"/>
              </w:rPr>
              <w:t>1701</w:t>
            </w:r>
            <w:r>
              <w:rPr>
                <w:rFonts w:ascii="宋体" w:hAnsi="宋体" w:cs="宋体" w:eastAsia="宋体" w:hint="default"/>
                <w:sz w:val="18"/>
                <w:szCs w:val="18"/>
              </w:rPr>
              <w:t>内</w:t>
            </w:r>
            <w:r>
              <w:rPr>
                <w:rFonts w:ascii="Times New Roman" w:hAnsi="Times New Roman" w:cs="Times New Roman" w:eastAsia="Times New Roman" w:hint="default"/>
                <w:sz w:val="18"/>
                <w:szCs w:val="18"/>
              </w:rPr>
              <w:t>1703</w:t>
            </w:r>
            <w:r>
              <w:rPr>
                <w:rFonts w:ascii="宋体" w:hAnsi="宋体" w:cs="宋体" w:eastAsia="宋体" w:hint="default"/>
                <w:sz w:val="18"/>
                <w:szCs w:val="18"/>
              </w:rPr>
              <w:t>号</w:t>
            </w:r>
          </w:p>
        </w:tc>
        <w:tc>
          <w:tcPr>
            <w:tcW w:w="1982"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r>
      <w:tr>
        <w:trPr>
          <w:trHeight w:val="105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93"/>
              <w:jc w:val="right"/>
              <w:rPr>
                <w:rFonts w:ascii="Times New Roman" w:hAnsi="Times New Roman" w:cs="Times New Roman" w:eastAsia="Times New Roman" w:hint="default"/>
                <w:sz w:val="18"/>
                <w:szCs w:val="18"/>
              </w:rPr>
            </w:pPr>
            <w:r>
              <w:rPr>
                <w:rFonts w:ascii="Times New Roman"/>
                <w:sz w:val="18"/>
              </w:rPr>
              <w:t>39</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60" w:right="60"/>
              <w:jc w:val="center"/>
              <w:rPr>
                <w:rFonts w:ascii="宋体" w:hAnsi="宋体" w:cs="宋体" w:eastAsia="宋体" w:hint="default"/>
                <w:sz w:val="18"/>
                <w:szCs w:val="18"/>
              </w:rPr>
            </w:pPr>
            <w:r>
              <w:rPr>
                <w:rFonts w:ascii="宋体" w:hAnsi="宋体" w:cs="宋体" w:eastAsia="宋体" w:hint="default"/>
                <w:sz w:val="18"/>
                <w:szCs w:val="18"/>
              </w:rPr>
              <w:t>易视腾科 技北京分 公司</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45" w:right="60"/>
              <w:jc w:val="left"/>
              <w:rPr>
                <w:rFonts w:ascii="宋体" w:hAnsi="宋体" w:cs="宋体" w:eastAsia="宋体" w:hint="default"/>
                <w:sz w:val="18"/>
                <w:szCs w:val="18"/>
              </w:rPr>
            </w:pPr>
            <w:r>
              <w:rPr>
                <w:rFonts w:ascii="宋体" w:hAnsi="宋体" w:cs="宋体" w:eastAsia="宋体" w:hint="default"/>
                <w:sz w:val="18"/>
                <w:szCs w:val="18"/>
              </w:rPr>
              <w:t>北京北辰实业股份有限公 司写字楼经营管理分公司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0"/>
              <w:ind w:left="585" w:right="74" w:hanging="496"/>
              <w:jc w:val="left"/>
              <w:rPr>
                <w:rFonts w:ascii="宋体" w:hAnsi="宋体" w:cs="宋体" w:eastAsia="宋体" w:hint="default"/>
                <w:sz w:val="18"/>
                <w:szCs w:val="18"/>
              </w:rPr>
            </w:pPr>
            <w:r>
              <w:rPr>
                <w:rFonts w:ascii="宋体" w:hAnsi="宋体" w:cs="宋体" w:eastAsia="宋体" w:hint="default"/>
                <w:sz w:val="18"/>
                <w:szCs w:val="18"/>
              </w:rPr>
              <w:t>北京市朝阳区北辰东路</w:t>
            </w:r>
            <w:r>
              <w:rPr>
                <w:rFonts w:ascii="Times New Roman" w:hAnsi="Times New Roman" w:cs="Times New Roman" w:eastAsia="Times New Roman" w:hint="default"/>
                <w:sz w:val="18"/>
                <w:szCs w:val="18"/>
              </w:rPr>
              <w:t>8</w:t>
            </w:r>
            <w:r>
              <w:rPr>
                <w:rFonts w:ascii="宋体" w:hAnsi="宋体" w:cs="宋体" w:eastAsia="宋体" w:hint="default"/>
                <w:sz w:val="18"/>
                <w:szCs w:val="18"/>
              </w:rPr>
              <w:t>号北辰时代 大厦</w:t>
            </w:r>
            <w:r>
              <w:rPr>
                <w:rFonts w:ascii="Times New Roman" w:hAnsi="Times New Roman" w:cs="Times New Roman" w:eastAsia="Times New Roman" w:hint="default"/>
                <w:sz w:val="18"/>
                <w:szCs w:val="18"/>
              </w:rPr>
              <w:t>17</w:t>
            </w:r>
            <w:r>
              <w:rPr>
                <w:rFonts w:ascii="宋体" w:hAnsi="宋体" w:cs="宋体" w:eastAsia="宋体" w:hint="default"/>
                <w:sz w:val="18"/>
                <w:szCs w:val="18"/>
              </w:rPr>
              <w:t>层</w:t>
            </w:r>
            <w:r>
              <w:rPr>
                <w:rFonts w:ascii="Times New Roman" w:hAnsi="Times New Roman" w:cs="Times New Roman" w:eastAsia="Times New Roman" w:hint="default"/>
                <w:sz w:val="18"/>
                <w:szCs w:val="18"/>
              </w:rPr>
              <w:t>1701</w:t>
            </w:r>
            <w:r>
              <w:rPr>
                <w:rFonts w:ascii="宋体" w:hAnsi="宋体" w:cs="宋体" w:eastAsia="宋体" w:hint="default"/>
                <w:sz w:val="18"/>
                <w:szCs w:val="18"/>
              </w:rPr>
              <w:t>内</w:t>
            </w:r>
            <w:r>
              <w:rPr>
                <w:rFonts w:ascii="Times New Roman" w:hAnsi="Times New Roman" w:cs="Times New Roman" w:eastAsia="Times New Roman" w:hint="default"/>
                <w:sz w:val="18"/>
                <w:szCs w:val="18"/>
              </w:rPr>
              <w:t>1709</w:t>
            </w:r>
            <w:r>
              <w:rPr>
                <w:rFonts w:ascii="宋体" w:hAnsi="宋体" w:cs="宋体" w:eastAsia="宋体" w:hint="default"/>
                <w:sz w:val="18"/>
                <w:szCs w:val="18"/>
              </w:rPr>
              <w:t>号</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2017.6.15-2020.6.14</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center"/>
              <w:rPr>
                <w:rFonts w:ascii="Times New Roman" w:hAnsi="Times New Roman" w:cs="Times New Roman" w:eastAsia="Times New Roman" w:hint="default"/>
                <w:sz w:val="18"/>
                <w:szCs w:val="18"/>
              </w:rPr>
            </w:pPr>
            <w:r>
              <w:rPr>
                <w:rFonts w:ascii="Times New Roman"/>
                <w:sz w:val="18"/>
              </w:rPr>
              <w:t>146.19</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736"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93"/>
              <w:jc w:val="right"/>
              <w:rPr>
                <w:rFonts w:ascii="Times New Roman" w:hAnsi="Times New Roman" w:cs="Times New Roman" w:eastAsia="Times New Roman" w:hint="default"/>
                <w:sz w:val="18"/>
                <w:szCs w:val="18"/>
              </w:rPr>
            </w:pPr>
            <w:r>
              <w:rPr>
                <w:rFonts w:ascii="Times New Roman"/>
                <w:sz w:val="18"/>
              </w:rPr>
              <w:t>40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大米视讯</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60"/>
              <w:ind w:left="45" w:right="60"/>
              <w:jc w:val="left"/>
              <w:rPr>
                <w:rFonts w:ascii="宋体" w:hAnsi="宋体" w:cs="宋体" w:eastAsia="宋体" w:hint="default"/>
                <w:sz w:val="18"/>
                <w:szCs w:val="18"/>
              </w:rPr>
            </w:pPr>
            <w:r>
              <w:rPr>
                <w:rFonts w:ascii="宋体" w:hAnsi="宋体" w:cs="宋体" w:eastAsia="宋体" w:hint="default"/>
                <w:sz w:val="18"/>
                <w:szCs w:val="18"/>
              </w:rPr>
              <w:t>北京北辰实业股份有限公 司写字楼经营管理分公司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75"/>
              <w:ind w:left="585" w:right="74" w:hanging="496"/>
              <w:jc w:val="left"/>
              <w:rPr>
                <w:rFonts w:ascii="宋体" w:hAnsi="宋体" w:cs="宋体" w:eastAsia="宋体" w:hint="default"/>
                <w:sz w:val="18"/>
                <w:szCs w:val="18"/>
              </w:rPr>
            </w:pPr>
            <w:r>
              <w:rPr>
                <w:rFonts w:ascii="宋体" w:hAnsi="宋体" w:cs="宋体" w:eastAsia="宋体" w:hint="default"/>
                <w:sz w:val="18"/>
                <w:szCs w:val="18"/>
              </w:rPr>
              <w:t>北京市朝阳区北辰东路</w:t>
            </w:r>
            <w:r>
              <w:rPr>
                <w:rFonts w:ascii="Times New Roman" w:hAnsi="Times New Roman" w:cs="Times New Roman" w:eastAsia="Times New Roman" w:hint="default"/>
                <w:sz w:val="18"/>
                <w:szCs w:val="18"/>
              </w:rPr>
              <w:t>8</w:t>
            </w:r>
            <w:r>
              <w:rPr>
                <w:rFonts w:ascii="宋体" w:hAnsi="宋体" w:cs="宋体" w:eastAsia="宋体" w:hint="default"/>
                <w:sz w:val="18"/>
                <w:szCs w:val="18"/>
              </w:rPr>
              <w:t>号北辰时代 大厦</w:t>
            </w:r>
            <w:r>
              <w:rPr>
                <w:rFonts w:ascii="Times New Roman" w:hAnsi="Times New Roman" w:cs="Times New Roman" w:eastAsia="Times New Roman" w:hint="default"/>
                <w:sz w:val="18"/>
                <w:szCs w:val="18"/>
              </w:rPr>
              <w:t>17</w:t>
            </w:r>
            <w:r>
              <w:rPr>
                <w:rFonts w:ascii="宋体" w:hAnsi="宋体" w:cs="宋体" w:eastAsia="宋体" w:hint="default"/>
                <w:sz w:val="18"/>
                <w:szCs w:val="18"/>
              </w:rPr>
              <w:t>层</w:t>
            </w:r>
            <w:r>
              <w:rPr>
                <w:rFonts w:ascii="Times New Roman" w:hAnsi="Times New Roman" w:cs="Times New Roman" w:eastAsia="Times New Roman" w:hint="default"/>
                <w:sz w:val="18"/>
                <w:szCs w:val="18"/>
              </w:rPr>
              <w:t>1701</w:t>
            </w:r>
            <w:r>
              <w:rPr>
                <w:rFonts w:ascii="宋体" w:hAnsi="宋体" w:cs="宋体" w:eastAsia="宋体" w:hint="default"/>
                <w:sz w:val="18"/>
                <w:szCs w:val="18"/>
              </w:rPr>
              <w:t>内</w:t>
            </w:r>
            <w:r>
              <w:rPr>
                <w:rFonts w:ascii="Times New Roman" w:hAnsi="Times New Roman" w:cs="Times New Roman" w:eastAsia="Times New Roman" w:hint="default"/>
                <w:sz w:val="18"/>
                <w:szCs w:val="18"/>
              </w:rPr>
              <w:t>1711</w:t>
            </w:r>
            <w:r>
              <w:rPr>
                <w:rFonts w:ascii="宋体" w:hAnsi="宋体" w:cs="宋体" w:eastAsia="宋体" w:hint="default"/>
                <w:sz w:val="18"/>
                <w:szCs w:val="18"/>
              </w:rPr>
              <w:t>号</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3"/>
              <w:jc w:val="center"/>
              <w:rPr>
                <w:rFonts w:ascii="Times New Roman" w:hAnsi="Times New Roman" w:cs="Times New Roman" w:eastAsia="Times New Roman" w:hint="default"/>
                <w:sz w:val="18"/>
                <w:szCs w:val="18"/>
              </w:rPr>
            </w:pPr>
            <w:r>
              <w:rPr>
                <w:rFonts w:ascii="Times New Roman"/>
                <w:sz w:val="18"/>
              </w:rPr>
              <w:t>2017.6.15-2020.6.14</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30"/>
              <w:jc w:val="center"/>
              <w:rPr>
                <w:rFonts w:ascii="Times New Roman" w:hAnsi="Times New Roman" w:cs="Times New Roman" w:eastAsia="Times New Roman" w:hint="default"/>
                <w:sz w:val="18"/>
                <w:szCs w:val="18"/>
              </w:rPr>
            </w:pPr>
            <w:r>
              <w:rPr>
                <w:rFonts w:ascii="Times New Roman"/>
                <w:sz w:val="18"/>
              </w:rPr>
              <w:t>146.19</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3"/>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736"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93"/>
              <w:jc w:val="right"/>
              <w:rPr>
                <w:rFonts w:ascii="Times New Roman" w:hAnsi="Times New Roman" w:cs="Times New Roman" w:eastAsia="Times New Roman" w:hint="default"/>
                <w:sz w:val="18"/>
                <w:szCs w:val="18"/>
              </w:rPr>
            </w:pPr>
            <w:r>
              <w:rPr>
                <w:rFonts w:ascii="Times New Roman"/>
                <w:sz w:val="18"/>
              </w:rPr>
              <w:t>41</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60"/>
              <w:ind w:left="330" w:right="60" w:hanging="271"/>
              <w:jc w:val="left"/>
              <w:rPr>
                <w:rFonts w:ascii="宋体" w:hAnsi="宋体" w:cs="宋体" w:eastAsia="宋体" w:hint="default"/>
                <w:sz w:val="18"/>
                <w:szCs w:val="18"/>
              </w:rPr>
            </w:pPr>
            <w:r>
              <w:rPr>
                <w:rFonts w:ascii="宋体" w:hAnsi="宋体" w:cs="宋体" w:eastAsia="宋体" w:hint="default"/>
                <w:sz w:val="18"/>
                <w:szCs w:val="18"/>
              </w:rPr>
              <w:t>易视腾科 技</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60"/>
              <w:ind w:left="45" w:right="60"/>
              <w:jc w:val="left"/>
              <w:rPr>
                <w:rFonts w:ascii="宋体" w:hAnsi="宋体" w:cs="宋体" w:eastAsia="宋体" w:hint="default"/>
                <w:sz w:val="18"/>
                <w:szCs w:val="18"/>
              </w:rPr>
            </w:pPr>
            <w:r>
              <w:rPr>
                <w:rFonts w:ascii="宋体" w:hAnsi="宋体" w:cs="宋体" w:eastAsia="宋体" w:hint="default"/>
                <w:sz w:val="18"/>
                <w:szCs w:val="18"/>
              </w:rPr>
              <w:t>北京北辰实业股份有限公 司写字楼经营管理分公司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75"/>
              <w:ind w:left="45" w:right="29" w:firstLine="45"/>
              <w:jc w:val="left"/>
              <w:rPr>
                <w:rFonts w:ascii="宋体" w:hAnsi="宋体" w:cs="宋体" w:eastAsia="宋体" w:hint="default"/>
                <w:sz w:val="18"/>
                <w:szCs w:val="18"/>
              </w:rPr>
            </w:pPr>
            <w:r>
              <w:rPr>
                <w:rFonts w:ascii="宋体" w:hAnsi="宋体" w:cs="宋体" w:eastAsia="宋体" w:hint="default"/>
                <w:sz w:val="18"/>
                <w:szCs w:val="18"/>
              </w:rPr>
              <w:t>北京市朝阳区北辰东路</w:t>
            </w:r>
            <w:r>
              <w:rPr>
                <w:rFonts w:ascii="Times New Roman" w:hAnsi="Times New Roman" w:cs="Times New Roman" w:eastAsia="Times New Roman" w:hint="default"/>
                <w:sz w:val="18"/>
                <w:szCs w:val="18"/>
              </w:rPr>
              <w:t>8</w:t>
            </w:r>
            <w:r>
              <w:rPr>
                <w:rFonts w:ascii="宋体" w:hAnsi="宋体" w:cs="宋体" w:eastAsia="宋体" w:hint="default"/>
                <w:sz w:val="18"/>
                <w:szCs w:val="18"/>
              </w:rPr>
              <w:t>号北辰时代 大厦</w:t>
            </w:r>
            <w:r>
              <w:rPr>
                <w:rFonts w:ascii="Times New Roman" w:hAnsi="Times New Roman" w:cs="Times New Roman" w:eastAsia="Times New Roman" w:hint="default"/>
                <w:sz w:val="18"/>
                <w:szCs w:val="18"/>
              </w:rPr>
              <w:t>17</w:t>
            </w:r>
            <w:r>
              <w:rPr>
                <w:rFonts w:ascii="宋体" w:hAnsi="宋体" w:cs="宋体" w:eastAsia="宋体" w:hint="default"/>
                <w:sz w:val="18"/>
                <w:szCs w:val="18"/>
              </w:rPr>
              <w:t>层</w:t>
            </w:r>
            <w:r>
              <w:rPr>
                <w:rFonts w:ascii="Times New Roman" w:hAnsi="Times New Roman" w:cs="Times New Roman" w:eastAsia="Times New Roman" w:hint="default"/>
                <w:sz w:val="18"/>
                <w:szCs w:val="18"/>
              </w:rPr>
              <w:t>1701</w:t>
            </w:r>
            <w:r>
              <w:rPr>
                <w:rFonts w:ascii="宋体" w:hAnsi="宋体" w:cs="宋体" w:eastAsia="宋体" w:hint="default"/>
                <w:sz w:val="18"/>
                <w:szCs w:val="18"/>
              </w:rPr>
              <w:t>内</w:t>
            </w:r>
            <w:r>
              <w:rPr>
                <w:rFonts w:ascii="Times New Roman" w:hAnsi="Times New Roman" w:cs="Times New Roman" w:eastAsia="Times New Roman" w:hint="default"/>
                <w:sz w:val="18"/>
                <w:szCs w:val="18"/>
              </w:rPr>
              <w:t>1701</w:t>
            </w:r>
            <w:r>
              <w:rPr>
                <w:rFonts w:ascii="宋体" w:hAnsi="宋体" w:cs="宋体" w:eastAsia="宋体" w:hint="default"/>
                <w:sz w:val="18"/>
                <w:szCs w:val="18"/>
              </w:rPr>
              <w:t>、</w:t>
            </w:r>
            <w:r>
              <w:rPr>
                <w:rFonts w:ascii="Times New Roman" w:hAnsi="Times New Roman" w:cs="Times New Roman" w:eastAsia="Times New Roman" w:hint="default"/>
                <w:sz w:val="18"/>
                <w:szCs w:val="18"/>
              </w:rPr>
              <w:t>1705</w:t>
            </w:r>
            <w:r>
              <w:rPr>
                <w:rFonts w:ascii="宋体" w:hAnsi="宋体" w:cs="宋体" w:eastAsia="宋体" w:hint="default"/>
                <w:sz w:val="18"/>
                <w:szCs w:val="18"/>
              </w:rPr>
              <w:t>、</w:t>
            </w:r>
            <w:r>
              <w:rPr>
                <w:rFonts w:ascii="Times New Roman" w:hAnsi="Times New Roman" w:cs="Times New Roman" w:eastAsia="Times New Roman" w:hint="default"/>
                <w:sz w:val="18"/>
                <w:szCs w:val="18"/>
              </w:rPr>
              <w:t>1707</w:t>
            </w:r>
            <w:r>
              <w:rPr>
                <w:rFonts w:ascii="宋体" w:hAnsi="宋体" w:cs="宋体" w:eastAsia="宋体" w:hint="default"/>
                <w:sz w:val="18"/>
                <w:szCs w:val="18"/>
              </w:rPr>
              <w:t>号</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3"/>
              <w:jc w:val="center"/>
              <w:rPr>
                <w:rFonts w:ascii="Times New Roman" w:hAnsi="Times New Roman" w:cs="Times New Roman" w:eastAsia="Times New Roman" w:hint="default"/>
                <w:sz w:val="18"/>
                <w:szCs w:val="18"/>
              </w:rPr>
            </w:pPr>
            <w:r>
              <w:rPr>
                <w:rFonts w:ascii="Times New Roman"/>
                <w:sz w:val="18"/>
              </w:rPr>
              <w:t>2018.12.15-2020.6.14</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30"/>
              <w:jc w:val="center"/>
              <w:rPr>
                <w:rFonts w:ascii="Times New Roman" w:hAnsi="Times New Roman" w:cs="Times New Roman" w:eastAsia="Times New Roman" w:hint="default"/>
                <w:sz w:val="18"/>
                <w:szCs w:val="18"/>
              </w:rPr>
            </w:pPr>
            <w:r>
              <w:rPr>
                <w:rFonts w:ascii="Times New Roman"/>
                <w:sz w:val="18"/>
              </w:rPr>
              <w:t>646.64</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3"/>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750"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93"/>
              <w:jc w:val="right"/>
              <w:rPr>
                <w:rFonts w:ascii="Times New Roman" w:hAnsi="Times New Roman" w:cs="Times New Roman" w:eastAsia="Times New Roman" w:hint="default"/>
                <w:sz w:val="18"/>
                <w:szCs w:val="18"/>
              </w:rPr>
            </w:pPr>
            <w:r>
              <w:rPr>
                <w:rFonts w:ascii="Times New Roman"/>
                <w:sz w:val="18"/>
              </w:rPr>
              <w:t>42</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59"/>
              <w:ind w:left="330" w:right="60" w:hanging="271"/>
              <w:jc w:val="left"/>
              <w:rPr>
                <w:rFonts w:ascii="宋体" w:hAnsi="宋体" w:cs="宋体" w:eastAsia="宋体" w:hint="default"/>
                <w:sz w:val="18"/>
                <w:szCs w:val="18"/>
              </w:rPr>
            </w:pPr>
            <w:r>
              <w:rPr>
                <w:rFonts w:ascii="宋体" w:hAnsi="宋体" w:cs="宋体" w:eastAsia="宋体" w:hint="default"/>
                <w:sz w:val="18"/>
                <w:szCs w:val="18"/>
              </w:rPr>
              <w:t>易视腾科 技</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59"/>
              <w:ind w:left="45" w:right="60"/>
              <w:jc w:val="left"/>
              <w:rPr>
                <w:rFonts w:ascii="宋体" w:hAnsi="宋体" w:cs="宋体" w:eastAsia="宋体" w:hint="default"/>
                <w:sz w:val="18"/>
                <w:szCs w:val="18"/>
              </w:rPr>
            </w:pPr>
            <w:r>
              <w:rPr>
                <w:rFonts w:ascii="宋体" w:hAnsi="宋体" w:cs="宋体" w:eastAsia="宋体" w:hint="default"/>
                <w:sz w:val="18"/>
                <w:szCs w:val="18"/>
              </w:rPr>
              <w:t>北京北辰实业股份有限公 司写字楼经营管理分公司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74"/>
              <w:ind w:left="105" w:right="74" w:hanging="15"/>
              <w:jc w:val="left"/>
              <w:rPr>
                <w:rFonts w:ascii="宋体" w:hAnsi="宋体" w:cs="宋体" w:eastAsia="宋体" w:hint="default"/>
                <w:sz w:val="18"/>
                <w:szCs w:val="18"/>
              </w:rPr>
            </w:pPr>
            <w:r>
              <w:rPr>
                <w:rFonts w:ascii="宋体" w:hAnsi="宋体" w:cs="宋体" w:eastAsia="宋体" w:hint="default"/>
                <w:sz w:val="18"/>
                <w:szCs w:val="18"/>
              </w:rPr>
              <w:t>北京市朝阳区北辰东路</w:t>
            </w:r>
            <w:r>
              <w:rPr>
                <w:rFonts w:ascii="Times New Roman" w:hAnsi="Times New Roman" w:cs="Times New Roman" w:eastAsia="Times New Roman" w:hint="default"/>
                <w:sz w:val="18"/>
                <w:szCs w:val="18"/>
              </w:rPr>
              <w:t>8</w:t>
            </w:r>
            <w:r>
              <w:rPr>
                <w:rFonts w:ascii="宋体" w:hAnsi="宋体" w:cs="宋体" w:eastAsia="宋体" w:hint="default"/>
                <w:sz w:val="18"/>
                <w:szCs w:val="18"/>
              </w:rPr>
              <w:t>号北辰时代 大厦</w:t>
            </w:r>
            <w:r>
              <w:rPr>
                <w:rFonts w:ascii="Times New Roman" w:hAnsi="Times New Roman" w:cs="Times New Roman" w:eastAsia="Times New Roman" w:hint="default"/>
                <w:sz w:val="18"/>
                <w:szCs w:val="18"/>
              </w:rPr>
              <w:t>17</w:t>
            </w:r>
            <w:r>
              <w:rPr>
                <w:rFonts w:ascii="宋体" w:hAnsi="宋体" w:cs="宋体" w:eastAsia="宋体" w:hint="default"/>
                <w:sz w:val="18"/>
                <w:szCs w:val="18"/>
              </w:rPr>
              <w:t>层</w:t>
            </w:r>
            <w:r>
              <w:rPr>
                <w:rFonts w:ascii="Times New Roman" w:hAnsi="Times New Roman" w:cs="Times New Roman" w:eastAsia="Times New Roman" w:hint="default"/>
                <w:sz w:val="18"/>
                <w:szCs w:val="18"/>
              </w:rPr>
              <w:t>1701</w:t>
            </w:r>
            <w:r>
              <w:rPr>
                <w:rFonts w:ascii="宋体" w:hAnsi="宋体" w:cs="宋体" w:eastAsia="宋体" w:hint="default"/>
                <w:sz w:val="18"/>
                <w:szCs w:val="18"/>
              </w:rPr>
              <w:t>内</w:t>
            </w:r>
            <w:r>
              <w:rPr>
                <w:rFonts w:ascii="Times New Roman" w:hAnsi="Times New Roman" w:cs="Times New Roman" w:eastAsia="Times New Roman" w:hint="default"/>
                <w:sz w:val="18"/>
                <w:szCs w:val="18"/>
              </w:rPr>
              <w:t>1708</w:t>
            </w:r>
            <w:r>
              <w:rPr>
                <w:rFonts w:ascii="宋体" w:hAnsi="宋体" w:cs="宋体" w:eastAsia="宋体" w:hint="default"/>
                <w:sz w:val="18"/>
                <w:szCs w:val="18"/>
              </w:rPr>
              <w:t>、</w:t>
            </w:r>
            <w:r>
              <w:rPr>
                <w:rFonts w:ascii="Times New Roman" w:hAnsi="Times New Roman" w:cs="Times New Roman" w:eastAsia="Times New Roman" w:hint="default"/>
                <w:sz w:val="18"/>
                <w:szCs w:val="18"/>
              </w:rPr>
              <w:t>1712-1715</w:t>
            </w:r>
            <w:r>
              <w:rPr>
                <w:rFonts w:ascii="宋体" w:hAnsi="宋体" w:cs="宋体" w:eastAsia="宋体" w:hint="default"/>
                <w:sz w:val="18"/>
                <w:szCs w:val="18"/>
              </w:rPr>
              <w:t>号</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3"/>
              <w:jc w:val="center"/>
              <w:rPr>
                <w:rFonts w:ascii="Times New Roman" w:hAnsi="Times New Roman" w:cs="Times New Roman" w:eastAsia="Times New Roman" w:hint="default"/>
                <w:sz w:val="18"/>
                <w:szCs w:val="18"/>
              </w:rPr>
            </w:pPr>
            <w:r>
              <w:rPr>
                <w:rFonts w:ascii="Times New Roman"/>
                <w:sz w:val="18"/>
              </w:rPr>
              <w:t>2017.11.5-2020.6.14</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30"/>
              <w:jc w:val="center"/>
              <w:rPr>
                <w:rFonts w:ascii="Times New Roman" w:hAnsi="Times New Roman" w:cs="Times New Roman" w:eastAsia="Times New Roman" w:hint="default"/>
                <w:sz w:val="18"/>
                <w:szCs w:val="18"/>
              </w:rPr>
            </w:pPr>
            <w:r>
              <w:rPr>
                <w:rFonts w:ascii="Times New Roman"/>
                <w:sz w:val="18"/>
              </w:rPr>
              <w:t>745.52</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1051"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93"/>
              <w:jc w:val="right"/>
              <w:rPr>
                <w:rFonts w:ascii="Times New Roman" w:hAnsi="Times New Roman" w:cs="Times New Roman" w:eastAsia="Times New Roman" w:hint="default"/>
                <w:sz w:val="18"/>
                <w:szCs w:val="18"/>
              </w:rPr>
            </w:pPr>
            <w:r>
              <w:rPr>
                <w:rFonts w:ascii="Times New Roman"/>
                <w:sz w:val="18"/>
              </w:rPr>
              <w:t>43</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60" w:right="60"/>
              <w:jc w:val="center"/>
              <w:rPr>
                <w:rFonts w:ascii="宋体" w:hAnsi="宋体" w:cs="宋体" w:eastAsia="宋体" w:hint="default"/>
                <w:sz w:val="18"/>
                <w:szCs w:val="18"/>
              </w:rPr>
            </w:pPr>
            <w:r>
              <w:rPr>
                <w:rFonts w:ascii="宋体" w:hAnsi="宋体" w:cs="宋体" w:eastAsia="宋体" w:hint="default"/>
                <w:sz w:val="18"/>
                <w:szCs w:val="18"/>
              </w:rPr>
              <w:t>视加慧联 北京分公 司</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45" w:right="60"/>
              <w:jc w:val="left"/>
              <w:rPr>
                <w:rFonts w:ascii="宋体" w:hAnsi="宋体" w:cs="宋体" w:eastAsia="宋体" w:hint="default"/>
                <w:sz w:val="18"/>
                <w:szCs w:val="18"/>
              </w:rPr>
            </w:pPr>
            <w:r>
              <w:rPr>
                <w:rFonts w:ascii="宋体" w:hAnsi="宋体" w:cs="宋体" w:eastAsia="宋体" w:hint="default"/>
                <w:sz w:val="18"/>
                <w:szCs w:val="18"/>
              </w:rPr>
              <w:t>北京北辰实业股份有限公 司写字楼经营管理分公司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59"/>
              <w:ind w:left="585" w:right="74" w:hanging="496"/>
              <w:jc w:val="left"/>
              <w:rPr>
                <w:rFonts w:ascii="宋体" w:hAnsi="宋体" w:cs="宋体" w:eastAsia="宋体" w:hint="default"/>
                <w:sz w:val="18"/>
                <w:szCs w:val="18"/>
              </w:rPr>
            </w:pPr>
            <w:r>
              <w:rPr>
                <w:rFonts w:ascii="宋体" w:hAnsi="宋体" w:cs="宋体" w:eastAsia="宋体" w:hint="default"/>
                <w:sz w:val="18"/>
                <w:szCs w:val="18"/>
              </w:rPr>
              <w:t>北京市朝阳区北辰东路</w:t>
            </w:r>
            <w:r>
              <w:rPr>
                <w:rFonts w:ascii="Times New Roman" w:hAnsi="Times New Roman" w:cs="Times New Roman" w:eastAsia="Times New Roman" w:hint="default"/>
                <w:sz w:val="18"/>
                <w:szCs w:val="18"/>
              </w:rPr>
              <w:t>8</w:t>
            </w:r>
            <w:r>
              <w:rPr>
                <w:rFonts w:ascii="宋体" w:hAnsi="宋体" w:cs="宋体" w:eastAsia="宋体" w:hint="default"/>
                <w:sz w:val="18"/>
                <w:szCs w:val="18"/>
              </w:rPr>
              <w:t>号北辰时代 大厦</w:t>
            </w:r>
            <w:r>
              <w:rPr>
                <w:rFonts w:ascii="Times New Roman" w:hAnsi="Times New Roman" w:cs="Times New Roman" w:eastAsia="Times New Roman" w:hint="default"/>
                <w:sz w:val="18"/>
                <w:szCs w:val="18"/>
              </w:rPr>
              <w:t>18</w:t>
            </w:r>
            <w:r>
              <w:rPr>
                <w:rFonts w:ascii="宋体" w:hAnsi="宋体" w:cs="宋体" w:eastAsia="宋体" w:hint="default"/>
                <w:sz w:val="18"/>
                <w:szCs w:val="18"/>
              </w:rPr>
              <w:t>层</w:t>
            </w:r>
            <w:r>
              <w:rPr>
                <w:rFonts w:ascii="Times New Roman" w:hAnsi="Times New Roman" w:cs="Times New Roman" w:eastAsia="Times New Roman" w:hint="default"/>
                <w:sz w:val="18"/>
                <w:szCs w:val="18"/>
              </w:rPr>
              <w:t>1801</w:t>
            </w:r>
            <w:r>
              <w:rPr>
                <w:rFonts w:ascii="宋体" w:hAnsi="宋体" w:cs="宋体" w:eastAsia="宋体" w:hint="default"/>
                <w:sz w:val="18"/>
                <w:szCs w:val="18"/>
              </w:rPr>
              <w:t>内</w:t>
            </w:r>
            <w:r>
              <w:rPr>
                <w:rFonts w:ascii="Times New Roman" w:hAnsi="Times New Roman" w:cs="Times New Roman" w:eastAsia="Times New Roman" w:hint="default"/>
                <w:sz w:val="18"/>
                <w:szCs w:val="18"/>
              </w:rPr>
              <w:t>1807</w:t>
            </w:r>
            <w:r>
              <w:rPr>
                <w:rFonts w:ascii="宋体" w:hAnsi="宋体" w:cs="宋体" w:eastAsia="宋体" w:hint="default"/>
                <w:sz w:val="18"/>
                <w:szCs w:val="18"/>
              </w:rPr>
              <w:t>号</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2018.10.15-2020.3.14</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center"/>
              <w:rPr>
                <w:rFonts w:ascii="Times New Roman" w:hAnsi="Times New Roman" w:cs="Times New Roman" w:eastAsia="Times New Roman" w:hint="default"/>
                <w:sz w:val="18"/>
                <w:szCs w:val="18"/>
              </w:rPr>
            </w:pPr>
            <w:r>
              <w:rPr>
                <w:rFonts w:ascii="Times New Roman"/>
                <w:sz w:val="18"/>
              </w:rPr>
              <w:t>241.21</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735"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93"/>
              <w:jc w:val="right"/>
              <w:rPr>
                <w:rFonts w:ascii="Times New Roman" w:hAnsi="Times New Roman" w:cs="Times New Roman" w:eastAsia="Times New Roman" w:hint="default"/>
                <w:sz w:val="18"/>
                <w:szCs w:val="18"/>
              </w:rPr>
            </w:pPr>
            <w:r>
              <w:rPr>
                <w:rFonts w:ascii="Times New Roman"/>
                <w:sz w:val="18"/>
              </w:rPr>
              <w:t>44</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弘道科技</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765" w:right="60" w:hanging="721"/>
              <w:jc w:val="left"/>
              <w:rPr>
                <w:rFonts w:ascii="宋体" w:hAnsi="宋体" w:cs="宋体" w:eastAsia="宋体" w:hint="default"/>
                <w:sz w:val="18"/>
                <w:szCs w:val="18"/>
              </w:rPr>
            </w:pPr>
            <w:r>
              <w:rPr>
                <w:rFonts w:ascii="宋体" w:hAnsi="宋体" w:cs="宋体" w:eastAsia="宋体" w:hint="default"/>
                <w:sz w:val="18"/>
                <w:szCs w:val="18"/>
              </w:rPr>
              <w:t>无锡高新科技创业发展有 限公司</w:t>
            </w:r>
          </w:p>
        </w:tc>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59"/>
              <w:ind w:left="826" w:right="29" w:hanging="781"/>
              <w:jc w:val="left"/>
              <w:rPr>
                <w:rFonts w:ascii="宋体" w:hAnsi="宋体" w:cs="宋体" w:eastAsia="宋体" w:hint="default"/>
                <w:sz w:val="18"/>
                <w:szCs w:val="18"/>
              </w:rPr>
            </w:pPr>
            <w:r>
              <w:rPr>
                <w:rFonts w:ascii="宋体" w:hAnsi="宋体" w:cs="宋体" w:eastAsia="宋体" w:hint="default"/>
                <w:sz w:val="18"/>
                <w:szCs w:val="18"/>
              </w:rPr>
              <w:t>无锡市新吴区清源路</w:t>
            </w:r>
            <w:r>
              <w:rPr>
                <w:rFonts w:ascii="Times New Roman" w:hAnsi="Times New Roman" w:cs="Times New Roman" w:eastAsia="Times New Roman" w:hint="default"/>
                <w:sz w:val="18"/>
                <w:szCs w:val="18"/>
              </w:rPr>
              <w:t>20</w:t>
            </w:r>
            <w:r>
              <w:rPr>
                <w:rFonts w:ascii="宋体" w:hAnsi="宋体" w:cs="宋体" w:eastAsia="宋体" w:hint="default"/>
                <w:sz w:val="18"/>
                <w:szCs w:val="18"/>
              </w:rPr>
              <w:t>号大学科技园 立业楼</w:t>
            </w:r>
            <w:r>
              <w:rPr>
                <w:rFonts w:ascii="Times New Roman" w:hAnsi="Times New Roman" w:cs="Times New Roman" w:eastAsia="Times New Roman" w:hint="default"/>
                <w:sz w:val="18"/>
                <w:szCs w:val="18"/>
              </w:rPr>
              <w:t>D</w:t>
            </w:r>
            <w:r>
              <w:rPr>
                <w:rFonts w:ascii="宋体" w:hAnsi="宋体" w:cs="宋体" w:eastAsia="宋体" w:hint="default"/>
                <w:sz w:val="18"/>
                <w:szCs w:val="18"/>
              </w:rPr>
              <w:t>栋</w:t>
            </w:r>
            <w:r>
              <w:rPr>
                <w:rFonts w:ascii="Times New Roman" w:hAnsi="Times New Roman" w:cs="Times New Roman" w:eastAsia="Times New Roman" w:hint="default"/>
                <w:sz w:val="18"/>
                <w:szCs w:val="18"/>
              </w:rPr>
              <w:t>405</w:t>
            </w:r>
            <w:r>
              <w:rPr>
                <w:rFonts w:ascii="宋体" w:hAnsi="宋体" w:cs="宋体" w:eastAsia="宋体" w:hint="default"/>
                <w:sz w:val="18"/>
                <w:szCs w:val="18"/>
              </w:rPr>
              <w:t>室</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2019.4.23-2020.4.22</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60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办公</w:t>
            </w:r>
          </w:p>
        </w:tc>
      </w:tr>
    </w:tbl>
    <w:p>
      <w:pPr>
        <w:spacing w:line="240" w:lineRule="auto" w:before="9"/>
        <w:rPr>
          <w:rFonts w:ascii="Times New Roman" w:hAnsi="Times New Roman" w:cs="Times New Roman" w:eastAsia="Times New Roman" w:hint="default"/>
          <w:sz w:val="28"/>
          <w:szCs w:val="28"/>
        </w:rPr>
      </w:pPr>
    </w:p>
    <w:p>
      <w:pPr>
        <w:pStyle w:val="BodyText"/>
        <w:spacing w:line="240" w:lineRule="auto" w:before="44"/>
        <w:ind w:right="1105"/>
        <w:jc w:val="left"/>
      </w:pPr>
      <w:r>
        <w:rPr/>
        <w:t>为公司带来的损益达到公司报告期利润总额</w:t>
      </w:r>
      <w:r>
        <w:rPr>
          <w:spacing w:val="-41"/>
        </w:rPr>
        <w:t> </w:t>
      </w:r>
      <w:r>
        <w:rPr>
          <w:rFonts w:ascii="Times New Roman" w:hAnsi="Times New Roman" w:cs="Times New Roman" w:eastAsia="Times New Roman" w:hint="default"/>
        </w:rPr>
        <w:t>10%</w:t>
      </w:r>
      <w:r>
        <w:rPr/>
        <w:t>以上的项目</w:t>
      </w:r>
    </w:p>
    <w:p>
      <w:pPr>
        <w:pStyle w:val="BodyText"/>
        <w:spacing w:line="240" w:lineRule="auto" w:before="96"/>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pStyle w:val="BodyText"/>
        <w:spacing w:line="240" w:lineRule="auto" w:before="96"/>
        <w:ind w:right="1105"/>
        <w:jc w:val="left"/>
      </w:pPr>
      <w:r>
        <w:rPr/>
        <w:t>公司报告期不存在为公司带来的损益达到公司报告期利润总额</w:t>
      </w:r>
      <w:r>
        <w:rPr>
          <w:spacing w:val="-39"/>
        </w:rPr>
        <w:t> </w:t>
      </w:r>
      <w:r>
        <w:rPr>
          <w:rFonts w:ascii="Times New Roman" w:hAnsi="Times New Roman" w:cs="Times New Roman" w:eastAsia="Times New Roman" w:hint="default"/>
        </w:rPr>
        <w:t>10%</w:t>
      </w:r>
      <w:r>
        <w:rPr/>
        <w:t>以上的租赁项目。</w:t>
      </w:r>
    </w:p>
    <w:p>
      <w:pPr>
        <w:spacing w:line="240" w:lineRule="auto" w:before="0"/>
        <w:rPr>
          <w:rFonts w:ascii="宋体" w:hAnsi="宋体" w:cs="宋体" w:eastAsia="宋体" w:hint="default"/>
          <w:sz w:val="18"/>
          <w:szCs w:val="18"/>
        </w:rPr>
      </w:pPr>
    </w:p>
    <w:p>
      <w:pPr>
        <w:pStyle w:val="Heading3"/>
        <w:spacing w:line="240" w:lineRule="auto" w:before="126"/>
        <w:ind w:right="1105"/>
        <w:jc w:val="left"/>
        <w:rPr>
          <w:b w:val="0"/>
          <w:bCs w:val="0"/>
        </w:rPr>
      </w:pPr>
      <w:bookmarkStart w:name="2、重大担保" w:id="87"/>
      <w:bookmarkEnd w:id="87"/>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3"/>
        <w:rPr>
          <w:rFonts w:ascii="宋体" w:hAnsi="宋体" w:cs="宋体" w:eastAsia="宋体" w:hint="default"/>
          <w:b/>
          <w:bCs/>
          <w:sz w:val="25"/>
          <w:szCs w:val="25"/>
        </w:rPr>
      </w:pPr>
    </w:p>
    <w:p>
      <w:pPr>
        <w:pStyle w:val="BodyText"/>
        <w:spacing w:line="331" w:lineRule="auto"/>
        <w:ind w:right="8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公司报告期不存在担保情况。</w:t>
      </w:r>
    </w:p>
    <w:p>
      <w:pPr>
        <w:spacing w:line="240" w:lineRule="auto" w:before="6"/>
        <w:rPr>
          <w:rFonts w:ascii="宋体" w:hAnsi="宋体" w:cs="宋体" w:eastAsia="宋体" w:hint="default"/>
          <w:sz w:val="23"/>
          <w:szCs w:val="23"/>
        </w:rPr>
      </w:pPr>
    </w:p>
    <w:p>
      <w:pPr>
        <w:pStyle w:val="Heading3"/>
        <w:spacing w:line="240" w:lineRule="auto"/>
        <w:ind w:right="1105"/>
        <w:jc w:val="left"/>
        <w:rPr>
          <w:b w:val="0"/>
          <w:bCs w:val="0"/>
        </w:rPr>
      </w:pPr>
      <w:bookmarkStart w:name="3、委托他人进行现金资产管理情况" w:id="88"/>
      <w:bookmarkEnd w:id="88"/>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1105"/>
        <w:jc w:val="left"/>
        <w:rPr>
          <w:b w:val="0"/>
          <w:bCs w:val="0"/>
        </w:rPr>
      </w:pPr>
      <w:bookmarkStart w:name="（1）委托理财情况" w:id="89"/>
      <w:bookmarkEnd w:id="89"/>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731" w:footer="981" w:top="1040" w:bottom="1180" w:left="1000" w:right="0"/>
        </w:sectPr>
      </w:pPr>
    </w:p>
    <w:p>
      <w:pPr>
        <w:pStyle w:val="BodyText"/>
        <w:spacing w:line="333"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ind w:right="0"/>
        <w:jc w:val="left"/>
      </w:pPr>
      <w:r>
        <w:rPr/>
        <w:t>单位：万元</w:t>
      </w:r>
    </w:p>
    <w:p>
      <w:pPr>
        <w:spacing w:after="0" w:line="240" w:lineRule="auto"/>
        <w:jc w:val="left"/>
        <w:sectPr>
          <w:type w:val="continuous"/>
          <w:pgSz w:w="11910" w:h="16850"/>
          <w:pgMar w:top="1040" w:bottom="1180" w:left="1000" w:right="0"/>
          <w:cols w:num="2" w:equalWidth="0">
            <w:col w:w="1942" w:space="6814"/>
            <w:col w:w="2154"/>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877"/>
        <w:gridCol w:w="1952"/>
        <w:gridCol w:w="1983"/>
        <w:gridCol w:w="1922"/>
        <w:gridCol w:w="1847"/>
      </w:tblGrid>
      <w:tr>
        <w:trPr>
          <w:trHeight w:val="391" w:hRule="exact"/>
        </w:trPr>
        <w:tc>
          <w:tcPr>
            <w:tcW w:w="18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55"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0"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0"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11"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80"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5"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42,300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42,300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pStyle w:val="BodyText"/>
        <w:spacing w:line="240" w:lineRule="auto" w:before="44"/>
        <w:ind w:right="-16"/>
        <w:jc w:val="left"/>
      </w:pPr>
      <w:r>
        <w:rPr/>
        <w:t>单项金额重大或安全性较低、流动性较差、不保本的高风险委托理财具体情况</w:t>
      </w:r>
    </w:p>
    <w:p>
      <w:pPr>
        <w:pStyle w:val="BodyText"/>
        <w:spacing w:line="240" w:lineRule="auto" w:before="125"/>
        <w:ind w:right="-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ind w:right="0"/>
        <w:jc w:val="left"/>
      </w:pPr>
      <w:r>
        <w:rPr/>
        <w:t>单位：万元</w:t>
      </w:r>
    </w:p>
    <w:p>
      <w:pPr>
        <w:spacing w:after="0" w:line="240" w:lineRule="auto"/>
        <w:jc w:val="left"/>
        <w:sectPr>
          <w:type w:val="continuous"/>
          <w:pgSz w:w="11910" w:h="16850"/>
          <w:pgMar w:top="1040" w:bottom="1180" w:left="1000" w:right="0"/>
          <w:cols w:num="2" w:equalWidth="0">
            <w:col w:w="6266" w:space="2490"/>
            <w:col w:w="2154"/>
          </w:cols>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570"/>
        <w:gridCol w:w="586"/>
        <w:gridCol w:w="616"/>
        <w:gridCol w:w="571"/>
        <w:gridCol w:w="570"/>
        <w:gridCol w:w="556"/>
        <w:gridCol w:w="556"/>
        <w:gridCol w:w="570"/>
        <w:gridCol w:w="556"/>
        <w:gridCol w:w="571"/>
        <w:gridCol w:w="556"/>
        <w:gridCol w:w="555"/>
        <w:gridCol w:w="570"/>
        <w:gridCol w:w="541"/>
        <w:gridCol w:w="555"/>
        <w:gridCol w:w="541"/>
        <w:gridCol w:w="541"/>
      </w:tblGrid>
      <w:tr>
        <w:trPr>
          <w:trHeight w:val="2282" w:hRule="exact"/>
        </w:trPr>
        <w:tc>
          <w:tcPr>
            <w:tcW w:w="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90" w:right="103"/>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6" w:lineRule="auto" w:before="24"/>
              <w:ind w:left="90" w:right="103"/>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20" w:right="88"/>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21" w:lineRule="auto" w:before="3"/>
              <w:ind w:left="30" w:right="0" w:firstLine="1"/>
              <w:jc w:val="center"/>
              <w:rPr>
                <w:rFonts w:ascii="宋体" w:hAnsi="宋体" w:cs="宋体" w:eastAsia="宋体" w:hint="default"/>
                <w:sz w:val="18"/>
                <w:szCs w:val="18"/>
              </w:rPr>
            </w:pPr>
            <w:r>
              <w:rPr>
                <w:rFonts w:ascii="宋体" w:hAnsi="宋体" w:cs="宋体" w:eastAsia="宋体" w:hint="default"/>
                <w:sz w:val="18"/>
                <w:szCs w:val="18"/>
              </w:rPr>
              <w:t>（或 受托 人）类 型</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8"/>
              <w:ind w:left="210" w:right="28"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8"/>
              <w:ind w:left="105" w:right="88"/>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8"/>
              <w:ind w:left="90" w:right="88"/>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8"/>
              <w:ind w:left="89" w:right="88"/>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8"/>
              <w:ind w:left="105" w:right="88"/>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21" w:lineRule="auto"/>
              <w:ind w:left="90" w:right="88"/>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105" w:right="88"/>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04" w:lineRule="auto"/>
              <w:ind w:left="89" w:right="89"/>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21" w:lineRule="auto" w:before="31"/>
              <w:ind w:left="180" w:right="89" w:hanging="91"/>
              <w:jc w:val="left"/>
              <w:rPr>
                <w:rFonts w:ascii="宋体" w:hAnsi="宋体" w:cs="宋体" w:eastAsia="宋体" w:hint="default"/>
                <w:sz w:val="18"/>
                <w:szCs w:val="18"/>
              </w:rPr>
            </w:pPr>
            <w:r>
              <w:rPr>
                <w:rFonts w:ascii="宋体" w:hAnsi="宋体" w:cs="宋体" w:eastAsia="宋体" w:hint="default"/>
                <w:sz w:val="18"/>
                <w:szCs w:val="18"/>
              </w:rPr>
              <w:t>（如 有</w:t>
            </w:r>
          </w:p>
        </w:tc>
        <w:tc>
          <w:tcPr>
            <w:tcW w:w="5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16" w:lineRule="auto"/>
              <w:ind w:left="90" w:right="88"/>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105" w:right="88"/>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75" w:right="88"/>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21" w:lineRule="auto" w:before="22"/>
              <w:ind w:left="75" w:right="88"/>
              <w:jc w:val="both"/>
              <w:rPr>
                <w:rFonts w:ascii="宋体" w:hAnsi="宋体" w:cs="宋体" w:eastAsia="宋体" w:hint="default"/>
                <w:sz w:val="18"/>
                <w:szCs w:val="18"/>
              </w:rPr>
            </w:pPr>
            <w:r>
              <w:rPr>
                <w:rFonts w:ascii="宋体" w:hAnsi="宋体" w:cs="宋体" w:eastAsia="宋体" w:hint="default"/>
                <w:sz w:val="18"/>
                <w:szCs w:val="18"/>
              </w:rPr>
              <w:t>（如 有）</w:t>
            </w:r>
          </w:p>
        </w:tc>
        <w:tc>
          <w:tcPr>
            <w:tcW w:w="5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90" w:right="88"/>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75" w:right="88"/>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30" w:right="13" w:hanging="1"/>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1336"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178"/>
              <w:jc w:val="both"/>
              <w:rPr>
                <w:rFonts w:ascii="宋体" w:hAnsi="宋体" w:cs="宋体" w:eastAsia="宋体" w:hint="default"/>
                <w:sz w:val="18"/>
                <w:szCs w:val="18"/>
              </w:rPr>
            </w:pPr>
            <w:r>
              <w:rPr>
                <w:rFonts w:ascii="宋体" w:hAnsi="宋体" w:cs="宋体" w:eastAsia="宋体" w:hint="default"/>
                <w:sz w:val="18"/>
                <w:szCs w:val="18"/>
              </w:rPr>
              <w:t>民生 银行 天津 分行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30" w:right="28"/>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10,000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自有</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36"/>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87"/>
              <w:ind w:left="30" w:right="3"/>
              <w:jc w:val="left"/>
              <w:rPr>
                <w:rFonts w:ascii="Times New Roman" w:hAnsi="Times New Roman" w:cs="Times New Roman" w:eastAsia="Times New Roman" w:hint="default"/>
                <w:sz w:val="18"/>
                <w:szCs w:val="18"/>
              </w:rPr>
            </w:pPr>
            <w:r>
              <w:rPr>
                <w:rFonts w:ascii="Times New Roman"/>
                <w:spacing w:val="4"/>
                <w:sz w:val="18"/>
              </w:rPr>
              <w:t>AOZY</w:t>
            </w:r>
            <w:r>
              <w:rPr>
                <w:rFonts w:ascii="Times New Roman"/>
                <w:w w:val="99"/>
                <w:sz w:val="18"/>
              </w:rPr>
              <w:t> </w:t>
            </w:r>
            <w:r>
              <w:rPr>
                <w:rFonts w:ascii="Times New Roman"/>
                <w:sz w:val="18"/>
              </w:rPr>
              <w:t>JF201</w:t>
            </w:r>
            <w:r>
              <w:rPr>
                <w:rFonts w:ascii="Times New Roman"/>
                <w:spacing w:val="-38"/>
                <w:sz w:val="18"/>
              </w:rPr>
              <w:t> </w:t>
            </w:r>
            <w:r>
              <w:rPr>
                <w:rFonts w:ascii="Times New Roman"/>
                <w:spacing w:val="-38"/>
                <w:sz w:val="18"/>
              </w:rPr>
            </w:r>
            <w:r>
              <w:rPr>
                <w:rFonts w:ascii="Times New Roman"/>
                <w:sz w:val="18"/>
              </w:rPr>
              <w:t>8250-</w:t>
            </w:r>
          </w:p>
          <w:p>
            <w:pPr>
              <w:pStyle w:val="TableParagraph"/>
              <w:spacing w:line="197" w:lineRule="exact"/>
              <w:ind w:left="30" w:right="0"/>
              <w:jc w:val="left"/>
              <w:rPr>
                <w:rFonts w:ascii="Times New Roman" w:hAnsi="Times New Roman" w:cs="Times New Roman" w:eastAsia="Times New Roman" w:hint="default"/>
                <w:sz w:val="18"/>
                <w:szCs w:val="18"/>
              </w:rPr>
            </w:pPr>
            <w:r>
              <w:rPr>
                <w:rFonts w:ascii="Times New Roman"/>
                <w:spacing w:val="2"/>
                <w:sz w:val="18"/>
              </w:rPr>
              <w:t>5-HQ</w:t>
            </w:r>
            <w:r>
              <w:rPr>
                <w:rFonts w:ascii="Times New Roman"/>
                <w:sz w:val="18"/>
              </w:rPr>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5" w:right="165"/>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4.60%</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92</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92</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30" w:right="163"/>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1"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78"/>
              <w:jc w:val="both"/>
              <w:rPr>
                <w:rFonts w:ascii="宋体" w:hAnsi="宋体" w:cs="宋体" w:eastAsia="宋体" w:hint="default"/>
                <w:sz w:val="18"/>
                <w:szCs w:val="18"/>
              </w:rPr>
            </w:pPr>
            <w:r>
              <w:rPr>
                <w:rFonts w:ascii="宋体" w:hAnsi="宋体" w:cs="宋体" w:eastAsia="宋体" w:hint="default"/>
                <w:sz w:val="18"/>
                <w:szCs w:val="18"/>
              </w:rPr>
              <w:t>中国 银行 北京 分行</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30" w:right="28"/>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10,000</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自有</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6"/>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30" w:right="163"/>
              <w:jc w:val="both"/>
              <w:rPr>
                <w:rFonts w:ascii="宋体" w:hAnsi="宋体" w:cs="宋体" w:eastAsia="宋体" w:hint="default"/>
                <w:sz w:val="18"/>
                <w:szCs w:val="18"/>
              </w:rPr>
            </w:pPr>
            <w:r>
              <w:rPr>
                <w:rFonts w:ascii="宋体" w:hAnsi="宋体" w:cs="宋体" w:eastAsia="宋体" w:hint="default"/>
                <w:sz w:val="18"/>
                <w:szCs w:val="18"/>
              </w:rPr>
              <w:t>财富 管理 服务</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5" w:right="165"/>
              <w:jc w:val="left"/>
              <w:rPr>
                <w:rFonts w:ascii="宋体" w:hAnsi="宋体" w:cs="宋体" w:eastAsia="宋体" w:hint="default"/>
                <w:sz w:val="18"/>
                <w:szCs w:val="18"/>
              </w:rPr>
            </w:pPr>
            <w:r>
              <w:rPr>
                <w:rFonts w:ascii="宋体" w:hAnsi="宋体" w:cs="宋体" w:eastAsia="宋体" w:hint="default"/>
                <w:sz w:val="18"/>
                <w:szCs w:val="18"/>
              </w:rPr>
              <w:t>到期 收取</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4.30%</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122.47</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122.47</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30" w:right="163"/>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772"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20,000</w:t>
            </w:r>
          </w:p>
        </w:tc>
        <w:tc>
          <w:tcPr>
            <w:tcW w:w="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08"/>
              <w:jc w:val="right"/>
              <w:rPr>
                <w:rFonts w:ascii="Times New Roman" w:hAnsi="Times New Roman" w:cs="Times New Roman" w:eastAsia="Times New Roman" w:hint="default"/>
                <w:sz w:val="18"/>
                <w:szCs w:val="18"/>
              </w:rPr>
            </w:pPr>
            <w:r>
              <w:rPr>
                <w:rFonts w:ascii="Times New Roman"/>
                <w:sz w:val="18"/>
              </w:rPr>
              <w:t>--</w:t>
            </w:r>
          </w:p>
        </w:tc>
        <w:tc>
          <w:tcPr>
            <w:tcW w:w="5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5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5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55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214.47</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214.47</w:t>
            </w:r>
          </w:p>
        </w:tc>
        <w:tc>
          <w:tcPr>
            <w:tcW w:w="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541"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5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c>
          <w:tcPr>
            <w:tcW w:w="5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4"/>
        <w:ind w:right="1105"/>
        <w:jc w:val="left"/>
      </w:pPr>
      <w:r>
        <w:rPr/>
        <w:t>委托理财出现预期无法收回本金或存在其他可能导致减值的情形</w:t>
      </w:r>
    </w:p>
    <w:p>
      <w:pPr>
        <w:pStyle w:val="BodyText"/>
        <w:spacing w:line="240" w:lineRule="auto" w:before="140"/>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05"/>
        <w:jc w:val="left"/>
        <w:rPr>
          <w:b w:val="0"/>
          <w:bCs w:val="0"/>
        </w:rPr>
      </w:pPr>
      <w:bookmarkStart w:name="（2）委托贷款情况" w:id="90"/>
      <w:bookmarkEnd w:id="90"/>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3"/>
        <w:rPr>
          <w:rFonts w:ascii="宋体" w:hAnsi="宋体" w:cs="宋体" w:eastAsia="宋体" w:hint="default"/>
          <w:b/>
          <w:bCs/>
          <w:sz w:val="25"/>
          <w:szCs w:val="25"/>
        </w:rPr>
      </w:pPr>
    </w:p>
    <w:p>
      <w:pPr>
        <w:pStyle w:val="BodyText"/>
        <w:spacing w:line="333"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公司报告期不存在委托贷款。</w:t>
      </w:r>
    </w:p>
    <w:p>
      <w:pPr>
        <w:spacing w:line="240" w:lineRule="auto" w:before="4"/>
        <w:rPr>
          <w:rFonts w:ascii="宋体" w:hAnsi="宋体" w:cs="宋体" w:eastAsia="宋体" w:hint="default"/>
          <w:sz w:val="23"/>
          <w:szCs w:val="23"/>
        </w:rPr>
      </w:pPr>
    </w:p>
    <w:p>
      <w:pPr>
        <w:pStyle w:val="Heading3"/>
        <w:spacing w:line="240" w:lineRule="auto"/>
        <w:ind w:right="1105"/>
        <w:jc w:val="left"/>
        <w:rPr>
          <w:b w:val="0"/>
          <w:bCs w:val="0"/>
        </w:rPr>
      </w:pPr>
      <w:bookmarkStart w:name="4、其他重大合同" w:id="91"/>
      <w:bookmarkEnd w:id="91"/>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3"/>
        <w:rPr>
          <w:rFonts w:ascii="宋体" w:hAnsi="宋体" w:cs="宋体" w:eastAsia="宋体" w:hint="default"/>
          <w:b/>
          <w:bCs/>
          <w:sz w:val="25"/>
          <w:szCs w:val="25"/>
        </w:rPr>
      </w:pPr>
    </w:p>
    <w:p>
      <w:pPr>
        <w:pStyle w:val="BodyText"/>
        <w:spacing w:line="333" w:lineRule="auto"/>
        <w:ind w:right="8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公司报告期不存在其他重大合同。</w:t>
      </w:r>
    </w:p>
    <w:p>
      <w:pPr>
        <w:spacing w:line="240" w:lineRule="auto" w:before="8"/>
        <w:rPr>
          <w:rFonts w:ascii="宋体" w:hAnsi="宋体" w:cs="宋体" w:eastAsia="宋体" w:hint="default"/>
          <w:sz w:val="20"/>
          <w:szCs w:val="20"/>
        </w:rPr>
      </w:pPr>
    </w:p>
    <w:p>
      <w:pPr>
        <w:pStyle w:val="Heading2"/>
        <w:spacing w:line="240" w:lineRule="auto"/>
        <w:ind w:right="1105"/>
        <w:jc w:val="left"/>
        <w:rPr>
          <w:b w:val="0"/>
          <w:bCs w:val="0"/>
        </w:rPr>
      </w:pPr>
      <w:bookmarkStart w:name="十七、社会责任情况" w:id="92"/>
      <w:bookmarkEnd w:id="92"/>
      <w:r>
        <w:rPr>
          <w:b w:val="0"/>
          <w:bCs w:val="0"/>
        </w:rPr>
      </w:r>
      <w:r>
        <w:rPr/>
        <w:t>十七、社会责任情况</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05"/>
        <w:jc w:val="left"/>
        <w:rPr>
          <w:b w:val="0"/>
          <w:bCs w:val="0"/>
        </w:rPr>
      </w:pPr>
      <w:bookmarkStart w:name="1、履行社会责任情况" w:id="93"/>
      <w:bookmarkEnd w:id="93"/>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1"/>
        <w:rPr>
          <w:rFonts w:ascii="宋体" w:hAnsi="宋体" w:cs="宋体" w:eastAsia="宋体" w:hint="default"/>
          <w:b/>
          <w:bCs/>
          <w:sz w:val="24"/>
          <w:szCs w:val="24"/>
        </w:rPr>
      </w:pPr>
    </w:p>
    <w:p>
      <w:pPr>
        <w:pStyle w:val="BodyText"/>
        <w:spacing w:line="321" w:lineRule="auto"/>
        <w:ind w:right="0" w:firstLine="360"/>
        <w:jc w:val="left"/>
      </w:pPr>
      <w:r>
        <w:rPr>
          <w:spacing w:val="-2"/>
        </w:rPr>
        <w:t>公司严格按照《公司法》、《证券法》、《公司章程》和《股东大会议事规则》等法律、法规、规范性文件及制度的要</w:t>
      </w:r>
      <w:r>
        <w:rPr/>
        <w:t> </w:t>
      </w:r>
      <w:r>
        <w:rPr>
          <w:spacing w:val="-4"/>
        </w:rPr>
        <w:t>求，规范股东大会召集、召开、表决程序，确保所有股东享有平等的股东地位、平等的股东权利；充分保护股东的合法权益，</w:t>
      </w:r>
      <w:r>
        <w:rPr>
          <w:spacing w:val="-56"/>
        </w:rPr>
        <w:t> </w:t>
      </w:r>
      <w:r>
        <w:rPr>
          <w:spacing w:val="-56"/>
        </w:rPr>
      </w:r>
      <w:r>
        <w:rPr/>
        <w:t>让中小投资者充分行使自己的权利。</w:t>
      </w:r>
    </w:p>
    <w:p>
      <w:pPr>
        <w:pStyle w:val="BodyText"/>
        <w:spacing w:line="314" w:lineRule="auto" w:before="63"/>
        <w:ind w:right="1117" w:firstLine="360"/>
        <w:jc w:val="both"/>
      </w:pPr>
      <w:r>
        <w:rPr>
          <w:spacing w:val="-2"/>
        </w:rPr>
        <w:t>公司严格贯彻执行《劳动合同法》《社会保险法》等各项法律法规，为员工提供福利保障；尊重员工，积极采纳员工合</w:t>
      </w:r>
      <w:r>
        <w:rPr/>
        <w:t> </w:t>
      </w:r>
      <w:r>
        <w:rPr>
          <w:spacing w:val="-2"/>
        </w:rPr>
        <w:t>理化建议，增强公司凝聚力；致力于培养出优秀的人才，帮助每一位员工实现自我价值，与企业共同成长。不断完善人力资</w:t>
      </w:r>
      <w:r>
        <w:rPr>
          <w:spacing w:val="-54"/>
        </w:rPr>
        <w:t> </w:t>
      </w:r>
      <w:r>
        <w:rPr>
          <w:spacing w:val="-54"/>
        </w:rPr>
      </w:r>
      <w:r>
        <w:rPr/>
        <w:t>源管理体系，努力为员工提供更大的发展空间及更多的人文关怀。</w:t>
      </w:r>
    </w:p>
    <w:p>
      <w:pPr>
        <w:pStyle w:val="BodyText"/>
        <w:spacing w:line="307" w:lineRule="auto" w:before="69"/>
        <w:ind w:right="1105" w:firstLine="360"/>
        <w:jc w:val="left"/>
      </w:pPr>
      <w:r>
        <w:rPr>
          <w:spacing w:val="-2"/>
        </w:rPr>
        <w:t>公司充分尊重和维护相关利益者的合法权益，加强与各相关利益者的沟通交流，实现与客户、员工、社会等相关利益者</w:t>
      </w:r>
      <w:r>
        <w:rPr/>
        <w:t> 的互利共赢，共同推动公司持续、健康地发展。</w:t>
      </w:r>
    </w:p>
    <w:p>
      <w:pPr>
        <w:pStyle w:val="BodyText"/>
        <w:spacing w:line="304" w:lineRule="auto" w:before="89"/>
        <w:ind w:right="1029" w:firstLine="360"/>
        <w:jc w:val="left"/>
      </w:pPr>
      <w:r>
        <w:rPr/>
        <w:t>新冠肺炎爆发初期，公司第一时间做出反应，于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日紧急召开董事会临时会议，会议决定向湖北省内部分市 县捐赠总计人民币</w:t>
      </w:r>
      <w:r>
        <w:rPr>
          <w:rFonts w:ascii="Times New Roman" w:hAnsi="Times New Roman" w:cs="Times New Roman" w:eastAsia="Times New Roman" w:hint="default"/>
        </w:rPr>
        <w:t>1000</w:t>
      </w:r>
      <w:r>
        <w:rPr/>
        <w:t>万元的医疗物资和现金。公司通过向北京雏菊花公益基金会、北京荣德利生基金会捐款，采购口罩、</w:t>
      </w:r>
    </w:p>
    <w:p>
      <w:pPr>
        <w:spacing w:after="0" w:line="304"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1105"/>
        <w:jc w:val="left"/>
      </w:pPr>
      <w:r>
        <w:rPr>
          <w:spacing w:val="-2"/>
        </w:rPr>
        <w:t>防护服、试剂、药品等抗疫防护物资，捐赠到湖北省荆门、荆州、黄石、宜昌、黄冈等多个市县。同时，公司迅速成立疫情</w:t>
      </w:r>
      <w:r>
        <w:rPr>
          <w:spacing w:val="-76"/>
        </w:rPr>
        <w:t> </w:t>
      </w:r>
      <w:r>
        <w:rPr>
          <w:spacing w:val="-76"/>
        </w:rPr>
      </w:r>
      <w:r>
        <w:rPr/>
        <w:t>应急小组，积极沟通帮助疫区各地联系、协调各类医疗、防护资源，共同抗击疫情。</w:t>
      </w:r>
    </w:p>
    <w:p>
      <w:pPr>
        <w:pStyle w:val="BodyText"/>
        <w:spacing w:line="319" w:lineRule="auto" w:before="48"/>
        <w:ind w:right="1119" w:firstLine="360"/>
        <w:jc w:val="both"/>
      </w:pPr>
      <w:r>
        <w:rPr>
          <w:spacing w:val="-2"/>
        </w:rPr>
        <w:t>此外，疫情防控期间，为助力迅速恢复社会经济秩序，进一步优化疫情精准防控措施，方便群众出行，更好地保障广大</w:t>
      </w:r>
      <w:r>
        <w:rPr/>
        <w:t> </w:t>
      </w:r>
      <w:r>
        <w:rPr>
          <w:spacing w:val="-2"/>
        </w:rPr>
        <w:t>群众的健康和安全，公司组织员工克服疫情带来的困难，紧急开发</w:t>
      </w:r>
      <w:r>
        <w:rPr>
          <w:rFonts w:ascii="Times New Roman" w:hAnsi="Times New Roman" w:cs="Times New Roman" w:eastAsia="Times New Roman" w:hint="default"/>
          <w:spacing w:val="-2"/>
        </w:rPr>
        <w:t>“</w:t>
      </w:r>
      <w:r>
        <w:rPr>
          <w:spacing w:val="-2"/>
        </w:rPr>
        <w:t>公共防疫管理平台</w:t>
      </w:r>
      <w:r>
        <w:rPr>
          <w:rFonts w:ascii="Times New Roman" w:hAnsi="Times New Roman" w:cs="Times New Roman" w:eastAsia="Times New Roman" w:hint="default"/>
          <w:spacing w:val="-2"/>
        </w:rPr>
        <w:t>”</w:t>
      </w:r>
      <w:r>
        <w:rPr>
          <w:spacing w:val="-2"/>
        </w:rPr>
        <w:t>，包括一点通、社区通、复工通、园</w:t>
      </w:r>
      <w:r>
        <w:rPr>
          <w:spacing w:val="-43"/>
        </w:rPr>
        <w:t> </w:t>
      </w:r>
      <w:r>
        <w:rPr>
          <w:spacing w:val="-43"/>
        </w:rPr>
      </w:r>
      <w:r>
        <w:rPr>
          <w:spacing w:val="-2"/>
        </w:rPr>
        <w:t>区通、企服通、校园通、联防通，更是仅用</w:t>
      </w:r>
      <w:r>
        <w:rPr>
          <w:rFonts w:ascii="Times New Roman" w:hAnsi="Times New Roman" w:cs="Times New Roman" w:eastAsia="Times New Roman" w:hint="default"/>
          <w:spacing w:val="-2"/>
        </w:rPr>
        <w:t>24</w:t>
      </w:r>
      <w:r>
        <w:rPr>
          <w:spacing w:val="-2"/>
        </w:rPr>
        <w:t>小时就完成</w:t>
      </w:r>
      <w:r>
        <w:rPr>
          <w:rFonts w:ascii="Times New Roman" w:hAnsi="Times New Roman" w:cs="Times New Roman" w:eastAsia="Times New Roman" w:hint="default"/>
          <w:spacing w:val="-2"/>
        </w:rPr>
        <w:t>“</w:t>
      </w:r>
      <w:r>
        <w:rPr>
          <w:spacing w:val="-2"/>
        </w:rPr>
        <w:t>锡康码</w:t>
      </w:r>
      <w:r>
        <w:rPr>
          <w:rFonts w:ascii="Times New Roman" w:hAnsi="Times New Roman" w:cs="Times New Roman" w:eastAsia="Times New Roman" w:hint="default"/>
          <w:spacing w:val="-2"/>
        </w:rPr>
        <w:t>”</w:t>
      </w:r>
      <w:r>
        <w:rPr>
          <w:spacing w:val="-2"/>
        </w:rPr>
        <w:t>系统的开发上线，相关系统及模块已先后在江苏无锡、福</w:t>
      </w:r>
    </w:p>
    <w:p>
      <w:pPr>
        <w:pStyle w:val="BodyText"/>
        <w:spacing w:line="288" w:lineRule="auto"/>
        <w:ind w:right="1105"/>
        <w:jc w:val="left"/>
      </w:pPr>
      <w:r>
        <w:rPr>
          <w:spacing w:val="-2"/>
        </w:rPr>
        <w:t>建、湖北、北京等多地的政府、社区、产业园区、学校及培训机构中落地应用，朗新科技集团正在以</w:t>
      </w:r>
      <w:r>
        <w:rPr>
          <w:rFonts w:ascii="Times New Roman" w:hAnsi="Times New Roman" w:cs="Times New Roman" w:eastAsia="Times New Roman" w:hint="default"/>
          <w:spacing w:val="-2"/>
        </w:rPr>
        <w:t>“</w:t>
      </w:r>
      <w:r>
        <w:rPr>
          <w:spacing w:val="-2"/>
        </w:rPr>
        <w:t>产业互联网应用引擎</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8"/>
        </w:rPr>
        <w:t> </w:t>
      </w:r>
      <w:r>
        <w:rPr/>
        <w:t>践行</w:t>
      </w:r>
      <w:r>
        <w:rPr>
          <w:rFonts w:ascii="Times New Roman" w:hAnsi="Times New Roman" w:cs="Times New Roman" w:eastAsia="Times New Roman" w:hint="default"/>
        </w:rPr>
        <w:t>“</w:t>
      </w:r>
      <w:r>
        <w:rPr/>
        <w:t>科技抗疫</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Heading3"/>
        <w:spacing w:line="240" w:lineRule="auto"/>
        <w:ind w:right="1105"/>
        <w:jc w:val="left"/>
        <w:rPr>
          <w:b w:val="0"/>
          <w:bCs w:val="0"/>
        </w:rPr>
      </w:pPr>
      <w:bookmarkStart w:name="2、履行精准扶贫社会责任情况" w:id="94"/>
      <w:bookmarkEnd w:id="94"/>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1）精准扶贫规划" w:id="95"/>
      <w:bookmarkEnd w:id="95"/>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3"/>
        <w:rPr>
          <w:rFonts w:ascii="宋体" w:hAnsi="宋体" w:cs="宋体" w:eastAsia="宋体" w:hint="default"/>
          <w:b/>
          <w:bCs/>
          <w:sz w:val="25"/>
          <w:szCs w:val="25"/>
        </w:rPr>
      </w:pPr>
    </w:p>
    <w:p>
      <w:pPr>
        <w:pStyle w:val="BodyText"/>
        <w:spacing w:line="324" w:lineRule="auto"/>
        <w:ind w:right="1105"/>
        <w:jc w:val="left"/>
      </w:pPr>
      <w:r>
        <w:rPr>
          <w:spacing w:val="-2"/>
        </w:rPr>
        <w:t>北京雏菊花公益基金会是由朗新科技和易视腾科技联合发起的在北京民政部注册登记的一家非公募基金会（慈善组织）。登</w:t>
      </w:r>
      <w:r>
        <w:rPr>
          <w:spacing w:val="-75"/>
        </w:rPr>
        <w:t> </w:t>
      </w:r>
      <w:r>
        <w:rPr>
          <w:spacing w:val="-75"/>
        </w:rPr>
      </w:r>
      <w:r>
        <w:rPr/>
        <w:t>记业务范围为：（</w:t>
      </w:r>
      <w:r>
        <w:rPr>
          <w:rFonts w:ascii="Times New Roman" w:hAnsi="Times New Roman" w:cs="Times New Roman" w:eastAsia="Times New Roman" w:hint="default"/>
        </w:rPr>
        <w:t>1</w:t>
      </w:r>
      <w:r>
        <w:rPr/>
        <w:t>）资助贫困学生就学、困难家庭生活；（</w:t>
      </w:r>
      <w:r>
        <w:rPr>
          <w:rFonts w:ascii="Times New Roman" w:hAnsi="Times New Roman" w:cs="Times New Roman" w:eastAsia="Times New Roman" w:hint="default"/>
        </w:rPr>
        <w:t>2</w:t>
      </w:r>
      <w:r>
        <w:rPr/>
        <w:t>）资助自然灾害救助等公益活动。</w:t>
      </w:r>
      <w:r>
        <w:rPr>
          <w:spacing w:val="-85"/>
        </w:rPr>
        <w:t> </w:t>
      </w:r>
      <w:r>
        <w:rPr>
          <w:spacing w:val="-2"/>
        </w:rPr>
        <w:t>北京雏菊花公益基金会在登记的业务范围内开展慈善项目，致力于全心全意改善贫困、偏远地区青少年教育事业，通过关爱</w:t>
      </w:r>
      <w:r>
        <w:rPr>
          <w:spacing w:val="-75"/>
        </w:rPr>
        <w:t> </w:t>
      </w:r>
      <w:r>
        <w:rPr>
          <w:spacing w:val="-75"/>
        </w:rPr>
      </w:r>
      <w:r>
        <w:rPr/>
        <w:t>留守儿童特别是留守儿童中女童关爱缺失的现状，同时为贫困家庭服务，帮助他们自信、从容、有尊严的成长与生活。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Heading3"/>
        <w:spacing w:line="240" w:lineRule="auto"/>
        <w:ind w:right="1105"/>
        <w:jc w:val="left"/>
        <w:rPr>
          <w:b w:val="0"/>
          <w:bCs w:val="0"/>
        </w:rPr>
      </w:pPr>
      <w:bookmarkStart w:name="（2）年度精准扶贫概要" w:id="96"/>
      <w:bookmarkEnd w:id="96"/>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0"/>
        <w:jc w:val="left"/>
      </w:pPr>
      <w:r>
        <w:rPr>
          <w:spacing w:val="-2"/>
        </w:rPr>
        <w:t>北京雏菊花公益基金会于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月份成功举办</w:t>
      </w:r>
      <w:r>
        <w:rPr>
          <w:rFonts w:ascii="Times New Roman" w:hAnsi="Times New Roman" w:cs="Times New Roman" w:eastAsia="Times New Roman" w:hint="default"/>
          <w:spacing w:val="-2"/>
        </w:rPr>
        <w:t>30</w:t>
      </w:r>
      <w:r>
        <w:rPr>
          <w:spacing w:val="-2"/>
        </w:rPr>
        <w:t>余名新疆小学生进京夏令营研学活动，夏令营活动极大丰富了学生的视野，</w:t>
      </w:r>
      <w:r>
        <w:rPr>
          <w:spacing w:val="-47"/>
        </w:rPr>
        <w:t> </w:t>
      </w:r>
      <w:r>
        <w:rPr>
          <w:spacing w:val="-47"/>
        </w:rPr>
      </w:r>
      <w:r>
        <w:rPr/>
        <w:t>以补充教育的形式激励了学生。 </w:t>
      </w:r>
      <w:r>
        <w:rPr>
          <w:rFonts w:ascii="Times New Roman" w:hAnsi="Times New Roman" w:cs="Times New Roman" w:eastAsia="Times New Roman" w:hint="default"/>
        </w:rPr>
        <w:t>9</w:t>
      </w:r>
      <w:r>
        <w:rPr/>
        <w:t>月底组织了</w:t>
      </w:r>
      <w:r>
        <w:rPr>
          <w:rFonts w:ascii="Times New Roman" w:hAnsi="Times New Roman" w:cs="Times New Roman" w:eastAsia="Times New Roman" w:hint="default"/>
        </w:rPr>
        <w:t>30</w:t>
      </w:r>
      <w:r>
        <w:rPr/>
        <w:t>余名志愿者进疆访校公益活动，结伴中国人口宣教中心组织的卫生健康知识普及、义诊顺利进行了志愿者进 疆访校活动，慰问贫困学生及家庭。</w:t>
      </w:r>
    </w:p>
    <w:p>
      <w:pPr>
        <w:pStyle w:val="BodyText"/>
        <w:spacing w:line="288" w:lineRule="auto" w:before="50"/>
        <w:ind w:right="1119"/>
        <w:jc w:val="left"/>
      </w:pPr>
      <w:r>
        <w:rPr/>
        <w:t>与中信信托达成贫困助学的公益合作并形成捐助方案，于年底筛选出</w:t>
      </w:r>
      <w:r>
        <w:rPr>
          <w:rFonts w:ascii="Times New Roman" w:hAnsi="Times New Roman" w:cs="Times New Roman" w:eastAsia="Times New Roman" w:hint="default"/>
        </w:rPr>
        <w:t>472</w:t>
      </w:r>
      <w:r>
        <w:rPr/>
        <w:t>名建档立卡的贫困学生，给与符合条件的学生奖学</w:t>
      </w:r>
      <w:r>
        <w:rPr>
          <w:spacing w:val="-84"/>
        </w:rPr>
        <w:t> </w:t>
      </w:r>
      <w:r>
        <w:rPr/>
        <w:t>金资助。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Heading3"/>
        <w:spacing w:line="240" w:lineRule="auto"/>
        <w:ind w:right="1105"/>
        <w:jc w:val="left"/>
        <w:rPr>
          <w:b w:val="0"/>
          <w:bCs w:val="0"/>
        </w:rPr>
      </w:pPr>
      <w:bookmarkStart w:name="（3）精准扶贫成效" w:id="97"/>
      <w:bookmarkEnd w:id="97"/>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3"/>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3620"/>
        <w:gridCol w:w="1539"/>
        <w:gridCol w:w="4415"/>
      </w:tblGrid>
      <w:tr>
        <w:trPr>
          <w:trHeight w:val="405" w:hRule="exact"/>
        </w:trPr>
        <w:tc>
          <w:tcPr>
            <w:tcW w:w="36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指标</w:t>
            </w:r>
          </w:p>
        </w:tc>
        <w:tc>
          <w:tcPr>
            <w:tcW w:w="15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4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29"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6" w:hRule="exact"/>
        </w:trPr>
        <w:tc>
          <w:tcPr>
            <w:tcW w:w="36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2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5" w:hRule="exact"/>
        </w:trPr>
        <w:tc>
          <w:tcPr>
            <w:tcW w:w="36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7"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5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4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99.58</w:t>
            </w:r>
          </w:p>
        </w:tc>
      </w:tr>
      <w:tr>
        <w:trPr>
          <w:trHeight w:val="391" w:hRule="exact"/>
        </w:trPr>
        <w:tc>
          <w:tcPr>
            <w:tcW w:w="36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物资折款</w:t>
            </w:r>
          </w:p>
        </w:tc>
        <w:tc>
          <w:tcPr>
            <w:tcW w:w="15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4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6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帮助建档立卡贫困人口脱贫数</w:t>
            </w:r>
          </w:p>
        </w:tc>
        <w:tc>
          <w:tcPr>
            <w:tcW w:w="15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4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472</w:t>
            </w:r>
          </w:p>
        </w:tc>
      </w:tr>
      <w:tr>
        <w:trPr>
          <w:trHeight w:val="405" w:hRule="exact"/>
        </w:trPr>
        <w:tc>
          <w:tcPr>
            <w:tcW w:w="36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2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5" w:hRule="exact"/>
        </w:trPr>
        <w:tc>
          <w:tcPr>
            <w:tcW w:w="36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2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5" w:hRule="exact"/>
        </w:trPr>
        <w:tc>
          <w:tcPr>
            <w:tcW w:w="36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2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0" w:hRule="exact"/>
        </w:trPr>
        <w:tc>
          <w:tcPr>
            <w:tcW w:w="36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2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5" w:hRule="exact"/>
        </w:trPr>
        <w:tc>
          <w:tcPr>
            <w:tcW w:w="36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2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33" w:type="dxa"/>
        <w:tblLayout w:type="fixed"/>
        <w:tblCellMar>
          <w:top w:w="0" w:type="dxa"/>
          <w:left w:w="0" w:type="dxa"/>
          <w:bottom w:w="0" w:type="dxa"/>
          <w:right w:w="0" w:type="dxa"/>
        </w:tblCellMar>
        <w:tblLook w:val="01E0"/>
      </w:tblPr>
      <w:tblGrid>
        <w:gridCol w:w="3620"/>
        <w:gridCol w:w="1562"/>
        <w:gridCol w:w="4385"/>
      </w:tblGrid>
      <w:tr>
        <w:trPr>
          <w:trHeight w:val="405" w:hRule="exact"/>
        </w:trPr>
        <w:tc>
          <w:tcPr>
            <w:tcW w:w="36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tabs>
                <w:tab w:pos="908" w:val="left" w:leader="none"/>
              </w:tabs>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4.1 </w:t>
            </w:r>
            <w:r>
              <w:rPr>
                <w:rFonts w:ascii="宋体" w:hAnsi="宋体" w:cs="宋体" w:eastAsia="宋体" w:hint="default"/>
                <w:sz w:val="18"/>
                <w:szCs w:val="18"/>
              </w:rPr>
              <w:t>资助贫困学生投入金额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5"/>
              <w:jc w:val="right"/>
              <w:rPr>
                <w:rFonts w:ascii="Times New Roman" w:hAnsi="Times New Roman" w:cs="Times New Roman" w:eastAsia="Times New Roman" w:hint="default"/>
                <w:sz w:val="18"/>
                <w:szCs w:val="18"/>
              </w:rPr>
            </w:pPr>
            <w:r>
              <w:rPr>
                <w:rFonts w:ascii="Times New Roman"/>
                <w:sz w:val="18"/>
              </w:rPr>
              <w:t>76.9</w:t>
            </w:r>
          </w:p>
        </w:tc>
      </w:tr>
      <w:tr>
        <w:trPr>
          <w:trHeight w:val="405" w:hRule="exact"/>
        </w:trPr>
        <w:tc>
          <w:tcPr>
            <w:tcW w:w="36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 </w:t>
            </w:r>
            <w:r>
              <w:rPr>
                <w:rFonts w:ascii="宋体" w:hAnsi="宋体" w:cs="宋体" w:eastAsia="宋体" w:hint="default"/>
                <w:sz w:val="18"/>
                <w:szCs w:val="18"/>
              </w:rPr>
              <w:t>资助贫困学生人数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5"/>
              <w:jc w:val="right"/>
              <w:rPr>
                <w:rFonts w:ascii="Times New Roman" w:hAnsi="Times New Roman" w:cs="Times New Roman" w:eastAsia="Times New Roman" w:hint="default"/>
                <w:sz w:val="18"/>
                <w:szCs w:val="18"/>
              </w:rPr>
            </w:pPr>
            <w:r>
              <w:rPr>
                <w:rFonts w:ascii="Times New Roman"/>
                <w:sz w:val="18"/>
              </w:rPr>
              <w:t>31</w:t>
            </w:r>
          </w:p>
        </w:tc>
      </w:tr>
      <w:tr>
        <w:trPr>
          <w:trHeight w:val="705" w:hRule="exact"/>
        </w:trPr>
        <w:tc>
          <w:tcPr>
            <w:tcW w:w="36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改善贫困地区教育资源投入金</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21</w:t>
            </w:r>
          </w:p>
        </w:tc>
      </w:tr>
      <w:tr>
        <w:trPr>
          <w:trHeight w:val="406" w:hRule="exact"/>
        </w:trPr>
        <w:tc>
          <w:tcPr>
            <w:tcW w:w="36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20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5" w:hRule="exact"/>
        </w:trPr>
        <w:tc>
          <w:tcPr>
            <w:tcW w:w="36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20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5" w:hRule="exact"/>
        </w:trPr>
        <w:tc>
          <w:tcPr>
            <w:tcW w:w="36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20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1" w:hRule="exact"/>
        </w:trPr>
        <w:tc>
          <w:tcPr>
            <w:tcW w:w="36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20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5" w:hRule="exact"/>
        </w:trPr>
        <w:tc>
          <w:tcPr>
            <w:tcW w:w="36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20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5" w:hRule="exact"/>
        </w:trPr>
        <w:tc>
          <w:tcPr>
            <w:tcW w:w="36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20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11"/>
        <w:rPr>
          <w:rFonts w:ascii="宋体" w:hAnsi="宋体" w:cs="宋体" w:eastAsia="宋体" w:hint="default"/>
          <w:b/>
          <w:bCs/>
          <w:sz w:val="19"/>
          <w:szCs w:val="19"/>
        </w:rPr>
      </w:pPr>
    </w:p>
    <w:p>
      <w:pPr>
        <w:pStyle w:val="Heading3"/>
        <w:spacing w:line="240" w:lineRule="auto" w:before="35"/>
        <w:ind w:right="1105"/>
        <w:jc w:val="left"/>
        <w:rPr>
          <w:b w:val="0"/>
          <w:bCs w:val="0"/>
        </w:rPr>
      </w:pPr>
      <w:bookmarkStart w:name="（4）后续精准扶贫计划" w:id="98"/>
      <w:bookmarkEnd w:id="98"/>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3"/>
        <w:rPr>
          <w:rFonts w:ascii="宋体" w:hAnsi="宋体" w:cs="宋体" w:eastAsia="宋体" w:hint="default"/>
          <w:b/>
          <w:bCs/>
          <w:sz w:val="25"/>
          <w:szCs w:val="25"/>
        </w:rPr>
      </w:pPr>
    </w:p>
    <w:p>
      <w:pPr>
        <w:pStyle w:val="BodyText"/>
        <w:spacing w:line="307" w:lineRule="auto"/>
        <w:ind w:right="1105"/>
        <w:jc w:val="left"/>
      </w:pPr>
      <w:r>
        <w:rPr>
          <w:spacing w:val="-2"/>
        </w:rPr>
        <w:t>基金会下一年度将会以夏令营、访校活动作为固定项目，适当扩大资助范围（如川藏等贫困地区），开发并设计多种形式公</w:t>
      </w:r>
      <w:r>
        <w:rPr>
          <w:spacing w:val="-57"/>
        </w:rPr>
        <w:t> </w:t>
      </w:r>
      <w:r>
        <w:rPr>
          <w:spacing w:val="-57"/>
        </w:rPr>
      </w:r>
      <w:r>
        <w:rPr/>
        <w:t>益活动。</w:t>
      </w:r>
    </w:p>
    <w:p>
      <w:pPr>
        <w:pStyle w:val="BodyText"/>
        <w:spacing w:line="240" w:lineRule="auto" w:before="74"/>
        <w:ind w:right="1105"/>
        <w:jc w:val="left"/>
      </w:pPr>
      <w:r>
        <w:rPr/>
        <w:t>发动员工公益，让更多的人参与到公益活动中来，为履行社会责任贡献一份力量。</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3、环境保护相关的情况" w:id="99"/>
      <w:bookmarkEnd w:id="99"/>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3"/>
        <w:rPr>
          <w:rFonts w:ascii="宋体" w:hAnsi="宋体" w:cs="宋体" w:eastAsia="宋体" w:hint="default"/>
          <w:b/>
          <w:bCs/>
          <w:sz w:val="25"/>
          <w:szCs w:val="25"/>
        </w:rPr>
      </w:pPr>
    </w:p>
    <w:p>
      <w:pPr>
        <w:pStyle w:val="BodyText"/>
        <w:spacing w:line="350" w:lineRule="auto"/>
        <w:ind w:right="5709"/>
        <w:jc w:val="left"/>
      </w:pPr>
      <w:r>
        <w:rPr/>
        <w:t>上市公司及其子公司是否属于环境保护部门公布的重点排污单位</w:t>
      </w:r>
      <w:r>
        <w:rPr>
          <w:spacing w:val="-84"/>
        </w:rPr>
        <w:t> </w:t>
      </w:r>
      <w:r>
        <w:rPr>
          <w:spacing w:val="-84"/>
        </w:rPr>
      </w:r>
      <w:r>
        <w:rPr/>
        <w:t>不适用</w:t>
      </w:r>
    </w:p>
    <w:p>
      <w:pPr>
        <w:pStyle w:val="BodyText"/>
        <w:spacing w:line="240" w:lineRule="auto" w:before="27"/>
        <w:ind w:right="1105"/>
        <w:jc w:val="left"/>
      </w:pPr>
      <w:r>
        <w:rPr/>
        <w:t>公司及子公司不属于环境保护部门公布的重点排污单位。</w:t>
      </w:r>
    </w:p>
    <w:p>
      <w:pPr>
        <w:spacing w:line="240" w:lineRule="auto" w:before="13"/>
        <w:rPr>
          <w:rFonts w:ascii="宋体" w:hAnsi="宋体" w:cs="宋体" w:eastAsia="宋体" w:hint="default"/>
          <w:sz w:val="25"/>
          <w:szCs w:val="25"/>
        </w:rPr>
      </w:pPr>
    </w:p>
    <w:p>
      <w:pPr>
        <w:pStyle w:val="Heading2"/>
        <w:spacing w:line="240" w:lineRule="auto"/>
        <w:ind w:right="1105"/>
        <w:jc w:val="left"/>
        <w:rPr>
          <w:b w:val="0"/>
          <w:bCs w:val="0"/>
        </w:rPr>
      </w:pPr>
      <w:bookmarkStart w:name="十八、其他重大事项的说明" w:id="100"/>
      <w:bookmarkEnd w:id="100"/>
      <w:r>
        <w:rPr>
          <w:b w:val="0"/>
          <w:bCs w:val="0"/>
        </w:rPr>
      </w:r>
      <w:r>
        <w:rPr/>
        <w:t>十八、其他重大事项的说明</w:t>
      </w:r>
      <w:r>
        <w:rPr>
          <w:b w:val="0"/>
          <w:bCs w:val="0"/>
        </w:rPr>
      </w:r>
    </w:p>
    <w:p>
      <w:pPr>
        <w:spacing w:line="240" w:lineRule="auto" w:before="3"/>
        <w:rPr>
          <w:rFonts w:ascii="宋体" w:hAnsi="宋体" w:cs="宋体" w:eastAsia="宋体" w:hint="default"/>
          <w:b/>
          <w:bCs/>
          <w:sz w:val="27"/>
          <w:szCs w:val="27"/>
        </w:rPr>
      </w:pPr>
    </w:p>
    <w:p>
      <w:pPr>
        <w:pStyle w:val="BodyText"/>
        <w:spacing w:line="333" w:lineRule="auto"/>
        <w:ind w:right="7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公司报告期不存在需要说明的其他重大事项。</w:t>
      </w:r>
    </w:p>
    <w:p>
      <w:pPr>
        <w:spacing w:line="240" w:lineRule="auto" w:before="8"/>
        <w:rPr>
          <w:rFonts w:ascii="宋体" w:hAnsi="宋体" w:cs="宋体" w:eastAsia="宋体" w:hint="default"/>
          <w:sz w:val="20"/>
          <w:szCs w:val="20"/>
        </w:rPr>
      </w:pPr>
    </w:p>
    <w:p>
      <w:pPr>
        <w:pStyle w:val="Heading2"/>
        <w:spacing w:line="240" w:lineRule="auto"/>
        <w:ind w:right="1105"/>
        <w:jc w:val="left"/>
        <w:rPr>
          <w:b w:val="0"/>
          <w:bCs w:val="0"/>
        </w:rPr>
      </w:pPr>
      <w:bookmarkStart w:name="十九、公司子公司重大事项" w:id="101"/>
      <w:bookmarkEnd w:id="101"/>
      <w:r>
        <w:rPr>
          <w:b w:val="0"/>
          <w:bCs w:val="0"/>
        </w:rPr>
      </w:r>
      <w:r>
        <w:rPr/>
        <w:t>十九、公司子公司重大事项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040" w:right="1105"/>
        <w:jc w:val="left"/>
        <w:rPr>
          <w:b w:val="0"/>
          <w:bCs w:val="0"/>
        </w:rPr>
      </w:pPr>
      <w:bookmarkStart w:name="_TOC_250007" w:id="102"/>
      <w:bookmarkStart w:name="第六节股份变动及股东情况" w:id="103"/>
      <w:r>
        <w:rPr>
          <w:b w:val="0"/>
          <w:bCs w:val="0"/>
        </w:rPr>
      </w:r>
      <w:r>
        <w:rPr>
          <w:spacing w:val="5"/>
        </w:rPr>
        <w:t>第六节股份变动及股东情况</w:t>
      </w:r>
      <w:bookmarkEnd w:id="102"/>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105"/>
        <w:jc w:val="left"/>
        <w:rPr>
          <w:b w:val="0"/>
          <w:bCs w:val="0"/>
        </w:rPr>
      </w:pPr>
      <w:bookmarkStart w:name="一、股份变动情况" w:id="104"/>
      <w:bookmarkEnd w:id="104"/>
      <w:r>
        <w:rPr>
          <w:b w:val="0"/>
          <w:bCs w:val="0"/>
        </w:rPr>
      </w:r>
      <w:r>
        <w:rPr/>
        <w:t>一、股份变动情况</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05"/>
        <w:jc w:val="left"/>
        <w:rPr>
          <w:b w:val="0"/>
          <w:bCs w:val="0"/>
        </w:rPr>
      </w:pPr>
      <w:bookmarkStart w:name="1、股份变动情况" w:id="105"/>
      <w:bookmarkEnd w:id="105"/>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10"/>
        <w:jc w:val="right"/>
      </w:pPr>
      <w:r>
        <w:rPr/>
        <w:t>单位：股</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222"/>
        <w:gridCol w:w="819"/>
        <w:gridCol w:w="826"/>
        <w:gridCol w:w="826"/>
        <w:gridCol w:w="826"/>
        <w:gridCol w:w="826"/>
        <w:gridCol w:w="811"/>
        <w:gridCol w:w="826"/>
        <w:gridCol w:w="796"/>
        <w:gridCol w:w="796"/>
      </w:tblGrid>
      <w:tr>
        <w:trPr>
          <w:trHeight w:val="405"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164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6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8" w:hRule="exact"/>
        </w:trPr>
        <w:tc>
          <w:tcPr>
            <w:tcW w:w="2222" w:type="dxa"/>
            <w:vMerge w:val="restart"/>
            <w:tcBorders>
              <w:top w:val="nil" w:sz="6" w:space="0" w:color="auto"/>
              <w:left w:val="single" w:sz="6" w:space="0" w:color="000000"/>
              <w:right w:val="single" w:sz="6" w:space="0" w:color="000000"/>
            </w:tcBorders>
            <w:shd w:val="clear" w:color="auto" w:fill="D2D2D2"/>
          </w:tcPr>
          <w:p>
            <w:pPr/>
          </w:p>
        </w:tc>
        <w:tc>
          <w:tcPr>
            <w:tcW w:w="819"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299" w:right="59"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11"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95" w:hRule="exact"/>
        </w:trPr>
        <w:tc>
          <w:tcPr>
            <w:tcW w:w="2222" w:type="dxa"/>
            <w:vMerge/>
            <w:tcBorders>
              <w:left w:val="single" w:sz="6" w:space="0" w:color="000000"/>
              <w:bottom w:val="nil" w:sz="6" w:space="0" w:color="auto"/>
              <w:right w:val="single" w:sz="6" w:space="0" w:color="000000"/>
            </w:tcBorders>
            <w:shd w:val="clear" w:color="auto" w:fill="D2D2D2"/>
          </w:tcPr>
          <w:p>
            <w:pPr/>
          </w:p>
        </w:tc>
        <w:tc>
          <w:tcPr>
            <w:tcW w:w="81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6" w:type="dxa"/>
            <w:vMerge/>
            <w:tcBorders>
              <w:left w:val="single" w:sz="6" w:space="0" w:color="000000"/>
              <w:right w:val="single" w:sz="6" w:space="0" w:color="000000"/>
            </w:tcBorders>
            <w:shd w:val="clear" w:color="auto" w:fill="D2D2D2"/>
          </w:tcPr>
          <w:p>
            <w:pPr/>
          </w:p>
        </w:tc>
        <w:tc>
          <w:tcPr>
            <w:tcW w:w="81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5" w:hRule="exact"/>
        </w:trPr>
        <w:tc>
          <w:tcPr>
            <w:tcW w:w="2222" w:type="dxa"/>
            <w:vMerge w:val="restart"/>
            <w:tcBorders>
              <w:top w:val="nil" w:sz="6" w:space="0" w:color="auto"/>
              <w:left w:val="single" w:sz="6" w:space="0" w:color="000000"/>
              <w:right w:val="single" w:sz="6" w:space="0" w:color="000000"/>
            </w:tcBorders>
            <w:shd w:val="clear" w:color="auto" w:fill="D2D2D2"/>
          </w:tcPr>
          <w:p>
            <w:pPr/>
          </w:p>
        </w:tc>
        <w:tc>
          <w:tcPr>
            <w:tcW w:w="819"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right w:val="single" w:sz="6" w:space="0" w:color="000000"/>
            </w:tcBorders>
            <w:shd w:val="clear" w:color="auto" w:fill="D2D2D2"/>
          </w:tcPr>
          <w:p>
            <w:pPr/>
          </w:p>
        </w:tc>
        <w:tc>
          <w:tcPr>
            <w:tcW w:w="811"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r>
      <w:tr>
        <w:trPr>
          <w:trHeight w:val="173" w:hRule="exact"/>
        </w:trPr>
        <w:tc>
          <w:tcPr>
            <w:tcW w:w="2222" w:type="dxa"/>
            <w:vMerge/>
            <w:tcBorders>
              <w:left w:val="single" w:sz="6" w:space="0" w:color="000000"/>
              <w:bottom w:val="single" w:sz="6" w:space="0" w:color="000000"/>
              <w:right w:val="single" w:sz="6" w:space="0" w:color="000000"/>
            </w:tcBorders>
            <w:shd w:val="clear" w:color="auto" w:fill="D2D2D2"/>
          </w:tcPr>
          <w:p>
            <w:pPr/>
          </w:p>
        </w:tc>
        <w:tc>
          <w:tcPr>
            <w:tcW w:w="819"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vMerge/>
            <w:tcBorders>
              <w:left w:val="single" w:sz="6" w:space="0" w:color="000000"/>
              <w:bottom w:val="single" w:sz="6" w:space="0" w:color="000000"/>
              <w:right w:val="single" w:sz="6" w:space="0" w:color="000000"/>
            </w:tcBorders>
            <w:shd w:val="clear" w:color="auto" w:fill="D2D2D2"/>
          </w:tcPr>
          <w:p>
            <w:pPr/>
          </w:p>
        </w:tc>
        <w:tc>
          <w:tcPr>
            <w:tcW w:w="811"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265,007,6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61.74%</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248,211,6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29</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-4,117,76</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244,093,8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61</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509,101,5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41</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74.84%</w:t>
            </w:r>
          </w:p>
        </w:tc>
      </w:tr>
      <w:tr>
        <w:trPr>
          <w:trHeight w:val="391"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405"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164,911,1</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38.42%</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248,211,6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29</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-4,117,76</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244,093,8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61</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409,004,9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81</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60.12%</w:t>
            </w:r>
          </w:p>
        </w:tc>
      </w:tr>
      <w:tr>
        <w:trPr>
          <w:trHeight w:val="390"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73"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7"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143,038,0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33.33%</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203,861,8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97</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203,861,8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97</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346,899,9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77</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50.99%</w:t>
            </w:r>
          </w:p>
        </w:tc>
      </w:tr>
      <w:tr>
        <w:trPr>
          <w:trHeight w:val="390"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21,873,04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5.10%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44,349,73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-4,117,76</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40,231,96</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62,105,00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9.13%</w:t>
            </w:r>
          </w:p>
        </w:tc>
      </w:tr>
      <w:tr>
        <w:trPr>
          <w:trHeight w:val="391"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397"/>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73"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100,096,5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23.32%</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100,096,5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60</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14.71%</w:t>
            </w:r>
          </w:p>
        </w:tc>
      </w:tr>
      <w:tr>
        <w:trPr>
          <w:trHeight w:val="391"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100,096,5</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23.32%</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100,096,5</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60</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14.71%</w:t>
            </w:r>
          </w:p>
        </w:tc>
      </w:tr>
      <w:tr>
        <w:trPr>
          <w:trHeight w:val="405"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405"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97"/>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164,212,6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38.26%</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6,978,832</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6,978,832</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171,191,4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52</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25.16%</w:t>
            </w:r>
          </w:p>
        </w:tc>
      </w:tr>
      <w:tr>
        <w:trPr>
          <w:trHeight w:val="390"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7"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164,212,6</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38.26%</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6,978,832</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6,978,832</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171,191,4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52</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25.16%</w:t>
            </w:r>
          </w:p>
        </w:tc>
      </w:tr>
      <w:tr>
        <w:trPr>
          <w:trHeight w:val="405"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406"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90"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157"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429,220,3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100.00%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248,211,6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29</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2,861,064</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251,072,6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93</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680,292,9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93</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100.00%</w:t>
            </w:r>
          </w:p>
        </w:tc>
      </w:tr>
      <w:tr>
        <w:trPr>
          <w:trHeight w:val="406"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bl>
    <w:p>
      <w:pPr>
        <w:pStyle w:val="BodyText"/>
        <w:spacing w:line="240" w:lineRule="auto" w:before="45"/>
        <w:ind w:right="1105"/>
        <w:jc w:val="left"/>
      </w:pPr>
      <w:r>
        <w:rPr/>
        <w:t>注：此处数据来源中登下发的股本结构表（按股东类别标识统计</w:t>
      </w:r>
      <w:r>
        <w:rPr>
          <w:spacing w:val="-90"/>
        </w:rPr>
        <w:t>）</w:t>
      </w:r>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right="1105"/>
        <w:jc w:val="left"/>
      </w:pPr>
      <w:r>
        <w:rPr/>
        <w:t>股份变动的原因</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before="44"/>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302" w:lineRule="auto" w:before="96"/>
        <w:ind w:right="1149"/>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日，公司完成了</w:t>
      </w:r>
      <w:r>
        <w:rPr>
          <w:rFonts w:ascii="Times New Roman" w:hAnsi="Times New Roman" w:cs="Times New Roman" w:eastAsia="Times New Roman" w:hint="default"/>
        </w:rPr>
        <w:t>2018</w:t>
      </w:r>
      <w:r>
        <w:rPr/>
        <w:t>年度股权激励计划限制性股票预留授予登记工作（详见</w:t>
      </w:r>
      <w:r>
        <w:rPr>
          <w:rFonts w:ascii="Times New Roman" w:hAnsi="Times New Roman" w:cs="Times New Roman" w:eastAsia="Times New Roman" w:hint="default"/>
        </w:rPr>
        <w:t>2019-005</w:t>
      </w:r>
      <w:r>
        <w:rPr/>
        <w:t>号公告），公司总股本增</w:t>
      </w:r>
      <w:r>
        <w:rPr>
          <w:spacing w:val="-85"/>
        </w:rPr>
        <w:t> </w:t>
      </w:r>
      <w:r>
        <w:rPr/>
        <w:t>加至</w:t>
      </w:r>
      <w:r>
        <w:rPr>
          <w:rFonts w:ascii="Times New Roman" w:hAnsi="Times New Roman" w:cs="Times New Roman" w:eastAsia="Times New Roman" w:hint="default"/>
        </w:rPr>
        <w:t>431,720,862</w:t>
      </w:r>
      <w:r>
        <w:rPr/>
        <w:t>股。</w:t>
      </w:r>
    </w:p>
    <w:p>
      <w:pPr>
        <w:pStyle w:val="BodyText"/>
        <w:spacing w:line="302" w:lineRule="auto" w:before="59"/>
        <w:ind w:right="1105"/>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24</w:t>
      </w:r>
      <w:r>
        <w:rPr>
          <w:spacing w:val="-2"/>
        </w:rPr>
        <w:t>日，公司完成了发行股份购买资产新增股份登记及上市工作（详见</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日发布的发行股份购买资产暨关</w:t>
      </w:r>
      <w:r>
        <w:rPr>
          <w:spacing w:val="-53"/>
        </w:rPr>
        <w:t> </w:t>
      </w:r>
      <w:r>
        <w:rPr/>
        <w:t>联交易之重组实施情况报告书暨股份上市公告书），公司总股本增加至</w:t>
      </w:r>
      <w:r>
        <w:rPr>
          <w:rFonts w:ascii="Times New Roman" w:hAnsi="Times New Roman" w:cs="Times New Roman" w:eastAsia="Times New Roman" w:hint="default"/>
        </w:rPr>
        <w:t>679,932,491</w:t>
      </w:r>
      <w:r>
        <w:rPr/>
        <w:t>股。</w:t>
      </w:r>
    </w:p>
    <w:p>
      <w:pPr>
        <w:pStyle w:val="BodyText"/>
        <w:spacing w:line="240" w:lineRule="auto" w:before="44"/>
        <w:ind w:right="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w:t>
      </w:r>
      <w:r>
        <w:rPr>
          <w:spacing w:val="-10"/>
        </w:rPr>
        <w:t> </w:t>
      </w:r>
      <w:r>
        <w:rPr/>
        <w:t>公司限制性股票</w:t>
      </w:r>
      <w:r>
        <w:rPr>
          <w:rFonts w:ascii="Times New Roman" w:hAnsi="Times New Roman" w:cs="Times New Roman" w:eastAsia="Times New Roman" w:hint="default"/>
        </w:rPr>
        <w:t>36800</w:t>
      </w:r>
      <w:r>
        <w:rPr/>
        <w:t>股回购注销完成，公司总股本减少至</w:t>
      </w:r>
      <w:r>
        <w:rPr>
          <w:rFonts w:ascii="Times New Roman" w:hAnsi="Times New Roman" w:cs="Times New Roman" w:eastAsia="Times New Roman" w:hint="default"/>
        </w:rPr>
        <w:t>679,895,691</w:t>
      </w:r>
      <w:r>
        <w:rPr/>
        <w:t>股。</w:t>
      </w:r>
    </w:p>
    <w:p>
      <w:pPr>
        <w:pStyle w:val="BodyText"/>
        <w:spacing w:line="240" w:lineRule="auto" w:before="96"/>
        <w:ind w:right="0"/>
        <w:jc w:val="both"/>
        <w:rPr>
          <w:rFonts w:ascii="Times New Roman" w:hAnsi="Times New Roman" w:cs="Times New Roman" w:eastAsia="Times New Roman"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w:t>
      </w:r>
      <w:r>
        <w:rPr>
          <w:spacing w:val="-30"/>
        </w:rPr>
        <w:t>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月</w:t>
      </w:r>
      <w:r>
        <w:rPr>
          <w:spacing w:val="-30"/>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日，公司公告</w:t>
      </w:r>
      <w:r>
        <w:rPr>
          <w:spacing w:val="-2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年度限制性股票与股票期权激励计划第一个行权期采用自主行权期限为</w:t>
      </w:r>
      <w:r>
        <w:rPr>
          <w:spacing w:val="-2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w:t>
      </w:r>
      <w:r>
        <w:rPr>
          <w:spacing w:val="-30"/>
        </w:rPr>
        <w:t> </w:t>
      </w:r>
      <w:r>
        <w:rPr>
          <w:rFonts w:ascii="Times New Roman" w:hAnsi="Times New Roman" w:cs="Times New Roman" w:eastAsia="Times New Roman" w:hint="default"/>
        </w:rPr>
        <w:t>11</w:t>
      </w:r>
      <w:r>
        <w:rPr>
          <w:rFonts w:ascii="Times New Roman" w:hAnsi="Times New Roman" w:cs="Times New Roman" w:eastAsia="Times New Roman" w:hint="default"/>
          <w:spacing w:val="-15"/>
        </w:rPr>
        <w:t> </w:t>
      </w:r>
      <w:r>
        <w:rPr/>
        <w:t>月</w:t>
      </w:r>
      <w:r>
        <w:rPr>
          <w:spacing w:val="-30"/>
        </w:rPr>
        <w:t> </w:t>
      </w:r>
      <w:r>
        <w:rPr>
          <w:rFonts w:ascii="Times New Roman" w:hAnsi="Times New Roman" w:cs="Times New Roman" w:eastAsia="Times New Roman" w:hint="default"/>
        </w:rPr>
        <w:t>1</w:t>
      </w:r>
    </w:p>
    <w:p>
      <w:pPr>
        <w:pStyle w:val="BodyText"/>
        <w:spacing w:line="240" w:lineRule="auto" w:before="66"/>
        <w:ind w:right="0"/>
        <w:jc w:val="both"/>
      </w:pPr>
      <w:r>
        <w:rPr/>
        <w:t>日起至</w:t>
      </w:r>
      <w:r>
        <w:rPr>
          <w:spacing w:val="-45"/>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月</w:t>
      </w:r>
      <w:r>
        <w:rPr>
          <w:spacing w:val="-45"/>
        </w:rPr>
        <w:t> </w:t>
      </w:r>
      <w:r>
        <w:rPr>
          <w:rFonts w:ascii="Times New Roman" w:hAnsi="Times New Roman" w:cs="Times New Roman" w:eastAsia="Times New Roman" w:hint="default"/>
        </w:rPr>
        <w:t>23</w:t>
      </w:r>
      <w:r>
        <w:rPr>
          <w:rFonts w:ascii="Times New Roman" w:hAnsi="Times New Roman" w:cs="Times New Roman" w:eastAsia="Times New Roman" w:hint="default"/>
          <w:spacing w:val="-15"/>
        </w:rPr>
        <w:t> </w:t>
      </w:r>
      <w:r>
        <w:rPr/>
        <w:t>日止。</w:t>
      </w:r>
    </w:p>
    <w:p>
      <w:pPr>
        <w:pStyle w:val="BodyText"/>
        <w:spacing w:line="240" w:lineRule="auto" w:before="111"/>
        <w:ind w:right="0"/>
        <w:jc w:val="both"/>
      </w:pPr>
      <w:r>
        <w:rPr/>
        <w:t>截止</w:t>
      </w:r>
      <w:r>
        <w:rPr>
          <w:spacing w:val="-45"/>
        </w:rPr>
        <w:t> </w:t>
      </w:r>
      <w:r>
        <w:rPr>
          <w:rFonts w:ascii="Times New Roman" w:hAnsi="Times New Roman" w:cs="Times New Roman" w:eastAsia="Times New Roman" w:hint="default"/>
        </w:rPr>
        <w:t>2019 </w:t>
      </w:r>
      <w:r>
        <w:rPr/>
        <w:t>年</w:t>
      </w:r>
      <w:r>
        <w:rPr>
          <w:spacing w:val="-46"/>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日，根据中登下发的期权明细，公司总股本增加至</w:t>
      </w:r>
      <w:r>
        <w:rPr>
          <w:spacing w:val="-41"/>
        </w:rPr>
        <w:t> </w:t>
      </w:r>
      <w:r>
        <w:rPr>
          <w:rFonts w:ascii="Times New Roman" w:hAnsi="Times New Roman" w:cs="Times New Roman" w:eastAsia="Times New Roman" w:hint="default"/>
        </w:rPr>
        <w:t>680,292,993</w:t>
      </w:r>
      <w:r>
        <w:rPr>
          <w:rFonts w:ascii="Times New Roman" w:hAnsi="Times New Roman" w:cs="Times New Roman" w:eastAsia="Times New Roman" w:hint="default"/>
          <w:spacing w:val="1"/>
        </w:rPr>
        <w:t> </w:t>
      </w:r>
      <w:r>
        <w:rPr/>
        <w:t>股。</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pStyle w:val="BodyText"/>
        <w:spacing w:line="240" w:lineRule="auto"/>
        <w:ind w:right="0"/>
        <w:jc w:val="both"/>
      </w:pPr>
      <w:r>
        <w:rPr/>
        <w:t>股份变动的批准情况</w:t>
      </w:r>
    </w:p>
    <w:p>
      <w:pPr>
        <w:pStyle w:val="BodyText"/>
        <w:spacing w:line="331" w:lineRule="auto" w:before="125"/>
        <w:ind w:right="87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一、限制性股票预留授予</w:t>
      </w:r>
    </w:p>
    <w:p>
      <w:pPr>
        <w:pStyle w:val="BodyText"/>
        <w:spacing w:line="312" w:lineRule="auto" w:before="56"/>
        <w:ind w:right="1136"/>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14</w:t>
      </w:r>
      <w:r>
        <w:rPr>
          <w:spacing w:val="-2"/>
        </w:rPr>
        <w:t>日召开了第二届董事会第二十二次会议和第二届监事会第十七次会议，审议通过了《关于向激励对象授予预留</w:t>
      </w:r>
      <w:r>
        <w:rPr>
          <w:spacing w:val="-65"/>
        </w:rPr>
        <w:t> </w:t>
      </w:r>
      <w:r>
        <w:rPr>
          <w:spacing w:val="-65"/>
        </w:rPr>
      </w:r>
      <w:r>
        <w:rPr>
          <w:spacing w:val="-2"/>
        </w:rPr>
        <w:t>限制性股票的议案》。根据中国证监会《上市公司股权激励管理办法》、深圳证券交易所、中国证券登记结算有限责任公司</w:t>
      </w:r>
      <w:r>
        <w:rPr>
          <w:spacing w:val="-72"/>
        </w:rPr>
        <w:t> </w:t>
      </w:r>
      <w:r>
        <w:rPr>
          <w:spacing w:val="-72"/>
        </w:rPr>
      </w:r>
      <w:r>
        <w:rPr/>
        <w:t>深圳分公司有关规则，公司完成了</w:t>
      </w:r>
      <w:r>
        <w:rPr>
          <w:rFonts w:ascii="Times New Roman" w:hAnsi="Times New Roman" w:cs="Times New Roman" w:eastAsia="Times New Roman" w:hint="default"/>
        </w:rPr>
        <w:t>2018</w:t>
      </w:r>
      <w:r>
        <w:rPr/>
        <w:t>年度股权激励计划限制性股票的预留授予登记工作。</w:t>
      </w:r>
    </w:p>
    <w:p>
      <w:pPr>
        <w:pStyle w:val="BodyText"/>
        <w:spacing w:line="240" w:lineRule="auto" w:before="21"/>
        <w:ind w:right="0"/>
        <w:jc w:val="both"/>
      </w:pPr>
      <w:r>
        <w:rPr/>
        <w:t>二、发行股份购买资产暨关联交易</w:t>
      </w:r>
    </w:p>
    <w:p>
      <w:pPr>
        <w:pStyle w:val="BodyText"/>
        <w:spacing w:line="288" w:lineRule="auto" w:before="140"/>
        <w:ind w:right="1121"/>
        <w:jc w:val="both"/>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29</w:t>
      </w:r>
      <w:r>
        <w:rPr>
          <w:spacing w:val="-3"/>
        </w:rPr>
        <w:t>日，朗新科技召开第二届董事会第二十次会议，审议通过了发行股份购买资产暨关联交易的相关议案。</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33"/>
        </w:rPr>
        <w:t> </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日，朗新科技与原交易对方签署了附条件生效的《朗新科技股份有限公司与易视腾科技股份有限公司全体股东、实</w:t>
      </w:r>
      <w:r>
        <w:rPr>
          <w:spacing w:val="-71"/>
        </w:rPr>
        <w:t> </w:t>
      </w:r>
      <w:r>
        <w:rPr>
          <w:spacing w:val="-71"/>
        </w:rPr>
      </w:r>
      <w:r>
        <w:rPr>
          <w:spacing w:val="-2"/>
        </w:rPr>
        <w:t>际控制人之发行股份购买资产协议》、《朗新科技股份有限公司与上海云钜创业投资有限公司、无锡朴元投资合伙企业（有</w:t>
      </w:r>
    </w:p>
    <w:p>
      <w:pPr>
        <w:pStyle w:val="BodyText"/>
        <w:spacing w:line="288" w:lineRule="auto" w:before="59"/>
        <w:ind w:right="0"/>
        <w:jc w:val="left"/>
      </w:pPr>
      <w:r>
        <w:rPr>
          <w:spacing w:val="-2"/>
        </w:rPr>
        <w:t>限合伙）之发行股份购买资产协议》及附条件生效的《盈利预测补偿协议》。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日，朗新科技召开第二届董事会</w:t>
      </w:r>
      <w:r>
        <w:rPr>
          <w:spacing w:val="-57"/>
        </w:rPr>
        <w:t> </w:t>
      </w:r>
      <w:r>
        <w:rPr>
          <w:spacing w:val="-57"/>
        </w:rPr>
      </w:r>
      <w:r>
        <w:rPr>
          <w:spacing w:val="-4"/>
        </w:rPr>
        <w:t>第二十三次会议，审议通过了发行股份购买资产暨关联交易的相关议案，并与原交易对方签署了附条件生效的《补充协议》。</w:t>
      </w:r>
    </w:p>
    <w:p>
      <w:pPr>
        <w:pStyle w:val="BodyText"/>
        <w:spacing w:line="288" w:lineRule="auto" w:before="89"/>
        <w:ind w:right="1105"/>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14</w:t>
      </w:r>
      <w:r>
        <w:rPr>
          <w:spacing w:val="-2"/>
        </w:rPr>
        <w:t>日，朗新科技召开</w:t>
      </w:r>
      <w:r>
        <w:rPr>
          <w:rFonts w:ascii="Times New Roman" w:hAnsi="Times New Roman" w:cs="Times New Roman" w:eastAsia="Times New Roman" w:hint="default"/>
          <w:spacing w:val="-2"/>
        </w:rPr>
        <w:t>2019</w:t>
      </w:r>
      <w:r>
        <w:rPr>
          <w:spacing w:val="-2"/>
        </w:rPr>
        <w:t>年第一次临时股东大会，审议批准了本次交易事项，并同意徐长军、郑新标及其一致</w:t>
      </w:r>
      <w:r>
        <w:rPr>
          <w:spacing w:val="-42"/>
        </w:rPr>
        <w:t> </w:t>
      </w:r>
      <w:r>
        <w:rPr>
          <w:spacing w:val="-42"/>
        </w:rPr>
      </w:r>
      <w:r>
        <w:rPr/>
        <w:t>行动人免于以要约收购方式增持朗新科技的股份。</w:t>
      </w:r>
    </w:p>
    <w:p>
      <w:pPr>
        <w:pStyle w:val="BodyText"/>
        <w:spacing w:line="290" w:lineRule="auto" w:before="104"/>
        <w:ind w:right="1119"/>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26</w:t>
      </w:r>
      <w:r>
        <w:rPr>
          <w:spacing w:val="-2"/>
        </w:rPr>
        <w:t>日，朗新科技与易视腾科技全体股东、实际控制人签署了《补充协议（二）》，就金投领航退出本次交易之</w:t>
      </w:r>
      <w:r>
        <w:rPr>
          <w:spacing w:val="-65"/>
        </w:rPr>
        <w:t> </w:t>
      </w:r>
      <w:r>
        <w:rPr>
          <w:spacing w:val="-65"/>
        </w:rPr>
      </w:r>
      <w:r>
        <w:rPr/>
        <w:t>交易方案调整作出相关约定。</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日，朗新科技与本次交易方案调整后的易视腾科技交易对方签署了附条件生效的</w:t>
      </w:r>
    </w:p>
    <w:p>
      <w:pPr>
        <w:pStyle w:val="BodyText"/>
        <w:spacing w:line="343" w:lineRule="auto" w:before="9"/>
        <w:ind w:right="1105"/>
        <w:jc w:val="left"/>
      </w:pPr>
      <w:r>
        <w:rPr>
          <w:spacing w:val="-2"/>
        </w:rPr>
        <w:t>《朗新科技股份有限公司与易视腾科技股份有限公司部分股东、实际控制人之发行股份购买资产协议》，就金投领航退出本</w:t>
      </w:r>
      <w:r>
        <w:rPr>
          <w:spacing w:val="-75"/>
        </w:rPr>
        <w:t> </w:t>
      </w:r>
      <w:r>
        <w:rPr>
          <w:spacing w:val="-75"/>
        </w:rPr>
      </w:r>
      <w:r>
        <w:rPr/>
        <w:t>次交易后，本次交易相关条款和条件进行相应调整。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27</w:t>
      </w:r>
      <w:r>
        <w:rPr>
          <w:spacing w:val="-2"/>
        </w:rPr>
        <w:t>日，朗新科技收到中国证监会《关于核准朗新科技股份有限公司向徐长军等发行股份购买资产的批复》（证</w:t>
      </w:r>
    </w:p>
    <w:p>
      <w:pPr>
        <w:pStyle w:val="BodyText"/>
        <w:spacing w:line="230" w:lineRule="exact"/>
        <w:ind w:right="0"/>
        <w:jc w:val="both"/>
      </w:pPr>
      <w:r>
        <w:rPr/>
        <w:t>监许可</w:t>
      </w:r>
      <w:r>
        <w:rPr>
          <w:rFonts w:ascii="Times New Roman" w:hAnsi="Times New Roman" w:cs="Times New Roman" w:eastAsia="Times New Roman" w:hint="default"/>
        </w:rPr>
        <w:t>[2019]914</w:t>
      </w:r>
      <w:r>
        <w:rPr/>
        <w:t>号），本次交易已取得中国证监会核准。</w:t>
      </w:r>
    </w:p>
    <w:p>
      <w:pPr>
        <w:pStyle w:val="BodyText"/>
        <w:spacing w:line="350" w:lineRule="auto" w:before="96"/>
        <w:ind w:right="1105"/>
        <w:jc w:val="left"/>
      </w:pPr>
      <w:r>
        <w:rPr/>
        <w:t>三、限制性股票回购注销 </w:t>
      </w:r>
      <w:r>
        <w:rPr>
          <w:spacing w:val="-2"/>
        </w:rPr>
        <w:t>公司第二届董事会第三十二次会议和第二届监事会第二十一次会议审议通过了《关于回购注销部分限制性股票的议案》。公</w:t>
      </w:r>
    </w:p>
    <w:p>
      <w:pPr>
        <w:pStyle w:val="BodyText"/>
        <w:spacing w:line="297" w:lineRule="auto" w:before="12"/>
        <w:ind w:right="1131"/>
        <w:jc w:val="both"/>
      </w:pPr>
      <w:r>
        <w:rPr/>
        <w:t>司独立董事对此发表了独立意见。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日，公司召开</w:t>
      </w:r>
      <w:r>
        <w:rPr>
          <w:rFonts w:ascii="Times New Roman" w:hAnsi="Times New Roman" w:cs="Times New Roman" w:eastAsia="Times New Roman" w:hint="default"/>
        </w:rPr>
        <w:t>2019</w:t>
      </w:r>
      <w:r>
        <w:rPr/>
        <w:t>年第三次临时股东大会，审议通过了《关于回购注销部分</w:t>
      </w:r>
      <w:r>
        <w:rPr>
          <w:spacing w:val="-86"/>
        </w:rPr>
        <w:t> </w:t>
      </w:r>
      <w:r>
        <w:rPr/>
        <w:t>限制性股票的议案》。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日，经中国证券登记结算有限责任公司深圳分公司审核确认，公司本次限制性股票的回 购注销事宜已经完成。</w:t>
      </w:r>
    </w:p>
    <w:p>
      <w:pPr>
        <w:pStyle w:val="BodyText"/>
        <w:spacing w:line="240" w:lineRule="auto" w:before="66"/>
        <w:ind w:right="0"/>
        <w:jc w:val="both"/>
      </w:pPr>
      <w:r>
        <w:rPr/>
        <w:t>四、股票期权行权</w:t>
      </w:r>
    </w:p>
    <w:p>
      <w:pPr>
        <w:pStyle w:val="BodyText"/>
        <w:spacing w:line="295" w:lineRule="auto" w:before="125"/>
        <w:ind w:right="1115"/>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22</w:t>
      </w:r>
      <w:r>
        <w:rPr>
          <w:spacing w:val="-2"/>
        </w:rPr>
        <w:t>日召开第二届董事会第三十八次会议审议通过了《关于注销</w:t>
      </w:r>
      <w:r>
        <w:rPr>
          <w:rFonts w:ascii="Times New Roman" w:hAnsi="Times New Roman" w:cs="Times New Roman" w:eastAsia="Times New Roman" w:hint="default"/>
          <w:spacing w:val="-2"/>
        </w:rPr>
        <w:t>2018</w:t>
      </w:r>
      <w:r>
        <w:rPr>
          <w:spacing w:val="-2"/>
        </w:rPr>
        <w:t>年度限制性股票与股票期权激励计划部分股票</w:t>
      </w:r>
      <w:r>
        <w:rPr>
          <w:spacing w:val="-42"/>
        </w:rPr>
        <w:t> </w:t>
      </w:r>
      <w:r>
        <w:rPr>
          <w:spacing w:val="-2"/>
        </w:rPr>
        <w:t>期权的议案》、《关于公司</w:t>
      </w:r>
      <w:r>
        <w:rPr>
          <w:rFonts w:ascii="Times New Roman" w:hAnsi="Times New Roman" w:cs="Times New Roman" w:eastAsia="Times New Roman" w:hint="default"/>
          <w:spacing w:val="-2"/>
        </w:rPr>
        <w:t>2018</w:t>
      </w:r>
      <w:r>
        <w:rPr>
          <w:spacing w:val="-2"/>
        </w:rPr>
        <w:t>年度限制性股票与股票期权激励计划第一个行权期行权条件成就的议案》，公司独立董事对</w:t>
      </w:r>
      <w:r>
        <w:rPr>
          <w:spacing w:val="-52"/>
        </w:rPr>
        <w:t> </w:t>
      </w:r>
      <w:r>
        <w:rPr>
          <w:spacing w:val="-52"/>
        </w:rPr>
      </w:r>
      <w:r>
        <w:rPr/>
        <w:t>上述事项发表了独立意见。</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240" w:lineRule="auto"/>
        <w:ind w:right="0"/>
        <w:jc w:val="both"/>
      </w:pPr>
      <w:r>
        <w:rPr/>
        <w:t>股份变动的过户情况</w:t>
      </w:r>
    </w:p>
    <w:p>
      <w:pPr>
        <w:pStyle w:val="BodyText"/>
        <w:spacing w:line="240" w:lineRule="auto" w:before="12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after="0" w:line="240"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1105"/>
        <w:jc w:val="left"/>
      </w:pPr>
      <w:r>
        <w:rPr/>
        <w:t>一、限制性股票预留授予</w:t>
      </w:r>
    </w:p>
    <w:p>
      <w:pPr>
        <w:pStyle w:val="BodyText"/>
        <w:spacing w:line="302" w:lineRule="auto" w:before="125"/>
        <w:ind w:right="1119"/>
        <w:jc w:val="left"/>
      </w:pPr>
      <w:r>
        <w:rPr/>
        <w:t>公司本次限制性股票实际授予对象为</w:t>
      </w:r>
      <w:r>
        <w:rPr>
          <w:rFonts w:ascii="Times New Roman" w:hAnsi="Times New Roman" w:cs="Times New Roman" w:eastAsia="Times New Roman" w:hint="default"/>
        </w:rPr>
        <w:t>3</w:t>
      </w:r>
      <w:r>
        <w:rPr/>
        <w:t>人，实际授予数量为</w:t>
      </w:r>
      <w:r>
        <w:rPr>
          <w:rFonts w:ascii="Times New Roman" w:hAnsi="Times New Roman" w:cs="Times New Roman" w:eastAsia="Times New Roman" w:hint="default"/>
        </w:rPr>
        <w:t>2,500,562</w:t>
      </w:r>
      <w:r>
        <w:rPr/>
        <w:t>股。普华永道中天会计师事务所（特殊普通合伙）出具</w:t>
      </w:r>
      <w:r>
        <w:rPr>
          <w:spacing w:val="-85"/>
        </w:rPr>
        <w:t> </w:t>
      </w:r>
      <w:r>
        <w:rPr/>
        <w:t>了验资报告，公司完成了</w:t>
      </w:r>
      <w:r>
        <w:rPr>
          <w:rFonts w:ascii="Times New Roman" w:hAnsi="Times New Roman" w:cs="Times New Roman" w:eastAsia="Times New Roman" w:hint="default"/>
        </w:rPr>
        <w:t>2018</w:t>
      </w:r>
      <w:r>
        <w:rPr/>
        <w:t>年度股权激励计划限制性股票预留授予登记工作。</w:t>
      </w:r>
    </w:p>
    <w:p>
      <w:pPr>
        <w:pStyle w:val="BodyText"/>
        <w:spacing w:line="240" w:lineRule="auto" w:before="44"/>
        <w:ind w:right="1105"/>
        <w:jc w:val="left"/>
      </w:pPr>
      <w:r>
        <w:rPr/>
        <w:t>二、发行股份购买资产暨关联交易</w:t>
      </w:r>
    </w:p>
    <w:p>
      <w:pPr>
        <w:pStyle w:val="BodyText"/>
        <w:spacing w:line="309" w:lineRule="auto" w:before="124"/>
        <w:ind w:right="1119"/>
        <w:jc w:val="left"/>
      </w:pPr>
      <w:r>
        <w:rPr/>
        <w:t>中国证券登记结算有限责任公司深圳分公司已于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日受理朗新科技的非公开发行新股登记申请材料，相关股份登</w:t>
      </w:r>
      <w:r>
        <w:rPr>
          <w:spacing w:val="-86"/>
        </w:rPr>
        <w:t> </w:t>
      </w:r>
      <w:r>
        <w:rPr/>
        <w:t>记到账后将正式列入朗新科技的股东名册。朗新科技本次非公开发行新股数量为</w:t>
      </w:r>
      <w:r>
        <w:rPr>
          <w:rFonts w:ascii="Times New Roman" w:hAnsi="Times New Roman" w:cs="Times New Roman" w:eastAsia="Times New Roman" w:hint="default"/>
        </w:rPr>
        <w:t>248,211,629</w:t>
      </w:r>
      <w:r>
        <w:rPr/>
        <w:t>股（其中限售股数量为</w:t>
      </w:r>
      <w:r>
        <w:rPr>
          <w:spacing w:val="-82"/>
        </w:rPr>
        <w:t> </w:t>
      </w:r>
      <w:r>
        <w:rPr>
          <w:rFonts w:ascii="Times New Roman" w:hAnsi="Times New Roman" w:cs="Times New Roman" w:eastAsia="Times New Roman" w:hint="default"/>
        </w:rPr>
        <w:t>248,211,629</w:t>
      </w:r>
      <w:r>
        <w:rPr/>
        <w:t>股），非公开发行后朗新科技股份数量为</w:t>
      </w:r>
      <w:r>
        <w:rPr>
          <w:rFonts w:ascii="Times New Roman" w:hAnsi="Times New Roman" w:cs="Times New Roman" w:eastAsia="Times New Roman" w:hint="default"/>
        </w:rPr>
        <w:t>679,932,491</w:t>
      </w:r>
      <w:r>
        <w:rPr/>
        <w:t>股。该批股份的上市日期为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w:t>
      </w:r>
      <w:r>
        <w:rPr>
          <w:spacing w:val="-84"/>
        </w:rPr>
        <w:t> </w:t>
      </w:r>
      <w:r>
        <w:rPr/>
        <w:t>三、限制性股票回购注销</w:t>
      </w:r>
    </w:p>
    <w:p>
      <w:pPr>
        <w:pStyle w:val="BodyText"/>
        <w:spacing w:line="367" w:lineRule="auto" w:before="73"/>
        <w:ind w:right="1299"/>
        <w:jc w:val="left"/>
      </w:pPr>
      <w:r>
        <w:rPr/>
        <w:t>经中国证券登记结算有限责任公司深圳分公司审核确认，公司本次限制性股票的回购注销事宜已经完成。</w:t>
      </w:r>
      <w:r>
        <w:rPr>
          <w:spacing w:val="-84"/>
        </w:rPr>
        <w:t> </w:t>
      </w:r>
      <w:r>
        <w:rPr>
          <w:spacing w:val="-84"/>
        </w:rPr>
      </w:r>
      <w:r>
        <w:rPr/>
        <w:t>四、股票期权行权 公司</w:t>
      </w:r>
      <w:r>
        <w:rPr>
          <w:rFonts w:ascii="Times New Roman" w:hAnsi="Times New Roman" w:cs="Times New Roman" w:eastAsia="Times New Roman" w:hint="default"/>
        </w:rPr>
        <w:t>2018</w:t>
      </w:r>
      <w:r>
        <w:rPr/>
        <w:t>度限制性股票与股票期权激励计划第一个行权期符合行权条件的激励对象共</w:t>
      </w:r>
      <w:r>
        <w:rPr>
          <w:rFonts w:ascii="Times New Roman" w:hAnsi="Times New Roman" w:cs="Times New Roman" w:eastAsia="Times New Roman" w:hint="default"/>
        </w:rPr>
        <w:t>147</w:t>
      </w:r>
      <w:r>
        <w:rPr/>
        <w:t>名，可行权的股票期权数量共计</w:t>
      </w:r>
    </w:p>
    <w:p>
      <w:pPr>
        <w:pStyle w:val="BodyText"/>
        <w:spacing w:line="194" w:lineRule="exact"/>
        <w:ind w:right="1105"/>
        <w:jc w:val="left"/>
      </w:pPr>
      <w:r>
        <w:rPr>
          <w:rFonts w:ascii="Times New Roman" w:hAnsi="Times New Roman" w:cs="Times New Roman" w:eastAsia="Times New Roman" w:hint="default"/>
        </w:rPr>
        <w:t>72.14</w:t>
      </w:r>
      <w:r>
        <w:rPr/>
        <w:t>万份，行权价格为</w:t>
      </w:r>
      <w:r>
        <w:rPr>
          <w:rFonts w:ascii="Times New Roman" w:hAnsi="Times New Roman" w:cs="Times New Roman" w:eastAsia="Times New Roman" w:hint="default"/>
        </w:rPr>
        <w:t>16.369</w:t>
      </w:r>
      <w:r>
        <w:rPr/>
        <w:t>元</w:t>
      </w:r>
      <w:r>
        <w:rPr>
          <w:rFonts w:ascii="Times New Roman" w:hAnsi="Times New Roman" w:cs="Times New Roman" w:eastAsia="Times New Roman" w:hint="default"/>
        </w:rPr>
        <w:t>/</w:t>
      </w:r>
      <w:r>
        <w:rPr/>
        <w:t>股。第一个行权期行权期限为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日止。</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1105"/>
        <w:jc w:val="left"/>
      </w:pPr>
      <w:r>
        <w:rPr/>
        <w:t>股份回购的实施进展情况</w:t>
      </w:r>
    </w:p>
    <w:p>
      <w:pPr>
        <w:pStyle w:val="BodyText"/>
        <w:spacing w:line="319" w:lineRule="auto" w:before="124"/>
        <w:ind w:right="69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采用集中竞价方式减持回购股份的实施进展情况</w:t>
      </w:r>
    </w:p>
    <w:p>
      <w:pPr>
        <w:pStyle w:val="BodyText"/>
        <w:spacing w:line="316" w:lineRule="auto" w:before="80"/>
        <w:ind w:right="13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股份变动对最近一年和最近一期基本每股收益和稀释每股收益、归属于公司普通股股东的每股净资产等财务指标的影响</w:t>
      </w:r>
    </w:p>
    <w:p>
      <w:pPr>
        <w:pStyle w:val="BodyText"/>
        <w:spacing w:line="240" w:lineRule="auto" w:before="82"/>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319" w:lineRule="auto" w:before="96"/>
        <w:ind w:right="1367"/>
        <w:jc w:val="left"/>
      </w:pPr>
      <w:r>
        <w:rPr/>
        <w:t>报告期内，公司完成了公开发行及限制性股票授予登记工作，截至 </w:t>
      </w:r>
      <w:r>
        <w:rPr>
          <w:rFonts w:ascii="Times New Roman" w:hAnsi="Times New Roman" w:cs="Times New Roman" w:eastAsia="Times New Roman" w:hint="default"/>
        </w:rPr>
        <w:t>2019</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2"/>
        </w:rPr>
        <w:t> </w:t>
      </w:r>
      <w:r>
        <w:rPr/>
        <w:t>日，公司总股本较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w:t>
      </w:r>
      <w:r>
        <w:rPr>
          <w:rFonts w:ascii="Times New Roman" w:hAnsi="Times New Roman" w:cs="Times New Roman" w:eastAsia="Times New Roman" w:hint="default"/>
        </w:rPr>
        <w:t>429,220,300</w:t>
      </w:r>
      <w:r>
        <w:rPr/>
        <w:t>股增加了</w:t>
      </w:r>
      <w:r>
        <w:rPr>
          <w:rFonts w:ascii="Times New Roman" w:hAnsi="Times New Roman" w:cs="Times New Roman" w:eastAsia="Times New Roman" w:hint="default"/>
        </w:rPr>
        <w:t>251,072,693</w:t>
      </w:r>
      <w:r>
        <w:rPr/>
        <w:t>股，将摊薄公司每股收益与每股净资产。 公司认为必要或证券监管机构要求披露的其他内容</w:t>
      </w:r>
    </w:p>
    <w:p>
      <w:pPr>
        <w:pStyle w:val="BodyText"/>
        <w:spacing w:line="240" w:lineRule="auto" w:before="65"/>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05"/>
        <w:jc w:val="left"/>
        <w:rPr>
          <w:b w:val="0"/>
          <w:bCs w:val="0"/>
        </w:rPr>
      </w:pPr>
      <w:bookmarkStart w:name="2、限售股份变动情况" w:id="106"/>
      <w:bookmarkEnd w:id="106"/>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单位：股</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202"/>
        <w:gridCol w:w="1502"/>
        <w:gridCol w:w="1487"/>
        <w:gridCol w:w="1487"/>
        <w:gridCol w:w="1487"/>
        <w:gridCol w:w="1202"/>
        <w:gridCol w:w="1216"/>
      </w:tblGrid>
      <w:tr>
        <w:trPr>
          <w:trHeight w:val="7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5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630" w:right="119" w:hanging="541"/>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631" w:right="119" w:hanging="541"/>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510" w:right="59" w:hanging="451"/>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89"/>
              <w:jc w:val="left"/>
              <w:rPr>
                <w:rFonts w:ascii="宋体" w:hAnsi="宋体" w:cs="宋体" w:eastAsia="宋体" w:hint="default"/>
                <w:sz w:val="18"/>
                <w:szCs w:val="18"/>
              </w:rPr>
            </w:pPr>
            <w:r>
              <w:rPr>
                <w:rFonts w:ascii="宋体" w:hAnsi="宋体" w:cs="宋体" w:eastAsia="宋体" w:hint="default"/>
                <w:sz w:val="18"/>
                <w:szCs w:val="18"/>
              </w:rPr>
              <w:t>上海云鑫创业 投资有限公司</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41,399,867</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41,399,867</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74"/>
              <w:jc w:val="left"/>
              <w:rPr>
                <w:rFonts w:ascii="宋体" w:hAnsi="宋体" w:cs="宋体" w:eastAsia="宋体" w:hint="default"/>
                <w:sz w:val="18"/>
                <w:szCs w:val="18"/>
              </w:rPr>
            </w:pPr>
            <w:r>
              <w:rPr>
                <w:rFonts w:ascii="宋体" w:hAnsi="宋体" w:cs="宋体" w:eastAsia="宋体" w:hint="default"/>
                <w:sz w:val="18"/>
                <w:szCs w:val="18"/>
              </w:rPr>
              <w:t>资产重组非公 开发行</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2022/6/24</w:t>
            </w: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89"/>
              <w:jc w:val="left"/>
              <w:rPr>
                <w:rFonts w:ascii="宋体" w:hAnsi="宋体" w:cs="宋体" w:eastAsia="宋体" w:hint="default"/>
                <w:sz w:val="18"/>
                <w:szCs w:val="18"/>
              </w:rPr>
            </w:pPr>
            <w:r>
              <w:rPr>
                <w:rFonts w:ascii="宋体" w:hAnsi="宋体" w:cs="宋体" w:eastAsia="宋体" w:hint="default"/>
                <w:sz w:val="18"/>
                <w:szCs w:val="18"/>
              </w:rPr>
              <w:t>上海云钜创业 投资有限公司</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42,328,042</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42,328,042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74"/>
              <w:jc w:val="left"/>
              <w:rPr>
                <w:rFonts w:ascii="宋体" w:hAnsi="宋体" w:cs="宋体" w:eastAsia="宋体" w:hint="default"/>
                <w:sz w:val="18"/>
                <w:szCs w:val="18"/>
              </w:rPr>
            </w:pPr>
            <w:r>
              <w:rPr>
                <w:rFonts w:ascii="宋体" w:hAnsi="宋体" w:cs="宋体" w:eastAsia="宋体" w:hint="default"/>
                <w:sz w:val="18"/>
                <w:szCs w:val="18"/>
              </w:rPr>
              <w:t>资产重组非公 开发行</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2022/6/24</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02"/>
        <w:gridCol w:w="1502"/>
        <w:gridCol w:w="1487"/>
        <w:gridCol w:w="1487"/>
        <w:gridCol w:w="1487"/>
        <w:gridCol w:w="1202"/>
        <w:gridCol w:w="1216"/>
      </w:tblGrid>
      <w:tr>
        <w:trPr>
          <w:trHeight w:val="3212"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25,092,671</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25,092,671</w:t>
            </w:r>
          </w:p>
        </w:tc>
        <w:tc>
          <w:tcPr>
            <w:tcW w:w="1202" w:type="dxa"/>
            <w:tcBorders>
              <w:top w:val="single" w:sz="6" w:space="0" w:color="000000"/>
              <w:left w:val="single" w:sz="6" w:space="0" w:color="000000"/>
              <w:bottom w:val="single" w:sz="6" w:space="0" w:color="000000"/>
              <w:right w:val="single" w:sz="18"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28" w:lineRule="auto"/>
              <w:ind w:left="30" w:right="59"/>
              <w:jc w:val="left"/>
              <w:rPr>
                <w:rFonts w:ascii="宋体" w:hAnsi="宋体" w:cs="宋体" w:eastAsia="宋体" w:hint="default"/>
                <w:sz w:val="18"/>
                <w:szCs w:val="18"/>
              </w:rPr>
            </w:pPr>
            <w:r>
              <w:rPr>
                <w:rFonts w:ascii="宋体" w:hAnsi="宋体" w:cs="宋体" w:eastAsia="宋体" w:hint="default"/>
                <w:sz w:val="18"/>
                <w:szCs w:val="18"/>
              </w:rPr>
              <w:t>资产重组非公 开发行 </w:t>
            </w:r>
            <w:r>
              <w:rPr>
                <w:rFonts w:ascii="Times New Roman" w:hAnsi="Times New Roman" w:cs="Times New Roman" w:eastAsia="Times New Roman" w:hint="default"/>
                <w:sz w:val="18"/>
                <w:szCs w:val="18"/>
              </w:rPr>
              <w:t>25,002,671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198" w:lineRule="exact"/>
              <w:ind w:left="30" w:right="-15"/>
              <w:jc w:val="left"/>
              <w:rPr>
                <w:rFonts w:ascii="宋体" w:hAnsi="宋体" w:cs="宋体" w:eastAsia="宋体" w:hint="default"/>
                <w:sz w:val="18"/>
                <w:szCs w:val="18"/>
              </w:rPr>
            </w:pPr>
            <w:r>
              <w:rPr>
                <w:rFonts w:ascii="宋体" w:hAnsi="宋体" w:cs="宋体" w:eastAsia="宋体" w:hint="default"/>
                <w:sz w:val="18"/>
                <w:szCs w:val="18"/>
              </w:rPr>
              <w:t>集合竞价购买</w:t>
            </w:r>
          </w:p>
          <w:p>
            <w:pPr>
              <w:pStyle w:val="TableParagraph"/>
              <w:spacing w:line="240" w:lineRule="auto" w:before="94"/>
              <w:ind w:left="30" w:right="-15"/>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股份限售</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9,000</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16" w:type="dxa"/>
            <w:tcBorders>
              <w:top w:val="single" w:sz="6" w:space="0" w:color="000000"/>
              <w:left w:val="single" w:sz="18" w:space="0" w:color="FFFFFF"/>
              <w:bottom w:val="single" w:sz="6" w:space="0" w:color="000000"/>
              <w:right w:val="single" w:sz="6" w:space="0" w:color="000000"/>
            </w:tcBorders>
          </w:tcPr>
          <w:p>
            <w:pPr>
              <w:pStyle w:val="TableParagraph"/>
              <w:spacing w:line="316" w:lineRule="auto" w:before="44"/>
              <w:ind w:left="15" w:right="89"/>
              <w:jc w:val="both"/>
              <w:rPr>
                <w:rFonts w:ascii="宋体" w:hAnsi="宋体" w:cs="宋体" w:eastAsia="宋体" w:hint="default"/>
                <w:sz w:val="18"/>
                <w:szCs w:val="18"/>
              </w:rPr>
            </w:pPr>
            <w:r>
              <w:rPr>
                <w:rFonts w:ascii="宋体" w:hAnsi="宋体" w:cs="宋体" w:eastAsia="宋体" w:hint="default"/>
                <w:sz w:val="18"/>
                <w:szCs w:val="18"/>
              </w:rPr>
              <w:t>资产重组非公 开发行限售股 拟解除限售日 期为</w:t>
            </w:r>
          </w:p>
          <w:p>
            <w:pPr>
              <w:pStyle w:val="TableParagraph"/>
              <w:spacing w:line="240" w:lineRule="auto" w:before="37"/>
              <w:ind w:left="-1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2022-6-24</w:t>
            </w:r>
            <w:r>
              <w:rPr>
                <w:rFonts w:ascii="宋体" w:hAnsi="宋体" w:cs="宋体" w:eastAsia="宋体" w:hint="default"/>
                <w:sz w:val="18"/>
                <w:szCs w:val="18"/>
              </w:rPr>
              <w:t>，集</w:t>
            </w:r>
          </w:p>
          <w:p>
            <w:pPr>
              <w:pStyle w:val="TableParagraph"/>
              <w:spacing w:line="321" w:lineRule="auto" w:before="36"/>
              <w:ind w:left="15" w:right="89"/>
              <w:jc w:val="both"/>
              <w:rPr>
                <w:rFonts w:ascii="宋体" w:hAnsi="宋体" w:cs="宋体" w:eastAsia="宋体" w:hint="default"/>
                <w:sz w:val="18"/>
                <w:szCs w:val="18"/>
              </w:rPr>
            </w:pPr>
            <w:r>
              <w:rPr>
                <w:rFonts w:ascii="宋体" w:hAnsi="宋体" w:cs="宋体" w:eastAsia="宋体" w:hint="default"/>
                <w:sz w:val="18"/>
                <w:szCs w:val="18"/>
              </w:rPr>
              <w:t>合竞价购买股 份拟解除限售 日期按照董监 高股份变动管 理规定执行</w:t>
            </w: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89"/>
              <w:jc w:val="both"/>
              <w:rPr>
                <w:rFonts w:ascii="宋体" w:hAnsi="宋体" w:cs="宋体" w:eastAsia="宋体" w:hint="default"/>
                <w:sz w:val="18"/>
                <w:szCs w:val="18"/>
              </w:rPr>
            </w:pPr>
            <w:r>
              <w:rPr>
                <w:rFonts w:ascii="宋体" w:hAnsi="宋体" w:cs="宋体" w:eastAsia="宋体" w:hint="default"/>
                <w:sz w:val="18"/>
                <w:szCs w:val="18"/>
              </w:rPr>
              <w:t>无锡杰华投资 合伙企业（有 限合伙）</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23,232,751</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23,232,751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30" w:right="74"/>
              <w:jc w:val="left"/>
              <w:rPr>
                <w:rFonts w:ascii="宋体" w:hAnsi="宋体" w:cs="宋体" w:eastAsia="宋体" w:hint="default"/>
                <w:sz w:val="18"/>
                <w:szCs w:val="18"/>
              </w:rPr>
            </w:pPr>
            <w:r>
              <w:rPr>
                <w:rFonts w:ascii="宋体" w:hAnsi="宋体" w:cs="宋体" w:eastAsia="宋体" w:hint="default"/>
                <w:sz w:val="18"/>
                <w:szCs w:val="18"/>
              </w:rPr>
              <w:t>资产重组非公 开发行</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2022/6/24</w:t>
            </w:r>
          </w:p>
        </w:tc>
      </w:tr>
      <w:tr>
        <w:trPr>
          <w:trHeight w:val="103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无锡曦杰智诚 投资合伙企业</w:t>
            </w:r>
          </w:p>
          <w:p>
            <w:pPr>
              <w:pStyle w:val="TableParagraph"/>
              <w:spacing w:line="240" w:lineRule="auto" w:before="3"/>
              <w:ind w:left="15"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22,785,185</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22,785,185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30" w:right="74"/>
              <w:jc w:val="left"/>
              <w:rPr>
                <w:rFonts w:ascii="宋体" w:hAnsi="宋体" w:cs="宋体" w:eastAsia="宋体" w:hint="default"/>
                <w:sz w:val="18"/>
                <w:szCs w:val="18"/>
              </w:rPr>
            </w:pPr>
            <w:r>
              <w:rPr>
                <w:rFonts w:ascii="宋体" w:hAnsi="宋体" w:cs="宋体" w:eastAsia="宋体" w:hint="default"/>
                <w:sz w:val="18"/>
                <w:szCs w:val="18"/>
              </w:rPr>
              <w:t>资产重组非公 开发行</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2022/6/24</w:t>
            </w: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89"/>
              <w:jc w:val="both"/>
              <w:rPr>
                <w:rFonts w:ascii="宋体" w:hAnsi="宋体" w:cs="宋体" w:eastAsia="宋体" w:hint="default"/>
                <w:sz w:val="18"/>
                <w:szCs w:val="18"/>
              </w:rPr>
            </w:pPr>
            <w:r>
              <w:rPr>
                <w:rFonts w:ascii="宋体" w:hAnsi="宋体" w:cs="宋体" w:eastAsia="宋体" w:hint="default"/>
                <w:sz w:val="18"/>
                <w:szCs w:val="18"/>
              </w:rPr>
              <w:t>无锡易朴投资 合伙企业（有 限合伙）</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22,581,746</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22,581,746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30" w:right="74"/>
              <w:jc w:val="left"/>
              <w:rPr>
                <w:rFonts w:ascii="宋体" w:hAnsi="宋体" w:cs="宋体" w:eastAsia="宋体" w:hint="default"/>
                <w:sz w:val="18"/>
                <w:szCs w:val="18"/>
              </w:rPr>
            </w:pPr>
            <w:r>
              <w:rPr>
                <w:rFonts w:ascii="宋体" w:hAnsi="宋体" w:cs="宋体" w:eastAsia="宋体" w:hint="default"/>
                <w:sz w:val="18"/>
                <w:szCs w:val="18"/>
              </w:rPr>
              <w:t>资产重组非公 开发行</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2022/6/24</w:t>
            </w: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罗惠玲</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18,268,835</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18,268,835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74"/>
              <w:jc w:val="left"/>
              <w:rPr>
                <w:rFonts w:ascii="宋体" w:hAnsi="宋体" w:cs="宋体" w:eastAsia="宋体" w:hint="default"/>
                <w:sz w:val="18"/>
                <w:szCs w:val="18"/>
              </w:rPr>
            </w:pPr>
            <w:r>
              <w:rPr>
                <w:rFonts w:ascii="宋体" w:hAnsi="宋体" w:cs="宋体" w:eastAsia="宋体" w:hint="default"/>
                <w:sz w:val="18"/>
                <w:szCs w:val="18"/>
              </w:rPr>
              <w:t>资产重组非公 开发行</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2020/6/24</w:t>
            </w: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89"/>
              <w:jc w:val="both"/>
              <w:rPr>
                <w:rFonts w:ascii="宋体" w:hAnsi="宋体" w:cs="宋体" w:eastAsia="宋体" w:hint="default"/>
                <w:sz w:val="18"/>
                <w:szCs w:val="18"/>
              </w:rPr>
            </w:pPr>
            <w:r>
              <w:rPr>
                <w:rFonts w:ascii="宋体" w:hAnsi="宋体" w:cs="宋体" w:eastAsia="宋体" w:hint="default"/>
                <w:sz w:val="18"/>
                <w:szCs w:val="18"/>
              </w:rPr>
              <w:t>无锡易杰投资 合伙企业（有 限合伙）</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13,060,793</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13,060,793</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30" w:right="74"/>
              <w:jc w:val="left"/>
              <w:rPr>
                <w:rFonts w:ascii="宋体" w:hAnsi="宋体" w:cs="宋体" w:eastAsia="宋体" w:hint="default"/>
                <w:sz w:val="18"/>
                <w:szCs w:val="18"/>
              </w:rPr>
            </w:pPr>
            <w:r>
              <w:rPr>
                <w:rFonts w:ascii="宋体" w:hAnsi="宋体" w:cs="宋体" w:eastAsia="宋体" w:hint="default"/>
                <w:sz w:val="18"/>
                <w:szCs w:val="18"/>
              </w:rPr>
              <w:t>资产重组非公 开发行</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2022/6/24</w:t>
            </w: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恒信东方文化 股份有限公司</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11,657,063</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11,657,063</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74"/>
              <w:jc w:val="left"/>
              <w:rPr>
                <w:rFonts w:ascii="宋体" w:hAnsi="宋体" w:cs="宋体" w:eastAsia="宋体" w:hint="default"/>
                <w:sz w:val="18"/>
                <w:szCs w:val="18"/>
              </w:rPr>
            </w:pPr>
            <w:r>
              <w:rPr>
                <w:rFonts w:ascii="宋体" w:hAnsi="宋体" w:cs="宋体" w:eastAsia="宋体" w:hint="default"/>
                <w:sz w:val="18"/>
                <w:szCs w:val="18"/>
              </w:rPr>
              <w:t>资产重组非公 开发行</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2020/6/24</w:t>
            </w: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89"/>
              <w:jc w:val="both"/>
              <w:rPr>
                <w:rFonts w:ascii="宋体" w:hAnsi="宋体" w:cs="宋体" w:eastAsia="宋体" w:hint="default"/>
                <w:sz w:val="18"/>
                <w:szCs w:val="18"/>
              </w:rPr>
            </w:pPr>
            <w:r>
              <w:rPr>
                <w:rFonts w:ascii="宋体" w:hAnsi="宋体" w:cs="宋体" w:eastAsia="宋体" w:hint="default"/>
                <w:sz w:val="18"/>
                <w:szCs w:val="18"/>
              </w:rPr>
              <w:t>无锡朴元投资 合伙企业（有 限合伙）</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10,582,010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10,582,010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30" w:right="74"/>
              <w:jc w:val="left"/>
              <w:rPr>
                <w:rFonts w:ascii="宋体" w:hAnsi="宋体" w:cs="宋体" w:eastAsia="宋体" w:hint="default"/>
                <w:sz w:val="18"/>
                <w:szCs w:val="18"/>
              </w:rPr>
            </w:pPr>
            <w:r>
              <w:rPr>
                <w:rFonts w:ascii="宋体" w:hAnsi="宋体" w:cs="宋体" w:eastAsia="宋体" w:hint="default"/>
                <w:sz w:val="18"/>
                <w:szCs w:val="18"/>
              </w:rPr>
              <w:t>资产重组非公 开发行</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2020/6/24</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厦门网元通信 技术有限公司</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3,234,682</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3,234,682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74"/>
              <w:jc w:val="left"/>
              <w:rPr>
                <w:rFonts w:ascii="宋体" w:hAnsi="宋体" w:cs="宋体" w:eastAsia="宋体" w:hint="default"/>
                <w:sz w:val="18"/>
                <w:szCs w:val="18"/>
              </w:rPr>
            </w:pPr>
            <w:r>
              <w:rPr>
                <w:rFonts w:ascii="宋体" w:hAnsi="宋体" w:cs="宋体" w:eastAsia="宋体" w:hint="default"/>
                <w:sz w:val="18"/>
                <w:szCs w:val="18"/>
              </w:rPr>
              <w:t>资产重组非公 开发行</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2020/6/24</w:t>
            </w: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89"/>
              <w:jc w:val="both"/>
              <w:rPr>
                <w:rFonts w:ascii="宋体" w:hAnsi="宋体" w:cs="宋体" w:eastAsia="宋体" w:hint="default"/>
                <w:sz w:val="18"/>
                <w:szCs w:val="18"/>
              </w:rPr>
            </w:pPr>
            <w:r>
              <w:rPr>
                <w:rFonts w:ascii="宋体" w:hAnsi="宋体" w:cs="宋体" w:eastAsia="宋体" w:hint="default"/>
                <w:sz w:val="18"/>
                <w:szCs w:val="18"/>
              </w:rPr>
              <w:t>资产重组发行 股份包括的其 他十一名股东</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14,077,984</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14,077,984</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30" w:right="73"/>
              <w:jc w:val="left"/>
              <w:rPr>
                <w:rFonts w:ascii="宋体" w:hAnsi="宋体" w:cs="宋体" w:eastAsia="宋体" w:hint="default"/>
                <w:sz w:val="18"/>
                <w:szCs w:val="18"/>
              </w:rPr>
            </w:pPr>
            <w:r>
              <w:rPr>
                <w:rFonts w:ascii="宋体" w:hAnsi="宋体" w:cs="宋体" w:eastAsia="宋体" w:hint="default"/>
                <w:sz w:val="18"/>
                <w:szCs w:val="18"/>
              </w:rPr>
              <w:t>资产重组非公 开发行</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2020/6/24</w:t>
            </w:r>
          </w:p>
        </w:tc>
      </w:tr>
      <w:tr>
        <w:trPr>
          <w:trHeight w:val="7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首发前限售股 东</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243,134,640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243,134,640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首发前限售</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2020/8/1</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02"/>
        <w:gridCol w:w="1502"/>
        <w:gridCol w:w="1487"/>
        <w:gridCol w:w="1487"/>
        <w:gridCol w:w="1487"/>
        <w:gridCol w:w="1202"/>
        <w:gridCol w:w="1216"/>
      </w:tblGrid>
      <w:tr>
        <w:trPr>
          <w:trHeight w:val="196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11"/>
              <w:ind w:left="15" w:right="45"/>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年限制性 股票预留激励 对象</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2,500,562</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2,500,562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11"/>
              <w:ind w:left="30" w:right="3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年限制性 股票预留激励 计划</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302" w:lineRule="auto" w:before="51"/>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日解禁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 </w:t>
            </w: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302" w:lineRule="auto" w:before="14"/>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日解禁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 </w:t>
            </w: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9" w:lineRule="exact"/>
              <w:ind w:left="30" w:right="0"/>
              <w:jc w:val="left"/>
              <w:rPr>
                <w:rFonts w:ascii="宋体" w:hAnsi="宋体" w:cs="宋体" w:eastAsia="宋体" w:hint="default"/>
                <w:sz w:val="18"/>
                <w:szCs w:val="18"/>
              </w:rPr>
            </w:pPr>
            <w:r>
              <w:rPr>
                <w:rFonts w:ascii="宋体" w:hAnsi="宋体" w:cs="宋体" w:eastAsia="宋体" w:hint="default"/>
                <w:sz w:val="18"/>
                <w:szCs w:val="18"/>
              </w:rPr>
              <w:t>日解禁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45"/>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年度限制 性股票激励对 象</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9,389,040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4,551,380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4,800,860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30" w:right="30"/>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年度限制 性股票激励计 划</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日解禁</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r>
        <w:trPr>
          <w:trHeight w:val="1652"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0" w:lineRule="auto" w:before="111"/>
              <w:ind w:left="15"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年限制性 股票激励对象</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12,484,000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2,485,600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9,998,400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0" w:lineRule="auto" w:before="111"/>
              <w:ind w:left="30"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年限制性 股票激励计划</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日解禁</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日解禁</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r>
        <w:trPr>
          <w:trHeight w:val="103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杨苗仁</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7,500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7,500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74"/>
              <w:jc w:val="both"/>
              <w:rPr>
                <w:rFonts w:ascii="宋体" w:hAnsi="宋体" w:cs="宋体" w:eastAsia="宋体" w:hint="default"/>
                <w:sz w:val="18"/>
                <w:szCs w:val="18"/>
              </w:rPr>
            </w:pPr>
            <w:r>
              <w:rPr>
                <w:rFonts w:ascii="宋体" w:hAnsi="宋体" w:cs="宋体" w:eastAsia="宋体" w:hint="default"/>
                <w:sz w:val="18"/>
                <w:szCs w:val="18"/>
              </w:rPr>
              <w:t>公司离任监事 集合竞价购买 股票锁定</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89"/>
              <w:jc w:val="both"/>
              <w:rPr>
                <w:rFonts w:ascii="宋体" w:hAnsi="宋体" w:cs="宋体" w:eastAsia="宋体" w:hint="default"/>
                <w:sz w:val="18"/>
                <w:szCs w:val="18"/>
              </w:rPr>
            </w:pPr>
            <w:r>
              <w:rPr>
                <w:rFonts w:ascii="宋体" w:hAnsi="宋体" w:cs="宋体" w:eastAsia="宋体" w:hint="default"/>
                <w:sz w:val="18"/>
                <w:szCs w:val="18"/>
              </w:rPr>
              <w:t>按照董监高股 份变动管理规 定执行</w:t>
            </w:r>
          </w:p>
        </w:tc>
      </w:tr>
      <w:tr>
        <w:trPr>
          <w:trHeight w:val="10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彭知平</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87,500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87,500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89"/>
              <w:jc w:val="both"/>
              <w:rPr>
                <w:rFonts w:ascii="宋体" w:hAnsi="宋体" w:cs="宋体" w:eastAsia="宋体" w:hint="default"/>
                <w:sz w:val="18"/>
                <w:szCs w:val="18"/>
              </w:rPr>
            </w:pPr>
            <w:r>
              <w:rPr>
                <w:rFonts w:ascii="宋体" w:hAnsi="宋体" w:cs="宋体" w:eastAsia="宋体" w:hint="default"/>
                <w:sz w:val="18"/>
                <w:szCs w:val="18"/>
              </w:rPr>
              <w:t>按照董监高股 份变动管理规 定执行</w:t>
            </w: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鲁清芳</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53,000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53,000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89"/>
              <w:jc w:val="both"/>
              <w:rPr>
                <w:rFonts w:ascii="宋体" w:hAnsi="宋体" w:cs="宋体" w:eastAsia="宋体" w:hint="default"/>
                <w:sz w:val="18"/>
                <w:szCs w:val="18"/>
              </w:rPr>
            </w:pPr>
            <w:r>
              <w:rPr>
                <w:rFonts w:ascii="宋体" w:hAnsi="宋体" w:cs="宋体" w:eastAsia="宋体" w:hint="default"/>
                <w:sz w:val="18"/>
                <w:szCs w:val="18"/>
              </w:rPr>
              <w:t>按照董监高股 份变动管理规 定执行</w:t>
            </w:r>
          </w:p>
        </w:tc>
      </w:tr>
      <w:tr>
        <w:trPr>
          <w:trHeight w:val="103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焦国云</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82,500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82,500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89"/>
              <w:jc w:val="both"/>
              <w:rPr>
                <w:rFonts w:ascii="宋体" w:hAnsi="宋体" w:cs="宋体" w:eastAsia="宋体" w:hint="default"/>
                <w:sz w:val="18"/>
                <w:szCs w:val="18"/>
              </w:rPr>
            </w:pPr>
            <w:r>
              <w:rPr>
                <w:rFonts w:ascii="宋体" w:hAnsi="宋体" w:cs="宋体" w:eastAsia="宋体" w:hint="default"/>
                <w:sz w:val="18"/>
                <w:szCs w:val="18"/>
              </w:rPr>
              <w:t>按照董监高股 份变动管理规 定执行</w:t>
            </w: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王慎勇</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87,500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87,500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89"/>
              <w:jc w:val="both"/>
              <w:rPr>
                <w:rFonts w:ascii="宋体" w:hAnsi="宋体" w:cs="宋体" w:eastAsia="宋体" w:hint="default"/>
                <w:sz w:val="18"/>
                <w:szCs w:val="18"/>
              </w:rPr>
            </w:pPr>
            <w:r>
              <w:rPr>
                <w:rFonts w:ascii="宋体" w:hAnsi="宋体" w:cs="宋体" w:eastAsia="宋体" w:hint="default"/>
                <w:sz w:val="18"/>
                <w:szCs w:val="18"/>
              </w:rPr>
              <w:t>按照董监高股 份变动管理规 定执行</w:t>
            </w:r>
          </w:p>
        </w:tc>
      </w:tr>
      <w:tr>
        <w:trPr>
          <w:trHeight w:val="103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张明平</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47,450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47,450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89"/>
              <w:jc w:val="both"/>
              <w:rPr>
                <w:rFonts w:ascii="宋体" w:hAnsi="宋体" w:cs="宋体" w:eastAsia="宋体" w:hint="default"/>
                <w:sz w:val="18"/>
                <w:szCs w:val="18"/>
              </w:rPr>
            </w:pPr>
            <w:r>
              <w:rPr>
                <w:rFonts w:ascii="宋体" w:hAnsi="宋体" w:cs="宋体" w:eastAsia="宋体" w:hint="default"/>
                <w:sz w:val="18"/>
                <w:szCs w:val="18"/>
              </w:rPr>
              <w:t>按照董监高股 份变动管理规 定执行</w:t>
            </w:r>
          </w:p>
        </w:tc>
      </w:tr>
      <w:tr>
        <w:trPr>
          <w:trHeight w:val="39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265,007,680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251,167,641</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7,036,980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509,101,541</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Times New Roman" w:hAnsi="Times New Roman" w:cs="Times New Roman" w:eastAsia="Times New Roman" w:hint="default"/>
          <w:sz w:val="20"/>
          <w:szCs w:val="20"/>
        </w:rPr>
      </w:pPr>
    </w:p>
    <w:p>
      <w:pPr>
        <w:pStyle w:val="Heading2"/>
        <w:spacing w:line="240" w:lineRule="auto" w:before="26"/>
        <w:ind w:right="1105"/>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05"/>
        <w:jc w:val="left"/>
        <w:rPr>
          <w:b w:val="0"/>
          <w:bCs w:val="0"/>
        </w:rPr>
      </w:pPr>
      <w:bookmarkStart w:name="1、报告期内证券发行（不含优先股）情况" w:id="108"/>
      <w:bookmarkEnd w:id="108"/>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412"/>
        <w:gridCol w:w="1292"/>
        <w:gridCol w:w="1292"/>
        <w:gridCol w:w="1306"/>
        <w:gridCol w:w="1292"/>
        <w:gridCol w:w="1307"/>
        <w:gridCol w:w="1682"/>
      </w:tblGrid>
      <w:tr>
        <w:trPr>
          <w:trHeight w:val="720"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20" w:right="74"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65" w:right="1" w:hanging="436"/>
              <w:jc w:val="left"/>
              <w:rPr>
                <w:rFonts w:ascii="宋体" w:hAnsi="宋体" w:cs="宋体" w:eastAsia="宋体" w:hint="default"/>
                <w:sz w:val="18"/>
                <w:szCs w:val="18"/>
              </w:rPr>
            </w:pPr>
            <w:r>
              <w:rPr>
                <w:rFonts w:ascii="宋体" w:hAnsi="宋体" w:cs="宋体" w:eastAsia="宋体" w:hint="default"/>
                <w:spacing w:val="-3"/>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3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65" w:right="104"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412"/>
        <w:gridCol w:w="1292"/>
        <w:gridCol w:w="1307"/>
        <w:gridCol w:w="1291"/>
        <w:gridCol w:w="1292"/>
        <w:gridCol w:w="1307"/>
        <w:gridCol w:w="1682"/>
      </w:tblGrid>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06"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19"/>
              <w:jc w:val="left"/>
              <w:rPr>
                <w:rFonts w:ascii="宋体" w:hAnsi="宋体" w:cs="宋体" w:eastAsia="宋体" w:hint="default"/>
                <w:sz w:val="18"/>
                <w:szCs w:val="18"/>
              </w:rPr>
            </w:pPr>
            <w:r>
              <w:rPr>
                <w:rFonts w:ascii="宋体" w:hAnsi="宋体" w:cs="宋体" w:eastAsia="宋体" w:hint="default"/>
                <w:sz w:val="18"/>
                <w:szCs w:val="18"/>
              </w:rPr>
              <w:t>股权激励限制性 股票</w:t>
            </w:r>
          </w:p>
        </w:tc>
        <w:tc>
          <w:tcPr>
            <w:tcW w:w="1292" w:type="dxa"/>
            <w:tcBorders>
              <w:top w:val="single" w:sz="6" w:space="0" w:color="000000"/>
              <w:left w:val="single" w:sz="6" w:space="0" w:color="000000"/>
              <w:bottom w:val="single" w:sz="6" w:space="0" w:color="000000"/>
              <w:right w:val="single" w:sz="6" w:space="0" w:color="000000"/>
            </w:tcBorders>
          </w:tcPr>
          <w:p>
            <w:pP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8.23</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2,500,562</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7"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19"/>
              <w:jc w:val="left"/>
              <w:rPr>
                <w:rFonts w:ascii="宋体" w:hAnsi="宋体" w:cs="宋体" w:eastAsia="宋体" w:hint="default"/>
                <w:sz w:val="18"/>
                <w:szCs w:val="18"/>
              </w:rPr>
            </w:pPr>
            <w:r>
              <w:rPr>
                <w:rFonts w:ascii="宋体" w:hAnsi="宋体" w:cs="宋体" w:eastAsia="宋体" w:hint="default"/>
                <w:sz w:val="18"/>
                <w:szCs w:val="18"/>
              </w:rPr>
              <w:t>发行股份购买资 产</w:t>
            </w:r>
          </w:p>
        </w:tc>
        <w:tc>
          <w:tcPr>
            <w:tcW w:w="1292" w:type="dxa"/>
            <w:tcBorders>
              <w:top w:val="single" w:sz="6" w:space="0" w:color="000000"/>
              <w:left w:val="single" w:sz="6" w:space="0" w:color="000000"/>
              <w:bottom w:val="single" w:sz="6" w:space="0" w:color="000000"/>
              <w:right w:val="single" w:sz="6" w:space="0" w:color="000000"/>
            </w:tcBorders>
          </w:tcPr>
          <w:p>
            <w:pP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15.12</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248,211,629</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7"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期权股票行权</w:t>
            </w:r>
          </w:p>
        </w:tc>
        <w:tc>
          <w:tcPr>
            <w:tcW w:w="1292" w:type="dxa"/>
            <w:tcBorders>
              <w:top w:val="single" w:sz="6" w:space="0" w:color="000000"/>
              <w:left w:val="single" w:sz="6" w:space="0" w:color="000000"/>
              <w:bottom w:val="single" w:sz="6" w:space="0" w:color="000000"/>
              <w:right w:val="single" w:sz="6" w:space="0" w:color="000000"/>
            </w:tcBorders>
          </w:tcPr>
          <w:p>
            <w:pP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16.369</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397,302</w:t>
            </w:r>
          </w:p>
        </w:tc>
        <w:tc>
          <w:tcPr>
            <w:tcW w:w="1292" w:type="dxa"/>
            <w:tcBorders>
              <w:top w:val="single" w:sz="6" w:space="0" w:color="000000"/>
              <w:left w:val="single" w:sz="6" w:space="0" w:color="000000"/>
              <w:bottom w:val="single" w:sz="6" w:space="0" w:color="000000"/>
              <w:right w:val="single" w:sz="6" w:space="0" w:color="000000"/>
            </w:tcBorders>
          </w:tcPr>
          <w:p>
            <w:pPr/>
          </w:p>
        </w:tc>
        <w:tc>
          <w:tcPr>
            <w:tcW w:w="1307"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391"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44"/>
        <w:ind w:right="1105"/>
        <w:jc w:val="left"/>
      </w:pPr>
      <w:r>
        <w:rPr/>
        <w:t>报告期内证券发行（不含优先股）情况的说明</w:t>
      </w:r>
    </w:p>
    <w:p>
      <w:pPr>
        <w:pStyle w:val="BodyText"/>
        <w:spacing w:line="290" w:lineRule="auto" w:before="125"/>
        <w:ind w:right="1105"/>
        <w:jc w:val="left"/>
      </w:pPr>
      <w:r>
        <w:rPr>
          <w:rFonts w:ascii="Times New Roman" w:hAnsi="Times New Roman" w:cs="Times New Roman" w:eastAsia="Times New Roman" w:hint="default"/>
          <w:spacing w:val="-2"/>
        </w:rPr>
        <w:t>1</w:t>
      </w:r>
      <w:r>
        <w:rPr>
          <w:spacing w:val="-2"/>
        </w:rPr>
        <w:t>、公司</w:t>
      </w:r>
      <w:r>
        <w:rPr>
          <w:rFonts w:ascii="Times New Roman" w:hAnsi="Times New Roman" w:cs="Times New Roman" w:eastAsia="Times New Roman" w:hint="default"/>
          <w:spacing w:val="-2"/>
        </w:rPr>
        <w:t>2018</w:t>
      </w:r>
      <w:r>
        <w:rPr>
          <w:spacing w:val="-2"/>
        </w:rPr>
        <w:t>年度股权激励计划限制性股票预留授予</w:t>
      </w:r>
      <w:r>
        <w:rPr>
          <w:rFonts w:ascii="Times New Roman" w:hAnsi="Times New Roman" w:cs="Times New Roman" w:eastAsia="Times New Roman" w:hint="default"/>
          <w:spacing w:val="-2"/>
        </w:rPr>
        <w:t>2,500,562</w:t>
      </w:r>
      <w:r>
        <w:rPr>
          <w:spacing w:val="-2"/>
        </w:rPr>
        <w:t>股，</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30</w:t>
      </w:r>
      <w:r>
        <w:rPr>
          <w:spacing w:val="-2"/>
        </w:rPr>
        <w:t>日，公司</w:t>
      </w:r>
      <w:r>
        <w:rPr>
          <w:rFonts w:ascii="Times New Roman" w:hAnsi="Times New Roman" w:cs="Times New Roman" w:eastAsia="Times New Roman" w:hint="default"/>
          <w:spacing w:val="-2"/>
        </w:rPr>
        <w:t>2018</w:t>
      </w:r>
      <w:r>
        <w:rPr>
          <w:spacing w:val="-2"/>
        </w:rPr>
        <w:t>年度股权激励计划限制性股票预</w:t>
      </w:r>
      <w:r>
        <w:rPr>
          <w:spacing w:val="-41"/>
        </w:rPr>
        <w:t> </w:t>
      </w:r>
      <w:r>
        <w:rPr>
          <w:spacing w:val="-41"/>
        </w:rPr>
      </w:r>
      <w:r>
        <w:rPr/>
        <w:t>留授予登记完成并上市。</w:t>
      </w:r>
    </w:p>
    <w:p>
      <w:pPr>
        <w:pStyle w:val="BodyText"/>
        <w:spacing w:line="240" w:lineRule="auto" w:before="101"/>
        <w:ind w:right="1105"/>
        <w:jc w:val="left"/>
      </w:pPr>
      <w:r>
        <w:rPr>
          <w:rFonts w:ascii="Times New Roman" w:hAnsi="Times New Roman" w:cs="Times New Roman" w:eastAsia="Times New Roman" w:hint="default"/>
        </w:rPr>
        <w:t>2</w:t>
      </w:r>
      <w:r>
        <w:rPr/>
        <w:t>、公司非公开发行新股</w:t>
      </w:r>
      <w:r>
        <w:rPr>
          <w:rFonts w:ascii="Times New Roman" w:hAnsi="Times New Roman" w:cs="Times New Roman" w:eastAsia="Times New Roman" w:hint="default"/>
        </w:rPr>
        <w:t>248,211,629</w:t>
      </w:r>
      <w:r>
        <w:rPr/>
        <w:t>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日，公司非公开发行新股登记上市。</w:t>
      </w:r>
    </w:p>
    <w:p>
      <w:pPr>
        <w:pStyle w:val="BodyText"/>
        <w:spacing w:line="302" w:lineRule="auto" w:before="96"/>
        <w:ind w:right="1119"/>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度限制性股票与股票期权激励计划第一个行权期符合行权条件，截止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日，根据公司中登下发的期权明</w:t>
      </w:r>
      <w:r>
        <w:rPr>
          <w:spacing w:val="-83"/>
        </w:rPr>
        <w:t> </w:t>
      </w:r>
      <w:r>
        <w:rPr/>
        <w:t>细显示，期权行权股数总计为</w:t>
      </w:r>
      <w:r>
        <w:rPr>
          <w:rFonts w:ascii="Times New Roman" w:hAnsi="Times New Roman" w:cs="Times New Roman" w:eastAsia="Times New Roman" w:hint="default"/>
        </w:rPr>
        <w:t>397,302</w:t>
      </w:r>
      <w:r>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3"/>
        <w:spacing w:line="240" w:lineRule="auto"/>
        <w:ind w:right="1105"/>
        <w:jc w:val="left"/>
        <w:rPr>
          <w:b w:val="0"/>
          <w:bCs w:val="0"/>
        </w:rPr>
      </w:pPr>
      <w:bookmarkStart w:name="2、公司股份总数及股东结构的变动、公司资产和负债结构的变动情况说明" w:id="109"/>
      <w:bookmarkEnd w:id="10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88" w:lineRule="auto" w:before="96"/>
        <w:ind w:right="1029"/>
        <w:jc w:val="left"/>
      </w:pPr>
      <w:r>
        <w:rPr>
          <w:spacing w:val="-2"/>
        </w:rPr>
        <w:t>报告期内，公司股份总数及股东结构均发生了变化。股份总数及股东结构的变化情况见本节</w:t>
      </w:r>
      <w:r>
        <w:rPr>
          <w:rFonts w:ascii="Times New Roman" w:hAnsi="Times New Roman" w:cs="Times New Roman" w:eastAsia="Times New Roman" w:hint="default"/>
          <w:spacing w:val="-2"/>
        </w:rPr>
        <w:t>“</w:t>
      </w:r>
      <w:r>
        <w:rPr>
          <w:spacing w:val="-2"/>
        </w:rPr>
        <w:t>一、股份变动情况</w:t>
      </w:r>
      <w:r>
        <w:rPr>
          <w:rFonts w:ascii="Times New Roman" w:hAnsi="Times New Roman" w:cs="Times New Roman" w:eastAsia="Times New Roman" w:hint="default"/>
          <w:spacing w:val="-2"/>
        </w:rPr>
        <w:t>”</w:t>
      </w:r>
      <w:r>
        <w:rPr>
          <w:spacing w:val="-2"/>
        </w:rPr>
        <w:t>。同时，公</w:t>
      </w:r>
      <w:r>
        <w:rPr>
          <w:spacing w:val="-40"/>
        </w:rPr>
        <w:t> </w:t>
      </w:r>
      <w:r>
        <w:rPr>
          <w:spacing w:val="-40"/>
        </w:rPr>
      </w:r>
      <w:r>
        <w:rPr/>
        <w:t>司进行了短期银行债务融资，公司的资本结构进一步优化，财务状况持续向好，财务风险较低，公司抗风险能力得到提高。</w:t>
      </w:r>
    </w:p>
    <w:p>
      <w:pPr>
        <w:spacing w:line="240" w:lineRule="auto" w:before="12"/>
        <w:rPr>
          <w:rFonts w:ascii="宋体" w:hAnsi="宋体" w:cs="宋体" w:eastAsia="宋体" w:hint="default"/>
          <w:sz w:val="25"/>
          <w:szCs w:val="25"/>
        </w:rPr>
      </w:pPr>
    </w:p>
    <w:p>
      <w:pPr>
        <w:pStyle w:val="Heading3"/>
        <w:spacing w:line="240" w:lineRule="auto"/>
        <w:ind w:right="1105"/>
        <w:jc w:val="left"/>
        <w:rPr>
          <w:b w:val="0"/>
          <w:bCs w:val="0"/>
        </w:rPr>
      </w:pPr>
      <w:bookmarkStart w:name="3、现存的内部职工股情况" w:id="110"/>
      <w:bookmarkEnd w:id="11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1"/>
        <w:rPr>
          <w:rFonts w:ascii="宋体" w:hAnsi="宋体" w:cs="宋体" w:eastAsia="宋体" w:hint="default"/>
          <w:sz w:val="23"/>
          <w:szCs w:val="23"/>
        </w:rPr>
      </w:pPr>
    </w:p>
    <w:p>
      <w:pPr>
        <w:pStyle w:val="Heading2"/>
        <w:spacing w:line="240" w:lineRule="auto"/>
        <w:ind w:right="1105"/>
        <w:jc w:val="left"/>
        <w:rPr>
          <w:b w:val="0"/>
          <w:bCs w:val="0"/>
        </w:rPr>
      </w:pPr>
      <w:bookmarkStart w:name="三、股东和实际控制人情况" w:id="111"/>
      <w:bookmarkEnd w:id="111"/>
      <w:r>
        <w:rPr>
          <w:b w:val="0"/>
          <w:bCs w:val="0"/>
        </w:rPr>
      </w:r>
      <w:r>
        <w:rPr/>
        <w:t>三、股东和实际控制人情况</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05"/>
        <w:jc w:val="left"/>
        <w:rPr>
          <w:b w:val="0"/>
          <w:bCs w:val="0"/>
        </w:rPr>
      </w:pPr>
      <w:bookmarkStart w:name="1、公司股东数量及持股情况" w:id="112"/>
      <w:bookmarkEnd w:id="11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0" w:right="1110"/>
        <w:jc w:val="right"/>
      </w:pPr>
      <w:r>
        <w:rPr/>
        <w:pict>
          <v:group style="position:absolute;margin-left:56.325001pt;margin-top:17.636721pt;width:479.85pt;height:155.4pt;mso-position-horizontal-relative:page;mso-position-vertical-relative:paragraph;z-index:-1325416" coordorigin="1127,353" coordsize="9597,3108">
            <v:group style="position:absolute;left:1142;top:375;width:1187;height:466" coordorigin="1142,375" coordsize="1187,466">
              <v:shape style="position:absolute;left:1142;top:375;width:1187;height:466" coordorigin="1142,375" coordsize="1187,466" path="m1142,841l2328,841,2328,375,1142,375,1142,841xe" filled="true" fillcolor="#d2d2d2" stroked="false">
                <v:path arrowok="t"/>
                <v:fill type="solid"/>
              </v:shape>
            </v:group>
            <v:group style="position:absolute;left:1149;top:841;width:2;height:706" coordorigin="1149,841" coordsize="2,706">
              <v:shape style="position:absolute;left:1149;top:841;width:2;height:706" coordorigin="1149,841" coordsize="0,706" path="m1149,841l1149,1546e" filled="false" stroked="true" strokeweight=".75pt" strokecolor="#d2d2d2">
                <v:path arrowok="t"/>
              </v:shape>
            </v:group>
            <v:group style="position:absolute;left:2321;top:841;width:2;height:706" coordorigin="2321,841" coordsize="2,706">
              <v:shape style="position:absolute;left:2321;top:841;width:2;height:706" coordorigin="2321,841" coordsize="0,706" path="m2321,841l2321,1546e" filled="false" stroked="true" strokeweight=".75pt" strokecolor="#d2d2d2">
                <v:path arrowok="t"/>
              </v:shape>
            </v:group>
            <v:group style="position:absolute;left:1142;top:1546;width:1187;height:466" coordorigin="1142,1546" coordsize="1187,466">
              <v:shape style="position:absolute;left:1142;top:1546;width:1187;height:466" coordorigin="1142,1546" coordsize="1187,466" path="m1142,2012l2328,2012,2328,1546,1142,1546,1142,2012xe" filled="true" fillcolor="#d2d2d2" stroked="false">
                <v:path arrowok="t"/>
                <v:fill type="solid"/>
              </v:shape>
            </v:group>
            <v:group style="position:absolute;left:1157;top:841;width:1157;height:345" coordorigin="1157,841" coordsize="1157,345">
              <v:shape style="position:absolute;left:1157;top:841;width:1157;height:345" coordorigin="1157,841" coordsize="1157,345" path="m1157,1186l2313,1186,2313,841,1157,841,1157,1186xe" filled="true" fillcolor="#d2d2d2" stroked="false">
                <v:path arrowok="t"/>
                <v:fill type="solid"/>
              </v:shape>
            </v:group>
            <v:group style="position:absolute;left:1157;top:1186;width:1157;height:361" coordorigin="1157,1186" coordsize="1157,361">
              <v:shape style="position:absolute;left:1157;top:1186;width:1157;height:361" coordorigin="1157,1186" coordsize="1157,361" path="m1157,1546l2313,1546,2313,1186,1157,1186,1157,1546xe" filled="true" fillcolor="#d2d2d2" stroked="false">
                <v:path arrowok="t"/>
                <v:fill type="solid"/>
              </v:shape>
            </v:group>
            <v:group style="position:absolute;left:1142;top:368;width:1187;height:2" coordorigin="1142,368" coordsize="1187,2">
              <v:shape style="position:absolute;left:1142;top:368;width:1187;height:2" coordorigin="1142,368" coordsize="1187,0" path="m1142,368l2328,368e" filled="false" stroked="true" strokeweight=".75pt" strokecolor="#000000">
                <v:path arrowok="t"/>
              </v:shape>
            </v:group>
            <v:group style="position:absolute;left:2343;top:368;width:1187;height:2" coordorigin="2343,368" coordsize="1187,2">
              <v:shape style="position:absolute;left:2343;top:368;width:1187;height:2" coordorigin="2343,368" coordsize="1187,0" path="m2343,368l3530,368e" filled="false" stroked="true" strokeweight=".75pt" strokecolor="#000000">
                <v:path arrowok="t"/>
              </v:shape>
            </v:group>
            <v:group style="position:absolute;left:3545;top:368;width:916;height:2" coordorigin="3545,368" coordsize="916,2">
              <v:shape style="position:absolute;left:3545;top:368;width:916;height:2" coordorigin="3545,368" coordsize="916,0" path="m3545,368l4461,368e" filled="false" stroked="true" strokeweight=".75pt" strokecolor="#000000">
                <v:path arrowok="t"/>
              </v:shape>
            </v:group>
            <v:group style="position:absolute;left:4476;top:368;width:1052;height:2" coordorigin="4476,368" coordsize="1052,2">
              <v:shape style="position:absolute;left:4476;top:368;width:1052;height:2" coordorigin="4476,368" coordsize="1052,0" path="m4476,368l5527,368e" filled="false" stroked="true" strokeweight=".75pt" strokecolor="#000000">
                <v:path arrowok="t"/>
              </v:shape>
            </v:group>
            <v:group style="position:absolute;left:6593;top:1381;width:1067;height:631" coordorigin="6593,1381" coordsize="1067,631">
              <v:shape style="position:absolute;left:6593;top:1381;width:1067;height:631" coordorigin="6593,1381" coordsize="1067,631" path="m6593,2012l7660,2012,7660,1381,6593,1381,6593,2012xe" filled="true" fillcolor="#ffffff" stroked="false">
                <v:path arrowok="t"/>
                <v:fill type="solid"/>
              </v:shape>
            </v:group>
            <v:group style="position:absolute;left:7660;top:375;width:1998;height:150" coordorigin="7660,375" coordsize="1998,150">
              <v:shape style="position:absolute;left:7660;top:375;width:1998;height:150" coordorigin="7660,375" coordsize="1998,150" path="m7660,525l9657,525,9657,375,7660,375,7660,525xe" filled="true" fillcolor="#d2d2d2" stroked="false">
                <v:path arrowok="t"/>
                <v:fill type="solid"/>
              </v:shape>
            </v:group>
            <v:group style="position:absolute;left:7675;top:525;width:2;height:1322" coordorigin="7675,525" coordsize="2,1322">
              <v:shape style="position:absolute;left:7675;top:525;width:2;height:1322" coordorigin="7675,525" coordsize="0,1322" path="m7675,525l7675,1847e" filled="false" stroked="true" strokeweight="1.5pt" strokecolor="#d2d2d2">
                <v:path arrowok="t"/>
              </v:shape>
            </v:group>
            <v:group style="position:absolute;left:9642;top:525;width:2;height:1322" coordorigin="9642,525" coordsize="2,1322">
              <v:shape style="position:absolute;left:9642;top:525;width:2;height:1322" coordorigin="9642,525" coordsize="0,1322" path="m9642,525l9642,1847e" filled="false" stroked="true" strokeweight="1.5pt" strokecolor="#d2d2d2">
                <v:path arrowok="t"/>
              </v:shape>
            </v:group>
            <v:group style="position:absolute;left:7660;top:1847;width:1998;height:165" coordorigin="7660,1847" coordsize="1998,165">
              <v:shape style="position:absolute;left:7660;top:1847;width:1998;height:165" coordorigin="7660,1847" coordsize="1998,165" path="m7660,2012l9657,2012,9657,1847,7660,1847,7660,2012xe" filled="true" fillcolor="#d2d2d2" stroked="false">
                <v:path arrowok="t"/>
                <v:fill type="solid"/>
              </v:shape>
            </v:group>
            <v:group style="position:absolute;left:7690;top:525;width:1938;height:346" coordorigin="7690,525" coordsize="1938,346">
              <v:shape style="position:absolute;left:7690;top:525;width:1938;height:346" coordorigin="7690,525" coordsize="1938,346" path="m7690,871l9627,871,9627,525,7690,525,7690,871xe" filled="true" fillcolor="#d2d2d2" stroked="false">
                <v:path arrowok="t"/>
                <v:fill type="solid"/>
              </v:shape>
            </v:group>
            <v:group style="position:absolute;left:7690;top:871;width:1938;height:315" coordorigin="7690,871" coordsize="1938,315">
              <v:shape style="position:absolute;left:7690;top:871;width:1938;height:315" coordorigin="7690,871" coordsize="1938,315" path="m7690,1186l9627,1186,9627,871,7690,871,7690,1186xe" filled="true" fillcolor="#d2d2d2" stroked="false">
                <v:path arrowok="t"/>
                <v:fill type="solid"/>
              </v:shape>
            </v:group>
            <v:group style="position:absolute;left:7690;top:1186;width:1938;height:316" coordorigin="7690,1186" coordsize="1938,316">
              <v:shape style="position:absolute;left:7690;top:1186;width:1938;height:316" coordorigin="7690,1186" coordsize="1938,316" path="m7690,1501l9627,1501,9627,1186,7690,1186,7690,1501xe" filled="true" fillcolor="#d2d2d2" stroked="false">
                <v:path arrowok="t"/>
                <v:fill type="solid"/>
              </v:shape>
            </v:group>
            <v:group style="position:absolute;left:7690;top:1501;width:1938;height:346" coordorigin="7690,1501" coordsize="1938,346">
              <v:shape style="position:absolute;left:7690;top:1501;width:1938;height:346" coordorigin="7690,1501" coordsize="1938,346" path="m7690,1847l9627,1847,9627,1501,7690,1501,7690,1847xe" filled="true" fillcolor="#d2d2d2" stroked="false">
                <v:path arrowok="t"/>
                <v:fill type="solid"/>
              </v:shape>
            </v:group>
            <v:group style="position:absolute;left:5542;top:368;width:1051;height:2" coordorigin="5542,368" coordsize="1051,2">
              <v:shape style="position:absolute;left:5542;top:368;width:1051;height:2" coordorigin="5542,368" coordsize="1051,0" path="m5542,368l6593,368e" filled="false" stroked="true" strokeweight=".75pt" strokecolor="#000000">
                <v:path arrowok="t"/>
              </v:shape>
            </v:group>
            <v:group style="position:absolute;left:6609;top:368;width:1036;height:2" coordorigin="6609,368" coordsize="1036,2">
              <v:shape style="position:absolute;left:6609;top:368;width:1036;height:2" coordorigin="6609,368" coordsize="1036,0" path="m6609,368l7645,368e" filled="false" stroked="true" strokeweight=".75pt" strokecolor="#000000">
                <v:path arrowok="t"/>
              </v:shape>
            </v:group>
            <v:group style="position:absolute;left:7660;top:368;width:1983;height:2" coordorigin="7660,368" coordsize="1983,2">
              <v:shape style="position:absolute;left:7660;top:368;width:1983;height:2" coordorigin="7660,368" coordsize="1983,0" path="m7660,368l9642,368e" filled="false" stroked="true" strokeweight=".75pt" strokecolor="#000000">
                <v:path arrowok="t"/>
              </v:shape>
            </v:group>
            <v:group style="position:absolute;left:9657;top:368;width:1052;height:2" coordorigin="9657,368" coordsize="1052,2">
              <v:shape style="position:absolute;left:9657;top:368;width:1052;height:2" coordorigin="9657,368" coordsize="1052,0" path="m9657,368l10708,368e" filled="false" stroked="true" strokeweight=".75pt" strokecolor="#000000">
                <v:path arrowok="t"/>
              </v:shape>
            </v:group>
            <v:group style="position:absolute;left:2336;top:360;width:2;height:1667" coordorigin="2336,360" coordsize="2,1667">
              <v:shape style="position:absolute;left:2336;top:360;width:2;height:1667" coordorigin="2336,360" coordsize="0,1667" path="m2336,360l2336,2027e" filled="false" stroked="true" strokeweight=".75pt" strokecolor="#000000">
                <v:path arrowok="t"/>
              </v:shape>
            </v:group>
            <v:group style="position:absolute;left:7652;top:360;width:2;height:1667" coordorigin="7652,360" coordsize="2,1667">
              <v:shape style="position:absolute;left:7652;top:360;width:2;height:1667" coordorigin="7652,360" coordsize="0,1667" path="m7652,360l7652,2027e" filled="false" stroked="true" strokeweight=".75pt" strokecolor="#000000">
                <v:path arrowok="t"/>
              </v:shape>
            </v:group>
            <v:group style="position:absolute;left:9649;top:360;width:2;height:1667" coordorigin="9649,360" coordsize="2,1667">
              <v:shape style="position:absolute;left:9649;top:360;width:2;height:1667" coordorigin="9649,360" coordsize="0,1667" path="m9649,360l9649,2027e" filled="false" stroked="true" strokeweight=".75pt" strokecolor="#000000">
                <v:path arrowok="t"/>
              </v:shape>
            </v:group>
            <v:group style="position:absolute;left:1149;top:2027;width:2;height:391" coordorigin="1149,2027" coordsize="2,391">
              <v:shape style="position:absolute;left:1149;top:2027;width:2;height:391" coordorigin="1149,2027" coordsize="0,391" path="m1149,2027l1149,2417e" filled="false" stroked="true" strokeweight=".75pt" strokecolor="#d2d2d2">
                <v:path arrowok="t"/>
              </v:shape>
            </v:group>
            <v:group style="position:absolute;left:10701;top:2027;width:2;height:391" coordorigin="10701,2027" coordsize="2,391">
              <v:shape style="position:absolute;left:10701;top:2027;width:2;height:391" coordorigin="10701,2027" coordsize="0,391" path="m10701,2027l10701,2417e" filled="false" stroked="true" strokeweight=".75pt" strokecolor="#d2d2d2">
                <v:path arrowok="t"/>
              </v:shape>
            </v:group>
            <v:group style="position:absolute;left:1157;top:2027;width:9537;height:391" coordorigin="1157,2027" coordsize="9537,391">
              <v:shape style="position:absolute;left:1157;top:2027;width:9537;height:391" coordorigin="1157,2027" coordsize="9537,391" path="m1157,2417l10694,2417,10694,2027,1157,2027,1157,2417xe" filled="true" fillcolor="#d2d2d2" stroked="false">
                <v:path arrowok="t"/>
                <v:fill type="solid"/>
              </v:shape>
            </v:group>
            <v:group style="position:absolute;left:1142;top:2019;width:1187;height:2" coordorigin="1142,2019" coordsize="1187,2">
              <v:shape style="position:absolute;left:1142;top:2019;width:1187;height:2" coordorigin="1142,2019" coordsize="1187,0" path="m1142,2019l2328,2019e" filled="false" stroked="true" strokeweight=".75pt" strokecolor="#000000">
                <v:path arrowok="t"/>
              </v:shape>
            </v:group>
            <v:group style="position:absolute;left:2343;top:2019;width:1187;height:2" coordorigin="2343,2019" coordsize="1187,2">
              <v:shape style="position:absolute;left:2343;top:2019;width:1187;height:2" coordorigin="2343,2019" coordsize="1187,0" path="m2343,2019l3530,2019e" filled="false" stroked="true" strokeweight=".75pt" strokecolor="#000000">
                <v:path arrowok="t"/>
              </v:shape>
            </v:group>
            <v:group style="position:absolute;left:3545;top:2019;width:916;height:2" coordorigin="3545,2019" coordsize="916,2">
              <v:shape style="position:absolute;left:3545;top:2019;width:916;height:2" coordorigin="3545,2019" coordsize="916,0" path="m3545,2019l4461,2019e" filled="false" stroked="true" strokeweight=".75pt" strokecolor="#000000">
                <v:path arrowok="t"/>
              </v:shape>
            </v:group>
            <v:group style="position:absolute;left:4476;top:2019;width:1052;height:2" coordorigin="4476,2019" coordsize="1052,2">
              <v:shape style="position:absolute;left:4476;top:2019;width:1052;height:2" coordorigin="4476,2019" coordsize="1052,0" path="m4476,2019l5527,2019e" filled="false" stroked="true" strokeweight=".75pt" strokecolor="#000000">
                <v:path arrowok="t"/>
              </v:shape>
            </v:group>
            <v:group style="position:absolute;left:5542;top:2019;width:1051;height:2" coordorigin="5542,2019" coordsize="1051,2">
              <v:shape style="position:absolute;left:5542;top:2019;width:1051;height:2" coordorigin="5542,2019" coordsize="1051,0" path="m5542,2019l6593,2019e" filled="false" stroked="true" strokeweight=".75pt" strokecolor="#000000">
                <v:path arrowok="t"/>
              </v:shape>
            </v:group>
            <v:group style="position:absolute;left:6609;top:2019;width:1036;height:2" coordorigin="6609,2019" coordsize="1036,2">
              <v:shape style="position:absolute;left:6609;top:2019;width:1036;height:2" coordorigin="6609,2019" coordsize="1036,0" path="m6609,2019l7645,2019e" filled="false" stroked="true" strokeweight=".75pt" strokecolor="#000000">
                <v:path arrowok="t"/>
              </v:shape>
            </v:group>
            <v:group style="position:absolute;left:7660;top:2019;width:1983;height:2" coordorigin="7660,2019" coordsize="1983,2">
              <v:shape style="position:absolute;left:7660;top:2019;width:1983;height:2" coordorigin="7660,2019" coordsize="1983,0" path="m7660,2019l9642,2019e" filled="false" stroked="true" strokeweight=".75pt" strokecolor="#000000">
                <v:path arrowok="t"/>
              </v:shape>
            </v:group>
            <v:group style="position:absolute;left:9657;top:2019;width:1052;height:2" coordorigin="9657,2019" coordsize="1052,2">
              <v:shape style="position:absolute;left:9657;top:2019;width:1052;height:2" coordorigin="9657,2019" coordsize="1052,0" path="m9657,2019l10708,2019e" filled="false" stroked="true" strokeweight=".75pt" strokecolor="#000000">
                <v:path arrowok="t"/>
              </v:shape>
            </v:group>
            <v:group style="position:absolute;left:1142;top:2417;width:1187;height:315" coordorigin="1142,2417" coordsize="1187,315">
              <v:shape style="position:absolute;left:1142;top:2417;width:1187;height:315" coordorigin="1142,2417" coordsize="1187,315" path="m1142,2732l2328,2732,2328,2417,1142,2417,1142,2732xe" filled="true" fillcolor="#d2d2d2" stroked="false">
                <v:path arrowok="t"/>
                <v:fill type="solid"/>
              </v:shape>
            </v:group>
            <v:group style="position:absolute;left:1149;top:2732;width:2;height:391" coordorigin="1149,2732" coordsize="2,391">
              <v:shape style="position:absolute;left:1149;top:2732;width:2;height:391" coordorigin="1149,2732" coordsize="0,391" path="m1149,2732l1149,3123e" filled="false" stroked="true" strokeweight=".75pt" strokecolor="#d2d2d2">
                <v:path arrowok="t"/>
              </v:shape>
            </v:group>
            <v:group style="position:absolute;left:2321;top:2732;width:2;height:391" coordorigin="2321,2732" coordsize="2,391">
              <v:shape style="position:absolute;left:2321;top:2732;width:2;height:391" coordorigin="2321,2732" coordsize="0,391" path="m2321,2732l2321,3123e" filled="false" stroked="true" strokeweight=".75pt" strokecolor="#d2d2d2">
                <v:path arrowok="t"/>
              </v:shape>
            </v:group>
            <v:group style="position:absolute;left:1142;top:3123;width:1187;height:315" coordorigin="1142,3123" coordsize="1187,315">
              <v:shape style="position:absolute;left:1142;top:3123;width:1187;height:315" coordorigin="1142,3123" coordsize="1187,315" path="m1142,3438l2328,3438,2328,3123,1142,3123,1142,3438xe" filled="true" fillcolor="#d2d2d2" stroked="false">
                <v:path arrowok="t"/>
                <v:fill type="solid"/>
              </v:shape>
            </v:group>
            <v:group style="position:absolute;left:1157;top:2732;width:1157;height:391" coordorigin="1157,2732" coordsize="1157,391">
              <v:shape style="position:absolute;left:1157;top:2732;width:1157;height:391" coordorigin="1157,2732" coordsize="1157,391" path="m1157,3123l2313,3123,2313,2732,1157,2732,1157,3123xe" filled="true" fillcolor="#d2d2d2" stroked="false">
                <v:path arrowok="t"/>
                <v:fill type="solid"/>
              </v:shape>
            </v:group>
            <v:group style="position:absolute;left:2343;top:2417;width:1187;height:315" coordorigin="2343,2417" coordsize="1187,315">
              <v:shape style="position:absolute;left:2343;top:2417;width:1187;height:315" coordorigin="2343,2417" coordsize="1187,315" path="m2343,2732l3530,2732,3530,2417,2343,2417,2343,2732xe" filled="true" fillcolor="#d2d2d2" stroked="false">
                <v:path arrowok="t"/>
                <v:fill type="solid"/>
              </v:shape>
            </v:group>
            <v:group style="position:absolute;left:2358;top:2732;width:2;height:391" coordorigin="2358,2732" coordsize="2,391">
              <v:shape style="position:absolute;left:2358;top:2732;width:2;height:391" coordorigin="2358,2732" coordsize="0,391" path="m2358,2732l2358,3123e" filled="false" stroked="true" strokeweight="1.5pt" strokecolor="#d2d2d2">
                <v:path arrowok="t"/>
              </v:shape>
            </v:group>
            <v:group style="position:absolute;left:3522;top:2732;width:2;height:391" coordorigin="3522,2732" coordsize="2,391">
              <v:shape style="position:absolute;left:3522;top:2732;width:2;height:391" coordorigin="3522,2732" coordsize="0,391" path="m3522,2732l3522,3123e" filled="false" stroked="true" strokeweight=".75pt" strokecolor="#d2d2d2">
                <v:path arrowok="t"/>
              </v:shape>
            </v:group>
            <v:group style="position:absolute;left:2343;top:3123;width:1187;height:315" coordorigin="2343,3123" coordsize="1187,315">
              <v:shape style="position:absolute;left:2343;top:3123;width:1187;height:315" coordorigin="2343,3123" coordsize="1187,315" path="m2343,3438l3530,3438,3530,3123,2343,3123,2343,3438xe" filled="true" fillcolor="#d2d2d2" stroked="false">
                <v:path arrowok="t"/>
                <v:fill type="solid"/>
              </v:shape>
            </v:group>
            <v:group style="position:absolute;left:2373;top:2732;width:1142;height:391" coordorigin="2373,2732" coordsize="1142,391">
              <v:shape style="position:absolute;left:2373;top:2732;width:1142;height:391" coordorigin="2373,2732" coordsize="1142,391" path="m2373,3123l3515,3123,3515,2732,2373,2732,2373,3123xe" filled="true" fillcolor="#d2d2d2" stroked="false">
                <v:path arrowok="t"/>
                <v:fill type="solid"/>
              </v:shape>
            </v:group>
            <v:group style="position:absolute;left:3545;top:2417;width:916;height:315" coordorigin="3545,2417" coordsize="916,315">
              <v:shape style="position:absolute;left:3545;top:2417;width:916;height:315" coordorigin="3545,2417" coordsize="916,315" path="m3545,2732l4461,2732,4461,2417,3545,2417,3545,2732xe" filled="true" fillcolor="#d2d2d2" stroked="false">
                <v:path arrowok="t"/>
                <v:fill type="solid"/>
              </v:shape>
            </v:group>
            <v:group style="position:absolute;left:3552;top:2732;width:2;height:391" coordorigin="3552,2732" coordsize="2,391">
              <v:shape style="position:absolute;left:3552;top:2732;width:2;height:391" coordorigin="3552,2732" coordsize="0,391" path="m3552,2732l3552,3123e" filled="false" stroked="true" strokeweight=".75pt" strokecolor="#d2d2d2">
                <v:path arrowok="t"/>
              </v:shape>
            </v:group>
            <v:group style="position:absolute;left:4453;top:2732;width:2;height:391" coordorigin="4453,2732" coordsize="2,391">
              <v:shape style="position:absolute;left:4453;top:2732;width:2;height:391" coordorigin="4453,2732" coordsize="0,391" path="m4453,2732l4453,3123e" filled="false" stroked="true" strokeweight=".75pt" strokecolor="#d2d2d2">
                <v:path arrowok="t"/>
              </v:shape>
            </v:group>
            <v:group style="position:absolute;left:3545;top:3123;width:916;height:315" coordorigin="3545,3123" coordsize="916,315">
              <v:shape style="position:absolute;left:3545;top:3123;width:916;height:315" coordorigin="3545,3123" coordsize="916,315" path="m3545,3438l4461,3438,4461,3123,3545,3123,3545,3438xe" filled="true" fillcolor="#d2d2d2" stroked="false">
                <v:path arrowok="t"/>
                <v:fill type="solid"/>
              </v:shape>
            </v:group>
            <v:group style="position:absolute;left:3560;top:2732;width:886;height:391" coordorigin="3560,2732" coordsize="886,391">
              <v:shape style="position:absolute;left:3560;top:2732;width:886;height:391" coordorigin="3560,2732" coordsize="886,391" path="m3560,3123l4446,3123,4446,2732,3560,2732,3560,3123xe" filled="true" fillcolor="#d2d2d2" stroked="false">
                <v:path arrowok="t"/>
                <v:fill type="solid"/>
              </v:shape>
            </v:group>
            <v:group style="position:absolute;left:4476;top:2417;width:1052;height:165" coordorigin="4476,2417" coordsize="1052,165">
              <v:shape style="position:absolute;left:4476;top:2417;width:1052;height:165" coordorigin="4476,2417" coordsize="1052,165" path="m4476,2582l5527,2582,5527,2417,4476,2417,4476,2582xe" filled="true" fillcolor="#d2d2d2" stroked="false">
                <v:path arrowok="t"/>
                <v:fill type="solid"/>
              </v:shape>
            </v:group>
            <v:group style="position:absolute;left:4483;top:2582;width:2;height:706" coordorigin="4483,2582" coordsize="2,706">
              <v:shape style="position:absolute;left:4483;top:2582;width:2;height:706" coordorigin="4483,2582" coordsize="0,706" path="m4483,2582l4483,3288e" filled="false" stroked="true" strokeweight=".75pt" strokecolor="#d2d2d2">
                <v:path arrowok="t"/>
              </v:shape>
            </v:group>
            <v:group style="position:absolute;left:5512;top:2582;width:2;height:706" coordorigin="5512,2582" coordsize="2,706">
              <v:shape style="position:absolute;left:5512;top:2582;width:2;height:706" coordorigin="5512,2582" coordsize="0,706" path="m5512,2582l5512,3288e" filled="false" stroked="true" strokeweight="1.5pt" strokecolor="#d2d2d2">
                <v:path arrowok="t"/>
              </v:shape>
            </v:group>
            <v:group style="position:absolute;left:4476;top:3288;width:1052;height:150" coordorigin="4476,3288" coordsize="1052,150">
              <v:shape style="position:absolute;left:4476;top:3288;width:1052;height:150" coordorigin="4476,3288" coordsize="1052,150" path="m4476,3438l5527,3438,5527,3288,4476,3288,4476,3438xe" filled="true" fillcolor="#d2d2d2" stroked="false">
                <v:path arrowok="t"/>
                <v:fill type="solid"/>
              </v:shape>
            </v:group>
            <v:group style="position:absolute;left:4491;top:2582;width:1007;height:345" coordorigin="4491,2582" coordsize="1007,345">
              <v:shape style="position:absolute;left:4491;top:2582;width:1007;height:345" coordorigin="4491,2582" coordsize="1007,345" path="m4491,2927l5497,2927,5497,2582,4491,2582,4491,2927xe" filled="true" fillcolor="#d2d2d2" stroked="false">
                <v:path arrowok="t"/>
                <v:fill type="solid"/>
              </v:shape>
            </v:group>
            <v:group style="position:absolute;left:4491;top:2927;width:1007;height:361" coordorigin="4491,2927" coordsize="1007,361">
              <v:shape style="position:absolute;left:4491;top:2927;width:1007;height:361" coordorigin="4491,2927" coordsize="1007,361" path="m4491,3288l5497,3288,5497,2927,4491,2927,4491,3288xe" filled="true" fillcolor="#d2d2d2" stroked="false">
                <v:path arrowok="t"/>
                <v:fill type="solid"/>
              </v:shape>
            </v:group>
            <v:group style="position:absolute;left:5542;top:2417;width:1051;height:165" coordorigin="5542,2417" coordsize="1051,165">
              <v:shape style="position:absolute;left:5542;top:2417;width:1051;height:165" coordorigin="5542,2417" coordsize="1051,165" path="m5542,2582l6593,2582,6593,2417,5542,2417,5542,2582xe" filled="true" fillcolor="#d2d2d2" stroked="false">
                <v:path arrowok="t"/>
                <v:fill type="solid"/>
              </v:shape>
            </v:group>
            <v:group style="position:absolute;left:5549;top:2582;width:2;height:706" coordorigin="5549,2582" coordsize="2,706">
              <v:shape style="position:absolute;left:5549;top:2582;width:2;height:706" coordorigin="5549,2582" coordsize="0,706" path="m5549,2582l5549,3288e" filled="false" stroked="true" strokeweight=".75pt" strokecolor="#d2d2d2">
                <v:path arrowok="t"/>
              </v:shape>
            </v:group>
            <v:group style="position:absolute;left:6578;top:2582;width:2;height:706" coordorigin="6578,2582" coordsize="2,706">
              <v:shape style="position:absolute;left:6578;top:2582;width:2;height:706" coordorigin="6578,2582" coordsize="0,706" path="m6578,2582l6578,3288e" filled="false" stroked="true" strokeweight="1.5pt" strokecolor="#d2d2d2">
                <v:path arrowok="t"/>
              </v:shape>
            </v:group>
            <v:group style="position:absolute;left:5542;top:3288;width:1051;height:150" coordorigin="5542,3288" coordsize="1051,150">
              <v:shape style="position:absolute;left:5542;top:3288;width:1051;height:150" coordorigin="5542,3288" coordsize="1051,150" path="m5542,3438l6593,3438,6593,3288,5542,3288,5542,3438xe" filled="true" fillcolor="#d2d2d2" stroked="false">
                <v:path arrowok="t"/>
                <v:fill type="solid"/>
              </v:shape>
            </v:group>
            <v:group style="position:absolute;left:5557;top:2582;width:1006;height:345" coordorigin="5557,2582" coordsize="1006,345">
              <v:shape style="position:absolute;left:5557;top:2582;width:1006;height:345" coordorigin="5557,2582" coordsize="1006,345" path="m5557,2927l6563,2927,6563,2582,5557,2582,5557,2927xe" filled="true" fillcolor="#d2d2d2" stroked="false">
                <v:path arrowok="t"/>
                <v:fill type="solid"/>
              </v:shape>
            </v:group>
            <v:group style="position:absolute;left:5557;top:2927;width:1006;height:361" coordorigin="5557,2927" coordsize="1006,361">
              <v:shape style="position:absolute;left:5557;top:2927;width:1006;height:361" coordorigin="5557,2927" coordsize="1006,361" path="m5557,3288l6563,3288,6563,2927,5557,2927,5557,3288xe" filled="true" fillcolor="#d2d2d2" stroked="false">
                <v:path arrowok="t"/>
                <v:fill type="solid"/>
              </v:shape>
            </v:group>
            <v:group style="position:absolute;left:6608;top:2417;width:2;height:1021" coordorigin="6608,2417" coordsize="2,1021">
              <v:shape style="position:absolute;left:6608;top:2417;width:2;height:1021" coordorigin="6608,2417" coordsize="0,1021" path="m6608,2417l6608,3438e" filled="false" stroked="true" strokeweight="1.525pt" strokecolor="#d2d2d2">
                <v:path arrowok="t"/>
              </v:shape>
            </v:group>
            <v:group style="position:absolute;left:7630;top:2417;width:30;height:1021" coordorigin="7630,2417" coordsize="30,1021">
              <v:shape style="position:absolute;left:7630;top:2417;width:30;height:1021" coordorigin="7630,2417" coordsize="30,1021" path="m7630,3438l7660,3438,7660,2417,7630,2417,7630,3438xe" filled="true" fillcolor="#d2d2d2" stroked="false">
                <v:path arrowok="t"/>
                <v:fill type="solid"/>
              </v:shape>
            </v:group>
            <v:group style="position:absolute;left:6624;top:2417;width:1006;height:360" coordorigin="6624,2417" coordsize="1006,360">
              <v:shape style="position:absolute;left:6624;top:2417;width:1006;height:360" coordorigin="6624,2417" coordsize="1006,360" path="m6624,2777l7630,2777,7630,2417,6624,2417,6624,2777xe" filled="true" fillcolor="#d2d2d2" stroked="false">
                <v:path arrowok="t"/>
                <v:fill type="solid"/>
              </v:shape>
            </v:group>
            <v:group style="position:absolute;left:6624;top:2777;width:1006;height:316" coordorigin="6624,2777" coordsize="1006,316">
              <v:shape style="position:absolute;left:6624;top:2777;width:1006;height:316" coordorigin="6624,2777" coordsize="1006,316" path="m6624,3093l7630,3093,7630,2777,6624,2777,6624,3093xe" filled="true" fillcolor="#d2d2d2" stroked="false">
                <v:path arrowok="t"/>
                <v:fill type="solid"/>
              </v:shape>
            </v:group>
            <v:group style="position:absolute;left:6624;top:3093;width:1006;height:345" coordorigin="6624,3093" coordsize="1006,345">
              <v:shape style="position:absolute;left:6624;top:3093;width:1006;height:345" coordorigin="6624,3093" coordsize="1006,345" path="m6624,3438l7630,3438,7630,3093,6624,3093,6624,3438xe" filled="true" fillcolor="#d2d2d2" stroked="false">
                <v:path arrowok="t"/>
                <v:fill type="solid"/>
              </v:shape>
            </v:group>
            <v:group style="position:absolute;left:7660;top:2417;width:30;height:1021" coordorigin="7660,2417" coordsize="30,1021">
              <v:shape style="position:absolute;left:7660;top:2417;width:30;height:1021" coordorigin="7660,2417" coordsize="30,1021" path="m7660,3438l7690,3438,7690,2417,7660,2417,7660,3438xe" filled="true" fillcolor="#d2d2d2" stroked="false">
                <v:path arrowok="t"/>
                <v:fill type="solid"/>
              </v:shape>
            </v:group>
            <v:group style="position:absolute;left:8568;top:2417;width:2;height:1021" coordorigin="8568,2417" coordsize="2,1021">
              <v:shape style="position:absolute;left:8568;top:2417;width:2;height:1021" coordorigin="8568,2417" coordsize="0,1021" path="m8568,2417l8568,3438e" filled="false" stroked="true" strokeweight=".75pt" strokecolor="#d2d2d2">
                <v:path arrowok="t"/>
              </v:shape>
            </v:group>
            <v:group style="position:absolute;left:7690;top:2417;width:871;height:360" coordorigin="7690,2417" coordsize="871,360">
              <v:shape style="position:absolute;left:7690;top:2417;width:871;height:360" coordorigin="7690,2417" coordsize="871,360" path="m7690,2777l8561,2777,8561,2417,7690,2417,7690,2777xe" filled="true" fillcolor="#d2d2d2" stroked="false">
                <v:path arrowok="t"/>
                <v:fill type="solid"/>
              </v:shape>
            </v:group>
            <v:group style="position:absolute;left:7690;top:2777;width:871;height:316" coordorigin="7690,2777" coordsize="871,316">
              <v:shape style="position:absolute;left:7690;top:2777;width:871;height:316" coordorigin="7690,2777" coordsize="871,316" path="m7690,3093l8561,3093,8561,2777,7690,2777,7690,3093xe" filled="true" fillcolor="#d2d2d2" stroked="false">
                <v:path arrowok="t"/>
                <v:fill type="solid"/>
              </v:shape>
            </v:group>
            <v:group style="position:absolute;left:7690;top:3093;width:871;height:345" coordorigin="7690,3093" coordsize="871,345">
              <v:shape style="position:absolute;left:7690;top:3093;width:871;height:345" coordorigin="7690,3093" coordsize="871,345" path="m7690,3438l8561,3438,8561,3093,7690,3093,7690,3438xe" filled="true" fillcolor="#d2d2d2" stroked="false">
                <v:path arrowok="t"/>
                <v:fill type="solid"/>
              </v:shape>
            </v:group>
            <v:group style="position:absolute;left:8606;top:2417;width:2;height:390" coordorigin="8606,2417" coordsize="2,390">
              <v:shape style="position:absolute;left:8606;top:2417;width:2;height:390" coordorigin="8606,2417" coordsize="0,390" path="m8606,2417l8606,2807e" filled="false" stroked="true" strokeweight="1.525pt" strokecolor="#d2d2d2">
                <v:path arrowok="t"/>
              </v:shape>
            </v:group>
            <v:group style="position:absolute;left:10701;top:2417;width:2;height:390" coordorigin="10701,2417" coordsize="2,390">
              <v:shape style="position:absolute;left:10701;top:2417;width:2;height:390" coordorigin="10701,2417" coordsize="0,390" path="m10701,2417l10701,2807e" filled="false" stroked="true" strokeweight=".75pt" strokecolor="#d2d2d2">
                <v:path arrowok="t"/>
              </v:shape>
            </v:group>
            <v:group style="position:absolute;left:8621;top:2417;width:2073;height:390" coordorigin="8621,2417" coordsize="2073,390">
              <v:shape style="position:absolute;left:8621;top:2417;width:2073;height:390" coordorigin="8621,2417" coordsize="2073,390" path="m8621,2807l10693,2807,10693,2417,8621,2417,8621,2807xe" filled="true" fillcolor="#d2d2d2" stroked="false">
                <v:path arrowok="t"/>
                <v:fill type="solid"/>
              </v:shape>
            </v:group>
            <v:group style="position:absolute;left:1142;top:2425;width:1187;height:2" coordorigin="1142,2425" coordsize="1187,2">
              <v:shape style="position:absolute;left:1142;top:2425;width:1187;height:2" coordorigin="1142,2425" coordsize="1187,0" path="m1142,2425l2328,2425e" filled="false" stroked="true" strokeweight=".75pt" strokecolor="#000000">
                <v:path arrowok="t"/>
              </v:shape>
            </v:group>
            <v:group style="position:absolute;left:2343;top:2425;width:1187;height:2" coordorigin="2343,2425" coordsize="1187,2">
              <v:shape style="position:absolute;left:2343;top:2425;width:1187;height:2" coordorigin="2343,2425" coordsize="1187,0" path="m2343,2425l3530,2425e" filled="false" stroked="true" strokeweight=".75pt" strokecolor="#000000">
                <v:path arrowok="t"/>
              </v:shape>
            </v:group>
            <v:group style="position:absolute;left:3545;top:2425;width:916;height:2" coordorigin="3545,2425" coordsize="916,2">
              <v:shape style="position:absolute;left:3545;top:2425;width:916;height:2" coordorigin="3545,2425" coordsize="916,0" path="m3545,2425l4461,2425e" filled="false" stroked="true" strokeweight=".75pt" strokecolor="#000000">
                <v:path arrowok="t"/>
              </v:shape>
            </v:group>
            <v:group style="position:absolute;left:4476;top:2425;width:1052;height:2" coordorigin="4476,2425" coordsize="1052,2">
              <v:shape style="position:absolute;left:4476;top:2425;width:1052;height:2" coordorigin="4476,2425" coordsize="1052,0" path="m4476,2425l5527,2425e" filled="false" stroked="true" strokeweight=".75pt" strokecolor="#000000">
                <v:path arrowok="t"/>
              </v:shape>
            </v:group>
            <v:group style="position:absolute;left:5542;top:2425;width:1051;height:2" coordorigin="5542,2425" coordsize="1051,2">
              <v:shape style="position:absolute;left:5542;top:2425;width:1051;height:2" coordorigin="5542,2425" coordsize="1051,0" path="m5542,2425l6593,2425e" filled="false" stroked="true" strokeweight=".75pt" strokecolor="#000000">
                <v:path arrowok="t"/>
              </v:shape>
            </v:group>
            <v:group style="position:absolute;left:6609;top:2425;width:1036;height:2" coordorigin="6609,2425" coordsize="1036,2">
              <v:shape style="position:absolute;left:6609;top:2425;width:1036;height:2" coordorigin="6609,2425" coordsize="1036,0" path="m6609,2425l7645,2425e" filled="false" stroked="true" strokeweight=".75pt" strokecolor="#000000">
                <v:path arrowok="t"/>
              </v:shape>
            </v:group>
            <v:group style="position:absolute;left:7660;top:2425;width:916;height:2" coordorigin="7660,2425" coordsize="916,2">
              <v:shape style="position:absolute;left:7660;top:2425;width:916;height:2" coordorigin="7660,2425" coordsize="916,0" path="m7660,2425l8576,2425e" filled="false" stroked="true" strokeweight=".75pt" strokecolor="#000000">
                <v:path arrowok="t"/>
              </v:shape>
            </v:group>
            <v:group style="position:absolute;left:8590;top:2425;width:2118;height:2" coordorigin="8590,2425" coordsize="2118,2">
              <v:shape style="position:absolute;left:8590;top:2425;width:2118;height:2" coordorigin="8590,2425" coordsize="2118,0" path="m8590,2425l10708,2425e" filled="false" stroked="true" strokeweight=".75pt" strokecolor="#000000">
                <v:path arrowok="t"/>
              </v:shape>
            </v:group>
            <v:group style="position:absolute;left:8590;top:2822;width:1067;height:120" coordorigin="8590,2822" coordsize="1067,120">
              <v:shape style="position:absolute;left:8590;top:2822;width:1067;height:120" coordorigin="8590,2822" coordsize="1067,120" path="m8590,2942l9657,2942,9657,2822,8590,2822,8590,2942xe" filled="true" fillcolor="#d2d2d2" stroked="false">
                <v:path arrowok="t"/>
                <v:fill type="solid"/>
              </v:shape>
            </v:group>
            <v:group style="position:absolute;left:8606;top:2942;width:2;height:391" coordorigin="8606,2942" coordsize="2,391">
              <v:shape style="position:absolute;left:8606;top:2942;width:2;height:391" coordorigin="8606,2942" coordsize="0,391" path="m8606,2942l8606,3333e" filled="false" stroked="true" strokeweight="1.525pt" strokecolor="#d2d2d2">
                <v:path arrowok="t"/>
              </v:shape>
            </v:group>
            <v:group style="position:absolute;left:9627;top:2942;width:30;height:391" coordorigin="9627,2942" coordsize="30,391">
              <v:shape style="position:absolute;left:9627;top:2942;width:30;height:391" coordorigin="9627,2942" coordsize="30,391" path="m9627,3333l9657,3333,9657,2942,9627,2942,9627,3333xe" filled="true" fillcolor="#d2d2d2" stroked="false">
                <v:path arrowok="t"/>
                <v:fill type="solid"/>
              </v:shape>
            </v:group>
            <v:group style="position:absolute;left:8590;top:3333;width:1067;height:105" coordorigin="8590,3333" coordsize="1067,105">
              <v:shape style="position:absolute;left:8590;top:3333;width:1067;height:105" coordorigin="8590,3333" coordsize="1067,105" path="m8590,3438l9657,3438,9657,3333,8590,3333,8590,3438xe" filled="true" fillcolor="#d2d2d2" stroked="false">
                <v:path arrowok="t"/>
                <v:fill type="solid"/>
              </v:shape>
            </v:group>
            <v:group style="position:absolute;left:8621;top:2942;width:1006;height:391" coordorigin="8621,2942" coordsize="1006,391">
              <v:shape style="position:absolute;left:8621;top:2942;width:1006;height:391" coordorigin="8621,2942" coordsize="1006,391" path="m8621,3333l9627,3333,9627,2942,8621,2942,8621,3333xe" filled="true" fillcolor="#d2d2d2" stroked="false">
                <v:path arrowok="t"/>
                <v:fill type="solid"/>
              </v:shape>
            </v:group>
            <v:group style="position:absolute;left:9657;top:2822;width:1052;height:120" coordorigin="9657,2822" coordsize="1052,120">
              <v:shape style="position:absolute;left:9657;top:2822;width:1052;height:120" coordorigin="9657,2822" coordsize="1052,120" path="m9657,2942l10708,2942,10708,2822,9657,2822,9657,2942xe" filled="true" fillcolor="#d2d2d2" stroked="false">
                <v:path arrowok="t"/>
                <v:fill type="solid"/>
              </v:shape>
            </v:group>
            <v:group style="position:absolute;left:9657;top:2942;width:30;height:391" coordorigin="9657,2942" coordsize="30,391">
              <v:shape style="position:absolute;left:9657;top:2942;width:30;height:391" coordorigin="9657,2942" coordsize="30,391" path="m9657,3333l9687,3333,9687,2942,9657,2942,9657,3333xe" filled="true" fillcolor="#d2d2d2" stroked="false">
                <v:path arrowok="t"/>
                <v:fill type="solid"/>
              </v:shape>
            </v:group>
            <v:group style="position:absolute;left:10701;top:2942;width:2;height:391" coordorigin="10701,2942" coordsize="2,391">
              <v:shape style="position:absolute;left:10701;top:2942;width:2;height:391" coordorigin="10701,2942" coordsize="0,391" path="m10701,2942l10701,3333e" filled="false" stroked="true" strokeweight=".75pt" strokecolor="#d2d2d2">
                <v:path arrowok="t"/>
              </v:shape>
            </v:group>
            <v:group style="position:absolute;left:9657;top:3333;width:1052;height:105" coordorigin="9657,3333" coordsize="1052,105">
              <v:shape style="position:absolute;left:9657;top:3333;width:1052;height:105" coordorigin="9657,3333" coordsize="1052,105" path="m9657,3438l10708,3438,10708,3333,9657,3333,9657,3438xe" filled="true" fillcolor="#d2d2d2" stroked="false">
                <v:path arrowok="t"/>
                <v:fill type="solid"/>
              </v:shape>
            </v:group>
            <v:group style="position:absolute;left:9687;top:2942;width:1007;height:391" coordorigin="9687,2942" coordsize="1007,391">
              <v:shape style="position:absolute;left:9687;top:2942;width:1007;height:391" coordorigin="9687,2942" coordsize="1007,391" path="m9687,3333l10693,3333,10693,2942,9687,2942,9687,3333xe" filled="true" fillcolor="#d2d2d2" stroked="false">
                <v:path arrowok="t"/>
                <v:fill type="solid"/>
              </v:shape>
            </v:group>
            <v:group style="position:absolute;left:8590;top:2815;width:1052;height:2" coordorigin="8590,2815" coordsize="1052,2">
              <v:shape style="position:absolute;left:8590;top:2815;width:1052;height:2" coordorigin="8590,2815" coordsize="1052,0" path="m8590,2815l9642,2815e" filled="false" stroked="true" strokeweight=".75pt" strokecolor="#000000">
                <v:path arrowok="t"/>
              </v:shape>
            </v:group>
            <v:group style="position:absolute;left:9657;top:2815;width:1052;height:2" coordorigin="9657,2815" coordsize="1052,2">
              <v:shape style="position:absolute;left:9657;top:2815;width:1052;height:2" coordorigin="9657,2815" coordsize="1052,0" path="m9657,2815l10708,2815e" filled="false" stroked="true" strokeweight=".75pt" strokecolor="#000000">
                <v:path arrowok="t"/>
              </v:shape>
            </v:group>
            <v:group style="position:absolute;left:1134;top:360;width:2;height:3093" coordorigin="1134,360" coordsize="2,3093">
              <v:shape style="position:absolute;left:1134;top:360;width:2;height:3093" coordorigin="1134,360" coordsize="0,3093" path="m1134,360l1134,3453e" filled="false" stroked="true" strokeweight=".75pt" strokecolor="#000000">
                <v:path arrowok="t"/>
              </v:shape>
            </v:group>
            <v:group style="position:absolute;left:1142;top:3445;width:1187;height:2" coordorigin="1142,3445" coordsize="1187,2">
              <v:shape style="position:absolute;left:1142;top:3445;width:1187;height:2" coordorigin="1142,3445" coordsize="1187,0" path="m1142,3445l2328,3445e" filled="false" stroked="true" strokeweight=".75pt" strokecolor="#000000">
                <v:path arrowok="t"/>
              </v:shape>
            </v:group>
            <v:group style="position:absolute;left:2336;top:2417;width:2;height:1036" coordorigin="2336,2417" coordsize="2,1036">
              <v:shape style="position:absolute;left:2336;top:2417;width:2;height:1036" coordorigin="2336,2417" coordsize="0,1036" path="m2336,2417l2336,3453e" filled="false" stroked="true" strokeweight=".75pt" strokecolor="#000000">
                <v:path arrowok="t"/>
              </v:shape>
            </v:group>
            <v:group style="position:absolute;left:2343;top:3445;width:1187;height:2" coordorigin="2343,3445" coordsize="1187,2">
              <v:shape style="position:absolute;left:2343;top:3445;width:1187;height:2" coordorigin="2343,3445" coordsize="1187,0" path="m2343,3445l3530,3445e" filled="false" stroked="true" strokeweight=".75pt" strokecolor="#000000">
                <v:path arrowok="t"/>
              </v:shape>
            </v:group>
            <v:group style="position:absolute;left:3537;top:2417;width:2;height:1036" coordorigin="3537,2417" coordsize="2,1036">
              <v:shape style="position:absolute;left:3537;top:2417;width:2;height:1036" coordorigin="3537,2417" coordsize="0,1036" path="m3537,2417l3537,3453e" filled="false" stroked="true" strokeweight=".75pt" strokecolor="#000000">
                <v:path arrowok="t"/>
              </v:shape>
            </v:group>
            <v:group style="position:absolute;left:3545;top:3445;width:916;height:2" coordorigin="3545,3445" coordsize="916,2">
              <v:shape style="position:absolute;left:3545;top:3445;width:916;height:2" coordorigin="3545,3445" coordsize="916,0" path="m3545,3445l4461,3445e" filled="false" stroked="true" strokeweight=".75pt" strokecolor="#000000">
                <v:path arrowok="t"/>
              </v:shape>
            </v:group>
            <v:group style="position:absolute;left:4468;top:2417;width:2;height:1036" coordorigin="4468,2417" coordsize="2,1036">
              <v:shape style="position:absolute;left:4468;top:2417;width:2;height:1036" coordorigin="4468,2417" coordsize="0,1036" path="m4468,2417l4468,3453e" filled="false" stroked="true" strokeweight=".75pt" strokecolor="#000000">
                <v:path arrowok="t"/>
              </v:shape>
            </v:group>
            <v:group style="position:absolute;left:4476;top:3445;width:1052;height:2" coordorigin="4476,3445" coordsize="1052,2">
              <v:shape style="position:absolute;left:4476;top:3445;width:1052;height:2" coordorigin="4476,3445" coordsize="1052,0" path="m4476,3445l5527,3445e" filled="false" stroked="true" strokeweight=".75pt" strokecolor="#000000">
                <v:path arrowok="t"/>
              </v:shape>
            </v:group>
            <v:group style="position:absolute;left:5534;top:2417;width:2;height:1036" coordorigin="5534,2417" coordsize="2,1036">
              <v:shape style="position:absolute;left:5534;top:2417;width:2;height:1036" coordorigin="5534,2417" coordsize="0,1036" path="m5534,2417l5534,3453e" filled="false" stroked="true" strokeweight=".75pt" strokecolor="#000000">
                <v:path arrowok="t"/>
              </v:shape>
            </v:group>
            <v:group style="position:absolute;left:5542;top:3445;width:1051;height:2" coordorigin="5542,3445" coordsize="1051,2">
              <v:shape style="position:absolute;left:5542;top:3445;width:1051;height:2" coordorigin="5542,3445" coordsize="1051,0" path="m5542,3445l6593,3445e" filled="false" stroked="true" strokeweight=".75pt" strokecolor="#000000">
                <v:path arrowok="t"/>
              </v:shape>
            </v:group>
            <v:group style="position:absolute;left:6601;top:2417;width:2;height:1036" coordorigin="6601,2417" coordsize="2,1036">
              <v:shape style="position:absolute;left:6601;top:2417;width:2;height:1036" coordorigin="6601,2417" coordsize="0,1036" path="m6601,2417l6601,3453e" filled="false" stroked="true" strokeweight=".77502pt" strokecolor="#000000">
                <v:path arrowok="t"/>
              </v:shape>
            </v:group>
            <v:group style="position:absolute;left:6609;top:3445;width:1036;height:2" coordorigin="6609,3445" coordsize="1036,2">
              <v:shape style="position:absolute;left:6609;top:3445;width:1036;height:2" coordorigin="6609,3445" coordsize="1036,0" path="m6609,3445l7645,3445e" filled="false" stroked="true" strokeweight=".75pt" strokecolor="#000000">
                <v:path arrowok="t"/>
              </v:shape>
            </v:group>
            <v:group style="position:absolute;left:7652;top:2417;width:2;height:1036" coordorigin="7652,2417" coordsize="2,1036">
              <v:shape style="position:absolute;left:7652;top:2417;width:2;height:1036" coordorigin="7652,2417" coordsize="0,1036" path="m7652,2417l7652,3453e" filled="false" stroked="true" strokeweight=".75pt" strokecolor="#000000">
                <v:path arrowok="t"/>
              </v:shape>
            </v:group>
            <v:group style="position:absolute;left:7660;top:3445;width:916;height:2" coordorigin="7660,3445" coordsize="916,2">
              <v:shape style="position:absolute;left:7660;top:3445;width:916;height:2" coordorigin="7660,3445" coordsize="916,0" path="m7660,3445l8576,3445e" filled="false" stroked="true" strokeweight=".75pt" strokecolor="#000000">
                <v:path arrowok="t"/>
              </v:shape>
            </v:group>
            <v:group style="position:absolute;left:8583;top:2417;width:2;height:1036" coordorigin="8583,2417" coordsize="2,1036">
              <v:shape style="position:absolute;left:8583;top:2417;width:2;height:1036" coordorigin="8583,2417" coordsize="0,1036" path="m8583,2417l8583,3453e" filled="false" stroked="true" strokeweight=".75pt" strokecolor="#000000">
                <v:path arrowok="t"/>
              </v:shape>
            </v:group>
            <v:group style="position:absolute;left:8590;top:3445;width:1052;height:2" coordorigin="8590,3445" coordsize="1052,2">
              <v:shape style="position:absolute;left:8590;top:3445;width:1052;height:2" coordorigin="8590,3445" coordsize="1052,0" path="m8590,3445l9642,3445e" filled="false" stroked="true" strokeweight=".75pt" strokecolor="#000000">
                <v:path arrowok="t"/>
              </v:shape>
            </v:group>
            <v:group style="position:absolute;left:9649;top:2807;width:2;height:646" coordorigin="9649,2807" coordsize="2,646">
              <v:shape style="position:absolute;left:9649;top:2807;width:2;height:646" coordorigin="9649,2807" coordsize="0,646" path="m9649,2807l9649,3453e" filled="false" stroked="true" strokeweight=".75pt" strokecolor="#000000">
                <v:path arrowok="t"/>
              </v:shape>
            </v:group>
            <v:group style="position:absolute;left:9657;top:3445;width:1052;height:2" coordorigin="9657,3445" coordsize="1052,2">
              <v:shape style="position:absolute;left:9657;top:3445;width:1052;height:2" coordorigin="9657,3445" coordsize="1052,0" path="m9657,3445l10708,3445e" filled="false" stroked="true" strokeweight=".75pt" strokecolor="#000000">
                <v:path arrowok="t"/>
              </v:shape>
            </v:group>
            <v:group style="position:absolute;left:10716;top:360;width:2;height:3093" coordorigin="10716,360" coordsize="2,3093">
              <v:shape style="position:absolute;left:10716;top:360;width:2;height:3093" coordorigin="10716,360" coordsize="0,3093" path="m10716,360l10716,3453e" filled="false" stroked="true" strokeweight=".75pt" strokecolor="#000000">
                <v:path arrowok="t"/>
              </v:shape>
            </v:group>
            <w10:wrap type="none"/>
          </v:group>
        </w:pict>
      </w:r>
      <w:r>
        <w:rPr/>
        <w:t>单位：股</w:t>
      </w:r>
    </w:p>
    <w:p>
      <w:pPr>
        <w:spacing w:line="240" w:lineRule="auto" w:before="1"/>
        <w:rPr>
          <w:rFonts w:ascii="宋体" w:hAnsi="宋体" w:cs="宋体" w:eastAsia="宋体" w:hint="default"/>
          <w:sz w:val="10"/>
          <w:szCs w:val="10"/>
        </w:rPr>
      </w:pPr>
    </w:p>
    <w:tbl>
      <w:tblPr>
        <w:tblW w:w="0" w:type="auto"/>
        <w:jc w:val="left"/>
        <w:tblInd w:w="133" w:type="dxa"/>
        <w:tblLayout w:type="fixed"/>
        <w:tblCellMar>
          <w:top w:w="0" w:type="dxa"/>
          <w:left w:w="0" w:type="dxa"/>
          <w:bottom w:w="0" w:type="dxa"/>
          <w:right w:w="0" w:type="dxa"/>
        </w:tblCellMar>
        <w:tblLook w:val="01E0"/>
      </w:tblPr>
      <w:tblGrid>
        <w:gridCol w:w="1202"/>
        <w:gridCol w:w="1205"/>
        <w:gridCol w:w="927"/>
        <w:gridCol w:w="1066"/>
        <w:gridCol w:w="1103"/>
        <w:gridCol w:w="1026"/>
        <w:gridCol w:w="912"/>
        <w:gridCol w:w="1074"/>
        <w:gridCol w:w="1066"/>
      </w:tblGrid>
      <w:tr>
        <w:trPr>
          <w:trHeight w:val="1479" w:hRule="exact"/>
        </w:trPr>
        <w:tc>
          <w:tcPr>
            <w:tcW w:w="1202"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7" w:lineRule="auto"/>
              <w:ind w:left="22" w:right="98"/>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5" w:type="dxa"/>
            <w:tcBorders>
              <w:top w:val="nil" w:sz="6" w:space="0" w:color="auto"/>
              <w:left w:val="nil" w:sz="6" w:space="0" w:color="auto"/>
              <w:bottom w:val="nil" w:sz="6" w:space="0" w:color="auto"/>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683" w:right="0"/>
              <w:jc w:val="left"/>
              <w:rPr>
                <w:rFonts w:ascii="Times New Roman" w:hAnsi="Times New Roman" w:cs="Times New Roman" w:eastAsia="Times New Roman" w:hint="default"/>
                <w:sz w:val="18"/>
                <w:szCs w:val="18"/>
              </w:rPr>
            </w:pPr>
            <w:r>
              <w:rPr>
                <w:rFonts w:ascii="Times New Roman"/>
                <w:sz w:val="18"/>
              </w:rPr>
              <w:t>18,265</w:t>
            </w:r>
          </w:p>
        </w:tc>
        <w:tc>
          <w:tcPr>
            <w:tcW w:w="92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16" w:lineRule="auto" w:before="52"/>
              <w:ind w:left="11" w:right="180"/>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w:t>
            </w:r>
          </w:p>
          <w:p>
            <w:pPr>
              <w:pStyle w:val="TableParagraph"/>
              <w:spacing w:line="235" w:lineRule="exact" w:before="7"/>
              <w:ind w:left="11" w:right="0"/>
              <w:jc w:val="both"/>
              <w:rPr>
                <w:rFonts w:ascii="宋体" w:hAnsi="宋体" w:cs="宋体" w:eastAsia="宋体" w:hint="default"/>
                <w:sz w:val="18"/>
                <w:szCs w:val="18"/>
              </w:rPr>
            </w:pPr>
            <w:r>
              <w:rPr>
                <w:rFonts w:ascii="宋体" w:hAnsi="宋体" w:cs="宋体" w:eastAsia="宋体" w:hint="default"/>
                <w:sz w:val="18"/>
                <w:szCs w:val="18"/>
              </w:rPr>
              <w:t>东总数</w:t>
            </w:r>
          </w:p>
        </w:tc>
        <w:tc>
          <w:tcPr>
            <w:tcW w:w="1066" w:type="dxa"/>
            <w:tcBorders>
              <w:top w:val="nil" w:sz="6" w:space="0" w:color="auto"/>
              <w:left w:val="single" w:sz="12" w:space="0" w:color="000000"/>
              <w:bottom w:val="nil" w:sz="6" w:space="0" w:color="auto"/>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17" w:right="0"/>
              <w:jc w:val="left"/>
              <w:rPr>
                <w:rFonts w:ascii="Times New Roman" w:hAnsi="Times New Roman" w:cs="Times New Roman" w:eastAsia="Times New Roman" w:hint="default"/>
                <w:sz w:val="18"/>
                <w:szCs w:val="18"/>
              </w:rPr>
            </w:pPr>
            <w:r>
              <w:rPr>
                <w:rFonts w:ascii="Times New Roman"/>
                <w:sz w:val="18"/>
              </w:rPr>
              <w:t>18,964</w:t>
            </w:r>
          </w:p>
        </w:tc>
        <w:tc>
          <w:tcPr>
            <w:tcW w:w="11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16" w:lineRule="auto" w:before="52"/>
              <w:ind w:left="15" w:right="170"/>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20" w:lineRule="exact" w:before="22"/>
              <w:ind w:left="15"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26" w:type="dxa"/>
            <w:tcBorders>
              <w:top w:val="nil" w:sz="6" w:space="0" w:color="auto"/>
              <w:left w:val="single" w:sz="18" w:space="0" w:color="D2D2D2"/>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w:t>
            </w:r>
          </w:p>
        </w:tc>
        <w:tc>
          <w:tcPr>
            <w:tcW w:w="1986" w:type="dxa"/>
            <w:gridSpan w:val="2"/>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21" w:lineRule="auto"/>
              <w:ind w:left="26" w:right="67"/>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73" w:hRule="exact"/>
        </w:trPr>
        <w:tc>
          <w:tcPr>
            <w:tcW w:w="1202" w:type="dxa"/>
            <w:tcBorders>
              <w:top w:val="nil" w:sz="6" w:space="0" w:color="auto"/>
              <w:left w:val="nil" w:sz="6" w:space="0" w:color="auto"/>
              <w:bottom w:val="nil" w:sz="6" w:space="0" w:color="auto"/>
              <w:right w:val="nil" w:sz="6" w:space="0" w:color="auto"/>
            </w:tcBorders>
            <w:shd w:val="clear" w:color="auto" w:fill="D2D2D2"/>
          </w:tcPr>
          <w:p>
            <w:pPr/>
          </w:p>
        </w:tc>
        <w:tc>
          <w:tcPr>
            <w:tcW w:w="1205" w:type="dxa"/>
            <w:tcBorders>
              <w:top w:val="nil" w:sz="6" w:space="0" w:color="auto"/>
              <w:left w:val="nil" w:sz="6" w:space="0" w:color="auto"/>
              <w:bottom w:val="nil" w:sz="6" w:space="0" w:color="auto"/>
              <w:right w:val="single" w:sz="12" w:space="0" w:color="000000"/>
            </w:tcBorders>
          </w:tcPr>
          <w:p>
            <w:pPr/>
          </w:p>
        </w:tc>
        <w:tc>
          <w:tcPr>
            <w:tcW w:w="927" w:type="dxa"/>
            <w:tcBorders>
              <w:top w:val="nil" w:sz="6" w:space="0" w:color="auto"/>
              <w:left w:val="single" w:sz="6" w:space="0" w:color="000000"/>
              <w:bottom w:val="nil" w:sz="6" w:space="0" w:color="auto"/>
              <w:right w:val="single" w:sz="6" w:space="0" w:color="000000"/>
            </w:tcBorders>
            <w:shd w:val="clear" w:color="auto" w:fill="D2D2D2"/>
          </w:tcPr>
          <w:p>
            <w:pPr/>
          </w:p>
        </w:tc>
        <w:tc>
          <w:tcPr>
            <w:tcW w:w="1066" w:type="dxa"/>
            <w:tcBorders>
              <w:top w:val="nil" w:sz="6" w:space="0" w:color="auto"/>
              <w:left w:val="single" w:sz="12" w:space="0" w:color="000000"/>
              <w:bottom w:val="nil" w:sz="6" w:space="0" w:color="auto"/>
              <w:right w:val="single" w:sz="12" w:space="0" w:color="000000"/>
            </w:tcBorders>
          </w:tcPr>
          <w:p>
            <w:pPr/>
          </w:p>
        </w:tc>
        <w:tc>
          <w:tcPr>
            <w:tcW w:w="1103" w:type="dxa"/>
            <w:tcBorders>
              <w:top w:val="nil" w:sz="6" w:space="0" w:color="auto"/>
              <w:left w:val="single" w:sz="6" w:space="0" w:color="000000"/>
              <w:bottom w:val="nil" w:sz="6" w:space="0" w:color="auto"/>
              <w:right w:val="single" w:sz="6" w:space="0" w:color="000000"/>
            </w:tcBorders>
            <w:shd w:val="clear" w:color="auto" w:fill="D2D2D2"/>
          </w:tcPr>
          <w:p>
            <w:pPr/>
          </w:p>
        </w:tc>
        <w:tc>
          <w:tcPr>
            <w:tcW w:w="1026" w:type="dxa"/>
            <w:tcBorders>
              <w:top w:val="nil" w:sz="6" w:space="0" w:color="auto"/>
              <w:left w:val="single" w:sz="18" w:space="0" w:color="D2D2D2"/>
              <w:bottom w:val="nil" w:sz="6" w:space="0" w:color="auto"/>
              <w:right w:val="nil" w:sz="6" w:space="0" w:color="auto"/>
            </w:tcBorders>
          </w:tcPr>
          <w:p>
            <w:pPr/>
          </w:p>
        </w:tc>
        <w:tc>
          <w:tcPr>
            <w:tcW w:w="1986" w:type="dxa"/>
            <w:gridSpan w:val="2"/>
            <w:tcBorders>
              <w:top w:val="nil" w:sz="6" w:space="0" w:color="auto"/>
              <w:left w:val="nil" w:sz="6" w:space="0" w:color="auto"/>
              <w:bottom w:val="nil" w:sz="6" w:space="0" w:color="auto"/>
              <w:right w:val="nil" w:sz="6" w:space="0" w:color="auto"/>
            </w:tcBorders>
            <w:shd w:val="clear" w:color="auto" w:fill="D2D2D2"/>
          </w:tcPr>
          <w:p>
            <w:pPr/>
          </w:p>
        </w:tc>
        <w:tc>
          <w:tcPr>
            <w:tcW w:w="1066" w:type="dxa"/>
            <w:tcBorders>
              <w:top w:val="nil" w:sz="6" w:space="0" w:color="auto"/>
              <w:left w:val="nil" w:sz="6" w:space="0" w:color="auto"/>
              <w:bottom w:val="nil" w:sz="6" w:space="0" w:color="auto"/>
              <w:right w:val="nil" w:sz="6" w:space="0" w:color="auto"/>
            </w:tcBorders>
          </w:tcPr>
          <w:p>
            <w:pPr/>
          </w:p>
        </w:tc>
      </w:tr>
      <w:tr>
        <w:trPr>
          <w:trHeight w:val="405" w:hRule="exact"/>
        </w:trPr>
        <w:tc>
          <w:tcPr>
            <w:tcW w:w="9582" w:type="dxa"/>
            <w:gridSpan w:val="9"/>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7"/>
              <w:ind w:left="3056"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名股东持股情况</w:t>
            </w:r>
          </w:p>
        </w:tc>
      </w:tr>
      <w:tr>
        <w:trPr>
          <w:trHeight w:val="265" w:hRule="exact"/>
        </w:trPr>
        <w:tc>
          <w:tcPr>
            <w:tcW w:w="1202" w:type="dxa"/>
            <w:tcBorders>
              <w:top w:val="nil" w:sz="6" w:space="0" w:color="auto"/>
              <w:left w:val="nil" w:sz="6" w:space="0" w:color="auto"/>
              <w:bottom w:val="nil" w:sz="6" w:space="0" w:color="auto"/>
              <w:right w:val="nil" w:sz="6" w:space="0" w:color="auto"/>
            </w:tcBorders>
            <w:shd w:val="clear" w:color="auto" w:fill="D2D2D2"/>
          </w:tcPr>
          <w:p>
            <w:pPr/>
          </w:p>
        </w:tc>
        <w:tc>
          <w:tcPr>
            <w:tcW w:w="1205" w:type="dxa"/>
            <w:tcBorders>
              <w:top w:val="nil" w:sz="6" w:space="0" w:color="auto"/>
              <w:left w:val="nil" w:sz="6" w:space="0" w:color="auto"/>
              <w:bottom w:val="nil" w:sz="6" w:space="0" w:color="auto"/>
              <w:right w:val="nil" w:sz="6" w:space="0" w:color="auto"/>
            </w:tcBorders>
            <w:shd w:val="clear" w:color="auto" w:fill="D2D2D2"/>
          </w:tcPr>
          <w:p>
            <w:pPr/>
          </w:p>
        </w:tc>
        <w:tc>
          <w:tcPr>
            <w:tcW w:w="927" w:type="dxa"/>
            <w:tcBorders>
              <w:top w:val="nil" w:sz="6" w:space="0" w:color="auto"/>
              <w:left w:val="nil" w:sz="6" w:space="0" w:color="auto"/>
              <w:bottom w:val="nil" w:sz="6" w:space="0" w:color="auto"/>
              <w:right w:val="nil" w:sz="6" w:space="0" w:color="auto"/>
            </w:tcBorders>
            <w:shd w:val="clear" w:color="auto" w:fill="D2D2D2"/>
          </w:tcPr>
          <w:p>
            <w:pPr/>
          </w:p>
        </w:tc>
        <w:tc>
          <w:tcPr>
            <w:tcW w:w="1066" w:type="dxa"/>
            <w:tcBorders>
              <w:top w:val="nil" w:sz="6" w:space="0" w:color="auto"/>
              <w:left w:val="nil" w:sz="6" w:space="0" w:color="auto"/>
              <w:bottom w:val="nil" w:sz="6" w:space="0" w:color="auto"/>
              <w:right w:val="nil" w:sz="6" w:space="0" w:color="auto"/>
            </w:tcBorders>
            <w:shd w:val="clear" w:color="auto" w:fill="D2D2D2"/>
          </w:tcPr>
          <w:p>
            <w:pPr/>
          </w:p>
        </w:tc>
        <w:tc>
          <w:tcPr>
            <w:tcW w:w="1103" w:type="dxa"/>
            <w:tcBorders>
              <w:top w:val="nil" w:sz="6" w:space="0" w:color="auto"/>
              <w:left w:val="nil" w:sz="6" w:space="0" w:color="auto"/>
              <w:bottom w:val="nil" w:sz="6" w:space="0" w:color="auto"/>
              <w:right w:val="nil" w:sz="6" w:space="0" w:color="auto"/>
            </w:tcBorders>
            <w:shd w:val="clear" w:color="auto" w:fill="D2D2D2"/>
          </w:tcPr>
          <w:p>
            <w:pPr/>
          </w:p>
        </w:tc>
        <w:tc>
          <w:tcPr>
            <w:tcW w:w="1026" w:type="dxa"/>
            <w:vMerge w:val="restart"/>
            <w:tcBorders>
              <w:top w:val="nil" w:sz="6" w:space="0" w:color="auto"/>
              <w:left w:val="nil" w:sz="6" w:space="0" w:color="auto"/>
              <w:right w:val="nil" w:sz="6" w:space="0" w:color="auto"/>
            </w:tcBorders>
            <w:shd w:val="clear" w:color="auto" w:fill="D2D2D2"/>
          </w:tcPr>
          <w:p>
            <w:pPr>
              <w:pStyle w:val="TableParagraph"/>
              <w:spacing w:line="321" w:lineRule="auto" w:before="37"/>
              <w:ind w:left="31" w:right="92"/>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12" w:type="dxa"/>
            <w:vMerge w:val="restart"/>
            <w:tcBorders>
              <w:top w:val="nil" w:sz="6" w:space="0" w:color="auto"/>
              <w:left w:val="nil" w:sz="6" w:space="0" w:color="auto"/>
              <w:right w:val="nil" w:sz="6" w:space="0" w:color="auto"/>
            </w:tcBorders>
            <w:shd w:val="clear" w:color="auto" w:fill="D2D2D2"/>
          </w:tcPr>
          <w:p>
            <w:pPr>
              <w:pStyle w:val="TableParagraph"/>
              <w:spacing w:line="321" w:lineRule="auto" w:before="37"/>
              <w:ind w:left="101" w:right="88"/>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40" w:type="dxa"/>
            <w:gridSpan w:val="2"/>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37"/>
              <w:ind w:left="45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338" w:hRule="exact"/>
        </w:trPr>
        <w:tc>
          <w:tcPr>
            <w:tcW w:w="1202"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87"/>
              <w:ind w:left="23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87"/>
              <w:ind w:left="24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7"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87"/>
              <w:ind w:left="9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6" w:type="dxa"/>
            <w:vMerge w:val="restart"/>
            <w:tcBorders>
              <w:top w:val="nil" w:sz="6" w:space="0" w:color="auto"/>
              <w:left w:val="nil" w:sz="6" w:space="0" w:color="auto"/>
              <w:right w:val="nil" w:sz="6" w:space="0" w:color="auto"/>
            </w:tcBorders>
            <w:shd w:val="clear" w:color="auto" w:fill="D2D2D2"/>
          </w:tcPr>
          <w:p>
            <w:pPr>
              <w:pStyle w:val="TableParagraph"/>
              <w:spacing w:line="173" w:lineRule="exact"/>
              <w:ind w:right="29"/>
              <w:jc w:val="center"/>
              <w:rPr>
                <w:rFonts w:ascii="宋体" w:hAnsi="宋体" w:cs="宋体" w:eastAsia="宋体" w:hint="default"/>
                <w:sz w:val="18"/>
                <w:szCs w:val="18"/>
              </w:rPr>
            </w:pPr>
            <w:r>
              <w:rPr>
                <w:rFonts w:ascii="宋体" w:hAnsi="宋体" w:cs="宋体" w:eastAsia="宋体" w:hint="default"/>
                <w:sz w:val="18"/>
                <w:szCs w:val="18"/>
              </w:rPr>
              <w:t>报告期末持</w:t>
            </w:r>
          </w:p>
          <w:p>
            <w:pPr>
              <w:pStyle w:val="TableParagraph"/>
              <w:spacing w:line="240" w:lineRule="auto" w:before="65"/>
              <w:ind w:right="28"/>
              <w:jc w:val="center"/>
              <w:rPr>
                <w:rFonts w:ascii="宋体" w:hAnsi="宋体" w:cs="宋体" w:eastAsia="宋体" w:hint="default"/>
                <w:sz w:val="18"/>
                <w:szCs w:val="18"/>
              </w:rPr>
            </w:pPr>
            <w:r>
              <w:rPr>
                <w:rFonts w:ascii="宋体" w:hAnsi="宋体" w:cs="宋体" w:eastAsia="宋体" w:hint="default"/>
                <w:sz w:val="18"/>
                <w:szCs w:val="18"/>
              </w:rPr>
              <w:t>股数量</w:t>
            </w:r>
          </w:p>
        </w:tc>
        <w:tc>
          <w:tcPr>
            <w:tcW w:w="1103" w:type="dxa"/>
            <w:vMerge w:val="restart"/>
            <w:tcBorders>
              <w:top w:val="nil" w:sz="6" w:space="0" w:color="auto"/>
              <w:left w:val="nil" w:sz="6" w:space="0" w:color="auto"/>
              <w:right w:val="nil" w:sz="6" w:space="0" w:color="auto"/>
            </w:tcBorders>
            <w:shd w:val="clear" w:color="auto" w:fill="D2D2D2"/>
          </w:tcPr>
          <w:p>
            <w:pPr>
              <w:pStyle w:val="TableParagraph"/>
              <w:spacing w:line="173" w:lineRule="exact"/>
              <w:ind w:left="67" w:right="0"/>
              <w:jc w:val="left"/>
              <w:rPr>
                <w:rFonts w:ascii="宋体" w:hAnsi="宋体" w:cs="宋体" w:eastAsia="宋体" w:hint="default"/>
                <w:sz w:val="18"/>
                <w:szCs w:val="18"/>
              </w:rPr>
            </w:pPr>
            <w:r>
              <w:rPr>
                <w:rFonts w:ascii="宋体" w:hAnsi="宋体" w:cs="宋体" w:eastAsia="宋体" w:hint="default"/>
                <w:sz w:val="18"/>
                <w:szCs w:val="18"/>
              </w:rPr>
              <w:t>报告期内增</w:t>
            </w:r>
          </w:p>
          <w:p>
            <w:pPr>
              <w:pStyle w:val="TableParagraph"/>
              <w:spacing w:line="240" w:lineRule="auto" w:before="65"/>
              <w:ind w:left="67" w:right="0"/>
              <w:jc w:val="left"/>
              <w:rPr>
                <w:rFonts w:ascii="宋体" w:hAnsi="宋体" w:cs="宋体" w:eastAsia="宋体" w:hint="default"/>
                <w:sz w:val="18"/>
                <w:szCs w:val="18"/>
              </w:rPr>
            </w:pPr>
            <w:r>
              <w:rPr>
                <w:rFonts w:ascii="宋体" w:hAnsi="宋体" w:cs="宋体" w:eastAsia="宋体" w:hint="default"/>
                <w:sz w:val="18"/>
                <w:szCs w:val="18"/>
              </w:rPr>
              <w:t>减变动情况</w:t>
            </w:r>
          </w:p>
        </w:tc>
        <w:tc>
          <w:tcPr>
            <w:tcW w:w="1026" w:type="dxa"/>
            <w:vMerge/>
            <w:tcBorders>
              <w:left w:val="nil" w:sz="6" w:space="0" w:color="auto"/>
              <w:right w:val="nil" w:sz="6" w:space="0" w:color="auto"/>
            </w:tcBorders>
            <w:shd w:val="clear" w:color="auto" w:fill="D2D2D2"/>
          </w:tcPr>
          <w:p>
            <w:pPr/>
          </w:p>
        </w:tc>
        <w:tc>
          <w:tcPr>
            <w:tcW w:w="912" w:type="dxa"/>
            <w:vMerge/>
            <w:tcBorders>
              <w:left w:val="nil" w:sz="6" w:space="0" w:color="auto"/>
              <w:right w:val="nil" w:sz="6" w:space="0" w:color="auto"/>
            </w:tcBorders>
            <w:shd w:val="clear" w:color="auto" w:fill="D2D2D2"/>
          </w:tcPr>
          <w:p>
            <w:pPr/>
          </w:p>
        </w:tc>
        <w:tc>
          <w:tcPr>
            <w:tcW w:w="1074" w:type="dxa"/>
            <w:tcBorders>
              <w:top w:val="nil" w:sz="6" w:space="0" w:color="auto"/>
              <w:left w:val="nil" w:sz="6" w:space="0" w:color="auto"/>
              <w:bottom w:val="nil" w:sz="6" w:space="0" w:color="auto"/>
              <w:right w:val="nil" w:sz="6" w:space="0" w:color="auto"/>
            </w:tcBorders>
            <w:shd w:val="clear" w:color="auto" w:fill="D2D2D2"/>
          </w:tcPr>
          <w:p>
            <w:pPr/>
          </w:p>
        </w:tc>
        <w:tc>
          <w:tcPr>
            <w:tcW w:w="1066" w:type="dxa"/>
            <w:tcBorders>
              <w:top w:val="nil" w:sz="6" w:space="0" w:color="auto"/>
              <w:left w:val="nil" w:sz="6" w:space="0" w:color="auto"/>
              <w:bottom w:val="nil" w:sz="6" w:space="0" w:color="auto"/>
              <w:right w:val="nil" w:sz="6" w:space="0" w:color="auto"/>
            </w:tcBorders>
            <w:shd w:val="clear" w:color="auto" w:fill="D2D2D2"/>
          </w:tcPr>
          <w:p>
            <w:pPr/>
          </w:p>
        </w:tc>
      </w:tr>
      <w:tr>
        <w:trPr>
          <w:trHeight w:val="417" w:hRule="exact"/>
        </w:trPr>
        <w:tc>
          <w:tcPr>
            <w:tcW w:w="1202" w:type="dxa"/>
            <w:tcBorders>
              <w:top w:val="nil" w:sz="6" w:space="0" w:color="auto"/>
              <w:left w:val="nil" w:sz="6" w:space="0" w:color="auto"/>
              <w:bottom w:val="nil" w:sz="6" w:space="0" w:color="auto"/>
              <w:right w:val="nil" w:sz="6" w:space="0" w:color="auto"/>
            </w:tcBorders>
            <w:shd w:val="clear" w:color="auto" w:fill="D2D2D2"/>
          </w:tcPr>
          <w:p>
            <w:pPr/>
          </w:p>
        </w:tc>
        <w:tc>
          <w:tcPr>
            <w:tcW w:w="1205" w:type="dxa"/>
            <w:tcBorders>
              <w:top w:val="nil" w:sz="6" w:space="0" w:color="auto"/>
              <w:left w:val="nil" w:sz="6" w:space="0" w:color="auto"/>
              <w:bottom w:val="nil" w:sz="6" w:space="0" w:color="auto"/>
              <w:right w:val="nil" w:sz="6" w:space="0" w:color="auto"/>
            </w:tcBorders>
            <w:shd w:val="clear" w:color="auto" w:fill="D2D2D2"/>
          </w:tcPr>
          <w:p>
            <w:pPr/>
          </w:p>
        </w:tc>
        <w:tc>
          <w:tcPr>
            <w:tcW w:w="927" w:type="dxa"/>
            <w:tcBorders>
              <w:top w:val="nil" w:sz="6" w:space="0" w:color="auto"/>
              <w:left w:val="nil" w:sz="6" w:space="0" w:color="auto"/>
              <w:bottom w:val="nil" w:sz="6" w:space="0" w:color="auto"/>
              <w:right w:val="nil" w:sz="6" w:space="0" w:color="auto"/>
            </w:tcBorders>
            <w:shd w:val="clear" w:color="auto" w:fill="D2D2D2"/>
          </w:tcPr>
          <w:p>
            <w:pPr/>
          </w:p>
        </w:tc>
        <w:tc>
          <w:tcPr>
            <w:tcW w:w="1066" w:type="dxa"/>
            <w:vMerge/>
            <w:tcBorders>
              <w:left w:val="nil" w:sz="6" w:space="0" w:color="auto"/>
              <w:bottom w:val="nil" w:sz="6" w:space="0" w:color="auto"/>
              <w:right w:val="nil" w:sz="6" w:space="0" w:color="auto"/>
            </w:tcBorders>
            <w:shd w:val="clear" w:color="auto" w:fill="D2D2D2"/>
          </w:tcPr>
          <w:p>
            <w:pPr/>
          </w:p>
        </w:tc>
        <w:tc>
          <w:tcPr>
            <w:tcW w:w="1103" w:type="dxa"/>
            <w:vMerge/>
            <w:tcBorders>
              <w:left w:val="nil" w:sz="6" w:space="0" w:color="auto"/>
              <w:bottom w:val="nil" w:sz="6" w:space="0" w:color="auto"/>
              <w:right w:val="nil" w:sz="6" w:space="0" w:color="auto"/>
            </w:tcBorders>
            <w:shd w:val="clear" w:color="auto" w:fill="D2D2D2"/>
          </w:tcPr>
          <w:p>
            <w:pPr/>
          </w:p>
        </w:tc>
        <w:tc>
          <w:tcPr>
            <w:tcW w:w="1026" w:type="dxa"/>
            <w:vMerge/>
            <w:tcBorders>
              <w:left w:val="nil" w:sz="6" w:space="0" w:color="auto"/>
              <w:bottom w:val="nil" w:sz="6" w:space="0" w:color="auto"/>
              <w:right w:val="nil" w:sz="6" w:space="0" w:color="auto"/>
            </w:tcBorders>
            <w:shd w:val="clear" w:color="auto" w:fill="D2D2D2"/>
          </w:tcPr>
          <w:p>
            <w:pPr/>
          </w:p>
        </w:tc>
        <w:tc>
          <w:tcPr>
            <w:tcW w:w="912" w:type="dxa"/>
            <w:vMerge/>
            <w:tcBorders>
              <w:left w:val="nil" w:sz="6" w:space="0" w:color="auto"/>
              <w:bottom w:val="nil" w:sz="6" w:space="0" w:color="auto"/>
              <w:right w:val="nil" w:sz="6" w:space="0" w:color="auto"/>
            </w:tcBorders>
            <w:shd w:val="clear" w:color="auto" w:fill="D2D2D2"/>
          </w:tcPr>
          <w:p>
            <w:pPr/>
          </w:p>
        </w:tc>
        <w:tc>
          <w:tcPr>
            <w:tcW w:w="107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95" w:lineRule="exact"/>
              <w:ind w:left="18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6"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95" w:lineRule="exact"/>
              <w:ind w:left="353" w:right="0"/>
              <w:jc w:val="left"/>
              <w:rPr>
                <w:rFonts w:ascii="宋体" w:hAnsi="宋体" w:cs="宋体" w:eastAsia="宋体" w:hint="default"/>
                <w:sz w:val="18"/>
                <w:szCs w:val="18"/>
              </w:rPr>
            </w:pPr>
            <w:r>
              <w:rPr>
                <w:rFonts w:ascii="宋体" w:hAnsi="宋体" w:cs="宋体" w:eastAsia="宋体" w:hint="default"/>
                <w:sz w:val="18"/>
                <w:szCs w:val="18"/>
              </w:rPr>
              <w:t>数量</w:t>
            </w:r>
          </w:p>
        </w:tc>
      </w:tr>
    </w:tbl>
    <w:p>
      <w:pPr>
        <w:spacing w:after="0" w:line="195" w:lineRule="exact"/>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02"/>
        <w:gridCol w:w="1202"/>
        <w:gridCol w:w="931"/>
        <w:gridCol w:w="1066"/>
        <w:gridCol w:w="1066"/>
        <w:gridCol w:w="1051"/>
        <w:gridCol w:w="931"/>
        <w:gridCol w:w="1067"/>
        <w:gridCol w:w="1066"/>
      </w:tblGrid>
      <w:tr>
        <w:trPr>
          <w:trHeight w:val="7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102"/>
              <w:ind w:left="15" w:right="100"/>
              <w:jc w:val="left"/>
              <w:rPr>
                <w:rFonts w:ascii="Times New Roman" w:hAnsi="Times New Roman" w:cs="Times New Roman" w:eastAsia="Times New Roman" w:hint="default"/>
                <w:sz w:val="18"/>
                <w:szCs w:val="18"/>
              </w:rPr>
            </w:pPr>
            <w:r>
              <w:rPr>
                <w:rFonts w:ascii="Times New Roman"/>
                <w:spacing w:val="-9"/>
                <w:sz w:val="18"/>
              </w:rPr>
              <w:t>Yue</w:t>
            </w:r>
            <w:r>
              <w:rPr>
                <w:rFonts w:ascii="Times New Roman"/>
                <w:sz w:val="18"/>
              </w:rPr>
              <w:t> Qi Capital</w:t>
            </w:r>
            <w:r>
              <w:rPr>
                <w:rFonts w:ascii="Times New Roman"/>
                <w:spacing w:val="-43"/>
                <w:sz w:val="18"/>
              </w:rPr>
              <w:t> </w:t>
            </w:r>
            <w:r>
              <w:rPr>
                <w:rFonts w:ascii="Times New Roman"/>
                <w:spacing w:val="-43"/>
                <w:sz w:val="18"/>
              </w:rPr>
            </w:r>
            <w:r>
              <w:rPr>
                <w:rFonts w:ascii="Times New Roman"/>
                <w:spacing w:val="-3"/>
                <w:sz w:val="18"/>
              </w:rPr>
              <w:t>Limited</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14.71%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100,096,560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100,096,560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89"/>
              <w:jc w:val="left"/>
              <w:rPr>
                <w:rFonts w:ascii="宋体" w:hAnsi="宋体" w:cs="宋体" w:eastAsia="宋体" w:hint="default"/>
                <w:sz w:val="18"/>
                <w:szCs w:val="18"/>
              </w:rPr>
            </w:pPr>
            <w:r>
              <w:rPr>
                <w:rFonts w:ascii="宋体" w:hAnsi="宋体" w:cs="宋体" w:eastAsia="宋体" w:hint="default"/>
                <w:sz w:val="18"/>
                <w:szCs w:val="18"/>
              </w:rPr>
              <w:t>无锡朴华股权 投资合伙企业</w:t>
            </w:r>
          </w:p>
          <w:p>
            <w:pPr>
              <w:pStyle w:val="TableParagraph"/>
              <w:spacing w:line="240" w:lineRule="auto" w:before="18"/>
              <w:ind w:left="15"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30" w:right="7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12.39%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84,268,440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84,268,440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66,380,000</w:t>
            </w: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上海云鑫创业 投资有限公司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7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11.38%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77,399,867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41,399,867</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41,399,867</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36,000,000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89"/>
              <w:jc w:val="left"/>
              <w:rPr>
                <w:rFonts w:ascii="宋体" w:hAnsi="宋体" w:cs="宋体" w:eastAsia="宋体" w:hint="default"/>
                <w:sz w:val="18"/>
                <w:szCs w:val="18"/>
              </w:rPr>
            </w:pPr>
            <w:r>
              <w:rPr>
                <w:rFonts w:ascii="宋体" w:hAnsi="宋体" w:cs="宋体" w:eastAsia="宋体" w:hint="default"/>
                <w:sz w:val="18"/>
                <w:szCs w:val="18"/>
              </w:rPr>
              <w:t>上海云钜创业 投资有限公司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7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6.22%</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42,328,042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42,328,042</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42,328,042</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国开博裕一期</w:t>
            </w:r>
          </w:p>
          <w:p>
            <w:pPr>
              <w:pStyle w:val="TableParagraph"/>
              <w:spacing w:line="321" w:lineRule="auto" w:before="64"/>
              <w:ind w:left="15" w:right="89"/>
              <w:jc w:val="left"/>
              <w:rPr>
                <w:rFonts w:ascii="宋体" w:hAnsi="宋体" w:cs="宋体" w:eastAsia="宋体" w:hint="default"/>
                <w:sz w:val="18"/>
                <w:szCs w:val="18"/>
              </w:rPr>
            </w:pPr>
            <w:r>
              <w:rPr>
                <w:rFonts w:ascii="宋体" w:hAnsi="宋体" w:cs="宋体" w:eastAsia="宋体" w:hint="default"/>
                <w:sz w:val="18"/>
                <w:szCs w:val="18"/>
              </w:rPr>
              <w:t>（上海）股权 投资合伙企业</w:t>
            </w:r>
          </w:p>
          <w:p>
            <w:pPr>
              <w:pStyle w:val="TableParagraph"/>
              <w:spacing w:line="240" w:lineRule="auto" w:before="18"/>
              <w:ind w:left="15"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53"/>
              <w:ind w:left="30" w:right="7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8"/>
              <w:jc w:val="right"/>
              <w:rPr>
                <w:rFonts w:ascii="Times New Roman" w:hAnsi="Times New Roman" w:cs="Times New Roman" w:eastAsia="Times New Roman" w:hint="default"/>
                <w:sz w:val="18"/>
                <w:szCs w:val="18"/>
              </w:rPr>
            </w:pPr>
            <w:r>
              <w:rPr>
                <w:rFonts w:ascii="Times New Roman"/>
                <w:w w:val="95"/>
                <w:sz w:val="18"/>
              </w:rPr>
              <w:t>5.03%</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30"/>
              <w:jc w:val="right"/>
              <w:rPr>
                <w:rFonts w:ascii="Times New Roman" w:hAnsi="Times New Roman" w:cs="Times New Roman" w:eastAsia="Times New Roman" w:hint="default"/>
                <w:sz w:val="18"/>
                <w:szCs w:val="18"/>
              </w:rPr>
            </w:pPr>
            <w:r>
              <w:rPr>
                <w:rFonts w:ascii="Times New Roman"/>
                <w:sz w:val="18"/>
              </w:rPr>
              <w:t>34,230,816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Times New Roman" w:hAnsi="Times New Roman" w:cs="Times New Roman" w:eastAsia="Times New Roman" w:hint="default"/>
                <w:sz w:val="18"/>
                <w:szCs w:val="18"/>
              </w:rPr>
            </w:pPr>
            <w:r>
              <w:rPr>
                <w:rFonts w:ascii="Times New Roman"/>
                <w:sz w:val="18"/>
              </w:rPr>
              <w:t>-19,679,184</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34,230,816</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89"/>
              <w:jc w:val="left"/>
              <w:rPr>
                <w:rFonts w:ascii="宋体" w:hAnsi="宋体" w:cs="宋体" w:eastAsia="宋体" w:hint="default"/>
                <w:sz w:val="18"/>
                <w:szCs w:val="18"/>
              </w:rPr>
            </w:pPr>
            <w:r>
              <w:rPr>
                <w:rFonts w:ascii="宋体" w:hAnsi="宋体" w:cs="宋体" w:eastAsia="宋体" w:hint="default"/>
                <w:sz w:val="18"/>
                <w:szCs w:val="18"/>
              </w:rPr>
              <w:t>无锡群英股权 投资合伙企业</w:t>
            </w:r>
          </w:p>
          <w:p>
            <w:pPr>
              <w:pStyle w:val="TableParagraph"/>
              <w:spacing w:line="240" w:lineRule="auto" w:before="3"/>
              <w:ind w:left="15"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30" w:right="7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4.96%</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33,760,080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33,760,080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33,760,080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27,952,300</w:t>
            </w: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3.69%</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25,122,671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25,122,671</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25,092,671</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89"/>
              <w:jc w:val="both"/>
              <w:rPr>
                <w:rFonts w:ascii="宋体" w:hAnsi="宋体" w:cs="宋体" w:eastAsia="宋体" w:hint="default"/>
                <w:sz w:val="18"/>
                <w:szCs w:val="18"/>
              </w:rPr>
            </w:pPr>
            <w:r>
              <w:rPr>
                <w:rFonts w:ascii="宋体" w:hAnsi="宋体" w:cs="宋体" w:eastAsia="宋体" w:hint="default"/>
                <w:sz w:val="18"/>
                <w:szCs w:val="18"/>
              </w:rPr>
              <w:t>无锡杰华投资 合伙企业（有 限合伙）</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30" w:right="7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3.42%</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23,232,751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23,232,751</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23,232,751</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无锡曦杰智诚 投资合伙企业</w:t>
            </w:r>
          </w:p>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30" w:right="7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3.35%</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22,785,185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22,785,185</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22,785,185</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89"/>
              <w:jc w:val="both"/>
              <w:rPr>
                <w:rFonts w:ascii="宋体" w:hAnsi="宋体" w:cs="宋体" w:eastAsia="宋体" w:hint="default"/>
                <w:sz w:val="18"/>
                <w:szCs w:val="18"/>
              </w:rPr>
            </w:pPr>
            <w:r>
              <w:rPr>
                <w:rFonts w:ascii="宋体" w:hAnsi="宋体" w:cs="宋体" w:eastAsia="宋体" w:hint="default"/>
                <w:sz w:val="18"/>
                <w:szCs w:val="18"/>
              </w:rPr>
              <w:t>无锡易朴投资 合伙企业（有 限合伙）</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30" w:right="7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3.32%</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22,581,746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22,581,746</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22,581,746</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40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30"/>
              <w:ind w:left="15" w:right="31"/>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w:t>
            </w:r>
          </w:p>
          <w:p>
            <w:pPr>
              <w:pStyle w:val="TableParagraph"/>
              <w:spacing w:line="236" w:lineRule="exact"/>
              <w:ind w:left="15"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179" w:type="dxa"/>
            <w:gridSpan w:val="7"/>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36" w:hRule="exact"/>
        </w:trPr>
        <w:tc>
          <w:tcPr>
            <w:tcW w:w="240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31"/>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9" w:type="dxa"/>
            <w:gridSpan w:val="7"/>
            <w:tcBorders>
              <w:top w:val="single" w:sz="6" w:space="0" w:color="000000"/>
              <w:left w:val="single" w:sz="12" w:space="0" w:color="000000"/>
              <w:bottom w:val="single" w:sz="6" w:space="0" w:color="000000"/>
              <w:right w:val="single" w:sz="6" w:space="0" w:color="000000"/>
            </w:tcBorders>
          </w:tcPr>
          <w:p>
            <w:pPr>
              <w:pStyle w:val="TableParagraph"/>
              <w:spacing w:line="314" w:lineRule="auto" w:before="45"/>
              <w:ind w:left="7" w:right="-52"/>
              <w:jc w:val="left"/>
              <w:rPr>
                <w:rFonts w:ascii="宋体" w:hAnsi="宋体" w:cs="宋体" w:eastAsia="宋体" w:hint="default"/>
                <w:sz w:val="18"/>
                <w:szCs w:val="18"/>
              </w:rPr>
            </w:pPr>
            <w:r>
              <w:rPr>
                <w:rFonts w:ascii="宋体" w:hAnsi="宋体" w:cs="宋体" w:eastAsia="宋体" w:hint="default"/>
                <w:spacing w:val="-9"/>
                <w:sz w:val="18"/>
                <w:szCs w:val="18"/>
              </w:rPr>
              <w:t>无锡朴华股权投资合伙企业（有限合伙）、无锡群英股权投资合伙企业（有限合伙）、徐长军、</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6"/>
                <w:sz w:val="18"/>
                <w:szCs w:val="18"/>
              </w:rPr>
              <w:t>无锡杰华投资合伙企业（有限合伙）、无锡曦杰智诚投资合伙企业（有限合伙）、无锡易朴投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资合伙企业（有限合伙）为一致行动人</w:t>
            </w:r>
          </w:p>
        </w:tc>
      </w:tr>
      <w:tr>
        <w:trPr>
          <w:trHeight w:val="391"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 w:right="15"/>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398" w:hRule="exact"/>
        </w:trPr>
        <w:tc>
          <w:tcPr>
            <w:tcW w:w="240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6" w:type="dxa"/>
            <w:gridSpan w:val="5"/>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15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06"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413" w:hRule="exact"/>
        </w:trPr>
        <w:tc>
          <w:tcPr>
            <w:tcW w:w="2403" w:type="dxa"/>
            <w:gridSpan w:val="2"/>
            <w:vMerge/>
            <w:tcBorders>
              <w:left w:val="single" w:sz="6" w:space="0" w:color="000000"/>
              <w:bottom w:val="single" w:sz="6" w:space="0" w:color="000000"/>
              <w:right w:val="single" w:sz="6" w:space="0" w:color="000000"/>
            </w:tcBorders>
            <w:shd w:val="clear" w:color="auto" w:fill="D2D2D2"/>
          </w:tcPr>
          <w:p>
            <w:pPr/>
          </w:p>
        </w:tc>
        <w:tc>
          <w:tcPr>
            <w:tcW w:w="5046" w:type="dxa"/>
            <w:gridSpan w:val="5"/>
            <w:vMerge/>
            <w:tcBorders>
              <w:left w:val="single" w:sz="6" w:space="0" w:color="000000"/>
              <w:bottom w:val="single" w:sz="6" w:space="0" w:color="000000"/>
              <w:right w:val="single" w:sz="6" w:space="0" w:color="000000"/>
            </w:tcBorders>
            <w:shd w:val="clear" w:color="auto" w:fill="D2D2D2"/>
          </w:tcPr>
          <w:p>
            <w:pP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21" w:hRule="exact"/>
        </w:trPr>
        <w:tc>
          <w:tcPr>
            <w:tcW w:w="2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上海云鑫创业投资有限公司</w:t>
            </w:r>
          </w:p>
        </w:tc>
        <w:tc>
          <w:tcPr>
            <w:tcW w:w="504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36,000,000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36,000,000</w:t>
            </w:r>
          </w:p>
        </w:tc>
      </w:tr>
      <w:tr>
        <w:trPr>
          <w:trHeight w:val="706" w:hRule="exact"/>
        </w:trPr>
        <w:tc>
          <w:tcPr>
            <w:tcW w:w="2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31"/>
              <w:jc w:val="left"/>
              <w:rPr>
                <w:rFonts w:ascii="宋体" w:hAnsi="宋体" w:cs="宋体" w:eastAsia="宋体" w:hint="default"/>
                <w:sz w:val="18"/>
                <w:szCs w:val="18"/>
              </w:rPr>
            </w:pPr>
            <w:r>
              <w:rPr>
                <w:rFonts w:ascii="宋体" w:hAnsi="宋体" w:cs="宋体" w:eastAsia="宋体" w:hint="default"/>
                <w:sz w:val="18"/>
                <w:szCs w:val="18"/>
              </w:rPr>
              <w:t>国开博裕一期（上海）股权投 资合伙企业（有限合伙）</w:t>
            </w:r>
          </w:p>
        </w:tc>
        <w:tc>
          <w:tcPr>
            <w:tcW w:w="504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34,230,816</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34,230,816</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403"/>
        <w:gridCol w:w="5046"/>
        <w:gridCol w:w="1067"/>
        <w:gridCol w:w="1066"/>
      </w:tblGrid>
      <w:tr>
        <w:trPr>
          <w:trHeight w:val="72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6,467,064</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6,467,064</w:t>
            </w:r>
          </w:p>
        </w:tc>
      </w:tr>
      <w:tr>
        <w:trPr>
          <w:trHeight w:val="1021"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31"/>
              <w:jc w:val="both"/>
              <w:rPr>
                <w:rFonts w:ascii="宋体" w:hAnsi="宋体" w:cs="宋体" w:eastAsia="宋体" w:hint="default"/>
                <w:sz w:val="18"/>
                <w:szCs w:val="18"/>
              </w:rPr>
            </w:pPr>
            <w:r>
              <w:rPr>
                <w:rFonts w:ascii="宋体" w:hAnsi="宋体" w:cs="宋体" w:eastAsia="宋体" w:hint="default"/>
                <w:sz w:val="18"/>
                <w:szCs w:val="18"/>
              </w:rPr>
              <w:t>上海浦东发展银行股份有限公 司－长信金利趋势混合型证券 投资基金</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3,255,500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3,255,500</w:t>
            </w:r>
          </w:p>
        </w:tc>
      </w:tr>
      <w:tr>
        <w:trPr>
          <w:trHeight w:val="72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基本养老保险基金三零三组合</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3,111,400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3,111,400</w:t>
            </w:r>
          </w:p>
        </w:tc>
      </w:tr>
      <w:tr>
        <w:trPr>
          <w:trHeight w:val="1021"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29"/>
              <w:jc w:val="both"/>
              <w:rPr>
                <w:rFonts w:ascii="宋体" w:hAnsi="宋体" w:cs="宋体" w:eastAsia="宋体" w:hint="default"/>
                <w:sz w:val="18"/>
                <w:szCs w:val="18"/>
              </w:rPr>
            </w:pPr>
            <w:r>
              <w:rPr>
                <w:rFonts w:ascii="宋体" w:hAnsi="宋体" w:cs="宋体" w:eastAsia="宋体" w:hint="default"/>
                <w:sz w:val="18"/>
                <w:szCs w:val="18"/>
              </w:rPr>
              <w:t>国寿养老策略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号股票型养老 金产品－中国工商银行股份有 限公司</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1,560,177</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1,560,177</w:t>
            </w:r>
          </w:p>
        </w:tc>
      </w:tr>
      <w:tr>
        <w:trPr>
          <w:trHeight w:val="1021"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31"/>
              <w:jc w:val="both"/>
              <w:rPr>
                <w:rFonts w:ascii="宋体" w:hAnsi="宋体" w:cs="宋体" w:eastAsia="宋体" w:hint="default"/>
                <w:sz w:val="18"/>
                <w:szCs w:val="18"/>
              </w:rPr>
            </w:pPr>
            <w:r>
              <w:rPr>
                <w:rFonts w:ascii="宋体" w:hAnsi="宋体" w:cs="宋体" w:eastAsia="宋体" w:hint="default"/>
                <w:sz w:val="18"/>
                <w:szCs w:val="18"/>
              </w:rPr>
              <w:t>中国农业银行股份有限公司－ 长信银利精选混合型证券投资 基金</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1,406,800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1,406,800</w:t>
            </w:r>
          </w:p>
        </w:tc>
      </w:tr>
      <w:tr>
        <w:trPr>
          <w:trHeight w:val="721"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赵玉霞</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1,210,125</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1,210,125</w:t>
            </w:r>
          </w:p>
        </w:tc>
      </w:tr>
      <w:tr>
        <w:trPr>
          <w:trHeight w:val="721"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海南华兴合创创业投资中心</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1,200,000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1,200,000</w:t>
            </w:r>
          </w:p>
        </w:tc>
      </w:tr>
      <w:tr>
        <w:trPr>
          <w:trHeight w:val="1021"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31"/>
              <w:jc w:val="both"/>
              <w:rPr>
                <w:rFonts w:ascii="宋体" w:hAnsi="宋体" w:cs="宋体" w:eastAsia="宋体" w:hint="default"/>
                <w:sz w:val="18"/>
                <w:szCs w:val="18"/>
              </w:rPr>
            </w:pPr>
            <w:r>
              <w:rPr>
                <w:rFonts w:ascii="宋体" w:hAnsi="宋体" w:cs="宋体" w:eastAsia="宋体" w:hint="default"/>
                <w:sz w:val="18"/>
                <w:szCs w:val="18"/>
              </w:rPr>
              <w:t>中国工商银行股份有限公司－ 易方达创业板交易型开放式指 数证券投资基金</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1,040,000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1,040,000</w:t>
            </w:r>
          </w:p>
        </w:tc>
      </w:tr>
      <w:tr>
        <w:trPr>
          <w:trHeight w:val="1336"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90"/>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w:t>
            </w:r>
          </w:p>
          <w:p>
            <w:pPr>
              <w:pStyle w:val="TableParagraph"/>
              <w:spacing w:line="290" w:lineRule="auto" w:before="66"/>
              <w:ind w:left="15" w:right="120"/>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97" w:lineRule="auto"/>
              <w:ind w:left="15" w:right="28"/>
              <w:jc w:val="both"/>
              <w:rPr>
                <w:rFonts w:ascii="宋体" w:hAnsi="宋体" w:cs="宋体" w:eastAsia="宋体" w:hint="default"/>
                <w:sz w:val="18"/>
                <w:szCs w:val="18"/>
              </w:rPr>
            </w:pPr>
            <w:r>
              <w:rPr>
                <w:rFonts w:ascii="宋体" w:hAnsi="宋体" w:cs="宋体" w:eastAsia="宋体" w:hint="default"/>
                <w:sz w:val="18"/>
                <w:szCs w:val="18"/>
              </w:rPr>
              <w:t>上述前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名无限售流通股东之间未知是否存在关联系或一致行动人；其与前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名股东中 </w:t>
            </w:r>
            <w:r>
              <w:rPr>
                <w:rFonts w:ascii="宋体" w:hAnsi="宋体" w:cs="宋体" w:eastAsia="宋体" w:hint="default"/>
                <w:spacing w:val="-3"/>
                <w:sz w:val="18"/>
                <w:szCs w:val="18"/>
              </w:rPr>
              <w:t>的公司内部股东之间不存在关联关系或一致行动人关系，与公司外部股东之间未知是否存在</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关联关系或一致行动人关系。</w:t>
            </w:r>
          </w:p>
        </w:tc>
      </w:tr>
      <w:tr>
        <w:trPr>
          <w:trHeight w:val="705"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31"/>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0"/>
                <w:sz w:val="18"/>
                <w:szCs w:val="18"/>
              </w:rPr>
              <w:t>明（如有）（参见注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公司股票不属于融资融券标的证券。</w:t>
            </w:r>
          </w:p>
        </w:tc>
      </w:tr>
    </w:tbl>
    <w:p>
      <w:pPr>
        <w:pStyle w:val="BodyText"/>
        <w:spacing w:line="240" w:lineRule="auto" w:before="60"/>
        <w:ind w:right="1105"/>
        <w:jc w:val="left"/>
      </w:pPr>
      <w:r>
        <w:rPr/>
        <w:t>公司前</w:t>
      </w:r>
      <w:r>
        <w:rPr>
          <w:spacing w:val="-45"/>
        </w:rPr>
        <w:t> </w:t>
      </w:r>
      <w:r>
        <w:rPr>
          <w:rFonts w:ascii="Times New Roman" w:hAnsi="Times New Roman" w:cs="Times New Roman" w:eastAsia="Times New Roman" w:hint="default"/>
        </w:rPr>
        <w:t>10 </w:t>
      </w:r>
      <w:r>
        <w:rPr/>
        <w:t>名普通股股东、前</w:t>
      </w:r>
      <w:r>
        <w:rPr>
          <w:spacing w:val="-43"/>
        </w:rPr>
        <w:t> </w:t>
      </w:r>
      <w:r>
        <w:rPr>
          <w:rFonts w:ascii="Times New Roman" w:hAnsi="Times New Roman" w:cs="Times New Roman" w:eastAsia="Times New Roman" w:hint="default"/>
        </w:rPr>
        <w:t>10 </w:t>
      </w:r>
      <w:r>
        <w:rPr/>
        <w:t>名无限售条件普通股股东在报告期内是否进行约定购回交易</w:t>
      </w:r>
    </w:p>
    <w:p>
      <w:pPr>
        <w:pStyle w:val="BodyText"/>
        <w:spacing w:line="240" w:lineRule="auto" w:before="111"/>
        <w:ind w:right="110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96"/>
        <w:ind w:right="1105"/>
        <w:jc w:val="left"/>
      </w:pPr>
      <w:r>
        <w:rPr/>
        <w:t>公司前</w:t>
      </w:r>
      <w:r>
        <w:rPr>
          <w:spacing w:val="-45"/>
        </w:rPr>
        <w:t> </w:t>
      </w:r>
      <w:r>
        <w:rPr>
          <w:rFonts w:ascii="Times New Roman" w:hAnsi="Times New Roman" w:cs="Times New Roman" w:eastAsia="Times New Roman" w:hint="default"/>
        </w:rPr>
        <w:t>10 </w:t>
      </w:r>
      <w:r>
        <w:rPr/>
        <w:t>名普通股股东、前</w:t>
      </w:r>
      <w:r>
        <w:rPr>
          <w:spacing w:val="-43"/>
        </w:rPr>
        <w:t> </w:t>
      </w:r>
      <w:r>
        <w:rPr>
          <w:rFonts w:ascii="Times New Roman" w:hAnsi="Times New Roman" w:cs="Times New Roman" w:eastAsia="Times New Roman" w:hint="default"/>
        </w:rPr>
        <w:t>10 </w:t>
      </w:r>
      <w:r>
        <w:rPr/>
        <w:t>名无限售条件普通股股东在报告期内未进行约定购回交易。</w:t>
      </w:r>
    </w:p>
    <w:p>
      <w:pPr>
        <w:spacing w:line="240" w:lineRule="auto" w:before="0"/>
        <w:rPr>
          <w:rFonts w:ascii="宋体" w:hAnsi="宋体" w:cs="宋体" w:eastAsia="宋体" w:hint="default"/>
          <w:sz w:val="18"/>
          <w:szCs w:val="18"/>
        </w:rPr>
      </w:pPr>
    </w:p>
    <w:p>
      <w:pPr>
        <w:pStyle w:val="Heading3"/>
        <w:spacing w:line="240" w:lineRule="auto" w:before="126"/>
        <w:ind w:right="1105"/>
        <w:jc w:val="left"/>
        <w:rPr>
          <w:b w:val="0"/>
          <w:bCs w:val="0"/>
        </w:rPr>
      </w:pPr>
      <w:bookmarkStart w:name="2、公司控股股东情况" w:id="113"/>
      <w:bookmarkEnd w:id="11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4"/>
          <w:szCs w:val="24"/>
        </w:rPr>
      </w:pPr>
    </w:p>
    <w:p>
      <w:pPr>
        <w:pStyle w:val="BodyText"/>
        <w:spacing w:line="352" w:lineRule="auto"/>
        <w:ind w:right="8589"/>
        <w:jc w:val="left"/>
      </w:pPr>
      <w:r>
        <w:rPr/>
        <w:t>控股股东性质：自然人控股 控股股东类型：法人</w:t>
      </w:r>
    </w:p>
    <w:p>
      <w:pPr>
        <w:spacing w:line="240" w:lineRule="auto" w:before="1"/>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207"/>
        <w:gridCol w:w="1788"/>
        <w:gridCol w:w="1592"/>
        <w:gridCol w:w="1757"/>
        <w:gridCol w:w="2238"/>
      </w:tblGrid>
      <w:tr>
        <w:trPr>
          <w:trHeight w:val="705"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96" w:right="59" w:hanging="751"/>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21" w:hRule="exact"/>
        </w:trPr>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95"/>
              <w:jc w:val="left"/>
              <w:rPr>
                <w:rFonts w:ascii="宋体" w:hAnsi="宋体" w:cs="宋体" w:eastAsia="宋体" w:hint="default"/>
                <w:sz w:val="18"/>
                <w:szCs w:val="18"/>
              </w:rPr>
            </w:pPr>
            <w:r>
              <w:rPr>
                <w:rFonts w:ascii="宋体" w:hAnsi="宋体" w:cs="宋体" w:eastAsia="宋体" w:hint="default"/>
                <w:sz w:val="18"/>
                <w:szCs w:val="18"/>
              </w:rPr>
              <w:t>无锡朴华股权投资合伙企 业（有限合伙）</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郑新标</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60"/>
              <w:jc w:val="center"/>
              <w:rPr>
                <w:rFonts w:ascii="Times New Roman" w:hAnsi="Times New Roman" w:cs="Times New Roman" w:eastAsia="Times New Roman" w:hint="default"/>
                <w:sz w:val="18"/>
                <w:szCs w:val="18"/>
              </w:rPr>
            </w:pPr>
            <w:r>
              <w:rPr>
                <w:rFonts w:ascii="Times New Roman"/>
                <w:sz w:val="18"/>
              </w:rPr>
              <w:t>913202000586011166</w:t>
            </w:r>
          </w:p>
        </w:tc>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32"/>
              <w:jc w:val="left"/>
              <w:rPr>
                <w:rFonts w:ascii="宋体" w:hAnsi="宋体" w:cs="宋体" w:eastAsia="宋体" w:hint="default"/>
                <w:sz w:val="18"/>
                <w:szCs w:val="18"/>
              </w:rPr>
            </w:pPr>
            <w:r>
              <w:rPr>
                <w:rFonts w:ascii="宋体" w:hAnsi="宋体" w:cs="宋体" w:eastAsia="宋体" w:hint="default"/>
                <w:sz w:val="18"/>
                <w:szCs w:val="18"/>
              </w:rPr>
              <w:t>从事非证券股权投资活动及 相关咨询业务。</w:t>
            </w:r>
          </w:p>
        </w:tc>
      </w:tr>
      <w:tr>
        <w:trPr>
          <w:trHeight w:val="705" w:hRule="exact"/>
        </w:trPr>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95"/>
              <w:jc w:val="left"/>
              <w:rPr>
                <w:rFonts w:ascii="宋体" w:hAnsi="宋体" w:cs="宋体" w:eastAsia="宋体" w:hint="default"/>
                <w:sz w:val="18"/>
                <w:szCs w:val="18"/>
              </w:rPr>
            </w:pPr>
            <w:r>
              <w:rPr>
                <w:rFonts w:ascii="宋体" w:hAnsi="宋体" w:cs="宋体" w:eastAsia="宋体" w:hint="default"/>
                <w:sz w:val="18"/>
                <w:szCs w:val="18"/>
              </w:rPr>
              <w:t>无锡群英股权投资合伙企 业（有限合伙）</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郑新标</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center"/>
              <w:rPr>
                <w:rFonts w:ascii="Times New Roman" w:hAnsi="Times New Roman" w:cs="Times New Roman" w:eastAsia="Times New Roman" w:hint="default"/>
                <w:sz w:val="18"/>
                <w:szCs w:val="18"/>
              </w:rPr>
            </w:pPr>
            <w:r>
              <w:rPr>
                <w:rFonts w:ascii="Times New Roman"/>
                <w:sz w:val="18"/>
              </w:rPr>
              <w:t>91320200058688039C</w:t>
            </w:r>
          </w:p>
        </w:tc>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32"/>
              <w:jc w:val="left"/>
              <w:rPr>
                <w:rFonts w:ascii="宋体" w:hAnsi="宋体" w:cs="宋体" w:eastAsia="宋体" w:hint="default"/>
                <w:sz w:val="18"/>
                <w:szCs w:val="18"/>
              </w:rPr>
            </w:pPr>
            <w:r>
              <w:rPr>
                <w:rFonts w:ascii="宋体" w:hAnsi="宋体" w:cs="宋体" w:eastAsia="宋体" w:hint="default"/>
                <w:sz w:val="18"/>
                <w:szCs w:val="18"/>
              </w:rPr>
              <w:t>从事非证券股权投资活动及 相关咨询业务。</w:t>
            </w:r>
          </w:p>
        </w:tc>
      </w:tr>
    </w:tbl>
    <w:p>
      <w:pPr>
        <w:spacing w:after="0" w:line="307"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10"/>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2192"/>
        <w:gridCol w:w="7389"/>
      </w:tblGrid>
      <w:tr>
        <w:trPr>
          <w:trHeight w:val="331" w:hRule="exact"/>
        </w:trPr>
        <w:tc>
          <w:tcPr>
            <w:tcW w:w="2192" w:type="dxa"/>
            <w:tcBorders>
              <w:top w:val="nil" w:sz="6" w:space="0" w:color="auto"/>
              <w:left w:val="nil" w:sz="6" w:space="0" w:color="auto"/>
              <w:bottom w:val="single" w:sz="6" w:space="0" w:color="000000"/>
              <w:right w:val="nil" w:sz="6" w:space="0" w:color="auto"/>
            </w:tcBorders>
          </w:tcPr>
          <w:p>
            <w:pPr/>
          </w:p>
        </w:tc>
        <w:tc>
          <w:tcPr>
            <w:tcW w:w="7389" w:type="dxa"/>
            <w:tcBorders>
              <w:top w:val="nil" w:sz="6" w:space="0" w:color="auto"/>
              <w:left w:val="nil" w:sz="6" w:space="0" w:color="auto"/>
              <w:bottom w:val="single" w:sz="6" w:space="0" w:color="000000"/>
              <w:right w:val="nil" w:sz="6" w:space="0" w:color="auto"/>
            </w:tcBorders>
          </w:tcPr>
          <w:p>
            <w:pPr/>
          </w:p>
        </w:tc>
      </w:tr>
      <w:tr>
        <w:trPr>
          <w:trHeight w:val="102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80"/>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5"/>
        <w:ind w:right="1105"/>
        <w:jc w:val="left"/>
      </w:pPr>
      <w:r>
        <w:rPr/>
        <w:pict>
          <v:group style="position:absolute;margin-left:55.575001pt;margin-top:-67.933273pt;width:485.85pt;height:.1pt;mso-position-horizontal-relative:page;mso-position-vertical-relative:paragraph;z-index:-1325392" coordorigin="1112,-1359" coordsize="9717,2">
            <v:shape style="position:absolute;left:1112;top:-1359;width:9717;height:2" coordorigin="1112,-1359" coordsize="9717,0" path="m1112,-1359l10829,-1359e" filled="false" stroked="true" strokeweight=".75pt" strokecolor="#000000">
              <v:path arrowok="t"/>
            </v:shape>
            <w10:wrap type="none"/>
          </v:group>
        </w:pict>
      </w:r>
      <w:r>
        <w:rPr/>
        <w:t>控股股东报告期内变更</w:t>
      </w:r>
    </w:p>
    <w:p>
      <w:pPr>
        <w:pStyle w:val="BodyText"/>
        <w:spacing w:line="333" w:lineRule="auto" w:before="124"/>
        <w:ind w:right="687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公司报告期控股股东未发生变更。</w:t>
      </w:r>
    </w:p>
    <w:p>
      <w:pPr>
        <w:spacing w:line="240" w:lineRule="auto" w:before="4"/>
        <w:rPr>
          <w:rFonts w:ascii="宋体" w:hAnsi="宋体" w:cs="宋体" w:eastAsia="宋体" w:hint="default"/>
          <w:sz w:val="23"/>
          <w:szCs w:val="23"/>
        </w:rPr>
      </w:pPr>
    </w:p>
    <w:p>
      <w:pPr>
        <w:pStyle w:val="Heading3"/>
        <w:spacing w:line="240" w:lineRule="auto"/>
        <w:ind w:right="1105"/>
        <w:jc w:val="left"/>
        <w:rPr>
          <w:b w:val="0"/>
          <w:bCs w:val="0"/>
        </w:rPr>
      </w:pPr>
      <w:bookmarkStart w:name="3、公司实际控制人及其一致行动人" w:id="114"/>
      <w:bookmarkEnd w:id="114"/>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1"/>
        <w:rPr>
          <w:rFonts w:ascii="宋体" w:hAnsi="宋体" w:cs="宋体" w:eastAsia="宋体" w:hint="default"/>
          <w:b/>
          <w:bCs/>
          <w:sz w:val="24"/>
          <w:szCs w:val="24"/>
        </w:rPr>
      </w:pPr>
    </w:p>
    <w:p>
      <w:pPr>
        <w:pStyle w:val="BodyText"/>
        <w:spacing w:line="367" w:lineRule="auto"/>
        <w:ind w:right="8409"/>
        <w:jc w:val="left"/>
      </w:pPr>
      <w:r>
        <w:rPr/>
        <w:t>实际控制人性质：境内自然人 实际控制人类型：自然人</w:t>
      </w: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2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021" w:right="107" w:hanging="902"/>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郑新标</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94"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报告期内，徐长军先生担任公司董事长；郑新标先生担任公司董事、总经理。</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05"/>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 市公司情况</w:t>
            </w:r>
          </w:p>
        </w:tc>
        <w:tc>
          <w:tcPr>
            <w:tcW w:w="7194"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9"/>
        <w:ind w:right="1105"/>
        <w:jc w:val="left"/>
      </w:pPr>
      <w:r>
        <w:rPr/>
        <w:t>实际控制人报告期内变更</w:t>
      </w:r>
    </w:p>
    <w:p>
      <w:pPr>
        <w:pStyle w:val="BodyText"/>
        <w:spacing w:line="316" w:lineRule="auto" w:before="125"/>
        <w:ind w:right="687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公司报告期实际控制人未发生变更。</w:t>
      </w:r>
    </w:p>
    <w:p>
      <w:pPr>
        <w:pStyle w:val="BodyText"/>
        <w:spacing w:line="240" w:lineRule="auto" w:before="67"/>
        <w:ind w:right="1105"/>
        <w:jc w:val="left"/>
      </w:pPr>
      <w:r>
        <w:rPr/>
        <w:t>公司与实际控制人之间的产权及控制关系的方框图</w:t>
      </w:r>
    </w:p>
    <w:p>
      <w:pPr>
        <w:spacing w:line="240" w:lineRule="auto" w:before="3"/>
        <w:rPr>
          <w:rFonts w:ascii="宋体" w:hAnsi="宋体" w:cs="宋体" w:eastAsia="宋体" w:hint="default"/>
          <w:sz w:val="27"/>
          <w:szCs w:val="27"/>
        </w:rPr>
      </w:pPr>
    </w:p>
    <w:p>
      <w:pPr>
        <w:spacing w:line="5115" w:lineRule="exact"/>
        <w:ind w:left="1340" w:right="0" w:firstLine="0"/>
        <w:rPr>
          <w:rFonts w:ascii="宋体" w:hAnsi="宋体" w:cs="宋体" w:eastAsia="宋体" w:hint="default"/>
          <w:sz w:val="20"/>
          <w:szCs w:val="20"/>
        </w:rPr>
      </w:pPr>
      <w:r>
        <w:rPr>
          <w:rFonts w:ascii="宋体" w:hAnsi="宋体" w:cs="宋体" w:eastAsia="宋体" w:hint="default"/>
          <w:position w:val="-101"/>
          <w:sz w:val="20"/>
          <w:szCs w:val="20"/>
        </w:rPr>
        <w:drawing>
          <wp:inline distT="0" distB="0" distL="0" distR="0">
            <wp:extent cx="4591050" cy="324802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20" cstate="print"/>
                    <a:stretch>
                      <a:fillRect/>
                    </a:stretch>
                  </pic:blipFill>
                  <pic:spPr>
                    <a:xfrm>
                      <a:off x="0" y="0"/>
                      <a:ext cx="4591050" cy="3248025"/>
                    </a:xfrm>
                    <a:prstGeom prst="rect">
                      <a:avLst/>
                    </a:prstGeom>
                  </pic:spPr>
                </pic:pic>
              </a:graphicData>
            </a:graphic>
          </wp:inline>
        </w:drawing>
      </w:r>
      <w:r>
        <w:rPr>
          <w:rFonts w:ascii="宋体" w:hAnsi="宋体" w:cs="宋体" w:eastAsia="宋体" w:hint="default"/>
          <w:position w:val="-101"/>
          <w:sz w:val="20"/>
          <w:szCs w:val="20"/>
        </w:rPr>
      </w:r>
    </w:p>
    <w:p>
      <w:pPr>
        <w:spacing w:line="240" w:lineRule="auto" w:before="12"/>
        <w:rPr>
          <w:rFonts w:ascii="宋体" w:hAnsi="宋体" w:cs="宋体" w:eastAsia="宋体" w:hint="default"/>
          <w:sz w:val="23"/>
          <w:szCs w:val="23"/>
        </w:rPr>
      </w:pPr>
    </w:p>
    <w:p>
      <w:pPr>
        <w:pStyle w:val="BodyText"/>
        <w:spacing w:line="240" w:lineRule="auto"/>
        <w:ind w:right="1105"/>
        <w:jc w:val="left"/>
      </w:pPr>
      <w:r>
        <w:rPr/>
        <w:t>实际控制人通过信托或其他资产管理方式控制公司</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240" w:lineRule="auto" w:before="44"/>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05"/>
        <w:jc w:val="left"/>
        <w:rPr>
          <w:b w:val="0"/>
          <w:bCs w:val="0"/>
        </w:rPr>
      </w:pPr>
      <w:bookmarkStart w:name="4、其他持股在10%以上的法人股东" w:id="115"/>
      <w:bookmarkEnd w:id="115"/>
      <w:r>
        <w:rPr>
          <w:b w:val="0"/>
          <w:bCs w:val="0"/>
        </w:rPr>
      </w: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2583"/>
        <w:gridCol w:w="1817"/>
        <w:gridCol w:w="1412"/>
        <w:gridCol w:w="1637"/>
        <w:gridCol w:w="2133"/>
      </w:tblGrid>
      <w:tr>
        <w:trPr>
          <w:trHeight w:val="721" w:hRule="exact"/>
        </w:trPr>
        <w:tc>
          <w:tcPr>
            <w:tcW w:w="25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36"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95" w:right="75" w:hanging="73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706" w:hRule="exact"/>
        </w:trPr>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pacing w:val="-9"/>
                <w:sz w:val="18"/>
              </w:rPr>
              <w:t>Yue </w:t>
            </w:r>
            <w:r>
              <w:rPr>
                <w:rFonts w:ascii="Times New Roman"/>
                <w:sz w:val="18"/>
              </w:rPr>
              <w:t>Qi Capital</w:t>
            </w:r>
            <w:r>
              <w:rPr>
                <w:rFonts w:ascii="Times New Roman"/>
                <w:spacing w:val="5"/>
                <w:sz w:val="18"/>
              </w:rPr>
              <w:t> </w:t>
            </w:r>
            <w:r>
              <w:rPr>
                <w:rFonts w:ascii="Times New Roman"/>
                <w:sz w:val="18"/>
              </w:rPr>
              <w:t>Limited</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何志成</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9,434,801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美元</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投资管理</w:t>
            </w:r>
          </w:p>
        </w:tc>
      </w:tr>
      <w:tr>
        <w:trPr>
          <w:trHeight w:val="720" w:hRule="exact"/>
        </w:trPr>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上海云鑫创业投资有限公司</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井贤栋</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145,178.2336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创业投资、投资咨询</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5、控股股东、实际控制人、重组方及其他承诺主体股份限制减持情况" w:id="116"/>
      <w:bookmarkEnd w:id="116"/>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355" w:right="1105"/>
        <w:jc w:val="left"/>
        <w:rPr>
          <w:b w:val="0"/>
          <w:bCs w:val="0"/>
        </w:rPr>
      </w:pPr>
      <w:bookmarkStart w:name="_TOC_250006" w:id="117"/>
      <w:bookmarkStart w:name="第七节优先股相关情况" w:id="118"/>
      <w:r>
        <w:rPr>
          <w:b w:val="0"/>
          <w:bCs w:val="0"/>
        </w:rPr>
      </w:r>
      <w:r>
        <w:rPr>
          <w:spacing w:val="5"/>
        </w:rPr>
        <w:t>第七节优先股相关情况</w:t>
      </w:r>
      <w:bookmarkEnd w:id="117"/>
      <w:r>
        <w:rPr>
          <w:b w:val="0"/>
          <w:bCs w:val="0"/>
          <w:spacing w:val="5"/>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33" w:lineRule="auto" w:before="44"/>
        <w:ind w:right="85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报告期公司不存在优先股。</w:t>
      </w:r>
    </w:p>
    <w:p>
      <w:pPr>
        <w:spacing w:after="0" w:line="333"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2709" w:right="1105"/>
        <w:jc w:val="left"/>
        <w:rPr>
          <w:b w:val="0"/>
          <w:bCs w:val="0"/>
        </w:rPr>
      </w:pPr>
      <w:bookmarkStart w:name="_TOC_250005" w:id="119"/>
      <w:bookmarkStart w:name="第八节可转换公司债券相关情况" w:id="120"/>
      <w:r>
        <w:rPr>
          <w:b w:val="0"/>
          <w:bCs w:val="0"/>
        </w:rPr>
      </w:r>
      <w:r>
        <w:rPr>
          <w:spacing w:val="5"/>
        </w:rPr>
        <w:t>第八节可转换公司债券相关情况</w:t>
      </w:r>
      <w:bookmarkEnd w:id="119"/>
      <w:r>
        <w:rPr>
          <w:b w:val="0"/>
          <w:bCs w:val="0"/>
          <w:spacing w:val="5"/>
        </w:rPr>
      </w:r>
    </w:p>
    <w:p>
      <w:pPr>
        <w:spacing w:line="240" w:lineRule="auto" w:before="7"/>
        <w:rPr>
          <w:rFonts w:ascii="宋体" w:hAnsi="宋体" w:cs="宋体" w:eastAsia="宋体" w:hint="default"/>
          <w:b/>
          <w:bCs/>
          <w:sz w:val="42"/>
          <w:szCs w:val="42"/>
        </w:rPr>
      </w:pPr>
    </w:p>
    <w:p>
      <w:pPr>
        <w:pStyle w:val="BodyText"/>
        <w:spacing w:line="333" w:lineRule="auto"/>
        <w:ind w:right="78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报告期公司不存在可转换公司债券。</w:t>
      </w:r>
    </w:p>
    <w:p>
      <w:pPr>
        <w:spacing w:after="0" w:line="333"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1748" w:right="1105"/>
        <w:jc w:val="left"/>
        <w:rPr>
          <w:b w:val="0"/>
          <w:bCs w:val="0"/>
        </w:rPr>
      </w:pPr>
      <w:bookmarkStart w:name="_TOC_250004" w:id="121"/>
      <w:bookmarkStart w:name="第九节董事、监事、高级管理人员和员工情况" w:id="122"/>
      <w:r>
        <w:rPr>
          <w:b w:val="0"/>
          <w:bCs w:val="0"/>
        </w:rPr>
      </w:r>
      <w:r>
        <w:rPr>
          <w:spacing w:val="5"/>
        </w:rPr>
        <w:t>第九节董事、监事、高级管理人员和员工情况</w:t>
      </w:r>
      <w:bookmarkEnd w:id="121"/>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1105"/>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1021"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29" w:right="29"/>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0" w:right="4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31"/>
              <w:ind w:left="12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44"/>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31"/>
              <w:ind w:left="1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3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21"/>
                <w:sz w:val="18"/>
                <w:szCs w:val="18"/>
              </w:rPr>
              <w:t>变动（股）</w:t>
            </w:r>
            <w:r>
              <w:rPr>
                <w:rFonts w:ascii="宋体" w:hAnsi="宋体" w:cs="宋体" w:eastAsia="宋体" w:hint="default"/>
                <w:sz w:val="18"/>
                <w:szCs w:val="18"/>
              </w:rPr>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43"/>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25,122,67</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25,122,67</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1</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张明平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1,750,000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46,600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1,796,600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郑新标</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0" w:right="29"/>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彭知平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30" w:right="29"/>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250,000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1,000,000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1,250,000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林栋梁</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倪行军</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穆钢</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谢德仁</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梅生伟</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林中</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1020"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赵国栋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焦国云</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390"/>
              <w:jc w:val="righ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350,000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350,000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王慎勇</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29"/>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250,000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1,000,000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1,250,000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鲁清芳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380,000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380,000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黄利洲</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戴清林</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万海艳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林乐</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侯立民</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翁朝伟</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80,000</w:t>
            </w:r>
          </w:p>
        </w:tc>
      </w:tr>
      <w:tr>
        <w:trPr>
          <w:trHeight w:val="70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328"/>
              <w:jc w:val="right"/>
              <w:rPr>
                <w:rFonts w:ascii="Times New Roman" w:hAnsi="Times New Roman" w:cs="Times New Roman" w:eastAsia="Times New Roman" w:hint="default"/>
                <w:sz w:val="18"/>
                <w:szCs w:val="18"/>
              </w:rPr>
            </w:pPr>
            <w:r>
              <w:rPr>
                <w:rFonts w:ascii="Times New Roman"/>
                <w:sz w:val="18"/>
              </w:rPr>
              <w:t>--</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3,080,000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27,169,27</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30,229,27</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04" w:lineRule="auto" w:before="59"/>
        <w:ind w:right="987"/>
        <w:jc w:val="left"/>
      </w:pPr>
      <w:r>
        <w:rPr/>
        <w:t>其中，徐长军、郑新标、焦国云、彭知平、王慎勇、鲁清芳、侯立民、翁朝伟分别间接持有公司股票，比例分别为</w:t>
      </w:r>
      <w:r>
        <w:rPr>
          <w:spacing w:val="-63"/>
        </w:rPr>
        <w:t> </w:t>
      </w:r>
      <w:r>
        <w:rPr>
          <w:rFonts w:ascii="Times New Roman" w:hAnsi="Times New Roman" w:cs="Times New Roman" w:eastAsia="Times New Roman" w:hint="default"/>
        </w:rPr>
        <w:t>14.77%</w:t>
      </w:r>
      <w:r>
        <w:rPr/>
        <w:t>、 </w:t>
      </w:r>
      <w:r>
        <w:rPr>
          <w:rFonts w:ascii="Times New Roman" w:hAnsi="Times New Roman" w:cs="Times New Roman" w:eastAsia="Times New Roman" w:hint="default"/>
        </w:rPr>
        <w:t>6.47%</w:t>
      </w:r>
      <w:r>
        <w:rPr/>
        <w:t>、</w:t>
      </w:r>
      <w:r>
        <w:rPr>
          <w:rFonts w:ascii="Times New Roman" w:hAnsi="Times New Roman" w:cs="Times New Roman" w:eastAsia="Times New Roman" w:hint="default"/>
        </w:rPr>
        <w:t>0.35%</w:t>
      </w:r>
      <w:r>
        <w:rPr/>
        <w:t>、</w:t>
      </w:r>
      <w:r>
        <w:rPr>
          <w:rFonts w:ascii="Times New Roman" w:hAnsi="Times New Roman" w:cs="Times New Roman" w:eastAsia="Times New Roman" w:hint="default"/>
        </w:rPr>
        <w:t>0.29%</w:t>
      </w:r>
      <w:r>
        <w:rPr/>
        <w:t>、</w:t>
      </w:r>
      <w:r>
        <w:rPr>
          <w:rFonts w:ascii="Times New Roman" w:hAnsi="Times New Roman" w:cs="Times New Roman" w:eastAsia="Times New Roman" w:hint="default"/>
        </w:rPr>
        <w:t>0.047%</w:t>
      </w:r>
      <w:r>
        <w:rPr/>
        <w:t>、</w:t>
      </w:r>
      <w:r>
        <w:rPr>
          <w:rFonts w:ascii="Times New Roman" w:hAnsi="Times New Roman" w:cs="Times New Roman" w:eastAsia="Times New Roman" w:hint="default"/>
        </w:rPr>
        <w:t>0.063%</w:t>
      </w:r>
      <w:r>
        <w:rPr/>
        <w:t>、</w:t>
      </w:r>
      <w:r>
        <w:rPr>
          <w:rFonts w:ascii="Times New Roman" w:hAnsi="Times New Roman" w:cs="Times New Roman" w:eastAsia="Times New Roman" w:hint="default"/>
        </w:rPr>
        <w:t>1.17%</w:t>
      </w:r>
      <w:r>
        <w:rPr/>
        <w:t>、</w:t>
      </w:r>
      <w:r>
        <w:rPr>
          <w:rFonts w:ascii="Times New Roman" w:hAnsi="Times New Roman" w:cs="Times New Roman" w:eastAsia="Times New Roman" w:hint="default"/>
        </w:rPr>
        <w:t>0.97%</w:t>
      </w:r>
      <w:r>
        <w:rPr/>
        <w:t>。</w:t>
      </w:r>
    </w:p>
    <w:p>
      <w:pPr>
        <w:spacing w:line="240" w:lineRule="auto" w:before="9"/>
        <w:rPr>
          <w:rFonts w:ascii="宋体" w:hAnsi="宋体" w:cs="宋体" w:eastAsia="宋体" w:hint="default"/>
          <w:sz w:val="19"/>
          <w:szCs w:val="19"/>
        </w:rPr>
      </w:pPr>
    </w:p>
    <w:p>
      <w:pPr>
        <w:pStyle w:val="Heading2"/>
        <w:spacing w:line="240" w:lineRule="auto"/>
        <w:ind w:right="1105"/>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5"/>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337"/>
        <w:gridCol w:w="1322"/>
        <w:gridCol w:w="1337"/>
        <w:gridCol w:w="1336"/>
        <w:gridCol w:w="4250"/>
      </w:tblGrid>
      <w:tr>
        <w:trPr>
          <w:trHeight w:val="390" w:hRule="exact"/>
        </w:trPr>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姓名</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日期</w:t>
            </w:r>
          </w:p>
        </w:tc>
        <w:tc>
          <w:tcPr>
            <w:tcW w:w="42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37"/>
        <w:gridCol w:w="1322"/>
        <w:gridCol w:w="1337"/>
        <w:gridCol w:w="1336"/>
        <w:gridCol w:w="4250"/>
      </w:tblGrid>
      <w:tr>
        <w:trPr>
          <w:trHeight w:val="720"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梅生伟</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05"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林中</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股东大会选举</w:t>
            </w:r>
          </w:p>
        </w:tc>
      </w:tr>
      <w:tr>
        <w:trPr>
          <w:trHeight w:val="721"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穆钢</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06"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谢德仁</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20"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林乐</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股东大会选举</w:t>
            </w:r>
          </w:p>
        </w:tc>
      </w:tr>
      <w:tr>
        <w:trPr>
          <w:trHeight w:val="721"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焦国云</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06"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侯立民</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董事会选举</w:t>
            </w:r>
          </w:p>
        </w:tc>
      </w:tr>
      <w:tr>
        <w:trPr>
          <w:trHeight w:val="706"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翁朝伟</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董事会选举</w:t>
            </w:r>
          </w:p>
        </w:tc>
      </w:tr>
    </w:tbl>
    <w:p>
      <w:pPr>
        <w:spacing w:line="240" w:lineRule="auto" w:before="12"/>
        <w:rPr>
          <w:rFonts w:ascii="宋体" w:hAnsi="宋体" w:cs="宋体" w:eastAsia="宋体" w:hint="default"/>
          <w:sz w:val="17"/>
          <w:szCs w:val="17"/>
        </w:rPr>
      </w:pPr>
    </w:p>
    <w:p>
      <w:pPr>
        <w:pStyle w:val="Heading2"/>
        <w:spacing w:line="240" w:lineRule="auto" w:before="26"/>
        <w:ind w:right="1105"/>
        <w:jc w:val="left"/>
        <w:rPr>
          <w:b w:val="0"/>
          <w:bCs w:val="0"/>
        </w:rPr>
      </w:pPr>
      <w:bookmarkStart w:name="三、任职情况" w:id="125"/>
      <w:bookmarkEnd w:id="125"/>
      <w:r>
        <w:rPr>
          <w:b w:val="0"/>
          <w:bCs w:val="0"/>
        </w:rPr>
      </w:r>
      <w:r>
        <w:rPr/>
        <w:t>三、任职情况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05"/>
        <w:jc w:val="left"/>
      </w:pPr>
      <w:r>
        <w:rPr/>
        <w:t>公司现任董事、监事、高级管理人员专业背景、主要工作经历以及目前在公司的主要职责</w:t>
      </w:r>
    </w:p>
    <w:p>
      <w:pPr>
        <w:pStyle w:val="BodyText"/>
        <w:spacing w:line="367" w:lineRule="auto" w:before="124"/>
        <w:ind w:right="4539"/>
        <w:jc w:val="left"/>
      </w:pPr>
      <w:r>
        <w:rPr/>
        <w:t>（一）董事会成员 本报告期，公司在任董事</w:t>
      </w:r>
      <w:r>
        <w:rPr>
          <w:rFonts w:ascii="Times New Roman" w:hAnsi="Times New Roman" w:cs="Times New Roman" w:eastAsia="Times New Roman" w:hint="default"/>
        </w:rPr>
        <w:t>8</w:t>
      </w:r>
      <w:r>
        <w:rPr/>
        <w:t>名，主要工作经历以及目前在公司的主要职责如下：</w:t>
      </w:r>
    </w:p>
    <w:p>
      <w:pPr>
        <w:pStyle w:val="BodyText"/>
        <w:spacing w:line="290" w:lineRule="auto" w:before="5"/>
        <w:ind w:left="501" w:right="1040" w:hanging="361"/>
        <w:jc w:val="both"/>
      </w:pPr>
      <w:r>
        <w:rPr>
          <w:rFonts w:ascii="宋体" w:hAnsi="宋体" w:cs="宋体" w:eastAsia="宋体" w:hint="default"/>
        </w:rPr>
        <w:t>1.</w:t>
      </w:r>
      <w:r>
        <w:rPr>
          <w:rFonts w:ascii="宋体" w:hAnsi="宋体" w:cs="宋体" w:eastAsia="宋体" w:hint="default"/>
          <w:spacing w:val="43"/>
        </w:rPr>
        <w:t> </w:t>
      </w:r>
      <w:r>
        <w:rPr>
          <w:spacing w:val="-4"/>
        </w:rPr>
        <w:t>徐长军，男，中国国籍，</w:t>
      </w:r>
      <w:r>
        <w:rPr>
          <w:rFonts w:ascii="Times New Roman" w:hAnsi="Times New Roman" w:cs="Times New Roman" w:eastAsia="Times New Roman" w:hint="default"/>
          <w:spacing w:val="-4"/>
        </w:rPr>
        <w:t>1964</w:t>
      </w:r>
      <w:r>
        <w:rPr>
          <w:spacing w:val="-4"/>
        </w:rPr>
        <w:t>年出生，无境外永久居留权，</w:t>
      </w:r>
      <w:r>
        <w:rPr>
          <w:rFonts w:ascii="Times New Roman" w:hAnsi="Times New Roman" w:cs="Times New Roman" w:eastAsia="Times New Roman" w:hint="default"/>
          <w:spacing w:val="-4"/>
        </w:rPr>
        <w:t>1989</w:t>
      </w:r>
      <w:r>
        <w:rPr>
          <w:spacing w:val="-4"/>
        </w:rPr>
        <w:t>年毕业于清华大学，硕士研究生学历。朗新科技创始人、</w:t>
      </w:r>
      <w:r>
        <w:rPr>
          <w:spacing w:val="-88"/>
        </w:rPr>
        <w:t> </w:t>
      </w:r>
      <w:r>
        <w:rPr>
          <w:spacing w:val="-88"/>
        </w:rPr>
      </w:r>
      <w:r>
        <w:rPr>
          <w:spacing w:val="-1"/>
        </w:rPr>
        <w:t>实际控制人之一，</w:t>
      </w:r>
      <w:r>
        <w:rPr>
          <w:rFonts w:ascii="Times New Roman" w:hAnsi="Times New Roman" w:cs="Times New Roman" w:eastAsia="Times New Roman" w:hint="default"/>
          <w:spacing w:val="-1"/>
        </w:rPr>
        <w:t>1989</w:t>
      </w:r>
      <w:r>
        <w:rPr>
          <w:spacing w:val="-1"/>
        </w:rPr>
        <w:t>至</w:t>
      </w:r>
      <w:r>
        <w:rPr>
          <w:rFonts w:ascii="Times New Roman" w:hAnsi="Times New Roman" w:cs="Times New Roman" w:eastAsia="Times New Roman" w:hint="default"/>
          <w:spacing w:val="-1"/>
        </w:rPr>
        <w:t>1996</w:t>
      </w:r>
      <w:r>
        <w:rPr>
          <w:spacing w:val="-1"/>
        </w:rPr>
        <w:t>年任职于华北计算机技术研究所；</w:t>
      </w:r>
      <w:r>
        <w:rPr>
          <w:rFonts w:ascii="Times New Roman" w:hAnsi="Times New Roman" w:cs="Times New Roman" w:eastAsia="Times New Roman" w:hint="default"/>
          <w:spacing w:val="-1"/>
        </w:rPr>
        <w:t>1996</w:t>
      </w:r>
      <w:r>
        <w:rPr>
          <w:spacing w:val="-1"/>
        </w:rPr>
        <w:t>年至今任职于朗新科技，现任朗新科技董事长，兼</w:t>
      </w:r>
      <w:r>
        <w:rPr/>
        <w:t> 任易视腾科技董事长、邦道科技董事长等职务。</w:t>
      </w:r>
    </w:p>
    <w:p>
      <w:pPr>
        <w:pStyle w:val="BodyText"/>
        <w:spacing w:line="288" w:lineRule="auto" w:before="101"/>
        <w:ind w:left="501" w:right="1094" w:hanging="361"/>
        <w:jc w:val="left"/>
      </w:pPr>
      <w:r>
        <w:rPr>
          <w:rFonts w:ascii="宋体" w:hAnsi="宋体" w:cs="宋体" w:eastAsia="宋体" w:hint="default"/>
        </w:rPr>
        <w:t>2.</w:t>
      </w:r>
      <w:r>
        <w:rPr>
          <w:rFonts w:ascii="宋体" w:hAnsi="宋体" w:cs="宋体" w:eastAsia="宋体" w:hint="default"/>
          <w:spacing w:val="1"/>
        </w:rPr>
        <w:t> </w:t>
      </w:r>
      <w:r>
        <w:rPr/>
        <w:t>张明平，男，中国国籍，</w:t>
      </w:r>
      <w:r>
        <w:rPr>
          <w:rFonts w:ascii="Times New Roman" w:hAnsi="Times New Roman" w:cs="Times New Roman" w:eastAsia="Times New Roman" w:hint="default"/>
        </w:rPr>
        <w:t>1962</w:t>
      </w:r>
      <w:r>
        <w:rPr/>
        <w:t>年出生，无境外永久居留权，本科学历。曾就职于中央组织部、中国国际人才交流中心、 </w:t>
      </w:r>
      <w:r>
        <w:rPr>
          <w:spacing w:val="-2"/>
        </w:rPr>
        <w:t>国家农业担保联盟公司等机构；</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月至今任朗新科技创新事业群总裁，</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月至今任朗新科技副董事长，兼任</w:t>
      </w:r>
      <w:r>
        <w:rPr/>
        <w:t> 邦道科技董事等职务。</w:t>
      </w:r>
    </w:p>
    <w:p>
      <w:pPr>
        <w:pStyle w:val="BodyText"/>
        <w:spacing w:line="290" w:lineRule="auto" w:before="104"/>
        <w:ind w:left="501" w:right="1114" w:hanging="361"/>
        <w:jc w:val="both"/>
      </w:pPr>
      <w:r>
        <w:rPr>
          <w:rFonts w:ascii="宋体" w:hAnsi="宋体" w:cs="宋体" w:eastAsia="宋体" w:hint="default"/>
        </w:rPr>
        <w:t>3.</w:t>
      </w:r>
      <w:r>
        <w:rPr>
          <w:rFonts w:ascii="宋体" w:hAnsi="宋体" w:cs="宋体" w:eastAsia="宋体" w:hint="default"/>
          <w:spacing w:val="11"/>
        </w:rPr>
        <w:t> </w:t>
      </w:r>
      <w:r>
        <w:rPr/>
        <w:t>郑新标，男，中国国籍，</w:t>
      </w:r>
      <w:r>
        <w:rPr>
          <w:rFonts w:ascii="Times New Roman" w:hAnsi="Times New Roman" w:cs="Times New Roman" w:eastAsia="Times New Roman" w:hint="default"/>
        </w:rPr>
        <w:t>1963</w:t>
      </w:r>
      <w:r>
        <w:rPr/>
        <w:t>年出生，无境外永久居留权，硕士研究生学历，高级工程师。朗新科技创始人、实际控制 </w:t>
      </w:r>
      <w:r>
        <w:rPr>
          <w:spacing w:val="-2"/>
        </w:rPr>
        <w:t>人之一。</w:t>
      </w:r>
      <w:r>
        <w:rPr>
          <w:rFonts w:ascii="Times New Roman" w:hAnsi="Times New Roman" w:cs="Times New Roman" w:eastAsia="Times New Roman" w:hint="default"/>
          <w:spacing w:val="-2"/>
        </w:rPr>
        <w:t>1987</w:t>
      </w:r>
      <w:r>
        <w:rPr>
          <w:spacing w:val="-2"/>
        </w:rPr>
        <w:t>年至</w:t>
      </w:r>
      <w:r>
        <w:rPr>
          <w:rFonts w:ascii="Times New Roman" w:hAnsi="Times New Roman" w:cs="Times New Roman" w:eastAsia="Times New Roman" w:hint="default"/>
          <w:spacing w:val="-2"/>
        </w:rPr>
        <w:t>1996</w:t>
      </w:r>
      <w:r>
        <w:rPr>
          <w:spacing w:val="-2"/>
        </w:rPr>
        <w:t>年任职于华北计算机技术研究所；</w:t>
      </w:r>
      <w:r>
        <w:rPr>
          <w:rFonts w:ascii="Times New Roman" w:hAnsi="Times New Roman" w:cs="Times New Roman" w:eastAsia="Times New Roman" w:hint="default"/>
          <w:spacing w:val="-2"/>
        </w:rPr>
        <w:t>1996</w:t>
      </w:r>
      <w:r>
        <w:rPr>
          <w:spacing w:val="-2"/>
        </w:rPr>
        <w:t>年至今任职于朗新科技，现任朗新科技董事、总经理，兼</w:t>
      </w:r>
      <w:r>
        <w:rPr/>
        <w:t> 任易视腾科技董事等职务。</w:t>
      </w:r>
    </w:p>
    <w:p>
      <w:pPr>
        <w:pStyle w:val="BodyText"/>
        <w:spacing w:line="304" w:lineRule="auto" w:before="102"/>
        <w:ind w:left="501" w:right="1126" w:hanging="361"/>
        <w:jc w:val="both"/>
      </w:pPr>
      <w:r>
        <w:rPr>
          <w:rFonts w:ascii="宋体" w:hAnsi="宋体" w:cs="宋体" w:eastAsia="宋体" w:hint="default"/>
        </w:rPr>
        <w:t>4.</w:t>
      </w:r>
      <w:r>
        <w:rPr>
          <w:rFonts w:ascii="宋体" w:hAnsi="宋体" w:cs="宋体" w:eastAsia="宋体" w:hint="default"/>
          <w:spacing w:val="26"/>
        </w:rPr>
        <w:t> </w:t>
      </w:r>
      <w:r>
        <w:rPr/>
        <w:t>彭知平，男，中国国籍，</w:t>
      </w:r>
      <w:r>
        <w:rPr>
          <w:rFonts w:ascii="Times New Roman" w:hAnsi="Times New Roman" w:cs="Times New Roman" w:eastAsia="Times New Roman" w:hint="default"/>
        </w:rPr>
        <w:t>1973</w:t>
      </w:r>
      <w:r>
        <w:rPr/>
        <w:t>年出生，无境外永久居留权，硕士研究生学历，</w:t>
      </w:r>
      <w:r>
        <w:rPr>
          <w:rFonts w:ascii="Times New Roman" w:hAnsi="Times New Roman" w:cs="Times New Roman" w:eastAsia="Times New Roman" w:hint="default"/>
        </w:rPr>
        <w:t>MBA</w:t>
      </w:r>
      <w:r>
        <w:rPr/>
        <w:t>。</w:t>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2010</w:t>
      </w:r>
      <w:r>
        <w:rPr/>
        <w:t>年历任北京朗新信</w:t>
      </w:r>
      <w:r>
        <w:rPr>
          <w:spacing w:val="-87"/>
        </w:rPr>
        <w:t> </w:t>
      </w:r>
      <w:r>
        <w:rPr>
          <w:spacing w:val="-2"/>
        </w:rPr>
        <w:t>息系统有限公司软件工程师、项目经理、部门经理、人力资源部经理、人力资源总监、副总裁。</w:t>
      </w:r>
      <w:r>
        <w:rPr>
          <w:rFonts w:ascii="Times New Roman" w:hAnsi="Times New Roman" w:cs="Times New Roman" w:eastAsia="Times New Roman" w:hint="default"/>
          <w:spacing w:val="-2"/>
        </w:rPr>
        <w:t>2011</w:t>
      </w:r>
      <w:r>
        <w:rPr>
          <w:spacing w:val="-2"/>
        </w:rPr>
        <w:t>年至今任朗新科技</w:t>
      </w:r>
      <w:r>
        <w:rPr/>
        <w:t> 副总经理；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月至今任朗新科技董事等职务。</w:t>
      </w:r>
    </w:p>
    <w:p>
      <w:pPr>
        <w:pStyle w:val="BodyText"/>
        <w:spacing w:line="290" w:lineRule="auto" w:before="42"/>
        <w:ind w:left="501" w:right="1111" w:hanging="361"/>
        <w:jc w:val="both"/>
      </w:pPr>
      <w:r>
        <w:rPr>
          <w:rFonts w:ascii="宋体" w:hAnsi="宋体" w:cs="宋体" w:eastAsia="宋体" w:hint="default"/>
        </w:rPr>
        <w:t>5.</w:t>
      </w:r>
      <w:r>
        <w:rPr>
          <w:rFonts w:ascii="宋体" w:hAnsi="宋体" w:cs="宋体" w:eastAsia="宋体" w:hint="default"/>
          <w:spacing w:val="42"/>
        </w:rPr>
        <w:t> </w:t>
      </w:r>
      <w:r>
        <w:rPr/>
        <w:t>倪行军，男，中国国籍，</w:t>
      </w:r>
      <w:r>
        <w:rPr>
          <w:rFonts w:ascii="Times New Roman" w:hAnsi="Times New Roman" w:cs="Times New Roman" w:eastAsia="Times New Roman" w:hint="default"/>
        </w:rPr>
        <w:t>1977</w:t>
      </w:r>
      <w:r>
        <w:rPr/>
        <w:t>年出生，无境外永久居留权，大学本科学历，中欧国际工商学院</w:t>
      </w:r>
      <w:r>
        <w:rPr>
          <w:rFonts w:ascii="Times New Roman" w:hAnsi="Times New Roman" w:cs="Times New Roman" w:eastAsia="Times New Roman" w:hint="default"/>
        </w:rPr>
        <w:t>EMBA</w:t>
      </w:r>
      <w:r>
        <w:rPr/>
        <w:t>硕士学位。历任杭 </w:t>
      </w:r>
      <w:r>
        <w:rPr>
          <w:spacing w:val="-2"/>
        </w:rPr>
        <w:t>州天地网络技术有限公司工程师，绍兴星河网络技术有限公司技术部负责人，华东医药股份有限公司工程师，阿里巴巴</w:t>
      </w:r>
    </w:p>
    <w:p>
      <w:pPr>
        <w:pStyle w:val="BodyText"/>
        <w:spacing w:line="276" w:lineRule="auto" w:before="56"/>
        <w:ind w:left="501" w:right="1105"/>
        <w:jc w:val="left"/>
      </w:pPr>
      <w:r>
        <w:rPr>
          <w:spacing w:val="-2"/>
        </w:rPr>
        <w:t>集团控股有限公司（包括下属子公司）工程师，浙江蚂蚁小微金融服务集团有限公司（包括下属子公司）工程师。</w:t>
      </w:r>
      <w:r>
        <w:rPr>
          <w:rFonts w:ascii="Times New Roman" w:hAnsi="Times New Roman" w:cs="Times New Roman" w:eastAsia="Times New Roman" w:hint="default"/>
          <w:spacing w:val="-2"/>
        </w:rPr>
        <w:t>2005</w:t>
      </w:r>
      <w:r>
        <w:rPr>
          <w:rFonts w:ascii="Times New Roman" w:hAnsi="Times New Roman" w:cs="Times New Roman" w:eastAsia="Times New Roman" w:hint="default"/>
          <w:spacing w:val="-17"/>
        </w:rPr>
        <w:t> </w:t>
      </w:r>
      <w:r>
        <w:rPr>
          <w:spacing w:val="-2"/>
        </w:rPr>
        <w:t>年至今在蚂蚁金融服务集团（包括前身浙江阿里巴巴电子商务有限公司及下属子公司）任职，现任蚂蚁金服支付宝事业</w:t>
      </w:r>
    </w:p>
    <w:p>
      <w:pPr>
        <w:pStyle w:val="BodyText"/>
        <w:spacing w:line="240" w:lineRule="auto" w:before="68"/>
        <w:ind w:left="501" w:right="1105"/>
        <w:jc w:val="left"/>
      </w:pPr>
      <w:r>
        <w:rPr/>
        <w:t>群总裁。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月至今任朗新科技董事。</w:t>
      </w:r>
    </w:p>
    <w:p>
      <w:pPr>
        <w:pStyle w:val="BodyText"/>
        <w:spacing w:line="290" w:lineRule="auto" w:before="111"/>
        <w:ind w:left="501" w:right="1127" w:hanging="361"/>
        <w:jc w:val="both"/>
      </w:pPr>
      <w:r>
        <w:rPr>
          <w:rFonts w:ascii="宋体" w:hAnsi="宋体" w:cs="宋体" w:eastAsia="宋体" w:hint="default"/>
        </w:rPr>
        <w:t>6.</w:t>
      </w:r>
      <w:r>
        <w:rPr>
          <w:rFonts w:ascii="宋体" w:hAnsi="宋体" w:cs="宋体" w:eastAsia="宋体" w:hint="default"/>
          <w:spacing w:val="6"/>
        </w:rPr>
        <w:t> </w:t>
      </w:r>
      <w:r>
        <w:rPr/>
        <w:t>林中，男，中国国籍，</w:t>
      </w:r>
      <w:r>
        <w:rPr>
          <w:rFonts w:ascii="Times New Roman" w:hAnsi="Times New Roman" w:cs="Times New Roman" w:eastAsia="Times New Roman" w:hint="default"/>
        </w:rPr>
        <w:t>1961</w:t>
      </w:r>
      <w:r>
        <w:rPr/>
        <w:t>年出生，无境外永久居留权，硕士研究生学历。华北计算技术研究所正研级高级工程师。历 </w:t>
      </w:r>
      <w:r>
        <w:rPr>
          <w:spacing w:val="-2"/>
        </w:rPr>
        <w:t>任华北计算技术研究所软件平台部副主任、总工，</w:t>
      </w:r>
      <w:r>
        <w:rPr>
          <w:rFonts w:ascii="Times New Roman" w:hAnsi="Times New Roman" w:cs="Times New Roman" w:eastAsia="Times New Roman" w:hint="default"/>
          <w:spacing w:val="-2"/>
        </w:rPr>
        <w:t>2009</w:t>
      </w:r>
      <w:r>
        <w:rPr>
          <w:spacing w:val="-2"/>
        </w:rPr>
        <w:t>年至今任华北计算技术研究所科技委委员，</w:t>
      </w:r>
      <w:r>
        <w:rPr>
          <w:rFonts w:ascii="Times New Roman" w:hAnsi="Times New Roman" w:cs="Times New Roman" w:eastAsia="Times New Roman" w:hint="default"/>
          <w:spacing w:val="-2"/>
        </w:rPr>
        <w:t>2014</w:t>
      </w:r>
      <w:r>
        <w:rPr>
          <w:spacing w:val="-2"/>
        </w:rPr>
        <w:t>年至今任东华软</w:t>
      </w:r>
    </w:p>
    <w:p>
      <w:pPr>
        <w:spacing w:after="0" w:line="290" w:lineRule="auto"/>
        <w:jc w:val="both"/>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88" w:lineRule="auto" w:before="44"/>
        <w:ind w:left="521" w:right="1119"/>
        <w:jc w:val="left"/>
      </w:pPr>
      <w:r>
        <w:rPr/>
        <w:t>件股份有限公司独立董事，</w:t>
      </w:r>
      <w:r>
        <w:rPr>
          <w:rFonts w:ascii="Times New Roman" w:hAnsi="Times New Roman" w:cs="Times New Roman" w:eastAsia="Times New Roman" w:hint="default"/>
        </w:rPr>
        <w:t>2015</w:t>
      </w:r>
      <w:r>
        <w:rPr/>
        <w:t>年至今任北京汉邦高科数字技术股份有限公司独立董事。</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月至今任朗新科技独</w:t>
      </w:r>
      <w:r>
        <w:rPr>
          <w:spacing w:val="-84"/>
        </w:rPr>
        <w:t> </w:t>
      </w:r>
      <w:r>
        <w:rPr/>
        <w:t>立董事。</w:t>
      </w:r>
    </w:p>
    <w:p>
      <w:pPr>
        <w:pStyle w:val="BodyText"/>
        <w:spacing w:line="240" w:lineRule="auto" w:before="89"/>
        <w:ind w:left="161" w:right="0"/>
        <w:jc w:val="left"/>
      </w:pPr>
      <w:r>
        <w:rPr>
          <w:rFonts w:ascii="宋体" w:hAnsi="宋体" w:cs="宋体" w:eastAsia="宋体" w:hint="default"/>
        </w:rPr>
        <w:t>7. </w:t>
      </w:r>
      <w:r>
        <w:rPr>
          <w:rFonts w:ascii="宋体" w:hAnsi="宋体" w:cs="宋体" w:eastAsia="宋体" w:hint="default"/>
          <w:spacing w:val="5"/>
        </w:rPr>
        <w:t> </w:t>
      </w:r>
      <w:r>
        <w:rPr/>
        <w:t>赵国栋，男，中国国籍，</w:t>
      </w:r>
      <w:r>
        <w:rPr>
          <w:rFonts w:ascii="Times New Roman" w:hAnsi="Times New Roman" w:cs="Times New Roman" w:eastAsia="Times New Roman" w:hint="default"/>
        </w:rPr>
        <w:t>1974</w:t>
      </w:r>
      <w:r>
        <w:rPr/>
        <w:t>年出生，无境外永久居留权，本科学历。</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2013</w:t>
      </w:r>
      <w:r>
        <w:rPr/>
        <w:t>年任国金证券研究所高级分析师；</w:t>
      </w:r>
    </w:p>
    <w:p>
      <w:pPr>
        <w:pStyle w:val="BodyText"/>
        <w:spacing w:line="240" w:lineRule="auto" w:before="66"/>
        <w:ind w:left="521" w:right="1119"/>
        <w:jc w:val="left"/>
        <w:rPr>
          <w:rFonts w:ascii="Times New Roman" w:hAnsi="Times New Roman" w:cs="Times New Roman" w:eastAsia="Times New Roman" w:hint="default"/>
        </w:rPr>
      </w:pPr>
      <w:r>
        <w:rPr>
          <w:rFonts w:ascii="Times New Roman" w:hAnsi="Times New Roman" w:cs="Times New Roman" w:eastAsia="Times New Roman" w:hint="default"/>
        </w:rPr>
        <w:t>2013</w:t>
      </w:r>
      <w:r>
        <w:rPr/>
        <w:t>年至</w:t>
      </w:r>
      <w:r>
        <w:rPr>
          <w:rFonts w:ascii="Times New Roman" w:hAnsi="Times New Roman" w:cs="Times New Roman" w:eastAsia="Times New Roman" w:hint="default"/>
        </w:rPr>
        <w:t>2014</w:t>
      </w:r>
      <w:r>
        <w:rPr/>
        <w:t>年任宏源证券研究所首席分析师；</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年任用友网络科技股份有限公司副总裁；</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2016</w:t>
      </w:r>
    </w:p>
    <w:p>
      <w:pPr>
        <w:pStyle w:val="BodyText"/>
        <w:spacing w:line="240" w:lineRule="auto" w:before="66"/>
        <w:ind w:left="521" w:right="1119"/>
        <w:jc w:val="left"/>
      </w:pPr>
      <w:r>
        <w:rPr/>
        <w:t>年任北京大数据研究院副院长；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月至今任朗新科技独立董事，兼任中关村大数据产业联盟秘书长等职务。</w:t>
      </w:r>
    </w:p>
    <w:p>
      <w:pPr>
        <w:pStyle w:val="BodyText"/>
        <w:spacing w:line="240" w:lineRule="auto" w:before="96"/>
        <w:ind w:left="161" w:right="0"/>
        <w:jc w:val="left"/>
      </w:pPr>
      <w:r>
        <w:rPr>
          <w:rFonts w:ascii="宋体" w:hAnsi="宋体" w:cs="宋体" w:eastAsia="宋体" w:hint="default"/>
        </w:rPr>
        <w:t>8. </w:t>
      </w:r>
      <w:r>
        <w:rPr>
          <w:rFonts w:ascii="宋体" w:hAnsi="宋体" w:cs="宋体" w:eastAsia="宋体" w:hint="default"/>
          <w:spacing w:val="52"/>
        </w:rPr>
        <w:t> </w:t>
      </w:r>
      <w:r>
        <w:rPr>
          <w:spacing w:val="-7"/>
        </w:rPr>
        <w:t>林乐，女，中国国籍，</w:t>
      </w:r>
      <w:r>
        <w:rPr>
          <w:rFonts w:ascii="Times New Roman" w:hAnsi="Times New Roman" w:cs="Times New Roman" w:eastAsia="Times New Roman" w:hint="default"/>
          <w:spacing w:val="-7"/>
        </w:rPr>
        <w:t>1982</w:t>
      </w:r>
      <w:r>
        <w:rPr>
          <w:spacing w:val="-7"/>
        </w:rPr>
        <w:t>年出生，无境外永久居留权，博士学历。</w:t>
      </w:r>
      <w:r>
        <w:rPr>
          <w:rFonts w:ascii="Times New Roman" w:hAnsi="Times New Roman" w:cs="Times New Roman" w:eastAsia="Times New Roman" w:hint="default"/>
          <w:spacing w:val="-7"/>
        </w:rPr>
        <w:t>2017</w:t>
      </w:r>
      <w:r>
        <w:rPr>
          <w:spacing w:val="-7"/>
        </w:rPr>
        <w:t>年获选财政部全国会计领军后备人才（学术类）。</w:t>
      </w:r>
    </w:p>
    <w:p>
      <w:pPr>
        <w:pStyle w:val="BodyText"/>
        <w:spacing w:line="240" w:lineRule="auto" w:before="66"/>
        <w:ind w:left="521" w:right="1119"/>
        <w:jc w:val="left"/>
      </w:pPr>
      <w:r>
        <w:rPr>
          <w:rFonts w:ascii="Times New Roman" w:hAnsi="Times New Roman" w:cs="Times New Roman" w:eastAsia="Times New Roman" w:hint="default"/>
        </w:rPr>
        <w:t>2014</w:t>
      </w:r>
      <w:r>
        <w:rPr/>
        <w:t>年至今任教于首都经济贸易大学会计学院，副教授。现任朗新科技独立董事。</w:t>
      </w:r>
    </w:p>
    <w:p>
      <w:pPr>
        <w:pStyle w:val="BodyText"/>
        <w:spacing w:line="367" w:lineRule="auto" w:before="96"/>
        <w:ind w:left="161" w:right="3729"/>
        <w:jc w:val="left"/>
      </w:pPr>
      <w:r>
        <w:rPr/>
        <w:t>（二）监事会成员 公司监事会由</w:t>
      </w:r>
      <w:r>
        <w:rPr>
          <w:rFonts w:ascii="Times New Roman" w:hAnsi="Times New Roman" w:cs="Times New Roman" w:eastAsia="Times New Roman" w:hint="default"/>
        </w:rPr>
        <w:t>3</w:t>
      </w:r>
      <w:r>
        <w:rPr/>
        <w:t>名成员组成，目前</w:t>
      </w:r>
      <w:r>
        <w:rPr>
          <w:rFonts w:ascii="Times New Roman" w:hAnsi="Times New Roman" w:cs="Times New Roman" w:eastAsia="Times New Roman" w:hint="default"/>
        </w:rPr>
        <w:t>3</w:t>
      </w:r>
      <w:r>
        <w:rPr/>
        <w:t>名监事主要工作经历以及目前在公司的主要职责如下：</w:t>
      </w:r>
    </w:p>
    <w:p>
      <w:pPr>
        <w:pStyle w:val="BodyText"/>
        <w:spacing w:line="295" w:lineRule="auto" w:before="5"/>
        <w:ind w:left="581" w:right="1059" w:hanging="361"/>
        <w:jc w:val="left"/>
      </w:pPr>
      <w:r>
        <w:rPr>
          <w:rFonts w:ascii="宋体" w:hAnsi="宋体" w:cs="宋体" w:eastAsia="宋体" w:hint="default"/>
        </w:rPr>
        <w:t>1.</w:t>
      </w:r>
      <w:r>
        <w:rPr>
          <w:rFonts w:ascii="宋体" w:hAnsi="宋体" w:cs="宋体" w:eastAsia="宋体" w:hint="default"/>
          <w:spacing w:val="2"/>
        </w:rPr>
        <w:t> </w:t>
      </w:r>
      <w:r>
        <w:rPr/>
        <w:t>黄利洲，中国国籍，无境外居留权，男，</w:t>
      </w:r>
      <w:r>
        <w:rPr>
          <w:rFonts w:ascii="Times New Roman" w:hAnsi="Times New Roman" w:cs="Times New Roman" w:eastAsia="Times New Roman" w:hint="default"/>
        </w:rPr>
        <w:t>1964</w:t>
      </w:r>
      <w:r>
        <w:rPr/>
        <w:t>年出生，大学本科学历，毕业于合肥工业大学。曾任职于北京机床研究 所，</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5</w:t>
      </w:r>
      <w:r>
        <w:rPr/>
        <w:t>月加入北京朗新信息系统有限公司，曾任副总经理，</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2018</w:t>
      </w:r>
      <w:r>
        <w:rPr/>
        <w:t>年初，在北京动力设备有限公司工作， 曾任副总经理。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月至今任朗新科技监事会主席。</w:t>
      </w:r>
    </w:p>
    <w:p>
      <w:pPr>
        <w:pStyle w:val="BodyText"/>
        <w:spacing w:line="297" w:lineRule="auto" w:before="65"/>
        <w:ind w:left="581" w:right="1143" w:hanging="361"/>
        <w:jc w:val="both"/>
      </w:pPr>
      <w:r>
        <w:rPr>
          <w:rFonts w:ascii="宋体" w:hAnsi="宋体" w:cs="宋体" w:eastAsia="宋体" w:hint="default"/>
        </w:rPr>
        <w:t>2.</w:t>
      </w:r>
      <w:r>
        <w:rPr>
          <w:rFonts w:ascii="宋体" w:hAnsi="宋体" w:cs="宋体" w:eastAsia="宋体" w:hint="default"/>
          <w:spacing w:val="3"/>
        </w:rPr>
        <w:t> </w:t>
      </w:r>
      <w:r>
        <w:rPr/>
        <w:t>戴清林，中国国籍，无境外居留权，男，</w:t>
      </w:r>
      <w:r>
        <w:rPr>
          <w:rFonts w:ascii="Times New Roman" w:hAnsi="Times New Roman" w:cs="Times New Roman" w:eastAsia="Times New Roman" w:hint="default"/>
        </w:rPr>
        <w:t>1965</w:t>
      </w:r>
      <w:r>
        <w:rPr/>
        <w:t>年出生，硕士研究生学历，毕业于中国空间技术研究院。曾任职于北京 信息控制研究所、美国</w:t>
      </w:r>
      <w:r>
        <w:rPr>
          <w:rFonts w:ascii="Times New Roman" w:hAnsi="Times New Roman" w:cs="Times New Roman" w:eastAsia="Times New Roman" w:hint="default"/>
        </w:rPr>
        <w:t>CDC</w:t>
      </w:r>
      <w:r>
        <w:rPr/>
        <w:t>公司北京办事处、香港中联公司北京办事处，</w:t>
      </w:r>
      <w:r>
        <w:rPr>
          <w:rFonts w:ascii="Times New Roman" w:hAnsi="Times New Roman" w:cs="Times New Roman" w:eastAsia="Times New Roman" w:hint="default"/>
        </w:rPr>
        <w:t>1999</w:t>
      </w:r>
      <w:r>
        <w:rPr/>
        <w:t>年加入北京朗新信息系统有限公司，曾 任副总裁，</w:t>
      </w:r>
      <w:r>
        <w:rPr>
          <w:rFonts w:ascii="Times New Roman" w:hAnsi="Times New Roman" w:cs="Times New Roman" w:eastAsia="Times New Roman" w:hint="default"/>
        </w:rPr>
        <w:t>2012</w:t>
      </w:r>
      <w:r>
        <w:rPr/>
        <w:t>年加入易视腾科技有限公司，现任战略发展部对外合作总监。</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月至今任朗新科技监事。</w:t>
      </w:r>
    </w:p>
    <w:p>
      <w:pPr>
        <w:pStyle w:val="BodyText"/>
        <w:spacing w:line="297" w:lineRule="auto" w:before="63"/>
        <w:ind w:left="581" w:right="1119" w:hanging="361"/>
        <w:jc w:val="left"/>
      </w:pPr>
      <w:r>
        <w:rPr>
          <w:rFonts w:ascii="宋体" w:hAnsi="宋体" w:cs="宋体" w:eastAsia="宋体" w:hint="default"/>
        </w:rPr>
        <w:t>3.</w:t>
      </w:r>
      <w:r>
        <w:rPr>
          <w:rFonts w:ascii="宋体" w:hAnsi="宋体" w:cs="宋体" w:eastAsia="宋体" w:hint="default"/>
          <w:spacing w:val="36"/>
        </w:rPr>
        <w:t> </w:t>
      </w:r>
      <w:r>
        <w:rPr>
          <w:spacing w:val="-4"/>
        </w:rPr>
        <w:t>万海艳，中国国籍，无境外居留权，女，</w:t>
      </w:r>
      <w:r>
        <w:rPr>
          <w:rFonts w:ascii="Times New Roman" w:hAnsi="Times New Roman" w:cs="Times New Roman" w:eastAsia="Times New Roman" w:hint="default"/>
          <w:spacing w:val="-4"/>
        </w:rPr>
        <w:t>1976</w:t>
      </w:r>
      <w:r>
        <w:rPr>
          <w:spacing w:val="-4"/>
        </w:rPr>
        <w:t>年</w:t>
      </w:r>
      <w:r>
        <w:rPr>
          <w:rFonts w:ascii="Times New Roman" w:hAnsi="Times New Roman" w:cs="Times New Roman" w:eastAsia="Times New Roman" w:hint="default"/>
          <w:spacing w:val="-4"/>
        </w:rPr>
        <w:t>6</w:t>
      </w:r>
      <w:r>
        <w:rPr>
          <w:spacing w:val="-4"/>
        </w:rPr>
        <w:t>月出生，本科学历，</w:t>
      </w:r>
      <w:r>
        <w:rPr>
          <w:rFonts w:ascii="Times New Roman" w:hAnsi="Times New Roman" w:cs="Times New Roman" w:eastAsia="Times New Roman" w:hint="default"/>
          <w:spacing w:val="-4"/>
        </w:rPr>
        <w:t>1998</w:t>
      </w:r>
      <w:r>
        <w:rPr>
          <w:spacing w:val="-4"/>
        </w:rPr>
        <w:t>年至</w:t>
      </w:r>
      <w:r>
        <w:rPr>
          <w:rFonts w:ascii="Times New Roman" w:hAnsi="Times New Roman" w:cs="Times New Roman" w:eastAsia="Times New Roman" w:hint="default"/>
          <w:spacing w:val="-4"/>
        </w:rPr>
        <w:t>2002</w:t>
      </w:r>
      <w:r>
        <w:rPr>
          <w:spacing w:val="-4"/>
        </w:rPr>
        <w:t>年任职于南昌冶金工业总公司，</w:t>
      </w:r>
      <w:r>
        <w:rPr>
          <w:rFonts w:ascii="Times New Roman" w:hAnsi="Times New Roman" w:cs="Times New Roman" w:eastAsia="Times New Roman" w:hint="default"/>
          <w:spacing w:val="-4"/>
        </w:rPr>
        <w:t>2002</w:t>
      </w:r>
      <w:r>
        <w:rPr>
          <w:rFonts w:ascii="Times New Roman" w:hAnsi="Times New Roman" w:cs="Times New Roman" w:eastAsia="Times New Roman" w:hint="default"/>
        </w:rPr>
        <w:t> </w:t>
      </w:r>
      <w:r>
        <w:rPr/>
        <w:t>年至</w:t>
      </w:r>
      <w:r>
        <w:rPr>
          <w:rFonts w:ascii="Times New Roman" w:hAnsi="Times New Roman" w:cs="Times New Roman" w:eastAsia="Times New Roman" w:hint="default"/>
        </w:rPr>
        <w:t>2010</w:t>
      </w:r>
      <w:r>
        <w:rPr/>
        <w:t>年历任北京朗新信息系统有限公司总经理助理、资深员工关系专员；</w:t>
      </w:r>
      <w:r>
        <w:rPr>
          <w:rFonts w:ascii="Times New Roman" w:hAnsi="Times New Roman" w:cs="Times New Roman" w:eastAsia="Times New Roman" w:hint="default"/>
        </w:rPr>
        <w:t>2010</w:t>
      </w:r>
      <w:r>
        <w:rPr/>
        <w:t>年任华为朗新人力资源业务合作伙 伴（</w:t>
      </w:r>
      <w:r>
        <w:rPr>
          <w:rFonts w:ascii="Times New Roman" w:hAnsi="Times New Roman" w:cs="Times New Roman" w:eastAsia="Times New Roman" w:hint="default"/>
        </w:rPr>
        <w:t>HRBP</w:t>
      </w:r>
      <w:r>
        <w:rPr/>
        <w:t>）；</w:t>
      </w:r>
      <w:r>
        <w:rPr>
          <w:rFonts w:ascii="Times New Roman" w:hAnsi="Times New Roman" w:cs="Times New Roman" w:eastAsia="Times New Roman" w:hint="default"/>
        </w:rPr>
        <w:t>2013</w:t>
      </w:r>
      <w:r>
        <w:rPr/>
        <w:t>年至今任朗新科技人力资源业务合作伙伴（</w:t>
      </w:r>
      <w:r>
        <w:rPr>
          <w:rFonts w:ascii="Times New Roman" w:hAnsi="Times New Roman" w:cs="Times New Roman" w:eastAsia="Times New Roman" w:hint="default"/>
        </w:rPr>
        <w:t>HRBP</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月至今任朗新科技监事。</w:t>
      </w:r>
    </w:p>
    <w:p>
      <w:pPr>
        <w:pStyle w:val="BodyText"/>
        <w:spacing w:line="240" w:lineRule="auto" w:before="48"/>
        <w:ind w:left="161" w:right="1119"/>
        <w:jc w:val="left"/>
      </w:pPr>
      <w:r>
        <w:rPr/>
        <w:t>（三）高级管理人员</w:t>
      </w:r>
    </w:p>
    <w:p>
      <w:pPr>
        <w:pStyle w:val="BodyText"/>
        <w:spacing w:line="240" w:lineRule="auto" w:before="125"/>
        <w:ind w:left="221" w:right="1119"/>
        <w:jc w:val="left"/>
      </w:pPr>
      <w:r>
        <w:rPr>
          <w:rFonts w:ascii="宋体" w:hAnsi="宋体" w:cs="宋体" w:eastAsia="宋体" w:hint="default"/>
        </w:rPr>
        <w:t>1. </w:t>
      </w:r>
      <w:r>
        <w:rPr>
          <w:rFonts w:ascii="宋体" w:hAnsi="宋体" w:cs="宋体" w:eastAsia="宋体" w:hint="default"/>
          <w:spacing w:val="9"/>
        </w:rPr>
        <w:t> </w:t>
      </w:r>
      <w:r>
        <w:rPr/>
        <w:t>郑新标，参见本节之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w:t>
      </w:r>
    </w:p>
    <w:p>
      <w:pPr>
        <w:pStyle w:val="BodyText"/>
        <w:spacing w:line="240" w:lineRule="auto" w:before="111"/>
        <w:ind w:left="221" w:right="1119"/>
        <w:jc w:val="left"/>
      </w:pPr>
      <w:r>
        <w:rPr>
          <w:rFonts w:ascii="宋体" w:hAnsi="宋体" w:cs="宋体" w:eastAsia="宋体" w:hint="default"/>
        </w:rPr>
        <w:t>2. </w:t>
      </w:r>
      <w:r>
        <w:rPr>
          <w:rFonts w:ascii="宋体" w:hAnsi="宋体" w:cs="宋体" w:eastAsia="宋体" w:hint="default"/>
          <w:spacing w:val="9"/>
        </w:rPr>
        <w:t> </w:t>
      </w:r>
      <w:r>
        <w:rPr/>
        <w:t>彭知平，参见本节之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w:t>
      </w:r>
    </w:p>
    <w:p>
      <w:pPr>
        <w:pStyle w:val="BodyText"/>
        <w:spacing w:line="297" w:lineRule="auto" w:before="96"/>
        <w:ind w:left="581" w:right="1111" w:hanging="361"/>
        <w:jc w:val="both"/>
      </w:pPr>
      <w:r>
        <w:rPr>
          <w:rFonts w:ascii="宋体" w:hAnsi="宋体" w:cs="宋体" w:eastAsia="宋体" w:hint="default"/>
        </w:rPr>
        <w:t>3. </w:t>
      </w:r>
      <w:r>
        <w:rPr/>
        <w:t>侯立民，男，中国国籍，</w:t>
      </w:r>
      <w:r>
        <w:rPr>
          <w:rFonts w:ascii="Times New Roman" w:hAnsi="Times New Roman" w:cs="Times New Roman" w:eastAsia="Times New Roman" w:hint="default"/>
        </w:rPr>
        <w:t>1972</w:t>
      </w:r>
      <w:r>
        <w:rPr/>
        <w:t>年出生，无境外永久居留权，本科学历。</w:t>
      </w:r>
      <w:r>
        <w:rPr>
          <w:rFonts w:ascii="Times New Roman" w:hAnsi="Times New Roman" w:cs="Times New Roman" w:eastAsia="Times New Roman" w:hint="default"/>
        </w:rPr>
        <w:t>1996</w:t>
      </w:r>
      <w:r>
        <w:rPr/>
        <w:t>年至</w:t>
      </w:r>
      <w:r>
        <w:rPr>
          <w:rFonts w:ascii="Times New Roman" w:hAnsi="Times New Roman" w:cs="Times New Roman" w:eastAsia="Times New Roman" w:hint="default"/>
        </w:rPr>
        <w:t>2008</w:t>
      </w:r>
      <w:r>
        <w:rPr/>
        <w:t>年就职于美国</w:t>
      </w:r>
      <w:r>
        <w:rPr>
          <w:rFonts w:ascii="Times New Roman" w:hAnsi="Times New Roman" w:cs="Times New Roman" w:eastAsia="Times New Roman" w:hint="default"/>
        </w:rPr>
        <w:t>World </w:t>
      </w:r>
      <w:r>
        <w:rPr>
          <w:rFonts w:ascii="Times New Roman" w:hAnsi="Times New Roman" w:cs="Times New Roman" w:eastAsia="Times New Roman" w:hint="default"/>
          <w:spacing w:val="-3"/>
        </w:rPr>
        <w:t>Wide</w:t>
      </w:r>
      <w:r>
        <w:rPr>
          <w:rFonts w:ascii="Times New Roman" w:hAnsi="Times New Roman" w:cs="Times New Roman" w:eastAsia="Times New Roman" w:hint="default"/>
          <w:spacing w:val="-37"/>
        </w:rPr>
        <w:t> </w:t>
      </w:r>
      <w:r>
        <w:rPr>
          <w:rFonts w:ascii="Times New Roman" w:hAnsi="Times New Roman" w:cs="Times New Roman" w:eastAsia="Times New Roman" w:hint="default"/>
        </w:rPr>
        <w:t>Packets,</w:t>
      </w:r>
      <w:r>
        <w:rPr>
          <w:rFonts w:ascii="Times New Roman" w:hAnsi="Times New Roman" w:cs="Times New Roman" w:eastAsia="Times New Roman" w:hint="default"/>
        </w:rPr>
        <w:t> Lucent, </w:t>
      </w:r>
      <w:r>
        <w:rPr>
          <w:rFonts w:ascii="Times New Roman" w:hAnsi="Times New Roman" w:cs="Times New Roman" w:eastAsia="Times New Roman" w:hint="default"/>
          <w:spacing w:val="-3"/>
        </w:rPr>
        <w:t>W2 </w:t>
      </w:r>
      <w:r>
        <w:rPr>
          <w:rFonts w:ascii="Times New Roman" w:hAnsi="Times New Roman" w:cs="Times New Roman" w:eastAsia="Times New Roman" w:hint="default"/>
        </w:rPr>
        <w:t>Networks,</w:t>
      </w:r>
      <w:r>
        <w:rPr>
          <w:rFonts w:ascii="Times New Roman" w:hAnsi="Times New Roman" w:cs="Times New Roman" w:eastAsia="Times New Roman" w:hint="default"/>
          <w:spacing w:val="30"/>
        </w:rPr>
        <w:t> </w:t>
      </w:r>
      <w:r>
        <w:rPr/>
        <w:t>尚阳科技，</w:t>
      </w:r>
      <w:r>
        <w:rPr>
          <w:rFonts w:ascii="Times New Roman" w:hAnsi="Times New Roman" w:cs="Times New Roman" w:eastAsia="Times New Roman" w:hint="default"/>
        </w:rPr>
        <w:t>Fastmobile</w:t>
      </w:r>
      <w:r>
        <w:rPr/>
        <w:t>等公司；</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2010</w:t>
      </w:r>
      <w:r>
        <w:rPr/>
        <w:t>年任职于世纪互联科技有限公司；</w:t>
      </w:r>
      <w:r>
        <w:rPr>
          <w:rFonts w:ascii="Times New Roman" w:hAnsi="Times New Roman" w:cs="Times New Roman" w:eastAsia="Times New Roman" w:hint="default"/>
        </w:rPr>
        <w:t>2010</w:t>
      </w:r>
      <w:r>
        <w:rPr/>
        <w:t>年至今任职 于易视腾科技；现任易视腾科技总经理，兼任易视星空董事、易视腾文化董事等职务。</w:t>
      </w:r>
    </w:p>
    <w:p>
      <w:pPr>
        <w:pStyle w:val="BodyText"/>
        <w:spacing w:line="297" w:lineRule="auto" w:before="81"/>
        <w:ind w:left="581" w:right="1096" w:hanging="361"/>
        <w:jc w:val="both"/>
      </w:pPr>
      <w:r>
        <w:rPr>
          <w:rFonts w:ascii="宋体" w:hAnsi="宋体" w:cs="宋体" w:eastAsia="宋体" w:hint="default"/>
        </w:rPr>
        <w:t>4.</w:t>
      </w:r>
      <w:r>
        <w:rPr>
          <w:rFonts w:ascii="宋体" w:hAnsi="宋体" w:cs="宋体" w:eastAsia="宋体" w:hint="default"/>
          <w:spacing w:val="-19"/>
        </w:rPr>
        <w:t> </w:t>
      </w:r>
      <w:r>
        <w:rPr/>
        <w:t>翁朝伟，男，中国国籍，</w:t>
      </w:r>
      <w:r>
        <w:rPr>
          <w:rFonts w:ascii="Times New Roman" w:hAnsi="Times New Roman" w:cs="Times New Roman" w:eastAsia="Times New Roman" w:hint="default"/>
        </w:rPr>
        <w:t>1974</w:t>
      </w:r>
      <w:r>
        <w:rPr/>
        <w:t>年出生，无境外永久居留权，本科学历。</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2007</w:t>
      </w:r>
      <w:r>
        <w:rPr/>
        <w:t>年任职于朗新科技有限公司；</w:t>
      </w:r>
      <w:r>
        <w:rPr>
          <w:rFonts w:ascii="Times New Roman" w:hAnsi="Times New Roman" w:cs="Times New Roman" w:eastAsia="Times New Roman" w:hint="default"/>
        </w:rPr>
        <w:t>2007 </w:t>
      </w:r>
      <w:r>
        <w:rPr/>
        <w:t>年至</w:t>
      </w:r>
      <w:r>
        <w:rPr>
          <w:rFonts w:ascii="Times New Roman" w:hAnsi="Times New Roman" w:cs="Times New Roman" w:eastAsia="Times New Roman" w:hint="default"/>
        </w:rPr>
        <w:t>2011</w:t>
      </w:r>
      <w:r>
        <w:rPr/>
        <w:t>年任职于甲骨文（中国）有限公司；</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2015</w:t>
      </w:r>
      <w:r>
        <w:rPr/>
        <w:t>年任职于朗新科技股份有限公司；</w:t>
      </w:r>
      <w:r>
        <w:rPr>
          <w:rFonts w:ascii="Times New Roman" w:hAnsi="Times New Roman" w:cs="Times New Roman" w:eastAsia="Times New Roman" w:hint="default"/>
        </w:rPr>
        <w:t>2015</w:t>
      </w:r>
      <w:r>
        <w:rPr/>
        <w:t>至今任职于邦道科 技有限公司，现任邦道科技总经理，兼任众畅科技董事长等职务。</w:t>
      </w:r>
    </w:p>
    <w:p>
      <w:pPr>
        <w:pStyle w:val="BodyText"/>
        <w:spacing w:line="304" w:lineRule="auto" w:before="81"/>
        <w:ind w:left="581" w:right="1059" w:hanging="361"/>
        <w:jc w:val="left"/>
      </w:pPr>
      <w:r>
        <w:rPr>
          <w:rFonts w:ascii="宋体" w:hAnsi="宋体" w:cs="宋体" w:eastAsia="宋体" w:hint="default"/>
        </w:rPr>
        <w:t>5. </w:t>
      </w:r>
      <w:r>
        <w:rPr/>
        <w:t>王慎勇，男，中国国籍，</w:t>
      </w:r>
      <w:r>
        <w:rPr>
          <w:rFonts w:ascii="Times New Roman" w:hAnsi="Times New Roman" w:cs="Times New Roman" w:eastAsia="Times New Roman" w:hint="default"/>
        </w:rPr>
        <w:t>1972</w:t>
      </w:r>
      <w:r>
        <w:rPr/>
        <w:t>年出生，无境外居留权，硕士研究生学历。</w:t>
      </w:r>
      <w:r>
        <w:rPr>
          <w:rFonts w:ascii="Times New Roman" w:hAnsi="Times New Roman" w:cs="Times New Roman" w:eastAsia="Times New Roman" w:hint="default"/>
        </w:rPr>
        <w:t>1994</w:t>
      </w:r>
      <w:r>
        <w:rPr/>
        <w:t>年至</w:t>
      </w:r>
      <w:r>
        <w:rPr>
          <w:rFonts w:ascii="Times New Roman" w:hAnsi="Times New Roman" w:cs="Times New Roman" w:eastAsia="Times New Roman" w:hint="default"/>
        </w:rPr>
        <w:t>1998</w:t>
      </w:r>
      <w:r>
        <w:rPr/>
        <w:t>年任职于华北计算机技术研究</w:t>
      </w:r>
      <w:r>
        <w:rPr>
          <w:spacing w:val="-85"/>
        </w:rPr>
        <w:t> </w:t>
      </w:r>
      <w:r>
        <w:rPr/>
        <w:t>所；</w:t>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2009</w:t>
      </w:r>
      <w:r>
        <w:rPr/>
        <w:t>年任北京朗新信息系统有限公司总监、副总裁；</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2010</w:t>
      </w:r>
      <w:r>
        <w:rPr/>
        <w:t>年任亚信科技（中国）有限公司运营 策略部副总经理；</w:t>
      </w:r>
      <w:r>
        <w:rPr>
          <w:rFonts w:ascii="Times New Roman" w:hAnsi="Times New Roman" w:cs="Times New Roman" w:eastAsia="Times New Roman" w:hint="default"/>
        </w:rPr>
        <w:t>2010</w:t>
      </w:r>
      <w:r>
        <w:rPr/>
        <w:t>年至</w:t>
      </w:r>
      <w:r>
        <w:rPr>
          <w:rFonts w:ascii="Times New Roman" w:hAnsi="Times New Roman" w:cs="Times New Roman" w:eastAsia="Times New Roman" w:hint="default"/>
        </w:rPr>
        <w:t>2012</w:t>
      </w:r>
      <w:r>
        <w:rPr/>
        <w:t>年任北京华为朗新信息系统有限公司副总经理；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月至今任朗新科技副总经理；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月至今兼任朗新科技董事会秘书，兼任无锡群兴股权投资管理有限公司监事等职务。</w:t>
      </w:r>
    </w:p>
    <w:p>
      <w:pPr>
        <w:pStyle w:val="BodyText"/>
        <w:spacing w:line="304" w:lineRule="auto" w:before="42"/>
        <w:ind w:left="581" w:right="1156" w:hanging="361"/>
        <w:jc w:val="both"/>
      </w:pPr>
      <w:r>
        <w:rPr>
          <w:rFonts w:ascii="宋体" w:hAnsi="宋体" w:cs="宋体" w:eastAsia="宋体" w:hint="default"/>
        </w:rPr>
        <w:t>6.</w:t>
      </w:r>
      <w:r>
        <w:rPr>
          <w:rFonts w:ascii="宋体" w:hAnsi="宋体" w:cs="宋体" w:eastAsia="宋体" w:hint="default"/>
          <w:spacing w:val="7"/>
        </w:rPr>
        <w:t> </w:t>
      </w:r>
      <w:r>
        <w:rPr/>
        <w:t>鲁清芳，女，中国国籍，</w:t>
      </w:r>
      <w:r>
        <w:rPr>
          <w:rFonts w:ascii="Times New Roman" w:hAnsi="Times New Roman" w:cs="Times New Roman" w:eastAsia="Times New Roman" w:hint="default"/>
        </w:rPr>
        <w:t>1969</w:t>
      </w:r>
      <w:r>
        <w:rPr/>
        <w:t>年出生，无境外居留权，本科学历。</w:t>
      </w:r>
      <w:r>
        <w:rPr>
          <w:rFonts w:ascii="Times New Roman" w:hAnsi="Times New Roman" w:cs="Times New Roman" w:eastAsia="Times New Roman" w:hint="default"/>
        </w:rPr>
        <w:t>1992</w:t>
      </w:r>
      <w:r>
        <w:rPr/>
        <w:t>年至</w:t>
      </w:r>
      <w:r>
        <w:rPr>
          <w:rFonts w:ascii="Times New Roman" w:hAnsi="Times New Roman" w:cs="Times New Roman" w:eastAsia="Times New Roman" w:hint="default"/>
        </w:rPr>
        <w:t>1999</w:t>
      </w:r>
      <w:r>
        <w:rPr/>
        <w:t>年任职于中华会计师事务所，</w:t>
      </w:r>
      <w:r>
        <w:rPr>
          <w:rFonts w:ascii="Times New Roman" w:hAnsi="Times New Roman" w:cs="Times New Roman" w:eastAsia="Times New Roman" w:hint="default"/>
        </w:rPr>
        <w:t>1999</w:t>
      </w:r>
      <w:r>
        <w:rPr/>
        <w:t>年 至</w:t>
      </w:r>
      <w:r>
        <w:rPr>
          <w:rFonts w:ascii="Times New Roman" w:hAnsi="Times New Roman" w:cs="Times New Roman" w:eastAsia="Times New Roman" w:hint="default"/>
        </w:rPr>
        <w:t>2000</w:t>
      </w:r>
      <w:r>
        <w:rPr/>
        <w:t>年任北京富国电子信息有限公司财务经理，</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2001</w:t>
      </w:r>
      <w:r>
        <w:rPr/>
        <w:t>年任北京方正电子有限公司财务经理，</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2002 </w:t>
      </w:r>
      <w:r>
        <w:rPr/>
        <w:t>年任硅谷动力网络技术有限公司财务经理。</w:t>
      </w:r>
      <w:r>
        <w:rPr>
          <w:rFonts w:ascii="Times New Roman" w:hAnsi="Times New Roman" w:cs="Times New Roman" w:eastAsia="Times New Roman" w:hint="default"/>
        </w:rPr>
        <w:t>2002</w:t>
      </w:r>
      <w:r>
        <w:rPr/>
        <w:t>年至今任职于朗新科技，现任朗新科技财务总监。</w:t>
      </w:r>
    </w:p>
    <w:p>
      <w:pPr>
        <w:pStyle w:val="BodyText"/>
        <w:spacing w:line="240" w:lineRule="auto" w:before="27"/>
        <w:ind w:left="161" w:right="1119"/>
        <w:jc w:val="left"/>
      </w:pPr>
      <w:r>
        <w:rPr/>
        <w:t>在股东单位任职情况</w:t>
      </w:r>
    </w:p>
    <w:p>
      <w:pPr>
        <w:pStyle w:val="BodyText"/>
        <w:spacing w:line="319" w:lineRule="auto" w:before="139"/>
        <w:ind w:left="161"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在其他单位任职情况</w:t>
      </w:r>
    </w:p>
    <w:p>
      <w:pPr>
        <w:pStyle w:val="BodyText"/>
        <w:spacing w:line="240" w:lineRule="auto" w:before="80"/>
        <w:ind w:left="161" w:right="11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1652"/>
        <w:gridCol w:w="4400"/>
        <w:gridCol w:w="1457"/>
        <w:gridCol w:w="2192"/>
      </w:tblGrid>
      <w:tr>
        <w:trPr>
          <w:trHeight w:val="721" w:hRule="exact"/>
        </w:trPr>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44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5"/>
              <w:ind w:left="450" w:right="91" w:hanging="361"/>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5"/>
              <w:ind w:left="916" w:right="90" w:hanging="811"/>
              <w:jc w:val="left"/>
              <w:rPr>
                <w:rFonts w:ascii="宋体" w:hAnsi="宋体" w:cs="宋体" w:eastAsia="宋体" w:hint="default"/>
                <w:sz w:val="18"/>
                <w:szCs w:val="18"/>
              </w:rPr>
            </w:pPr>
            <w:r>
              <w:rPr>
                <w:rFonts w:ascii="宋体" w:hAnsi="宋体" w:cs="宋体" w:eastAsia="宋体" w:hint="default"/>
                <w:sz w:val="18"/>
                <w:szCs w:val="18"/>
              </w:rPr>
              <w:t>在其他单位是否领取报酬 津贴</w:t>
            </w:r>
          </w:p>
        </w:tc>
      </w:tr>
      <w:tr>
        <w:trPr>
          <w:trHeight w:val="390"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未来电视有限公司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31" w:footer="981" w:top="104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652"/>
        <w:gridCol w:w="4400"/>
        <w:gridCol w:w="1457"/>
        <w:gridCol w:w="2192"/>
      </w:tblGrid>
      <w:tr>
        <w:trPr>
          <w:trHeight w:val="405"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传神联合（北京）信息技术有限公司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北京长林公益基金会</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八方传神数码科技（武汉）有限公司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张明平</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北京雏菊花公益基金会</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张明平</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辽宁网络广播电视台科技有限公司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董事兼总经理</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张明平</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无锡物联网创新中心有限公司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彭知平</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国交空间信息技术（北京）有限公司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彭知平</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无锡朗道投资管理有限公司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彭知平</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无锡朗易投资管理有限公司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彭知平</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北京雏菊花公益基金会</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倪行军</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吱信（上海）网络技术有限公司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4"/>
                <w:sz w:val="18"/>
                <w:szCs w:val="18"/>
              </w:rPr>
              <w:t>执行董事、总经理</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倪行军</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支付宝（中国）网络技术有限公司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倪行军</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杭州云盛投资管理有限公司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66"/>
              <w:jc w:val="left"/>
              <w:rPr>
                <w:rFonts w:ascii="宋体" w:hAnsi="宋体" w:cs="宋体" w:eastAsia="宋体" w:hint="default"/>
                <w:sz w:val="18"/>
                <w:szCs w:val="18"/>
              </w:rPr>
            </w:pPr>
            <w:r>
              <w:rPr>
                <w:rFonts w:ascii="宋体" w:hAnsi="宋体" w:cs="宋体" w:eastAsia="宋体" w:hint="default"/>
                <w:sz w:val="18"/>
                <w:szCs w:val="18"/>
              </w:rPr>
              <w:t>执行董事兼总经 理</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赵国栋</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北京数聚联合科技有限公司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赵国栋</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北京数聚鑫融投资管理有限公司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赵国栋</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北京农信互联科技集团有限公司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赵国栋</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和君纵达数据科技有限公司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赵国栋</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北京多思科技工业园股份有限公司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赵国栋</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北京昊数谛思数据科技有限公司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赵国栋</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中关村大数据产业联盟</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秘书长</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戴清林</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北京朗新天霁软件技术有限公司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戴清林</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易汇伟达（北京）科技发展有限公司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戴清林</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京山易汇企业管理咨询有限公司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万海艳</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北京佳妍泰瑞科技有限公司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王慎勇</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无锡朗道投资管理有限公司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王慎勇</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无锡朗易投资管理有限公司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侯立民</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易视星空科技无锡有限公司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侯立民</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深圳我看华腾网络技术有限公司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侯立民</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辽宁网络广播电视台科技有限公司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侯立民</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中数寰宇科技（北京）有限公司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侯立民</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视加友唱科技有限公司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侯立民</w:t>
            </w:r>
          </w:p>
        </w:tc>
        <w:tc>
          <w:tcPr>
            <w:tcW w:w="4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山西智慧传媒科技有限公司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6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21" w:lineRule="auto" w:before="44"/>
              <w:ind w:left="30" w:right="165"/>
              <w:jc w:val="left"/>
              <w:rPr>
                <w:rFonts w:ascii="宋体" w:hAnsi="宋体" w:cs="宋体" w:eastAsia="宋体" w:hint="default"/>
                <w:sz w:val="18"/>
                <w:szCs w:val="18"/>
              </w:rPr>
            </w:pPr>
            <w:r>
              <w:rPr>
                <w:rFonts w:ascii="宋体" w:hAnsi="宋体" w:cs="宋体" w:eastAsia="宋体" w:hint="default"/>
                <w:sz w:val="18"/>
                <w:szCs w:val="18"/>
              </w:rPr>
              <w:t>在其他单位任职情 况的说明</w:t>
            </w:r>
          </w:p>
        </w:tc>
        <w:tc>
          <w:tcPr>
            <w:tcW w:w="80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以上为董监高在集团下属公司以外担任董事和高级管理人员的情况。</w:t>
            </w:r>
          </w:p>
        </w:tc>
      </w:tr>
    </w:tbl>
    <w:p>
      <w:pPr>
        <w:spacing w:after="0" w:line="240" w:lineRule="auto"/>
        <w:jc w:val="left"/>
        <w:rPr>
          <w:rFonts w:ascii="宋体" w:hAnsi="宋体" w:cs="宋体" w:eastAsia="宋体" w:hint="default"/>
          <w:sz w:val="18"/>
          <w:szCs w:val="18"/>
        </w:rPr>
        <w:sectPr>
          <w:pgSz w:w="11910" w:h="16850"/>
          <w:pgMar w:header="731" w:footer="981" w:top="1040" w:bottom="1180" w:left="980" w:right="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right="1105"/>
        <w:jc w:val="left"/>
      </w:pPr>
      <w:r>
        <w:rPr/>
        <w:t>公司现任及报告期内离任董事、监事和高级管理人员近三年证券监管机构处罚的情况</w:t>
      </w:r>
    </w:p>
    <w:p>
      <w:pPr>
        <w:pStyle w:val="BodyText"/>
        <w:spacing w:line="240" w:lineRule="auto" w:before="125"/>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pStyle w:val="Heading2"/>
        <w:spacing w:line="240" w:lineRule="auto"/>
        <w:ind w:right="1105"/>
        <w:jc w:val="left"/>
        <w:rPr>
          <w:b w:val="0"/>
          <w:bCs w:val="0"/>
        </w:rPr>
      </w:pPr>
      <w:bookmarkStart w:name="四、董事、监事、高级管理人员报酬情况" w:id="126"/>
      <w:bookmarkEnd w:id="126"/>
      <w:r>
        <w:rPr>
          <w:b w:val="0"/>
          <w:bCs w:val="0"/>
        </w:rPr>
      </w:r>
      <w:r>
        <w:rPr/>
        <w:t>四、董事、监事、高级管理人员报酬情况</w:t>
      </w:r>
      <w:r>
        <w:rPr>
          <w:b w:val="0"/>
          <w:bCs w:val="0"/>
        </w:rPr>
      </w:r>
    </w:p>
    <w:p>
      <w:pPr>
        <w:spacing w:line="240" w:lineRule="auto" w:before="1"/>
        <w:rPr>
          <w:rFonts w:ascii="宋体" w:hAnsi="宋体" w:cs="宋体" w:eastAsia="宋体" w:hint="default"/>
          <w:b/>
          <w:bCs/>
          <w:sz w:val="26"/>
          <w:szCs w:val="26"/>
        </w:rPr>
      </w:pPr>
    </w:p>
    <w:p>
      <w:pPr>
        <w:pStyle w:val="BodyText"/>
        <w:spacing w:line="336" w:lineRule="auto"/>
        <w:ind w:right="1105"/>
        <w:jc w:val="left"/>
      </w:pPr>
      <w:r>
        <w:rPr/>
        <w:t>董事、监事、高级管理人员报酬的决策程序、确定依据、实际支付情况 </w:t>
      </w:r>
      <w:r>
        <w:rPr>
          <w:spacing w:val="-2"/>
        </w:rPr>
        <w:t>公司建立了完善的董事、监事及高级管理人员绩效考评体系和薪酬制度，工作绩效与其收入直接挂钩。公司董事会下设薪酬</w:t>
      </w:r>
      <w:r>
        <w:rPr>
          <w:spacing w:val="-75"/>
        </w:rPr>
        <w:t> </w:t>
      </w:r>
      <w:r>
        <w:rPr>
          <w:spacing w:val="-75"/>
        </w:rPr>
      </w:r>
      <w:r>
        <w:rPr/>
        <w:t>和考核委员会协同公司人力资源部负责对公司董事、监事及高级管理人员进行绩效考核的实施。</w:t>
      </w:r>
    </w:p>
    <w:p>
      <w:pPr>
        <w:pStyle w:val="BodyText"/>
        <w:spacing w:line="240" w:lineRule="auto" w:before="53"/>
        <w:ind w:right="1105"/>
        <w:jc w:val="left"/>
      </w:pPr>
      <w:r>
        <w:rPr/>
        <w:t>公司报告期内董事、监事和高级管理人员报酬情况</w:t>
      </w:r>
    </w:p>
    <w:p>
      <w:pPr>
        <w:pStyle w:val="BodyText"/>
        <w:spacing w:line="240" w:lineRule="auto" w:before="110"/>
        <w:ind w:left="0" w:right="1110"/>
        <w:jc w:val="right"/>
      </w:pPr>
      <w:r>
        <w:rPr/>
        <w:t>单位：万元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95"/>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年龄</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10" w:right="59"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10" w:right="59" w:hanging="181"/>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53.61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张明平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144.03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郑新标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106.88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彭知平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107.26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穆钢</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谢德仁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梅生伟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7.22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赵国栋</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林中</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林乐</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38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焦国云</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100.76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王慎勇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61"/>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106.88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鲁清芳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74.11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侯立民</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翁朝伟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万海艳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26.59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黄利洲</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戴清林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55</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11.2</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95"/>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9"/>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774.54</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7"/>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240" w:lineRule="auto" w:before="45"/>
        <w:ind w:right="-17"/>
        <w:jc w:val="left"/>
      </w:pPr>
      <w:r>
        <w:rPr/>
        <w:t>公司董事、高级管理人员报告期内被授予的股权激励情况</w:t>
      </w:r>
    </w:p>
    <w:p>
      <w:pPr>
        <w:pStyle w:val="BodyText"/>
        <w:spacing w:line="240" w:lineRule="auto" w:before="124"/>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ind w:right="0"/>
        <w:jc w:val="left"/>
      </w:pPr>
      <w:r>
        <w:rPr/>
        <w:t>单位：股</w:t>
      </w:r>
    </w:p>
    <w:p>
      <w:pPr>
        <w:spacing w:after="0" w:line="240" w:lineRule="auto"/>
        <w:jc w:val="left"/>
        <w:sectPr>
          <w:type w:val="continuous"/>
          <w:pgSz w:w="11910" w:h="16850"/>
          <w:pgMar w:top="1040" w:bottom="1180" w:left="1000" w:right="0"/>
          <w:cols w:num="2" w:equalWidth="0">
            <w:col w:w="4645" w:space="4292"/>
            <w:col w:w="1973"/>
          </w:cols>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871"/>
        <w:gridCol w:w="871"/>
        <w:gridCol w:w="871"/>
        <w:gridCol w:w="871"/>
        <w:gridCol w:w="871"/>
        <w:gridCol w:w="871"/>
        <w:gridCol w:w="871"/>
        <w:gridCol w:w="871"/>
        <w:gridCol w:w="871"/>
        <w:gridCol w:w="872"/>
        <w:gridCol w:w="871"/>
      </w:tblGrid>
      <w:tr>
        <w:trPr>
          <w:trHeight w:val="1336" w:hRule="exact"/>
        </w:trPr>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职务</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75"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报告期末</w:t>
            </w:r>
          </w:p>
          <w:p>
            <w:pPr>
              <w:pStyle w:val="TableParagraph"/>
              <w:spacing w:line="273" w:lineRule="auto" w:before="95"/>
              <w:ind w:left="30" w:right="54"/>
              <w:jc w:val="center"/>
              <w:rPr>
                <w:rFonts w:ascii="宋体" w:hAnsi="宋体" w:cs="宋体" w:eastAsia="宋体" w:hint="default"/>
                <w:sz w:val="18"/>
                <w:szCs w:val="18"/>
              </w:rPr>
            </w:pPr>
            <w:r>
              <w:rPr>
                <w:rFonts w:ascii="宋体" w:hAnsi="宋体" w:cs="宋体" w:eastAsia="宋体" w:hint="default"/>
                <w:sz w:val="18"/>
                <w:szCs w:val="18"/>
              </w:rPr>
              <w:t>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p>
            <w:pPr>
              <w:pStyle w:val="TableParagraph"/>
              <w:spacing w:line="155"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60" w:right="75"/>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30" w:right="53" w:firstLine="9"/>
              <w:jc w:val="center"/>
              <w:rPr>
                <w:rFonts w:ascii="Times New Roman" w:hAnsi="Times New Roman" w:cs="Times New Roman" w:eastAsia="Times New Roman"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w:t>
            </w:r>
          </w:p>
          <w:p>
            <w:pPr>
              <w:pStyle w:val="TableParagraph"/>
              <w:spacing w:line="219" w:lineRule="exact"/>
              <w:ind w:right="13"/>
              <w:jc w:val="center"/>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3"/>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6"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张明平</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04"/>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20" w:right="0"/>
              <w:jc w:val="left"/>
              <w:rPr>
                <w:rFonts w:ascii="Times New Roman" w:hAnsi="Times New Roman" w:cs="Times New Roman" w:eastAsia="Times New Roman" w:hint="default"/>
                <w:sz w:val="18"/>
                <w:szCs w:val="18"/>
              </w:rPr>
            </w:pPr>
            <w:r>
              <w:rPr>
                <w:rFonts w:ascii="Times New Roman"/>
                <w:sz w:val="18"/>
              </w:rPr>
              <w:t>22.63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1,750,000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400,000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1,300,000</w:t>
            </w:r>
          </w:p>
        </w:tc>
      </w:tr>
      <w:tr>
        <w:trPr>
          <w:trHeight w:val="720"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彭知平</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4" w:right="29"/>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z w:val="18"/>
                <w:szCs w:val="18"/>
              </w:rPr>
              <w:t> 经理</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20" w:right="0"/>
              <w:jc w:val="left"/>
              <w:rPr>
                <w:rFonts w:ascii="Times New Roman" w:hAnsi="Times New Roman" w:cs="Times New Roman" w:eastAsia="Times New Roman" w:hint="default"/>
                <w:sz w:val="18"/>
                <w:szCs w:val="18"/>
              </w:rPr>
            </w:pPr>
            <w:r>
              <w:rPr>
                <w:rFonts w:ascii="Times New Roman"/>
                <w:sz w:val="18"/>
              </w:rPr>
              <w:t>22.63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250,000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100,000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1,000,000</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8.23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1,100,000</w:t>
            </w:r>
          </w:p>
        </w:tc>
      </w:tr>
      <w:tr>
        <w:trPr>
          <w:trHeight w:val="391"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焦国云</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04"/>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20" w:right="0"/>
              <w:jc w:val="left"/>
              <w:rPr>
                <w:rFonts w:ascii="Times New Roman" w:hAnsi="Times New Roman" w:cs="Times New Roman" w:eastAsia="Times New Roman" w:hint="default"/>
                <w:sz w:val="18"/>
                <w:szCs w:val="18"/>
              </w:rPr>
            </w:pPr>
            <w:r>
              <w:rPr>
                <w:rFonts w:ascii="Times New Roman"/>
                <w:sz w:val="18"/>
              </w:rPr>
              <w:t>22.63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350,000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120,000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180,000</w:t>
            </w:r>
          </w:p>
        </w:tc>
      </w:tr>
      <w:tr>
        <w:trPr>
          <w:trHeight w:val="1035"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王慎勇</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4" w:right="29"/>
              <w:jc w:val="left"/>
              <w:rPr>
                <w:rFonts w:ascii="宋体" w:hAnsi="宋体" w:cs="宋体" w:eastAsia="宋体" w:hint="default"/>
                <w:sz w:val="18"/>
                <w:szCs w:val="18"/>
              </w:rPr>
            </w:pPr>
            <w:r>
              <w:rPr>
                <w:rFonts w:ascii="宋体" w:hAnsi="宋体" w:cs="宋体" w:eastAsia="宋体" w:hint="default"/>
                <w:sz w:val="18"/>
                <w:szCs w:val="18"/>
              </w:rPr>
              <w:t>董事会秘 </w:t>
            </w:r>
            <w:r>
              <w:rPr>
                <w:rFonts w:ascii="宋体" w:hAnsi="宋体" w:cs="宋体" w:eastAsia="宋体" w:hint="default"/>
                <w:spacing w:val="-18"/>
                <w:sz w:val="18"/>
                <w:szCs w:val="18"/>
              </w:rPr>
              <w:t>书、副总经</w:t>
            </w:r>
            <w:r>
              <w:rPr>
                <w:rFonts w:ascii="宋体" w:hAnsi="宋体" w:cs="宋体" w:eastAsia="宋体" w:hint="default"/>
                <w:sz w:val="18"/>
                <w:szCs w:val="18"/>
              </w:rPr>
              <w:t> 理</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20" w:right="0"/>
              <w:jc w:val="left"/>
              <w:rPr>
                <w:rFonts w:ascii="Times New Roman" w:hAnsi="Times New Roman" w:cs="Times New Roman" w:eastAsia="Times New Roman" w:hint="default"/>
                <w:sz w:val="18"/>
                <w:szCs w:val="18"/>
              </w:rPr>
            </w:pPr>
            <w:r>
              <w:rPr>
                <w:rFonts w:ascii="Times New Roman"/>
                <w:sz w:val="18"/>
              </w:rPr>
              <w:t>22.63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250,000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100,000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1,000,000</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8.23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1,100,000</w:t>
            </w:r>
          </w:p>
        </w:tc>
      </w:tr>
      <w:tr>
        <w:trPr>
          <w:trHeight w:val="406"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鲁清芳</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04"/>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20" w:right="0"/>
              <w:jc w:val="left"/>
              <w:rPr>
                <w:rFonts w:ascii="Times New Roman" w:hAnsi="Times New Roman" w:cs="Times New Roman" w:eastAsia="Times New Roman" w:hint="default"/>
                <w:sz w:val="18"/>
                <w:szCs w:val="18"/>
              </w:rPr>
            </w:pPr>
            <w:r>
              <w:rPr>
                <w:rFonts w:ascii="Times New Roman"/>
                <w:sz w:val="18"/>
              </w:rPr>
              <w:t>22.63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380,000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112,000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232,000</w:t>
            </w:r>
          </w:p>
        </w:tc>
      </w:tr>
      <w:tr>
        <w:trPr>
          <w:trHeight w:val="391"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翁朝伟</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04"/>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20" w:right="0"/>
              <w:jc w:val="left"/>
              <w:rPr>
                <w:rFonts w:ascii="Times New Roman" w:hAnsi="Times New Roman" w:cs="Times New Roman" w:eastAsia="Times New Roman" w:hint="default"/>
                <w:sz w:val="18"/>
                <w:szCs w:val="18"/>
              </w:rPr>
            </w:pPr>
            <w:r>
              <w:rPr>
                <w:rFonts w:ascii="Times New Roman"/>
                <w:sz w:val="18"/>
              </w:rPr>
              <w:t>22.63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100,000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20,000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80,000</w:t>
            </w:r>
          </w:p>
        </w:tc>
      </w:tr>
      <w:tr>
        <w:trPr>
          <w:trHeight w:val="405" w:hRule="exact"/>
        </w:trPr>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5"/>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3,080,000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852,000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2,000,000</w:t>
            </w:r>
          </w:p>
        </w:tc>
        <w:tc>
          <w:tcPr>
            <w:tcW w:w="8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3,992,000</w:t>
            </w:r>
          </w:p>
        </w:tc>
      </w:tr>
      <w:tr>
        <w:trPr>
          <w:trHeight w:val="706" w:hRule="exact"/>
        </w:trPr>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120"/>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711" w:type="dxa"/>
            <w:gridSpan w:val="10"/>
            <w:tcBorders>
              <w:top w:val="single" w:sz="6" w:space="0" w:color="000000"/>
              <w:left w:val="single" w:sz="18"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2"/>
        <w:rPr>
          <w:rFonts w:ascii="宋体" w:hAnsi="宋体" w:cs="宋体" w:eastAsia="宋体" w:hint="default"/>
          <w:sz w:val="17"/>
          <w:szCs w:val="17"/>
        </w:rPr>
      </w:pPr>
    </w:p>
    <w:p>
      <w:pPr>
        <w:pStyle w:val="Heading2"/>
        <w:spacing w:line="240" w:lineRule="auto" w:before="26"/>
        <w:ind w:right="1105"/>
        <w:jc w:val="left"/>
        <w:rPr>
          <w:b w:val="0"/>
          <w:bCs w:val="0"/>
        </w:rPr>
      </w:pPr>
      <w:bookmarkStart w:name="五、公司员工情况" w:id="127"/>
      <w:bookmarkEnd w:id="127"/>
      <w:r>
        <w:rPr>
          <w:b w:val="0"/>
          <w:bCs w:val="0"/>
        </w:rPr>
      </w:r>
      <w:r>
        <w:rPr/>
        <w:t>五、公司员工情况</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05"/>
        <w:jc w:val="left"/>
        <w:rPr>
          <w:b w:val="0"/>
          <w:bCs w:val="0"/>
        </w:rPr>
      </w:pPr>
      <w:bookmarkStart w:name="1、员工数量、专业构成及教育程度" w:id="128"/>
      <w:bookmarkEnd w:id="12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2"/>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4779"/>
        <w:gridCol w:w="4796"/>
      </w:tblGrid>
      <w:tr>
        <w:trPr>
          <w:trHeight w:val="406"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1,847</w:t>
            </w:r>
          </w:p>
        </w:tc>
      </w:tr>
      <w:tr>
        <w:trPr>
          <w:trHeight w:val="406"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2,208</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4,055</w:t>
            </w:r>
          </w:p>
        </w:tc>
      </w:tr>
      <w:tr>
        <w:trPr>
          <w:trHeight w:val="390"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4,055</w:t>
            </w:r>
          </w:p>
        </w:tc>
      </w:tr>
      <w:tr>
        <w:trPr>
          <w:trHeight w:val="413"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w:t>
            </w:r>
          </w:p>
        </w:tc>
      </w:tr>
      <w:tr>
        <w:trPr>
          <w:trHeight w:val="390"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 w:right="2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13"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3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56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248</w:t>
            </w:r>
          </w:p>
        </w:tc>
      </w:tr>
      <w:tr>
        <w:trPr>
          <w:trHeight w:val="406"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3,476</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66</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265</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4,055</w:t>
            </w:r>
          </w:p>
        </w:tc>
      </w:tr>
      <w:tr>
        <w:trPr>
          <w:trHeight w:val="383"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 w:right="2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13"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7"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博士研究生</w:t>
            </w:r>
          </w:p>
        </w:tc>
        <w:tc>
          <w:tcPr>
            <w:tcW w:w="4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253</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本科毕业生</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2,983</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专科毕业生</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741</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高中及高中以下学历人员</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70</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4,055</w:t>
            </w:r>
          </w:p>
        </w:tc>
      </w:tr>
    </w:tbl>
    <w:p>
      <w:pPr>
        <w:spacing w:line="240" w:lineRule="auto" w:before="11"/>
        <w:rPr>
          <w:rFonts w:ascii="宋体" w:hAnsi="宋体" w:cs="宋体" w:eastAsia="宋体" w:hint="default"/>
          <w:b/>
          <w:bCs/>
          <w:sz w:val="19"/>
          <w:szCs w:val="19"/>
        </w:rPr>
      </w:pPr>
    </w:p>
    <w:p>
      <w:pPr>
        <w:pStyle w:val="Heading3"/>
        <w:spacing w:line="240" w:lineRule="auto" w:before="35"/>
        <w:ind w:right="1105"/>
        <w:jc w:val="left"/>
        <w:rPr>
          <w:b w:val="0"/>
          <w:bCs w:val="0"/>
        </w:rPr>
      </w:pPr>
      <w:bookmarkStart w:name="2、薪酬政策" w:id="129"/>
      <w:bookmarkEnd w:id="129"/>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26"/>
          <w:szCs w:val="26"/>
        </w:rPr>
      </w:pPr>
    </w:p>
    <w:p>
      <w:pPr>
        <w:pStyle w:val="BodyText"/>
        <w:spacing w:line="288" w:lineRule="auto"/>
        <w:ind w:right="1098"/>
        <w:jc w:val="both"/>
      </w:pPr>
      <w:r>
        <w:rPr>
          <w:spacing w:val="-1"/>
        </w:rPr>
        <w:t>公司以实现员工在薪酬分配上的</w:t>
      </w:r>
      <w:r>
        <w:rPr>
          <w:rFonts w:ascii="Times New Roman" w:hAnsi="Times New Roman" w:cs="Times New Roman" w:eastAsia="Times New Roman" w:hint="default"/>
          <w:spacing w:val="-1"/>
        </w:rPr>
        <w:t>“</w:t>
      </w:r>
      <w:r>
        <w:rPr>
          <w:spacing w:val="-1"/>
        </w:rPr>
        <w:t>责任与利益一致、能力与价值一致、风险与回报一致、业绩与收益一致</w:t>
      </w:r>
      <w:r>
        <w:rPr>
          <w:rFonts w:ascii="Times New Roman" w:hAnsi="Times New Roman" w:cs="Times New Roman" w:eastAsia="Times New Roman" w:hint="default"/>
          <w:spacing w:val="-1"/>
        </w:rPr>
        <w:t>”</w:t>
      </w:r>
      <w:r>
        <w:rPr>
          <w:spacing w:val="-1"/>
        </w:rPr>
        <w:t>为目标，在建立兼</w:t>
      </w:r>
      <w:r>
        <w:rPr>
          <w:spacing w:val="-81"/>
        </w:rPr>
        <w:t> </w:t>
      </w:r>
      <w:r>
        <w:rPr>
          <w:spacing w:val="-81"/>
        </w:rPr>
      </w:r>
      <w:r>
        <w:rPr>
          <w:spacing w:val="-1"/>
        </w:rPr>
        <w:t>顾内部公平性和市场竞争性的薪酬体系基础上，建立</w:t>
      </w:r>
      <w:r>
        <w:rPr>
          <w:rFonts w:ascii="Times New Roman" w:hAnsi="Times New Roman" w:cs="Times New Roman" w:eastAsia="Times New Roman" w:hint="default"/>
          <w:spacing w:val="-1"/>
        </w:rPr>
        <w:t>“</w:t>
      </w:r>
      <w:r>
        <w:rPr>
          <w:spacing w:val="-1"/>
        </w:rPr>
        <w:t>利益分享、风险共担</w:t>
      </w:r>
      <w:r>
        <w:rPr>
          <w:rFonts w:ascii="Times New Roman" w:hAnsi="Times New Roman" w:cs="Times New Roman" w:eastAsia="Times New Roman" w:hint="default"/>
          <w:spacing w:val="-1"/>
        </w:rPr>
        <w:t>”</w:t>
      </w:r>
      <w:r>
        <w:rPr>
          <w:spacing w:val="-1"/>
        </w:rPr>
        <w:t>的激励机制，使得员工所有努力聚焦到业务经营</w:t>
      </w:r>
      <w:r>
        <w:rPr>
          <w:spacing w:val="-69"/>
        </w:rPr>
        <w:t> </w:t>
      </w:r>
      <w:r>
        <w:rPr>
          <w:spacing w:val="-69"/>
        </w:rPr>
      </w:r>
      <w:r>
        <w:rPr/>
        <w:t>与发展上，同时公司实施股权激励计划，让员工分享公司发展红利。</w:t>
      </w:r>
    </w:p>
    <w:p>
      <w:pPr>
        <w:pStyle w:val="BodyText"/>
        <w:spacing w:line="297" w:lineRule="auto" w:before="104"/>
        <w:ind w:right="999"/>
        <w:jc w:val="left"/>
      </w:pPr>
      <w:r>
        <w:rPr/>
        <w:t>报告期内，公司职工薪酬总额（计入成本部分）</w:t>
      </w:r>
      <w:r>
        <w:rPr>
          <w:rFonts w:ascii="Times New Roman" w:hAnsi="Times New Roman" w:cs="Times New Roman" w:eastAsia="Times New Roman" w:hint="default"/>
        </w:rPr>
        <w:t>419,377,564.88</w:t>
      </w:r>
      <w:r>
        <w:rPr/>
        <w:t>元，占公司营业成本的</w:t>
      </w:r>
      <w:r>
        <w:rPr>
          <w:rFonts w:ascii="Times New Roman" w:hAnsi="Times New Roman" w:cs="Times New Roman" w:eastAsia="Times New Roman" w:hint="default"/>
        </w:rPr>
        <w:t>25.47%</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w:t>
      </w:r>
      <w:r>
        <w:rPr>
          <w:spacing w:val="-55"/>
        </w:rPr>
        <w:t> </w:t>
      </w:r>
      <w:r>
        <w:rPr/>
        <w:t>核心技术人员为</w:t>
      </w:r>
      <w:r>
        <w:rPr>
          <w:rFonts w:ascii="Times New Roman" w:hAnsi="Times New Roman" w:cs="Times New Roman" w:eastAsia="Times New Roman" w:hint="default"/>
        </w:rPr>
        <w:t>87</w:t>
      </w:r>
      <w:r>
        <w:rPr/>
        <w:t>人，占全体员工人数的</w:t>
      </w:r>
      <w:r>
        <w:rPr>
          <w:rFonts w:ascii="Times New Roman" w:hAnsi="Times New Roman" w:cs="Times New Roman" w:eastAsia="Times New Roman" w:hint="default"/>
        </w:rPr>
        <w:t>2.15%</w:t>
      </w:r>
      <w:r>
        <w:rPr/>
        <w:t>，上年同期核心技术人员为</w:t>
      </w:r>
      <w:r>
        <w:rPr>
          <w:rFonts w:ascii="Times New Roman" w:hAnsi="Times New Roman" w:cs="Times New Roman" w:eastAsia="Times New Roman" w:hint="default"/>
        </w:rPr>
        <w:t>55</w:t>
      </w:r>
      <w:r>
        <w:rPr/>
        <w:t>人，占全体员工人数的</w:t>
      </w:r>
      <w:r>
        <w:rPr>
          <w:rFonts w:ascii="Times New Roman" w:hAnsi="Times New Roman" w:cs="Times New Roman" w:eastAsia="Times New Roman" w:hint="default"/>
        </w:rPr>
        <w:t>2.45%</w:t>
      </w:r>
      <w:r>
        <w:rPr/>
        <w:t>；截至报告期末，</w:t>
      </w:r>
      <w:r>
        <w:rPr>
          <w:spacing w:val="-82"/>
        </w:rPr>
        <w:t> </w:t>
      </w:r>
      <w:r>
        <w:rPr/>
        <w:t>核心技术人员薪酬占全体员工薪酬的</w:t>
      </w:r>
      <w:r>
        <w:rPr>
          <w:rFonts w:ascii="Times New Roman" w:hAnsi="Times New Roman" w:cs="Times New Roman" w:eastAsia="Times New Roman" w:hint="default"/>
        </w:rPr>
        <w:t>5.15%</w:t>
      </w:r>
      <w:r>
        <w:rPr/>
        <w:t>，上年同期为</w:t>
      </w:r>
      <w:r>
        <w:rPr>
          <w:rFonts w:ascii="Times New Roman" w:hAnsi="Times New Roman" w:cs="Times New Roman" w:eastAsia="Times New Roman" w:hint="default"/>
        </w:rPr>
        <w:t>5.08%</w:t>
      </w:r>
      <w:r>
        <w:rPr/>
        <w:t>。</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right="1105"/>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p>
    <w:p>
      <w:pPr>
        <w:pStyle w:val="Heading3"/>
        <w:spacing w:line="240" w:lineRule="auto" w:before="126"/>
        <w:ind w:right="1105"/>
        <w:jc w:val="left"/>
        <w:rPr>
          <w:b w:val="0"/>
          <w:bCs w:val="0"/>
        </w:rPr>
      </w:pPr>
      <w:bookmarkStart w:name="3、培训计划" w:id="130"/>
      <w:bookmarkEnd w:id="13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公司着力基于不同业务、不同人才的价值定位，构建人才金字塔，坚持员工对自我发展负责，用任职资格牵引，培训与实践</w:t>
      </w:r>
    </w:p>
    <w:p>
      <w:pPr>
        <w:pStyle w:val="BodyText"/>
        <w:spacing w:line="273" w:lineRule="auto" w:before="95"/>
        <w:ind w:right="1114"/>
        <w:jc w:val="left"/>
      </w:pPr>
      <w:r>
        <w:rPr/>
        <w:t>结合的方式提升人才的知识和技能。公司围绕各类人才，形成了涵盖启航训练营、新员工培养、在职员工培养、经理</w:t>
      </w:r>
      <w:r>
        <w:rPr>
          <w:spacing w:val="-45"/>
        </w:rPr>
        <w:t> </w:t>
      </w:r>
      <w:r>
        <w:rPr>
          <w:rFonts w:ascii="Times New Roman" w:hAnsi="Times New Roman" w:cs="Times New Roman" w:eastAsia="Times New Roman" w:hint="default"/>
        </w:rPr>
        <w:t>/</w:t>
      </w:r>
      <w:r>
        <w:rPr/>
        <w:t>总监</w:t>
      </w:r>
      <w:r>
        <w:rPr>
          <w:spacing w:val="-87"/>
        </w:rPr>
        <w:t> </w:t>
      </w:r>
      <w:r>
        <w:rPr/>
        <w:t>培养、内训师培养等项目，根据每个群体制定针对性的培训计划并执行。</w:t>
      </w:r>
    </w:p>
    <w:p>
      <w:pPr>
        <w:spacing w:line="240" w:lineRule="auto" w:before="0"/>
        <w:rPr>
          <w:rFonts w:ascii="宋体" w:hAnsi="宋体" w:cs="宋体" w:eastAsia="宋体" w:hint="default"/>
          <w:sz w:val="18"/>
          <w:szCs w:val="18"/>
        </w:rPr>
      </w:pPr>
    </w:p>
    <w:p>
      <w:pPr>
        <w:pStyle w:val="Heading3"/>
        <w:spacing w:line="240" w:lineRule="auto" w:before="129"/>
        <w:ind w:right="1105"/>
        <w:jc w:val="left"/>
        <w:rPr>
          <w:b w:val="0"/>
          <w:bCs w:val="0"/>
        </w:rPr>
      </w:pPr>
      <w:bookmarkStart w:name="4、劳务外包情况" w:id="131"/>
      <w:bookmarkEnd w:id="13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2767" w:right="3750"/>
        <w:jc w:val="center"/>
        <w:rPr>
          <w:b w:val="0"/>
          <w:bCs w:val="0"/>
        </w:rPr>
      </w:pPr>
      <w:bookmarkStart w:name="_TOC_250003" w:id="132"/>
      <w:bookmarkStart w:name="第十节公司治理" w:id="133"/>
      <w:r>
        <w:rPr>
          <w:b w:val="0"/>
          <w:bCs w:val="0"/>
        </w:rPr>
      </w:r>
      <w:r>
        <w:rPr>
          <w:spacing w:val="5"/>
        </w:rPr>
        <w:t>第十节公司治理</w:t>
      </w:r>
      <w:bookmarkEnd w:id="132"/>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105"/>
        <w:jc w:val="left"/>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1"/>
        <w:rPr>
          <w:rFonts w:ascii="宋体" w:hAnsi="宋体" w:cs="宋体" w:eastAsia="宋体" w:hint="default"/>
          <w:b/>
          <w:bCs/>
          <w:sz w:val="26"/>
          <w:szCs w:val="26"/>
        </w:rPr>
      </w:pPr>
    </w:p>
    <w:p>
      <w:pPr>
        <w:pStyle w:val="BodyText"/>
        <w:spacing w:line="316" w:lineRule="auto"/>
        <w:ind w:right="1121" w:firstLine="360"/>
        <w:jc w:val="both"/>
      </w:pPr>
      <w:r>
        <w:rPr>
          <w:spacing w:val="-2"/>
        </w:rPr>
        <w:t>公司按照《公司法》《证券法》《深圳证券交易所创业板股票上市规则》《深圳证券交易所创业板上市公司规范运作指</w:t>
      </w:r>
      <w:r>
        <w:rPr/>
        <w:t> </w:t>
      </w:r>
      <w:r>
        <w:rPr>
          <w:spacing w:val="-2"/>
        </w:rPr>
        <w:t>引》等相关法律、法规和规范性文件的要求，不断完善公司的法人治理结构，建立健全公司内部管理和控制制度，持续深入</w:t>
      </w:r>
      <w:r>
        <w:rPr>
          <w:spacing w:val="-57"/>
        </w:rPr>
        <w:t> </w:t>
      </w:r>
      <w:r>
        <w:rPr>
          <w:spacing w:val="-57"/>
        </w:rPr>
      </w:r>
      <w:r>
        <w:rPr>
          <w:spacing w:val="-2"/>
        </w:rPr>
        <w:t>开展公司治理活动，促进公司规范运作，提高公司治理水平。报告期内，公司股东大会、董事会、监事会依法运作，公司治</w:t>
      </w:r>
      <w:r>
        <w:rPr>
          <w:spacing w:val="-72"/>
        </w:rPr>
        <w:t> </w:t>
      </w:r>
      <w:r>
        <w:rPr>
          <w:spacing w:val="-72"/>
        </w:rPr>
      </w:r>
      <w:r>
        <w:rPr/>
        <w:t>理的实际情况符合中国证监会、深圳证券交易所等发布的法律法规和规范性文件的要求。</w:t>
      </w:r>
    </w:p>
    <w:p>
      <w:pPr>
        <w:pStyle w:val="BodyText"/>
        <w:spacing w:line="316" w:lineRule="auto" w:before="82"/>
        <w:ind w:left="501" w:right="1008"/>
        <w:jc w:val="left"/>
      </w:pPr>
      <w:r>
        <w:rPr>
          <w:rFonts w:ascii="Times New Roman" w:hAnsi="Times New Roman" w:cs="Times New Roman" w:eastAsia="Times New Roman" w:hint="default"/>
        </w:rPr>
        <w:t>1</w:t>
      </w:r>
      <w:r>
        <w:rPr/>
        <w:t>、关于股东与股东大会 </w:t>
      </w:r>
      <w:r>
        <w:rPr>
          <w:spacing w:val="-3"/>
        </w:rPr>
        <w:t>公司严格按照《公司法》《深圳证券交易所创业板上市公司规范运作指引》《公司章程》《股东大会议事规则》等法律、</w:t>
      </w:r>
    </w:p>
    <w:p>
      <w:pPr>
        <w:pStyle w:val="BodyText"/>
        <w:spacing w:line="321" w:lineRule="auto" w:before="22"/>
        <w:ind w:right="1029"/>
        <w:jc w:val="left"/>
      </w:pPr>
      <w:r>
        <w:rPr/>
        <w:t>法规和规定性文件的规定和要求，规范股东大会的召集、召开和表决程序，聘请律师对股东大会的合法性出具法律意见书， </w:t>
      </w:r>
      <w:r>
        <w:rPr>
          <w:spacing w:val="-2"/>
        </w:rPr>
        <w:t>采取现场会议、网络投票相结合的方式召开会议，为股东参加股东大会提供便利，确保股东的合法权益，尽可能为股东参加</w:t>
      </w:r>
      <w:r>
        <w:rPr>
          <w:spacing w:val="-42"/>
        </w:rPr>
        <w:t> </w:t>
      </w:r>
      <w:r>
        <w:rPr>
          <w:spacing w:val="-42"/>
        </w:rPr>
      </w:r>
      <w:r>
        <w:rPr>
          <w:spacing w:val="-2"/>
        </w:rPr>
        <w:t>股东大会提供便利，使其充分行使股东权利，平等对待所有股东，确保全体股东特别是中小股东享有平等地位，充分行使自</w:t>
      </w:r>
      <w:r>
        <w:rPr>
          <w:spacing w:val="-42"/>
        </w:rPr>
        <w:t> </w:t>
      </w:r>
      <w:r>
        <w:rPr>
          <w:spacing w:val="-42"/>
        </w:rPr>
      </w:r>
      <w:r>
        <w:rPr/>
        <w:t>己的权力。</w:t>
      </w:r>
    </w:p>
    <w:p>
      <w:pPr>
        <w:pStyle w:val="BodyText"/>
        <w:spacing w:line="319" w:lineRule="auto" w:before="63"/>
        <w:ind w:left="501" w:right="1008"/>
        <w:jc w:val="left"/>
      </w:pPr>
      <w:r>
        <w:rPr>
          <w:rFonts w:ascii="Times New Roman" w:hAnsi="Times New Roman" w:cs="Times New Roman" w:eastAsia="Times New Roman" w:hint="default"/>
        </w:rPr>
        <w:t>2</w:t>
      </w:r>
      <w:r>
        <w:rPr/>
        <w:t>、关于公司与控股股东 </w:t>
      </w:r>
      <w:r>
        <w:rPr>
          <w:spacing w:val="-3"/>
        </w:rPr>
        <w:t>公司按照《公司法》、《证券法》、《公司章程》及证券监管部门的有关规定正确处理与控股股东的关系。公司的人员、</w:t>
      </w:r>
    </w:p>
    <w:p>
      <w:pPr>
        <w:pStyle w:val="BodyText"/>
        <w:spacing w:line="321" w:lineRule="auto" w:before="20"/>
        <w:ind w:right="1105"/>
        <w:jc w:val="left"/>
      </w:pPr>
      <w:r>
        <w:rPr>
          <w:spacing w:val="-2"/>
        </w:rPr>
        <w:t>资产、财务、机构、业务独立。控股股东、实际控制人及其关联人不存在违法违规占用公司资金以及要求公司违法违规提供</w:t>
      </w:r>
      <w:r>
        <w:rPr>
          <w:spacing w:val="-57"/>
        </w:rPr>
        <w:t> </w:t>
      </w:r>
      <w:r>
        <w:rPr>
          <w:spacing w:val="-57"/>
        </w:rPr>
      </w:r>
      <w:r>
        <w:rPr/>
        <w:t>担保的情形。</w:t>
      </w:r>
    </w:p>
    <w:p>
      <w:pPr>
        <w:pStyle w:val="BodyText"/>
        <w:spacing w:line="331" w:lineRule="auto" w:before="78"/>
        <w:ind w:left="501" w:right="1119"/>
        <w:jc w:val="left"/>
      </w:pPr>
      <w:r>
        <w:rPr>
          <w:rFonts w:ascii="Times New Roman" w:hAnsi="Times New Roman" w:cs="Times New Roman" w:eastAsia="Times New Roman" w:hint="default"/>
        </w:rPr>
        <w:t>3</w:t>
      </w:r>
      <w:r>
        <w:rPr/>
        <w:t>、关于董事与董事会 公司严格按照《公司法》、《公司章程》规定，公司董事会由</w:t>
      </w:r>
      <w:r>
        <w:rPr>
          <w:rFonts w:ascii="Times New Roman" w:hAnsi="Times New Roman" w:cs="Times New Roman" w:eastAsia="Times New Roman" w:hint="default"/>
        </w:rPr>
        <w:t>8</w:t>
      </w:r>
      <w:r>
        <w:rPr/>
        <w:t>名董事组成，其中</w:t>
      </w:r>
      <w:r>
        <w:rPr>
          <w:rFonts w:ascii="Times New Roman" w:hAnsi="Times New Roman" w:cs="Times New Roman" w:eastAsia="Times New Roman" w:hint="default"/>
        </w:rPr>
        <w:t>3</w:t>
      </w:r>
      <w:r>
        <w:rPr/>
        <w:t>名独立董事，设董事长</w:t>
      </w:r>
      <w:r>
        <w:rPr>
          <w:rFonts w:ascii="Times New Roman" w:hAnsi="Times New Roman" w:cs="Times New Roman" w:eastAsia="Times New Roman" w:hint="default"/>
        </w:rPr>
        <w:t>1</w:t>
      </w:r>
      <w:r>
        <w:rPr/>
        <w:t>名，副董事</w:t>
      </w:r>
    </w:p>
    <w:p>
      <w:pPr>
        <w:pStyle w:val="BodyText"/>
        <w:spacing w:line="304" w:lineRule="auto"/>
        <w:ind w:right="1014"/>
        <w:jc w:val="left"/>
      </w:pPr>
      <w:r>
        <w:rPr/>
        <w:t>长</w:t>
      </w:r>
      <w:r>
        <w:rPr>
          <w:rFonts w:ascii="Times New Roman" w:hAnsi="Times New Roman" w:cs="Times New Roman" w:eastAsia="Times New Roman" w:hint="default"/>
        </w:rPr>
        <w:t>1</w:t>
      </w:r>
      <w:r>
        <w:rPr/>
        <w:t>名。公司董事会均严格按照《深圳证券交易所创业板上市公司规范运作指引》、《公司章程》及《董事会议事规则》的 </w:t>
      </w:r>
      <w:r>
        <w:rPr>
          <w:spacing w:val="-3"/>
        </w:rPr>
        <w:t>程序召集、召开。公司董事出席董事会和股东大会，依法行使职权，勤勉尽责地履行董事的职责和义务，积极参加相关培训，</w:t>
      </w:r>
      <w:r>
        <w:rPr>
          <w:spacing w:val="-80"/>
        </w:rPr>
        <w:t> </w:t>
      </w:r>
      <w:r>
        <w:rPr>
          <w:spacing w:val="-80"/>
        </w:rPr>
      </w:r>
      <w:r>
        <w:rPr/>
        <w:t>熟悉相关法律法规。董事会下设薪酬与考核委员会、战略委员会、提名委员会和审计委员会，各委员会根据各自职责对公司</w:t>
      </w:r>
      <w:r>
        <w:rPr/>
        <w:t> 发展的事项进行专项研究，为董事会决策提供意见和建议。</w:t>
      </w:r>
    </w:p>
    <w:p>
      <w:pPr>
        <w:pStyle w:val="BodyText"/>
        <w:spacing w:line="333" w:lineRule="auto" w:before="91"/>
        <w:ind w:left="501" w:right="1105"/>
        <w:jc w:val="left"/>
      </w:pPr>
      <w:r>
        <w:rPr>
          <w:rFonts w:ascii="Times New Roman" w:hAnsi="Times New Roman" w:cs="Times New Roman" w:eastAsia="Times New Roman" w:hint="default"/>
        </w:rPr>
        <w:t>4</w:t>
      </w:r>
      <w:r>
        <w:rPr/>
        <w:t>、关于监事与监事会 </w:t>
      </w:r>
      <w:r>
        <w:rPr>
          <w:spacing w:val="-2"/>
        </w:rPr>
        <w:t>根据《公司章程》及《监事会议事规则》的规定，公司监事会由</w:t>
      </w:r>
      <w:r>
        <w:rPr>
          <w:rFonts w:ascii="Times New Roman" w:hAnsi="Times New Roman" w:cs="Times New Roman" w:eastAsia="Times New Roman" w:hint="default"/>
          <w:spacing w:val="-2"/>
        </w:rPr>
        <w:t>3</w:t>
      </w:r>
      <w:r>
        <w:rPr>
          <w:spacing w:val="-2"/>
        </w:rPr>
        <w:t>名监事组成，其中职工代表监事</w:t>
      </w:r>
      <w:r>
        <w:rPr>
          <w:rFonts w:ascii="Times New Roman" w:hAnsi="Times New Roman" w:cs="Times New Roman" w:eastAsia="Times New Roman" w:hint="default"/>
          <w:spacing w:val="-2"/>
        </w:rPr>
        <w:t>1</w:t>
      </w:r>
      <w:r>
        <w:rPr>
          <w:spacing w:val="-2"/>
        </w:rPr>
        <w:t>名。监事会人数与人</w:t>
      </w:r>
    </w:p>
    <w:p>
      <w:pPr>
        <w:pStyle w:val="BodyText"/>
        <w:spacing w:line="209" w:lineRule="exact"/>
        <w:ind w:right="0"/>
        <w:jc w:val="left"/>
      </w:pPr>
      <w:r>
        <w:rPr/>
        <w:t>员组成符合法律法规与《公司章程》的要求。公司监事会按照《公司章程》及《监事会议事规则》的程序召集、召开。公司</w:t>
      </w:r>
    </w:p>
    <w:p>
      <w:pPr>
        <w:pStyle w:val="BodyText"/>
        <w:spacing w:line="321" w:lineRule="auto" w:before="80"/>
        <w:ind w:right="1105"/>
        <w:jc w:val="left"/>
      </w:pPr>
      <w:r>
        <w:rPr>
          <w:spacing w:val="-2"/>
        </w:rPr>
        <w:t>监事会认真履行自己的职责，秉着对全体股东负责的态度，对公司财务以及董事、高级管理人员行使职权的合法合规性进行</w:t>
      </w:r>
      <w:r>
        <w:rPr>
          <w:spacing w:val="-75"/>
        </w:rPr>
        <w:t> </w:t>
      </w:r>
      <w:r>
        <w:rPr>
          <w:spacing w:val="-75"/>
        </w:rPr>
      </w:r>
      <w:r>
        <w:rPr/>
        <w:t>监督，充分维护公司及股东的合法权益。</w:t>
      </w:r>
    </w:p>
    <w:p>
      <w:pPr>
        <w:pStyle w:val="BodyText"/>
        <w:spacing w:line="316" w:lineRule="auto" w:before="64"/>
        <w:ind w:left="501" w:right="1133"/>
        <w:jc w:val="left"/>
      </w:pPr>
      <w:r>
        <w:rPr>
          <w:rFonts w:ascii="Times New Roman" w:hAnsi="Times New Roman" w:cs="Times New Roman" w:eastAsia="Times New Roman" w:hint="default"/>
        </w:rPr>
        <w:t>5</w:t>
      </w:r>
      <w:r>
        <w:rPr/>
        <w:t>、关于内部审计制度的建立与执行 </w:t>
      </w:r>
      <w:r>
        <w:rPr>
          <w:spacing w:val="-2"/>
        </w:rPr>
        <w:t>为规范经营管理，控制风险，保证经营业务活动的正常开展，公司根据《公司法》、《证券法》、《企业内部控制基本</w:t>
      </w:r>
    </w:p>
    <w:p>
      <w:pPr>
        <w:pStyle w:val="BodyText"/>
        <w:spacing w:line="321" w:lineRule="auto" w:before="22"/>
        <w:ind w:right="1105"/>
        <w:jc w:val="left"/>
      </w:pPr>
      <w:r>
        <w:rPr>
          <w:spacing w:val="-2"/>
        </w:rPr>
        <w:t>规范》等有关法律、法规和规章制度，结合公司的实际情况、自身特点和管理需要，制定了贯穿于公司生产经营各层面、各</w:t>
      </w:r>
      <w:r>
        <w:rPr>
          <w:spacing w:val="-72"/>
        </w:rPr>
        <w:t> </w:t>
      </w:r>
      <w:r>
        <w:rPr>
          <w:spacing w:val="-72"/>
        </w:rPr>
      </w:r>
      <w:r>
        <w:rPr/>
        <w:t>环节的内部控制体系，并不断完善。</w:t>
      </w:r>
    </w:p>
    <w:p>
      <w:pPr>
        <w:pStyle w:val="BodyText"/>
        <w:spacing w:line="319" w:lineRule="auto" w:before="78"/>
        <w:ind w:left="501" w:right="1105"/>
        <w:jc w:val="left"/>
      </w:pPr>
      <w:r>
        <w:rPr>
          <w:rFonts w:ascii="Times New Roman" w:hAnsi="Times New Roman" w:cs="Times New Roman" w:eastAsia="Times New Roman" w:hint="default"/>
        </w:rPr>
        <w:t>6</w:t>
      </w:r>
      <w:r>
        <w:rPr/>
        <w:t>、关于信息披露与透明度 </w:t>
      </w:r>
      <w:r>
        <w:rPr>
          <w:spacing w:val="-2"/>
        </w:rPr>
        <w:t>公司高度重视信息披露与投资者关系管理工作，严格按照《上市公司信息披露管理办法》、深圳证券交易所创业板上市</w:t>
      </w:r>
    </w:p>
    <w:p>
      <w:pPr>
        <w:pStyle w:val="BodyText"/>
        <w:spacing w:line="316" w:lineRule="auto" w:before="20"/>
        <w:ind w:right="1029"/>
        <w:jc w:val="left"/>
      </w:pPr>
      <w:r>
        <w:rPr/>
        <w:t>公司的信息披露格式指引等规定以及公司制定的《信息披露制度》等操作性文件的要求，真实准确、完整及时的披露信息。 </w:t>
      </w:r>
      <w:r>
        <w:rPr>
          <w:spacing w:val="-2"/>
        </w:rPr>
        <w:t>公司指定《证券时报》、《证券日报》、《中国证券报》、《上海证券报》为公司信息披露报纸，巨潮资讯网为公司信息披</w:t>
      </w:r>
      <w:r>
        <w:rPr>
          <w:spacing w:val="-42"/>
        </w:rPr>
        <w:t> </w:t>
      </w:r>
      <w:r>
        <w:rPr>
          <w:spacing w:val="-42"/>
        </w:rPr>
      </w:r>
      <w:r>
        <w:rPr>
          <w:spacing w:val="-2"/>
        </w:rPr>
        <w:t>露网站。公司上市以来，不断尝试更加有效的方式开展投资者关系管理工作，设立了互动易、电话专线、专用邮箱等多种渠</w:t>
      </w:r>
      <w:r>
        <w:rPr>
          <w:spacing w:val="-57"/>
        </w:rPr>
        <w:t> </w:t>
      </w:r>
      <w:r>
        <w:rPr>
          <w:spacing w:val="-57"/>
        </w:rPr>
      </w:r>
      <w:r>
        <w:rPr/>
        <w:t>道与投资者进行沟通和交流。</w:t>
      </w:r>
    </w:p>
    <w:p>
      <w:pPr>
        <w:pStyle w:val="BodyText"/>
        <w:spacing w:line="240" w:lineRule="auto" w:before="82"/>
        <w:ind w:left="501" w:right="1105"/>
        <w:jc w:val="left"/>
      </w:pPr>
      <w:r>
        <w:rPr>
          <w:rFonts w:ascii="Times New Roman" w:hAnsi="Times New Roman" w:cs="Times New Roman" w:eastAsia="Times New Roman" w:hint="default"/>
        </w:rPr>
        <w:t>7</w:t>
      </w:r>
      <w:r>
        <w:rPr/>
        <w:t>、关于相关利益者</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1105"/>
        <w:jc w:val="left"/>
      </w:pPr>
      <w:r>
        <w:rPr>
          <w:spacing w:val="-2"/>
        </w:rPr>
        <w:t>公司充分尊重和维护相关利益者的合法权益，重视公司的社会责任，积极与相关利益者合作，加强与各方的沟通和交流，实</w:t>
      </w:r>
      <w:r>
        <w:rPr>
          <w:spacing w:val="-42"/>
        </w:rPr>
        <w:t> </w:t>
      </w:r>
      <w:r>
        <w:rPr>
          <w:spacing w:val="-42"/>
        </w:rPr>
      </w:r>
      <w:r>
        <w:rPr/>
        <w:t>现股东、员工、社会等各方利益的协调平衡，共同推动公司持续、健康的发展。</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right="1105"/>
        <w:jc w:val="left"/>
      </w:pPr>
      <w:r>
        <w:rPr/>
        <w:t>公司治理的实际状况与中国证监会发布的有关上市公司治理的规范性文件是否存在重大差异</w:t>
      </w:r>
    </w:p>
    <w:p>
      <w:pPr>
        <w:pStyle w:val="BodyText"/>
        <w:spacing w:line="333" w:lineRule="auto" w:before="124"/>
        <w:ind w:right="35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20"/>
          <w:szCs w:val="20"/>
        </w:rPr>
      </w:pPr>
    </w:p>
    <w:p>
      <w:pPr>
        <w:pStyle w:val="Heading2"/>
        <w:spacing w:line="240" w:lineRule="auto"/>
        <w:ind w:right="1105"/>
        <w:jc w:val="left"/>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spacing w:line="240" w:lineRule="auto" w:before="13"/>
        <w:rPr>
          <w:rFonts w:ascii="宋体" w:hAnsi="宋体" w:cs="宋体" w:eastAsia="宋体" w:hint="default"/>
          <w:b/>
          <w:bCs/>
          <w:sz w:val="24"/>
          <w:szCs w:val="24"/>
        </w:rPr>
      </w:pPr>
    </w:p>
    <w:p>
      <w:pPr>
        <w:pStyle w:val="BodyText"/>
        <w:spacing w:line="321" w:lineRule="auto"/>
        <w:ind w:right="1083"/>
        <w:jc w:val="left"/>
      </w:pPr>
      <w:r>
        <w:rPr>
          <w:spacing w:val="-1"/>
        </w:rPr>
        <w:t>公司严格按照《公司法》、《证券法》等有关法律、法规和《公司章程》的要求规范运作，在业务、资产、人员、机构和财</w:t>
      </w:r>
      <w:r>
        <w:rPr/>
        <w:t> 务方面与控股股东及其控制的其他企业保持独立，具有完整的业务体系及面向市场独立经营的能力。</w:t>
      </w:r>
    </w:p>
    <w:p>
      <w:pPr>
        <w:spacing w:line="240" w:lineRule="auto" w:before="4"/>
        <w:rPr>
          <w:rFonts w:ascii="宋体" w:hAnsi="宋体" w:cs="宋体" w:eastAsia="宋体" w:hint="default"/>
          <w:sz w:val="21"/>
          <w:szCs w:val="21"/>
        </w:rPr>
      </w:pPr>
    </w:p>
    <w:p>
      <w:pPr>
        <w:pStyle w:val="Heading2"/>
        <w:spacing w:line="240" w:lineRule="auto"/>
        <w:ind w:right="1105"/>
        <w:jc w:val="left"/>
        <w:rPr>
          <w:b w:val="0"/>
          <w:bCs w:val="0"/>
        </w:rPr>
      </w:pPr>
      <w:bookmarkStart w:name="三、同业竞争情况" w:id="136"/>
      <w:bookmarkEnd w:id="136"/>
      <w:r>
        <w:rPr>
          <w:b w:val="0"/>
          <w:bCs w:val="0"/>
        </w:rPr>
      </w:r>
      <w:r>
        <w:rPr/>
        <w:t>三、同业竞争情况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1105"/>
        <w:jc w:val="left"/>
        <w:rPr>
          <w:b w:val="0"/>
          <w:bCs w:val="0"/>
        </w:rPr>
      </w:pPr>
      <w:bookmarkStart w:name="四、报告期内召开的年度股东大会和临时股东大会的有关情况" w:id="137"/>
      <w:bookmarkEnd w:id="137"/>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05"/>
        <w:jc w:val="left"/>
        <w:rPr>
          <w:b w:val="0"/>
          <w:bCs w:val="0"/>
        </w:rPr>
      </w:pPr>
      <w:bookmarkStart w:name="1、本报告期股东大会情况" w:id="138"/>
      <w:bookmarkEnd w:id="13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4"/>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9"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3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90" w:lineRule="auto"/>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年第一次临时 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481"/>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77.60%</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102"/>
              <w:ind w:left="30" w:right="30"/>
              <w:jc w:val="both"/>
              <w:rPr>
                <w:rFonts w:ascii="Times New Roman" w:hAnsi="Times New Roman" w:cs="Times New Roman" w:eastAsia="Times New Roman" w:hint="default"/>
                <w:sz w:val="18"/>
                <w:szCs w:val="18"/>
              </w:rPr>
            </w:pPr>
            <w:hyperlink r:id="rId21">
              <w:r>
                <w:rPr>
                  <w:rFonts w:ascii="Times New Roman"/>
                  <w:w w:val="95"/>
                  <w:sz w:val="18"/>
                </w:rPr>
                <w:t>http://www.cninfo.co</w:t>
              </w:r>
            </w:hyperlink>
            <w:r>
              <w:rPr>
                <w:rFonts w:ascii="Times New Roman"/>
                <w:spacing w:val="20"/>
                <w:w w:val="95"/>
                <w:sz w:val="18"/>
              </w:rPr>
              <w:t> </w:t>
            </w:r>
            <w:r>
              <w:rPr>
                <w:rFonts w:ascii="Times New Roman"/>
                <w:spacing w:val="20"/>
                <w:w w:val="95"/>
                <w:sz w:val="18"/>
              </w:rPr>
            </w:r>
            <w:r>
              <w:rPr>
                <w:rFonts w:ascii="Times New Roman"/>
                <w:sz w:val="18"/>
              </w:rPr>
              <w:t>m.cn/cninfo-new/ind</w:t>
            </w:r>
            <w:r>
              <w:rPr>
                <w:rFonts w:ascii="Times New Roman"/>
                <w:sz w:val="18"/>
              </w:rPr>
              <w:t> </w:t>
            </w:r>
            <w:r>
              <w:rPr>
                <w:rFonts w:ascii="Times New Roman"/>
                <w:spacing w:val="-5"/>
                <w:sz w:val="18"/>
              </w:rPr>
              <w:t>ex</w:t>
            </w:r>
            <w:r>
              <w:rPr>
                <w:rFonts w:ascii="Times New Roman"/>
                <w:sz w:val="18"/>
              </w:rPr>
            </w:r>
          </w:p>
        </w:tc>
      </w:tr>
      <w:tr>
        <w:trPr>
          <w:trHeight w:val="10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73" w:lineRule="auto"/>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年第二次临时 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76.23%</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87"/>
              <w:ind w:left="30" w:right="30"/>
              <w:jc w:val="both"/>
              <w:rPr>
                <w:rFonts w:ascii="Times New Roman" w:hAnsi="Times New Roman" w:cs="Times New Roman" w:eastAsia="Times New Roman" w:hint="default"/>
                <w:sz w:val="18"/>
                <w:szCs w:val="18"/>
              </w:rPr>
            </w:pPr>
            <w:hyperlink r:id="rId21">
              <w:r>
                <w:rPr>
                  <w:rFonts w:ascii="Times New Roman"/>
                  <w:w w:val="95"/>
                  <w:sz w:val="18"/>
                </w:rPr>
                <w:t>http://www.cninfo.co</w:t>
              </w:r>
            </w:hyperlink>
            <w:r>
              <w:rPr>
                <w:rFonts w:ascii="Times New Roman"/>
                <w:spacing w:val="20"/>
                <w:w w:val="95"/>
                <w:sz w:val="18"/>
              </w:rPr>
              <w:t> </w:t>
            </w:r>
            <w:r>
              <w:rPr>
                <w:rFonts w:ascii="Times New Roman"/>
                <w:spacing w:val="20"/>
                <w:w w:val="95"/>
                <w:sz w:val="18"/>
              </w:rPr>
            </w:r>
            <w:r>
              <w:rPr>
                <w:rFonts w:ascii="Times New Roman"/>
                <w:sz w:val="18"/>
              </w:rPr>
              <w:t>m.cn/cninfo-new/ind</w:t>
            </w:r>
            <w:r>
              <w:rPr>
                <w:rFonts w:ascii="Times New Roman"/>
                <w:sz w:val="18"/>
              </w:rPr>
              <w:t> </w:t>
            </w:r>
            <w:r>
              <w:rPr>
                <w:rFonts w:ascii="Times New Roman"/>
                <w:spacing w:val="-5"/>
                <w:sz w:val="18"/>
              </w:rPr>
              <w:t>ex</w:t>
            </w:r>
            <w:r>
              <w:rPr>
                <w:rFonts w:ascii="Times New Roman"/>
                <w:sz w:val="18"/>
              </w:rPr>
            </w:r>
          </w:p>
        </w:tc>
      </w:tr>
      <w:tr>
        <w:trPr>
          <w:trHeight w:val="10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88" w:lineRule="auto"/>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年年度股东大 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64.66%</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102"/>
              <w:ind w:left="30" w:right="30"/>
              <w:jc w:val="both"/>
              <w:rPr>
                <w:rFonts w:ascii="Times New Roman" w:hAnsi="Times New Roman" w:cs="Times New Roman" w:eastAsia="Times New Roman" w:hint="default"/>
                <w:sz w:val="18"/>
                <w:szCs w:val="18"/>
              </w:rPr>
            </w:pPr>
            <w:hyperlink r:id="rId21">
              <w:r>
                <w:rPr>
                  <w:rFonts w:ascii="Times New Roman"/>
                  <w:w w:val="95"/>
                  <w:sz w:val="18"/>
                </w:rPr>
                <w:t>http://www.cninfo.co</w:t>
              </w:r>
            </w:hyperlink>
            <w:r>
              <w:rPr>
                <w:rFonts w:ascii="Times New Roman"/>
                <w:spacing w:val="20"/>
                <w:w w:val="95"/>
                <w:sz w:val="18"/>
              </w:rPr>
              <w:t> </w:t>
            </w:r>
            <w:r>
              <w:rPr>
                <w:rFonts w:ascii="Times New Roman"/>
                <w:spacing w:val="20"/>
                <w:w w:val="95"/>
                <w:sz w:val="18"/>
              </w:rPr>
            </w:r>
            <w:r>
              <w:rPr>
                <w:rFonts w:ascii="Times New Roman"/>
                <w:sz w:val="18"/>
              </w:rPr>
              <w:t>m.cn/cninfo-new/ind</w:t>
            </w:r>
            <w:r>
              <w:rPr>
                <w:rFonts w:ascii="Times New Roman"/>
                <w:sz w:val="18"/>
              </w:rPr>
              <w:t> </w:t>
            </w:r>
            <w:r>
              <w:rPr>
                <w:rFonts w:ascii="Times New Roman"/>
                <w:spacing w:val="-5"/>
                <w:sz w:val="18"/>
              </w:rPr>
              <w:t>ex</w:t>
            </w:r>
            <w:r>
              <w:rPr>
                <w:rFonts w:ascii="Times New Roman"/>
                <w:sz w:val="18"/>
              </w:rPr>
            </w:r>
          </w:p>
        </w:tc>
      </w:tr>
      <w:tr>
        <w:trPr>
          <w:trHeight w:val="103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88" w:lineRule="auto"/>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年第三次临时 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1"/>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76.19%</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102"/>
              <w:ind w:left="30" w:right="30"/>
              <w:jc w:val="both"/>
              <w:rPr>
                <w:rFonts w:ascii="Times New Roman" w:hAnsi="Times New Roman" w:cs="Times New Roman" w:eastAsia="Times New Roman" w:hint="default"/>
                <w:sz w:val="18"/>
                <w:szCs w:val="18"/>
              </w:rPr>
            </w:pPr>
            <w:hyperlink r:id="rId21">
              <w:r>
                <w:rPr>
                  <w:rFonts w:ascii="Times New Roman"/>
                  <w:w w:val="95"/>
                  <w:sz w:val="18"/>
                </w:rPr>
                <w:t>http://www.cninfo.co</w:t>
              </w:r>
            </w:hyperlink>
            <w:r>
              <w:rPr>
                <w:rFonts w:ascii="Times New Roman"/>
                <w:spacing w:val="20"/>
                <w:w w:val="95"/>
                <w:sz w:val="18"/>
              </w:rPr>
              <w:t> </w:t>
            </w:r>
            <w:r>
              <w:rPr>
                <w:rFonts w:ascii="Times New Roman"/>
                <w:spacing w:val="20"/>
                <w:w w:val="95"/>
                <w:sz w:val="18"/>
              </w:rPr>
            </w:r>
            <w:r>
              <w:rPr>
                <w:rFonts w:ascii="Times New Roman"/>
                <w:sz w:val="18"/>
              </w:rPr>
              <w:t>m.cn/cninfo-new/ind</w:t>
            </w:r>
            <w:r>
              <w:rPr>
                <w:rFonts w:ascii="Times New Roman"/>
                <w:sz w:val="18"/>
              </w:rPr>
              <w:t> </w:t>
            </w:r>
            <w:r>
              <w:rPr>
                <w:rFonts w:ascii="Times New Roman"/>
                <w:spacing w:val="-5"/>
                <w:sz w:val="18"/>
              </w:rPr>
              <w:t>ex</w:t>
            </w:r>
            <w:r>
              <w:rPr>
                <w:rFonts w:ascii="Times New Roman"/>
                <w:sz w:val="18"/>
              </w:rPr>
            </w:r>
          </w:p>
        </w:tc>
      </w:tr>
      <w:tr>
        <w:trPr>
          <w:trHeight w:val="10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76" w:lineRule="auto"/>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年第四次临时 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72.11%</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87"/>
              <w:ind w:left="30" w:right="30"/>
              <w:jc w:val="both"/>
              <w:rPr>
                <w:rFonts w:ascii="Times New Roman" w:hAnsi="Times New Roman" w:cs="Times New Roman" w:eastAsia="Times New Roman" w:hint="default"/>
                <w:sz w:val="18"/>
                <w:szCs w:val="18"/>
              </w:rPr>
            </w:pPr>
            <w:hyperlink r:id="rId21">
              <w:r>
                <w:rPr>
                  <w:rFonts w:ascii="Times New Roman"/>
                  <w:w w:val="95"/>
                  <w:sz w:val="18"/>
                </w:rPr>
                <w:t>http://www.cninfo.co</w:t>
              </w:r>
            </w:hyperlink>
            <w:r>
              <w:rPr>
                <w:rFonts w:ascii="Times New Roman"/>
                <w:spacing w:val="20"/>
                <w:w w:val="95"/>
                <w:sz w:val="18"/>
              </w:rPr>
              <w:t> </w:t>
            </w:r>
            <w:r>
              <w:rPr>
                <w:rFonts w:ascii="Times New Roman"/>
                <w:spacing w:val="20"/>
                <w:w w:val="95"/>
                <w:sz w:val="18"/>
              </w:rPr>
            </w:r>
            <w:r>
              <w:rPr>
                <w:rFonts w:ascii="Times New Roman"/>
                <w:sz w:val="18"/>
              </w:rPr>
              <w:t>m.cn/cninfo-new/ind</w:t>
            </w:r>
            <w:r>
              <w:rPr>
                <w:rFonts w:ascii="Times New Roman"/>
                <w:sz w:val="18"/>
              </w:rPr>
              <w:t> </w:t>
            </w:r>
            <w:r>
              <w:rPr>
                <w:rFonts w:ascii="Times New Roman"/>
                <w:spacing w:val="-5"/>
                <w:sz w:val="18"/>
              </w:rPr>
              <w:t>ex</w:t>
            </w:r>
            <w:r>
              <w:rPr>
                <w:rFonts w:ascii="Times New Roman"/>
                <w:sz w:val="18"/>
              </w:rPr>
            </w:r>
          </w:p>
        </w:tc>
      </w:tr>
      <w:tr>
        <w:trPr>
          <w:trHeight w:val="103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90" w:lineRule="auto"/>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年第五次临时 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481"/>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70.00%</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102"/>
              <w:ind w:left="30" w:right="30"/>
              <w:jc w:val="both"/>
              <w:rPr>
                <w:rFonts w:ascii="Times New Roman" w:hAnsi="Times New Roman" w:cs="Times New Roman" w:eastAsia="Times New Roman" w:hint="default"/>
                <w:sz w:val="18"/>
                <w:szCs w:val="18"/>
              </w:rPr>
            </w:pPr>
            <w:hyperlink r:id="rId21">
              <w:r>
                <w:rPr>
                  <w:rFonts w:ascii="Times New Roman"/>
                  <w:w w:val="95"/>
                  <w:sz w:val="18"/>
                </w:rPr>
                <w:t>http://www.cninfo.co</w:t>
              </w:r>
            </w:hyperlink>
            <w:r>
              <w:rPr>
                <w:rFonts w:ascii="Times New Roman"/>
                <w:spacing w:val="20"/>
                <w:w w:val="95"/>
                <w:sz w:val="18"/>
              </w:rPr>
              <w:t> </w:t>
            </w:r>
            <w:r>
              <w:rPr>
                <w:rFonts w:ascii="Times New Roman"/>
                <w:spacing w:val="20"/>
                <w:w w:val="95"/>
                <w:sz w:val="18"/>
              </w:rPr>
            </w:r>
            <w:r>
              <w:rPr>
                <w:rFonts w:ascii="Times New Roman"/>
                <w:sz w:val="18"/>
              </w:rPr>
              <w:t>m.cn/cninfo-new/ind</w:t>
            </w:r>
            <w:r>
              <w:rPr>
                <w:rFonts w:ascii="Times New Roman"/>
                <w:sz w:val="18"/>
              </w:rPr>
              <w:t> </w:t>
            </w:r>
            <w:r>
              <w:rPr>
                <w:rFonts w:ascii="Times New Roman"/>
                <w:spacing w:val="-5"/>
                <w:sz w:val="18"/>
              </w:rPr>
              <w:t>ex</w:t>
            </w:r>
            <w:r>
              <w:rPr>
                <w:rFonts w:ascii="Times New Roman"/>
                <w:sz w:val="18"/>
              </w:rPr>
            </w:r>
          </w:p>
        </w:tc>
      </w:tr>
      <w:tr>
        <w:trPr>
          <w:trHeight w:val="10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73" w:lineRule="auto"/>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年第六次临时 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69.49%</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87"/>
              <w:ind w:left="30" w:right="30"/>
              <w:jc w:val="both"/>
              <w:rPr>
                <w:rFonts w:ascii="Times New Roman" w:hAnsi="Times New Roman" w:cs="Times New Roman" w:eastAsia="Times New Roman" w:hint="default"/>
                <w:sz w:val="18"/>
                <w:szCs w:val="18"/>
              </w:rPr>
            </w:pPr>
            <w:hyperlink r:id="rId21">
              <w:r>
                <w:rPr>
                  <w:rFonts w:ascii="Times New Roman"/>
                  <w:w w:val="95"/>
                  <w:sz w:val="18"/>
                </w:rPr>
                <w:t>http://www.cninfo.co</w:t>
              </w:r>
            </w:hyperlink>
            <w:r>
              <w:rPr>
                <w:rFonts w:ascii="Times New Roman"/>
                <w:spacing w:val="20"/>
                <w:w w:val="95"/>
                <w:sz w:val="18"/>
              </w:rPr>
              <w:t> </w:t>
            </w:r>
            <w:r>
              <w:rPr>
                <w:rFonts w:ascii="Times New Roman"/>
                <w:spacing w:val="20"/>
                <w:w w:val="95"/>
                <w:sz w:val="18"/>
              </w:rPr>
            </w:r>
            <w:r>
              <w:rPr>
                <w:rFonts w:ascii="Times New Roman"/>
                <w:sz w:val="18"/>
              </w:rPr>
              <w:t>m.cn/cninfo-new/ind</w:t>
            </w:r>
            <w:r>
              <w:rPr>
                <w:rFonts w:ascii="Times New Roman"/>
                <w:sz w:val="18"/>
              </w:rPr>
              <w:t> </w:t>
            </w:r>
            <w:r>
              <w:rPr>
                <w:rFonts w:ascii="Times New Roman"/>
                <w:spacing w:val="-5"/>
                <w:sz w:val="18"/>
              </w:rPr>
              <w:t>ex</w:t>
            </w:r>
            <w:r>
              <w:rPr>
                <w:rFonts w:ascii="Times New Roman"/>
                <w:sz w:val="18"/>
              </w:rPr>
            </w:r>
          </w:p>
        </w:tc>
      </w:tr>
    </w:tbl>
    <w:p>
      <w:pPr>
        <w:spacing w:after="0" w:line="364" w:lineRule="auto"/>
        <w:jc w:val="both"/>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102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90" w:lineRule="auto"/>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年第七次临时 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69.89%</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102"/>
              <w:ind w:left="30" w:right="30"/>
              <w:jc w:val="both"/>
              <w:rPr>
                <w:rFonts w:ascii="Times New Roman" w:hAnsi="Times New Roman" w:cs="Times New Roman" w:eastAsia="Times New Roman" w:hint="default"/>
                <w:sz w:val="18"/>
                <w:szCs w:val="18"/>
              </w:rPr>
            </w:pPr>
            <w:hyperlink r:id="rId21">
              <w:r>
                <w:rPr>
                  <w:rFonts w:ascii="Times New Roman"/>
                  <w:w w:val="95"/>
                  <w:sz w:val="18"/>
                </w:rPr>
                <w:t>http://www.cninfo.co</w:t>
              </w:r>
            </w:hyperlink>
            <w:r>
              <w:rPr>
                <w:rFonts w:ascii="Times New Roman"/>
                <w:spacing w:val="20"/>
                <w:w w:val="95"/>
                <w:sz w:val="18"/>
              </w:rPr>
              <w:t> </w:t>
            </w:r>
            <w:r>
              <w:rPr>
                <w:rFonts w:ascii="Times New Roman"/>
                <w:spacing w:val="20"/>
                <w:w w:val="95"/>
                <w:sz w:val="18"/>
              </w:rPr>
            </w:r>
            <w:r>
              <w:rPr>
                <w:rFonts w:ascii="Times New Roman"/>
                <w:sz w:val="18"/>
              </w:rPr>
              <w:t>m.cn/cninfo-new/ind</w:t>
            </w:r>
            <w:r>
              <w:rPr>
                <w:rFonts w:ascii="Times New Roman"/>
                <w:sz w:val="18"/>
              </w:rPr>
              <w:t> </w:t>
            </w:r>
            <w:r>
              <w:rPr>
                <w:rFonts w:ascii="Times New Roman"/>
                <w:spacing w:val="-5"/>
                <w:sz w:val="18"/>
              </w:rPr>
              <w:t>ex</w:t>
            </w:r>
            <w:r>
              <w:rPr>
                <w:rFonts w:ascii="Times New Roman"/>
                <w:sz w:val="18"/>
              </w:rPr>
            </w:r>
          </w:p>
        </w:tc>
      </w:tr>
      <w:tr>
        <w:trPr>
          <w:trHeight w:val="10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90" w:lineRule="auto"/>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年第八次临时 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63.67%</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102"/>
              <w:ind w:left="30" w:right="30"/>
              <w:jc w:val="both"/>
              <w:rPr>
                <w:rFonts w:ascii="Times New Roman" w:hAnsi="Times New Roman" w:cs="Times New Roman" w:eastAsia="Times New Roman" w:hint="default"/>
                <w:sz w:val="18"/>
                <w:szCs w:val="18"/>
              </w:rPr>
            </w:pPr>
            <w:hyperlink r:id="rId21">
              <w:r>
                <w:rPr>
                  <w:rFonts w:ascii="Times New Roman"/>
                  <w:w w:val="95"/>
                  <w:sz w:val="18"/>
                </w:rPr>
                <w:t>http://www.cninfo.co</w:t>
              </w:r>
            </w:hyperlink>
            <w:r>
              <w:rPr>
                <w:rFonts w:ascii="Times New Roman"/>
                <w:spacing w:val="20"/>
                <w:w w:val="95"/>
                <w:sz w:val="18"/>
              </w:rPr>
              <w:t> </w:t>
            </w:r>
            <w:r>
              <w:rPr>
                <w:rFonts w:ascii="Times New Roman"/>
                <w:spacing w:val="20"/>
                <w:w w:val="95"/>
                <w:sz w:val="18"/>
              </w:rPr>
            </w:r>
            <w:r>
              <w:rPr>
                <w:rFonts w:ascii="Times New Roman"/>
                <w:sz w:val="18"/>
              </w:rPr>
              <w:t>m.cn/cninfo-new/ind</w:t>
            </w:r>
            <w:r>
              <w:rPr>
                <w:rFonts w:ascii="Times New Roman"/>
                <w:sz w:val="18"/>
              </w:rPr>
              <w:t> </w:t>
            </w:r>
            <w:r>
              <w:rPr>
                <w:rFonts w:ascii="Times New Roman"/>
                <w:spacing w:val="-5"/>
                <w:sz w:val="18"/>
              </w:rPr>
              <w:t>ex</w:t>
            </w:r>
            <w:r>
              <w:rPr>
                <w:rFonts w:ascii="Times New Roman"/>
                <w:sz w:val="18"/>
              </w:rPr>
            </w:r>
          </w:p>
        </w:tc>
      </w:tr>
    </w:tbl>
    <w:p>
      <w:pPr>
        <w:spacing w:line="240" w:lineRule="auto" w:before="11"/>
        <w:rPr>
          <w:rFonts w:ascii="宋体" w:hAnsi="宋体" w:cs="宋体" w:eastAsia="宋体" w:hint="default"/>
          <w:b/>
          <w:bCs/>
          <w:sz w:val="19"/>
          <w:szCs w:val="19"/>
        </w:rPr>
      </w:pPr>
    </w:p>
    <w:p>
      <w:pPr>
        <w:pStyle w:val="Heading3"/>
        <w:spacing w:line="240" w:lineRule="auto" w:before="35"/>
        <w:ind w:right="1105"/>
        <w:jc w:val="left"/>
        <w:rPr>
          <w:b w:val="0"/>
          <w:bCs w:val="0"/>
        </w:rPr>
      </w:pPr>
      <w:bookmarkStart w:name="2、表决权恢复的优先股股东请求召开临时股东大会" w:id="139"/>
      <w:bookmarkEnd w:id="13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1105"/>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05"/>
        <w:jc w:val="left"/>
        <w:rPr>
          <w:b w:val="0"/>
          <w:bCs w:val="0"/>
        </w:rPr>
      </w:pPr>
      <w:bookmarkStart w:name="1、独立董事出席董事会及股东大会的情况" w:id="141"/>
      <w:bookmarkEnd w:id="14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427"/>
        <w:gridCol w:w="1172"/>
        <w:gridCol w:w="1156"/>
        <w:gridCol w:w="1172"/>
        <w:gridCol w:w="1156"/>
        <w:gridCol w:w="1171"/>
        <w:gridCol w:w="1157"/>
        <w:gridCol w:w="1171"/>
      </w:tblGrid>
      <w:tr>
        <w:trPr>
          <w:trHeight w:val="405" w:hRule="exact"/>
        </w:trPr>
        <w:tc>
          <w:tcPr>
            <w:tcW w:w="9582"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17"/>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1"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45" w:right="30"/>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300" w:right="29" w:hanging="271"/>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45" w:right="29"/>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300" w:right="29" w:hanging="271"/>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495" w:right="29" w:hanging="451"/>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30" w:right="29"/>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405" w:right="29"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5"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穆钢</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谢德仁</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w:t>
            </w:r>
          </w:p>
        </w:tc>
      </w:tr>
      <w:tr>
        <w:trPr>
          <w:trHeight w:val="406"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梅生伟</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赵国栋</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w:t>
            </w:r>
          </w:p>
        </w:tc>
      </w:tr>
      <w:tr>
        <w:trPr>
          <w:trHeight w:val="406"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林中</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林乐</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4"/>
        <w:ind w:right="0"/>
        <w:jc w:val="both"/>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bookmarkStart w:name="2、独立董事对公司有关事项提出异议的情况" w:id="142"/>
      <w:bookmarkEnd w:id="14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both"/>
      </w:pPr>
      <w:r>
        <w:rPr/>
        <w:t>独立董事对公司有关事项是否提出异议</w:t>
      </w:r>
    </w:p>
    <w:p>
      <w:pPr>
        <w:pStyle w:val="BodyText"/>
        <w:spacing w:line="333" w:lineRule="auto" w:before="125"/>
        <w:ind w:right="696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报告期内独立董事对公司有关事项未提出异议。</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bookmarkStart w:name="3、独立董事履行职责的其他说明" w:id="143"/>
      <w:bookmarkEnd w:id="14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both"/>
      </w:pPr>
      <w:r>
        <w:rPr/>
        <w:t>独立董事对公司有关建议是否被采纳</w:t>
      </w:r>
    </w:p>
    <w:p>
      <w:pPr>
        <w:pStyle w:val="BodyText"/>
        <w:spacing w:line="319" w:lineRule="auto" w:before="124"/>
        <w:ind w:right="67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独立董事对公司有关建议被采纳或未被采纳的说明</w:t>
      </w:r>
    </w:p>
    <w:p>
      <w:pPr>
        <w:pStyle w:val="BodyText"/>
        <w:spacing w:line="321" w:lineRule="auto" w:before="65"/>
        <w:ind w:right="1121"/>
        <w:jc w:val="both"/>
      </w:pPr>
      <w:r>
        <w:rPr>
          <w:spacing w:val="-2"/>
        </w:rPr>
        <w:t>报告期内，公司独立董事勤勉尽责，充分利用在专业领域的知识和经验，对公司重大事项出具了独立、公正的独立意见；在</w:t>
      </w:r>
      <w:r>
        <w:rPr>
          <w:spacing w:val="-57"/>
        </w:rPr>
        <w:t> </w:t>
      </w:r>
      <w:r>
        <w:rPr>
          <w:spacing w:val="-57"/>
        </w:rPr>
      </w:r>
      <w:r>
        <w:rPr>
          <w:spacing w:val="-2"/>
        </w:rPr>
        <w:t>参加公司董事会及董事会专门委员会时，向公司提出了具有建设性的意见和建议。公司对于独立董事提出的专业性、建设性</w:t>
      </w:r>
      <w:r>
        <w:rPr>
          <w:spacing w:val="-72"/>
        </w:rPr>
        <w:t> </w:t>
      </w:r>
      <w:r>
        <w:rPr>
          <w:spacing w:val="-72"/>
        </w:rPr>
      </w:r>
      <w:r>
        <w:rPr/>
        <w:t>建议均进行了合理性的采纳。</w:t>
      </w:r>
    </w:p>
    <w:p>
      <w:pPr>
        <w:spacing w:after="0" w:line="321" w:lineRule="auto"/>
        <w:jc w:val="both"/>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pStyle w:val="Heading2"/>
        <w:spacing w:line="240" w:lineRule="auto" w:before="26"/>
        <w:ind w:right="0"/>
        <w:jc w:val="both"/>
        <w:rPr>
          <w:b w:val="0"/>
          <w:bCs w:val="0"/>
        </w:rPr>
      </w:pPr>
      <w:bookmarkStart w:name="六、董事会下设专门委员会在报告期内履行职责情况" w:id="144"/>
      <w:bookmarkEnd w:id="144"/>
      <w:r>
        <w:rPr>
          <w:b w:val="0"/>
          <w:bCs w:val="0"/>
        </w:rPr>
      </w:r>
      <w:r>
        <w:rPr/>
        <w:t>六、董事会下设专门委员会在报告期内履行职责情况</w:t>
      </w:r>
      <w:r>
        <w:rPr>
          <w:b w:val="0"/>
          <w:bCs w:val="0"/>
        </w:rPr>
      </w:r>
    </w:p>
    <w:p>
      <w:pPr>
        <w:spacing w:line="240" w:lineRule="auto" w:before="1"/>
        <w:rPr>
          <w:rFonts w:ascii="宋体" w:hAnsi="宋体" w:cs="宋体" w:eastAsia="宋体" w:hint="default"/>
          <w:b/>
          <w:bCs/>
          <w:sz w:val="26"/>
          <w:szCs w:val="26"/>
        </w:rPr>
      </w:pPr>
    </w:p>
    <w:p>
      <w:pPr>
        <w:pStyle w:val="BodyText"/>
        <w:spacing w:line="314" w:lineRule="auto"/>
        <w:ind w:right="1135" w:firstLine="360"/>
        <w:jc w:val="both"/>
      </w:pPr>
      <w:r>
        <w:rPr>
          <w:spacing w:val="-2"/>
        </w:rPr>
        <w:t>公司董事会目前下设四个专门委员会：战略委员会、审计委员会、提名委员会、薪酬与考核委员会，报告期内，各专门</w:t>
      </w:r>
      <w:r>
        <w:rPr/>
        <w:t> </w:t>
      </w:r>
      <w:r>
        <w:rPr>
          <w:spacing w:val="-2"/>
        </w:rPr>
        <w:t>委员会严格依据公司董事会所制订的职权范围及各专门委员会的议事规则运作，并就专业事项进行研究和讨论，形成建议和</w:t>
      </w:r>
      <w:r>
        <w:rPr>
          <w:spacing w:val="-72"/>
        </w:rPr>
        <w:t> </w:t>
      </w:r>
      <w:r>
        <w:rPr>
          <w:spacing w:val="-72"/>
        </w:rPr>
      </w:r>
      <w:r>
        <w:rPr/>
        <w:t>意见，为董事会的决策提供了积极有效的支撑。</w:t>
      </w:r>
    </w:p>
    <w:p>
      <w:pPr>
        <w:pStyle w:val="BodyText"/>
        <w:spacing w:line="321" w:lineRule="auto" w:before="69"/>
        <w:ind w:right="1046" w:firstLine="360"/>
        <w:jc w:val="both"/>
      </w:pPr>
      <w:r>
        <w:rPr>
          <w:spacing w:val="-4"/>
        </w:rPr>
        <w:t>报告期内，战略委员会严格按照《公司章程》及《公司董事会战略委员会工作制度》等相关规定，本着勤勉尽责的态度，</w:t>
      </w:r>
      <w:r>
        <w:rPr/>
        <w:t> 认真研究国家宏观经济政策调整对公司的影响，结合公司发展战略对重大决策提出建议，促进了公司的健康发展。</w:t>
      </w:r>
    </w:p>
    <w:p>
      <w:pPr>
        <w:pStyle w:val="BodyText"/>
        <w:spacing w:line="314" w:lineRule="auto" w:before="48"/>
        <w:ind w:right="1126" w:firstLine="360"/>
        <w:jc w:val="both"/>
      </w:pPr>
      <w:r>
        <w:rPr>
          <w:spacing w:val="-2"/>
        </w:rPr>
        <w:t>审计委员会严格按照《公司章程》及《公司董事会审计委员会工作制度》等相关规定积极履行职责。报告期内，审计委</w:t>
      </w:r>
      <w:r>
        <w:rPr/>
        <w:t> 员会共召开了</w:t>
      </w:r>
      <w:r>
        <w:rPr>
          <w:rFonts w:ascii="Times New Roman" w:hAnsi="Times New Roman" w:cs="Times New Roman" w:eastAsia="Times New Roman" w:hint="default"/>
        </w:rPr>
        <w:t>5</w:t>
      </w:r>
      <w:r>
        <w:rPr/>
        <w:t>次会议，</w:t>
      </w:r>
      <w:r>
        <w:rPr>
          <w:rFonts w:ascii="Times New Roman" w:hAnsi="Times New Roman" w:cs="Times New Roman" w:eastAsia="Times New Roman" w:hint="default"/>
        </w:rPr>
        <w:t>2019</w:t>
      </w:r>
      <w:r>
        <w:rPr/>
        <w:t>年第一次会议审议了</w:t>
      </w:r>
      <w:r>
        <w:rPr>
          <w:rFonts w:ascii="Times New Roman" w:hAnsi="Times New Roman" w:cs="Times New Roman" w:eastAsia="Times New Roman" w:hint="default"/>
        </w:rPr>
        <w:t>2018</w:t>
      </w:r>
      <w:r>
        <w:rPr/>
        <w:t>年年度报告相关事项；</w:t>
      </w:r>
      <w:r>
        <w:rPr>
          <w:rFonts w:ascii="Times New Roman" w:hAnsi="Times New Roman" w:cs="Times New Roman" w:eastAsia="Times New Roman" w:hint="default"/>
        </w:rPr>
        <w:t>2019</w:t>
      </w:r>
      <w:r>
        <w:rPr/>
        <w:t>年第二次会议审议了</w:t>
      </w:r>
      <w:r>
        <w:rPr>
          <w:rFonts w:ascii="Times New Roman" w:hAnsi="Times New Roman" w:cs="Times New Roman" w:eastAsia="Times New Roman" w:hint="default"/>
        </w:rPr>
        <w:t>2019</w:t>
      </w:r>
      <w:r>
        <w:rPr/>
        <w:t>年第一季度报告</w:t>
      </w:r>
      <w:r>
        <w:rPr>
          <w:spacing w:val="-83"/>
        </w:rPr>
        <w:t> </w:t>
      </w:r>
      <w:r>
        <w:rPr>
          <w:spacing w:val="-4"/>
        </w:rPr>
        <w:t>相关事项；</w:t>
      </w:r>
      <w:r>
        <w:rPr>
          <w:rFonts w:ascii="Times New Roman" w:hAnsi="Times New Roman" w:cs="Times New Roman" w:eastAsia="Times New Roman" w:hint="default"/>
          <w:spacing w:val="-4"/>
        </w:rPr>
        <w:t>2019</w:t>
      </w:r>
      <w:r>
        <w:rPr>
          <w:spacing w:val="-4"/>
        </w:rPr>
        <w:t>年第三次会议审议了</w:t>
      </w:r>
      <w:r>
        <w:rPr>
          <w:rFonts w:ascii="Times New Roman" w:hAnsi="Times New Roman" w:cs="Times New Roman" w:eastAsia="Times New Roman" w:hint="default"/>
          <w:spacing w:val="-4"/>
        </w:rPr>
        <w:t>2019</w:t>
      </w:r>
      <w:r>
        <w:rPr>
          <w:spacing w:val="-4"/>
        </w:rPr>
        <w:t>年半年度报告相关事项；</w:t>
      </w:r>
      <w:r>
        <w:rPr>
          <w:rFonts w:ascii="Times New Roman" w:hAnsi="Times New Roman" w:cs="Times New Roman" w:eastAsia="Times New Roman" w:hint="default"/>
          <w:spacing w:val="-4"/>
        </w:rPr>
        <w:t>2019</w:t>
      </w:r>
      <w:r>
        <w:rPr>
          <w:spacing w:val="-4"/>
        </w:rPr>
        <w:t>年第四次会议审议</w:t>
      </w:r>
      <w:r>
        <w:rPr>
          <w:rFonts w:ascii="Times New Roman" w:hAnsi="Times New Roman" w:cs="Times New Roman" w:eastAsia="Times New Roman" w:hint="default"/>
          <w:spacing w:val="-4"/>
        </w:rPr>
        <w:t>2019</w:t>
      </w:r>
      <w:r>
        <w:rPr>
          <w:spacing w:val="-4"/>
        </w:rPr>
        <w:t>年第三季度报告相关事项；</w:t>
      </w:r>
      <w:r>
        <w:rPr>
          <w:rFonts w:ascii="Times New Roman" w:hAnsi="Times New Roman" w:cs="Times New Roman" w:eastAsia="Times New Roman" w:hint="default"/>
          <w:spacing w:val="-4"/>
        </w:rPr>
        <w:t>2019</w:t>
      </w:r>
      <w:r>
        <w:rPr>
          <w:rFonts w:ascii="Times New Roman" w:hAnsi="Times New Roman" w:cs="Times New Roman" w:eastAsia="Times New Roman" w:hint="default"/>
        </w:rPr>
        <w:t> </w:t>
      </w:r>
      <w:r>
        <w:rPr/>
        <w:t>年第五次会议听取了公司</w:t>
      </w:r>
      <w:r>
        <w:rPr>
          <w:rFonts w:ascii="Times New Roman" w:hAnsi="Times New Roman" w:cs="Times New Roman" w:eastAsia="Times New Roman" w:hint="default"/>
        </w:rPr>
        <w:t>2019</w:t>
      </w:r>
      <w:r>
        <w:rPr/>
        <w:t>年度财务报表审计计划。</w:t>
      </w:r>
    </w:p>
    <w:p>
      <w:pPr>
        <w:pStyle w:val="BodyText"/>
        <w:spacing w:line="314" w:lineRule="auto" w:before="34"/>
        <w:ind w:right="1105" w:firstLine="360"/>
        <w:jc w:val="left"/>
      </w:pPr>
      <w:r>
        <w:rPr/>
        <w:t>公司提名委员会勤勉尽责地履行职责，持续研究与关注高级管理人员选拔制度。报告期内，提名委委员会共召开了</w:t>
      </w:r>
      <w:r>
        <w:rPr>
          <w:rFonts w:ascii="Times New Roman" w:hAnsi="Times New Roman" w:cs="Times New Roman" w:eastAsia="Times New Roman" w:hint="default"/>
        </w:rPr>
        <w:t>2</w:t>
      </w:r>
      <w:r>
        <w:rPr/>
        <w:t>次 会议，</w:t>
      </w:r>
      <w:r>
        <w:rPr>
          <w:rFonts w:ascii="Times New Roman" w:hAnsi="Times New Roman" w:cs="Times New Roman" w:eastAsia="Times New Roman" w:hint="default"/>
        </w:rPr>
        <w:t>2019</w:t>
      </w:r>
      <w:r>
        <w:rPr/>
        <w:t>年第一次会议审议了提名新任董事相关事项；</w:t>
      </w:r>
      <w:r>
        <w:rPr>
          <w:rFonts w:ascii="Times New Roman" w:hAnsi="Times New Roman" w:cs="Times New Roman" w:eastAsia="Times New Roman" w:hint="default"/>
        </w:rPr>
        <w:t>2019</w:t>
      </w:r>
      <w:r>
        <w:rPr/>
        <w:t>年第二次会议审议了提名新一届董事相关事项；</w:t>
      </w:r>
      <w:r>
        <w:rPr>
          <w:spacing w:val="-86"/>
        </w:rPr>
        <w:t> </w:t>
      </w:r>
      <w:r>
        <w:rPr>
          <w:spacing w:val="-2"/>
        </w:rPr>
        <w:t>薪酬与考核委员会根据《公司章程》及《公司董事会薪酬与考核委员会工作细则》等相关规定积极履行职责，报告期内，薪</w:t>
      </w:r>
      <w:r>
        <w:rPr>
          <w:spacing w:val="-72"/>
        </w:rPr>
        <w:t> </w:t>
      </w:r>
      <w:r>
        <w:rPr>
          <w:spacing w:val="-72"/>
        </w:rPr>
      </w:r>
      <w:r>
        <w:rPr/>
        <w:t>酬与考核委员会共召开了</w:t>
      </w:r>
      <w:r>
        <w:rPr>
          <w:rFonts w:ascii="Times New Roman" w:hAnsi="Times New Roman" w:cs="Times New Roman" w:eastAsia="Times New Roman" w:hint="default"/>
        </w:rPr>
        <w:t>4</w:t>
      </w:r>
      <w:r>
        <w:rPr/>
        <w:t>次会议，</w:t>
      </w:r>
      <w:r>
        <w:rPr>
          <w:rFonts w:ascii="Times New Roman" w:hAnsi="Times New Roman" w:cs="Times New Roman" w:eastAsia="Times New Roman" w:hint="default"/>
        </w:rPr>
        <w:t>2019</w:t>
      </w:r>
      <w:r>
        <w:rPr/>
        <w:t>年第一次会议审议了关于董事及高级管理人员</w:t>
      </w:r>
      <w:r>
        <w:rPr>
          <w:rFonts w:ascii="Times New Roman" w:hAnsi="Times New Roman" w:cs="Times New Roman" w:eastAsia="Times New Roman" w:hint="default"/>
        </w:rPr>
        <w:t>2018</w:t>
      </w:r>
      <w:r>
        <w:rPr/>
        <w:t>年度绩效考核、董事及高级管理</w:t>
      </w:r>
      <w:r>
        <w:rPr>
          <w:spacing w:val="-84"/>
        </w:rPr>
        <w:t> </w:t>
      </w:r>
      <w:r>
        <w:rPr>
          <w:spacing w:val="-2"/>
        </w:rPr>
        <w:t>人员</w:t>
      </w:r>
      <w:r>
        <w:rPr>
          <w:rFonts w:ascii="Times New Roman" w:hAnsi="Times New Roman" w:cs="Times New Roman" w:eastAsia="Times New Roman" w:hint="default"/>
          <w:spacing w:val="-2"/>
        </w:rPr>
        <w:t>2019</w:t>
      </w:r>
      <w:r>
        <w:rPr>
          <w:spacing w:val="-2"/>
        </w:rPr>
        <w:t>年薪酬与考核方案相关事项；</w:t>
      </w:r>
      <w:r>
        <w:rPr>
          <w:rFonts w:ascii="Times New Roman" w:hAnsi="Times New Roman" w:cs="Times New Roman" w:eastAsia="Times New Roman" w:hint="default"/>
          <w:spacing w:val="-2"/>
        </w:rPr>
        <w:t>2019</w:t>
      </w:r>
      <w:r>
        <w:rPr>
          <w:spacing w:val="-2"/>
        </w:rPr>
        <w:t>年第二次会议审议了</w:t>
      </w:r>
      <w:r>
        <w:rPr>
          <w:rFonts w:ascii="Times New Roman" w:hAnsi="Times New Roman" w:cs="Times New Roman" w:eastAsia="Times New Roman" w:hint="default"/>
          <w:spacing w:val="-2"/>
        </w:rPr>
        <w:t>2018</w:t>
      </w:r>
      <w:r>
        <w:rPr>
          <w:spacing w:val="-2"/>
        </w:rPr>
        <w:t>年度限制性股票与股票期权激励计划股票期权第一个行</w:t>
      </w:r>
    </w:p>
    <w:p>
      <w:pPr>
        <w:pStyle w:val="BodyText"/>
        <w:spacing w:line="290" w:lineRule="auto" w:before="4"/>
        <w:ind w:right="1115"/>
        <w:jc w:val="both"/>
      </w:pPr>
      <w:r>
        <w:rPr>
          <w:spacing w:val="-2"/>
        </w:rPr>
        <w:t>权期行权条件成就相关事项；</w:t>
      </w:r>
      <w:r>
        <w:rPr>
          <w:rFonts w:ascii="Times New Roman" w:hAnsi="Times New Roman" w:cs="Times New Roman" w:eastAsia="Times New Roman" w:hint="default"/>
          <w:spacing w:val="-2"/>
        </w:rPr>
        <w:t>2019</w:t>
      </w:r>
      <w:r>
        <w:rPr>
          <w:spacing w:val="-2"/>
        </w:rPr>
        <w:t>年第三次会议审议了关于</w:t>
      </w:r>
      <w:r>
        <w:rPr>
          <w:rFonts w:ascii="Times New Roman" w:hAnsi="Times New Roman" w:cs="Times New Roman" w:eastAsia="Times New Roman" w:hint="default"/>
          <w:spacing w:val="-2"/>
        </w:rPr>
        <w:t>2018</w:t>
      </w:r>
      <w:r>
        <w:rPr>
          <w:spacing w:val="-2"/>
        </w:rPr>
        <w:t>年度限制性股票与股票期权激励计划首次授予限制性股票第</w:t>
      </w:r>
      <w:r>
        <w:rPr>
          <w:spacing w:val="-44"/>
        </w:rPr>
        <w:t> </w:t>
      </w:r>
      <w:r>
        <w:rPr>
          <w:spacing w:val="-2"/>
        </w:rPr>
        <w:t>一个解除限售期解除限售条件成就相关事项；</w:t>
      </w:r>
      <w:r>
        <w:rPr>
          <w:rFonts w:ascii="Times New Roman" w:hAnsi="Times New Roman" w:cs="Times New Roman" w:eastAsia="Times New Roman" w:hint="default"/>
          <w:spacing w:val="-2"/>
        </w:rPr>
        <w:t>2019</w:t>
      </w:r>
      <w:r>
        <w:rPr>
          <w:spacing w:val="-2"/>
        </w:rPr>
        <w:t>年第四次会议审议了第三届董事会报酬及津贴标准、股权激励解除限售等</w:t>
      </w:r>
      <w:r>
        <w:rPr>
          <w:spacing w:val="-64"/>
        </w:rPr>
        <w:t> </w:t>
      </w:r>
      <w:r>
        <w:rPr>
          <w:spacing w:val="-64"/>
        </w:rPr>
      </w:r>
      <w:r>
        <w:rPr/>
        <w:t>相关事项。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Heading2"/>
        <w:spacing w:line="240" w:lineRule="auto"/>
        <w:ind w:right="0"/>
        <w:jc w:val="both"/>
        <w:rPr>
          <w:b w:val="0"/>
          <w:bCs w:val="0"/>
        </w:rPr>
      </w:pPr>
      <w:bookmarkStart w:name="七、监事会工作情况" w:id="145"/>
      <w:bookmarkEnd w:id="145"/>
      <w:r>
        <w:rPr>
          <w:b w:val="0"/>
          <w:bCs w:val="0"/>
        </w:rPr>
      </w:r>
      <w:r>
        <w:rPr/>
        <w:t>七、监事会工作情况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19" w:lineRule="auto" w:before="124"/>
        <w:ind w:right="73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公司监事会对报告期内的监督事项无异议。</w:t>
      </w:r>
    </w:p>
    <w:p>
      <w:pPr>
        <w:spacing w:line="240" w:lineRule="auto" w:before="8"/>
        <w:rPr>
          <w:rFonts w:ascii="宋体" w:hAnsi="宋体" w:cs="宋体" w:eastAsia="宋体" w:hint="default"/>
          <w:sz w:val="22"/>
          <w:szCs w:val="22"/>
        </w:rPr>
      </w:pPr>
    </w:p>
    <w:p>
      <w:pPr>
        <w:pStyle w:val="Heading2"/>
        <w:spacing w:line="240" w:lineRule="auto"/>
        <w:ind w:right="0"/>
        <w:jc w:val="both"/>
        <w:rPr>
          <w:b w:val="0"/>
          <w:bCs w:val="0"/>
        </w:rPr>
      </w:pPr>
      <w:bookmarkStart w:name="八、高级管理人员的考评及激励情况" w:id="146"/>
      <w:bookmarkEnd w:id="146"/>
      <w:r>
        <w:rPr>
          <w:b w:val="0"/>
          <w:bCs w:val="0"/>
        </w:rPr>
      </w:r>
      <w:r>
        <w:rPr/>
        <w:t>八、高级管理人员的考评及激励情况</w:t>
      </w:r>
      <w:r>
        <w:rPr>
          <w:b w:val="0"/>
          <w:bCs w:val="0"/>
        </w:rPr>
      </w:r>
    </w:p>
    <w:p>
      <w:pPr>
        <w:spacing w:line="240" w:lineRule="auto" w:before="12"/>
        <w:rPr>
          <w:rFonts w:ascii="宋体" w:hAnsi="宋体" w:cs="宋体" w:eastAsia="宋体" w:hint="default"/>
          <w:b/>
          <w:bCs/>
          <w:sz w:val="24"/>
          <w:szCs w:val="24"/>
        </w:rPr>
      </w:pPr>
    </w:p>
    <w:p>
      <w:pPr>
        <w:pStyle w:val="BodyText"/>
        <w:spacing w:line="321" w:lineRule="auto"/>
        <w:ind w:right="1121"/>
        <w:jc w:val="both"/>
      </w:pPr>
      <w:r>
        <w:rPr>
          <w:spacing w:val="-2"/>
        </w:rPr>
        <w:t>公司建立了完善的高级管理人员绩效考评体系和薪酬制度，高级管理人员的工作绩效与其收入直接挂钩。高级管理人员的聘</w:t>
      </w:r>
      <w:r>
        <w:rPr>
          <w:spacing w:val="-66"/>
        </w:rPr>
        <w:t> </w:t>
      </w:r>
      <w:r>
        <w:rPr>
          <w:spacing w:val="-66"/>
        </w:rPr>
      </w:r>
      <w:r>
        <w:rPr>
          <w:spacing w:val="-2"/>
        </w:rPr>
        <w:t>任公开、透明，符合法律、法规的规定。公司董事会下设薪酬和考核委员会协同公司人力资源部负责对公司董事、监事及高</w:t>
      </w:r>
      <w:r>
        <w:rPr>
          <w:spacing w:val="-57"/>
        </w:rPr>
        <w:t> </w:t>
      </w:r>
      <w:r>
        <w:rPr>
          <w:spacing w:val="-57"/>
        </w:rPr>
      </w:r>
      <w:r>
        <w:rPr/>
        <w:t>级管理人员进行绩效考核的实施。</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pStyle w:val="Heading2"/>
        <w:spacing w:line="240" w:lineRule="auto"/>
        <w:ind w:right="0"/>
        <w:jc w:val="both"/>
        <w:rPr>
          <w:b w:val="0"/>
          <w:bCs w:val="0"/>
        </w:rPr>
      </w:pPr>
      <w:bookmarkStart w:name="九、内部控制评价报告" w:id="147"/>
      <w:bookmarkEnd w:id="147"/>
      <w:r>
        <w:rPr>
          <w:b w:val="0"/>
          <w:bCs w:val="0"/>
        </w:rPr>
      </w:r>
      <w:r>
        <w:rPr/>
        <w:t>九、内部控制评价报告</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both"/>
        <w:rPr>
          <w:b w:val="0"/>
          <w:bCs w:val="0"/>
        </w:rPr>
      </w:pPr>
      <w:bookmarkStart w:name="1、报告期内发现的内部控制重大缺陷的具体情况" w:id="148"/>
      <w:bookmarkEnd w:id="14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3"/>
        <w:spacing w:line="240" w:lineRule="auto" w:before="126"/>
        <w:ind w:right="0"/>
        <w:jc w:val="both"/>
        <w:rPr>
          <w:b w:val="0"/>
          <w:bCs w:val="0"/>
        </w:rPr>
      </w:pPr>
      <w:bookmarkStart w:name="2、内控自我评价报告" w:id="149"/>
      <w:bookmarkEnd w:id="149"/>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3192"/>
        <w:gridCol w:w="6390"/>
      </w:tblGrid>
      <w:tr>
        <w:trPr>
          <w:trHeight w:val="390"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3195"/>
        <w:gridCol w:w="3323"/>
        <w:gridCol w:w="3064"/>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1" w:right="0"/>
              <w:jc w:val="left"/>
              <w:rPr>
                <w:rFonts w:ascii="Times New Roman" w:hAnsi="Times New Roman" w:cs="Times New Roman" w:eastAsia="Times New Roman" w:hint="default"/>
                <w:sz w:val="18"/>
                <w:szCs w:val="18"/>
              </w:rPr>
            </w:pPr>
            <w:hyperlink r:id="rId22">
              <w:r>
                <w:rPr>
                  <w:rFonts w:ascii="Times New Roman"/>
                  <w:sz w:val="18"/>
                </w:rPr>
                <w:t>http://www.cninfo.com.cn/new/index</w:t>
              </w:r>
            </w:hyperlink>
          </w:p>
        </w:tc>
      </w:tr>
      <w:tr>
        <w:trPr>
          <w:trHeight w:val="706"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0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100.00%</w:t>
            </w:r>
          </w:p>
        </w:tc>
      </w:tr>
      <w:tr>
        <w:trPr>
          <w:trHeight w:val="721"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10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5" w:hRule="exact"/>
        </w:trPr>
        <w:tc>
          <w:tcPr>
            <w:tcW w:w="9582"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14"/>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459"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45"/>
              <w:ind w:left="18" w:right="-44"/>
              <w:jc w:val="left"/>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控制环境无效；</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 监事和高级管理人员的舞弊行为；</w:t>
            </w:r>
            <w:r>
              <w:rPr>
                <w:rFonts w:ascii="Times New Roman" w:hAnsi="Times New Roman" w:cs="Times New Roman" w:eastAsia="Times New Roman" w:hint="default"/>
                <w:sz w:val="18"/>
                <w:szCs w:val="18"/>
              </w:rPr>
              <w:t>3.</w:t>
            </w:r>
            <w:r>
              <w:rPr>
                <w:rFonts w:ascii="宋体" w:hAnsi="宋体" w:cs="宋体" w:eastAsia="宋体" w:hint="default"/>
                <w:sz w:val="18"/>
                <w:szCs w:val="18"/>
              </w:rPr>
              <w:t>公司</w:t>
            </w:r>
            <w:r>
              <w:rPr>
                <w:rFonts w:ascii="宋体" w:hAnsi="宋体" w:cs="宋体" w:eastAsia="宋体" w:hint="default"/>
                <w:spacing w:val="-87"/>
                <w:sz w:val="18"/>
                <w:szCs w:val="18"/>
              </w:rPr>
              <w:t> </w:t>
            </w:r>
            <w:r>
              <w:rPr>
                <w:rFonts w:ascii="宋体" w:hAnsi="宋体" w:cs="宋体" w:eastAsia="宋体" w:hint="default"/>
                <w:sz w:val="18"/>
                <w:szCs w:val="18"/>
              </w:rPr>
              <w:t>审计委员会和内部审计机构对内部控制的 监督无效；</w:t>
            </w:r>
            <w:r>
              <w:rPr>
                <w:rFonts w:ascii="Times New Roman" w:hAnsi="Times New Roman" w:cs="Times New Roman" w:eastAsia="Times New Roman" w:hint="default"/>
                <w:sz w:val="18"/>
                <w:szCs w:val="18"/>
              </w:rPr>
              <w:t>4.</w:t>
            </w:r>
            <w:r>
              <w:rPr>
                <w:rFonts w:ascii="宋体" w:hAnsi="宋体" w:cs="宋体" w:eastAsia="宋体" w:hint="default"/>
                <w:sz w:val="18"/>
                <w:szCs w:val="18"/>
              </w:rPr>
              <w:t>公司重述以前公布的财务报 表，以更正由于舞弊或错误导致的重大错</w:t>
            </w:r>
          </w:p>
          <w:p>
            <w:pPr>
              <w:pStyle w:val="TableParagraph"/>
              <w:spacing w:line="290" w:lineRule="auto" w:before="49"/>
              <w:ind w:left="18" w:right="47"/>
              <w:jc w:val="both"/>
              <w:rPr>
                <w:rFonts w:ascii="宋体" w:hAnsi="宋体" w:cs="宋体" w:eastAsia="宋体" w:hint="default"/>
                <w:sz w:val="18"/>
                <w:szCs w:val="18"/>
              </w:rPr>
            </w:pPr>
            <w:r>
              <w:rPr>
                <w:rFonts w:ascii="宋体" w:hAnsi="宋体" w:cs="宋体" w:eastAsia="宋体" w:hint="default"/>
                <w:sz w:val="18"/>
                <w:szCs w:val="18"/>
              </w:rPr>
              <w:t>报；</w:t>
            </w:r>
            <w:r>
              <w:rPr>
                <w:rFonts w:ascii="Times New Roman" w:hAnsi="Times New Roman" w:cs="Times New Roman" w:eastAsia="Times New Roman" w:hint="default"/>
                <w:sz w:val="18"/>
                <w:szCs w:val="18"/>
              </w:rPr>
              <w:t>5.</w:t>
            </w:r>
            <w:r>
              <w:rPr>
                <w:rFonts w:ascii="宋体" w:hAnsi="宋体" w:cs="宋体" w:eastAsia="宋体" w:hint="default"/>
                <w:sz w:val="18"/>
                <w:szCs w:val="18"/>
              </w:rPr>
              <w:t>外部审计发现公司当期财务报表存 在重大错报，而公司内部控制在运行过程</w:t>
            </w:r>
          </w:p>
          <w:p>
            <w:pPr>
              <w:pStyle w:val="TableParagraph"/>
              <w:spacing w:line="297" w:lineRule="auto" w:before="57"/>
              <w:ind w:left="18" w:right="44"/>
              <w:jc w:val="both"/>
              <w:rPr>
                <w:rFonts w:ascii="宋体" w:hAnsi="宋体" w:cs="宋体" w:eastAsia="宋体" w:hint="default"/>
                <w:sz w:val="18"/>
                <w:szCs w:val="18"/>
              </w:rPr>
            </w:pPr>
            <w:r>
              <w:rPr>
                <w:rFonts w:ascii="宋体" w:hAnsi="宋体" w:cs="宋体" w:eastAsia="宋体" w:hint="default"/>
                <w:sz w:val="18"/>
                <w:szCs w:val="18"/>
              </w:rPr>
              <w:t>中未能发现该错报的缺陷；</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其他可能导 致公司严重偏离控制目标的缺陷。重要缺 陷：一个或多个控制缺陷的组合，其严重</w:t>
            </w:r>
          </w:p>
          <w:p>
            <w:pPr>
              <w:pStyle w:val="TableParagraph"/>
              <w:spacing w:line="316" w:lineRule="auto" w:before="36"/>
              <w:ind w:left="18" w:right="47"/>
              <w:jc w:val="both"/>
              <w:rPr>
                <w:rFonts w:ascii="宋体" w:hAnsi="宋体" w:cs="宋体" w:eastAsia="宋体" w:hint="default"/>
                <w:sz w:val="18"/>
                <w:szCs w:val="18"/>
              </w:rPr>
            </w:pPr>
            <w:r>
              <w:rPr>
                <w:rFonts w:ascii="宋体" w:hAnsi="宋体" w:cs="宋体" w:eastAsia="宋体" w:hint="default"/>
                <w:sz w:val="18"/>
                <w:szCs w:val="18"/>
              </w:rPr>
              <w:t>程度和经济后果低于重大缺陷，但仍有可 能导致企业偏离控制目标。一般缺陷：除 上述重大缺陷、重要缺陷之外的其他控制 缺陷。</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315"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152.450pt;height:15.8pt;mso-position-horizontal-relative:char;mso-position-vertical-relative:line" coordorigin="0,0" coordsize="3049,316">
                  <v:group style="position:absolute;left:0;top:0;width:3049;height:316" coordorigin="0,0" coordsize="3049,316">
                    <v:shape style="position:absolute;left:0;top:0;width:3049;height:316" coordorigin="0,0" coordsize="3049,316" path="m0,315l3049,315,3049,0,0,0,0,315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312" w:lineRule="auto" w:before="60"/>
              <w:ind w:left="30" w:right="-42"/>
              <w:jc w:val="left"/>
              <w:rPr>
                <w:rFonts w:ascii="宋体" w:hAnsi="宋体" w:cs="宋体" w:eastAsia="宋体" w:hint="default"/>
                <w:sz w:val="18"/>
                <w:szCs w:val="18"/>
              </w:rPr>
            </w:pPr>
            <w:r>
              <w:rPr>
                <w:rFonts w:ascii="宋体" w:hAnsi="宋体" w:cs="宋体" w:eastAsia="宋体" w:hint="default"/>
                <w:spacing w:val="-11"/>
                <w:sz w:val="18"/>
                <w:szCs w:val="18"/>
              </w:rPr>
              <w:t>重大缺陷：</w:t>
            </w:r>
            <w:r>
              <w:rPr>
                <w:rFonts w:ascii="Times New Roman" w:hAnsi="Times New Roman" w:cs="Times New Roman" w:eastAsia="Times New Roman" w:hint="default"/>
                <w:spacing w:val="-11"/>
                <w:sz w:val="18"/>
                <w:szCs w:val="18"/>
              </w:rPr>
              <w:t>1.</w:t>
            </w:r>
            <w:r>
              <w:rPr>
                <w:rFonts w:ascii="Times New Roman" w:hAnsi="Times New Roman" w:cs="Times New Roman" w:eastAsia="Times New Roman" w:hint="default"/>
                <w:sz w:val="18"/>
                <w:szCs w:val="18"/>
              </w:rPr>
              <w:t> </w:t>
            </w:r>
            <w:r>
              <w:rPr>
                <w:rFonts w:ascii="宋体" w:hAnsi="宋体" w:cs="宋体" w:eastAsia="宋体" w:hint="default"/>
                <w:spacing w:val="-7"/>
                <w:sz w:val="18"/>
                <w:szCs w:val="18"/>
              </w:rPr>
              <w:t>违反国家法律法规；</w:t>
            </w:r>
            <w:r>
              <w:rPr>
                <w:rFonts w:ascii="Times New Roman" w:hAnsi="Times New Roman" w:cs="Times New Roman" w:eastAsia="Times New Roman" w:hint="default"/>
                <w:spacing w:val="-7"/>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决 </w:t>
            </w:r>
            <w:r>
              <w:rPr>
                <w:rFonts w:ascii="宋体" w:hAnsi="宋体" w:cs="宋体" w:eastAsia="宋体" w:hint="default"/>
                <w:spacing w:val="-4"/>
                <w:sz w:val="18"/>
                <w:szCs w:val="18"/>
              </w:rPr>
              <w:t>策程序不科学，因决策失误导致重大交</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易失败；</w:t>
            </w:r>
            <w:r>
              <w:rPr>
                <w:rFonts w:ascii="Times New Roman" w:hAnsi="Times New Roman" w:cs="Times New Roman" w:eastAsia="Times New Roman" w:hint="default"/>
                <w:sz w:val="18"/>
                <w:szCs w:val="18"/>
              </w:rPr>
              <w:t>3. </w:t>
            </w:r>
            <w:r>
              <w:rPr>
                <w:rFonts w:ascii="宋体" w:hAnsi="宋体" w:cs="宋体" w:eastAsia="宋体" w:hint="default"/>
                <w:sz w:val="18"/>
                <w:szCs w:val="18"/>
              </w:rPr>
              <w:t>管理人员或技术人员大量 流失；</w:t>
            </w:r>
            <w:r>
              <w:rPr>
                <w:rFonts w:ascii="Times New Roman" w:hAnsi="Times New Roman" w:cs="Times New Roman" w:eastAsia="Times New Roman" w:hint="default"/>
                <w:sz w:val="18"/>
                <w:szCs w:val="18"/>
              </w:rPr>
              <w:t>4. </w:t>
            </w:r>
            <w:r>
              <w:rPr>
                <w:rFonts w:ascii="宋体" w:hAnsi="宋体" w:cs="宋体" w:eastAsia="宋体" w:hint="default"/>
                <w:sz w:val="18"/>
                <w:szCs w:val="18"/>
              </w:rPr>
              <w:t>媒体负面新闻频现；</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重要 业务缺乏制度控制或制度系统性失效， </w:t>
            </w:r>
            <w:r>
              <w:rPr>
                <w:rFonts w:ascii="宋体" w:hAnsi="宋体" w:cs="宋体" w:eastAsia="宋体" w:hint="default"/>
                <w:spacing w:val="-4"/>
                <w:sz w:val="18"/>
                <w:szCs w:val="18"/>
              </w:rPr>
              <w:t>重要的经济业务虽有内控制度指引，但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没有有效运行；重大缺陷没有在合理期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间得到整改。重要缺陷：一个或多个控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制缺陷的组合，其严重程度和经济后果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低于重大缺陷，但仍有可能导致企业偏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离控制目标。一般缺陷：不构成重大缺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陷或重要缺陷的其他内部控制缺陷。</w:t>
            </w:r>
          </w:p>
        </w:tc>
      </w:tr>
      <w:tr>
        <w:trPr>
          <w:trHeight w:val="1967"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00" w:lineRule="auto"/>
              <w:ind w:left="18"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总资产</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利润总额的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1.</w:t>
            </w:r>
            <w:r>
              <w:rPr>
                <w:rFonts w:ascii="宋体" w:hAnsi="宋体" w:cs="宋体" w:eastAsia="宋体" w:hint="default"/>
                <w:sz w:val="18"/>
                <w:szCs w:val="18"/>
              </w:rPr>
              <w:t>总资产 </w:t>
            </w:r>
            <w:r>
              <w:rPr>
                <w:rFonts w:ascii="Times New Roman" w:hAnsi="Times New Roman" w:cs="Times New Roman" w:eastAsia="Times New Roman" w:hint="default"/>
                <w:sz w:val="18"/>
                <w:szCs w:val="18"/>
              </w:rPr>
              <w:t>0.25%≤</w:t>
            </w:r>
            <w:r>
              <w:rPr>
                <w:rFonts w:ascii="宋体" w:hAnsi="宋体" w:cs="宋体" w:eastAsia="宋体" w:hint="default"/>
                <w:sz w:val="18"/>
                <w:szCs w:val="18"/>
              </w:rPr>
              <w:t>错报＜总资产的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w:t>
            </w:r>
            <w:r>
              <w:rPr>
                <w:rFonts w:ascii="宋体" w:hAnsi="宋体" w:cs="宋体" w:eastAsia="宋体" w:hint="default"/>
                <w:spacing w:val="-84"/>
                <w:sz w:val="18"/>
                <w:szCs w:val="18"/>
              </w:rPr>
              <w:t> </w:t>
            </w:r>
            <w:r>
              <w:rPr>
                <w:rFonts w:ascii="宋体" w:hAnsi="宋体" w:cs="宋体" w:eastAsia="宋体" w:hint="default"/>
                <w:sz w:val="18"/>
                <w:szCs w:val="18"/>
              </w:rPr>
              <w:t>润总额的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。一般缺陷：</w:t>
            </w:r>
            <w:r>
              <w:rPr>
                <w:rFonts w:ascii="Times New Roman" w:hAnsi="Times New Roman" w:cs="Times New Roman" w:eastAsia="Times New Roman" w:hint="default"/>
                <w:sz w:val="18"/>
                <w:szCs w:val="18"/>
              </w:rPr>
              <w:t>1.</w:t>
            </w:r>
            <w:r>
              <w:rPr>
                <w:rFonts w:ascii="宋体" w:hAnsi="宋体" w:cs="宋体" w:eastAsia="宋体" w:hint="default"/>
                <w:sz w:val="18"/>
                <w:szCs w:val="18"/>
              </w:rPr>
              <w:t>错报＜总资 产的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错报＜利润总额的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45"/>
              <w:ind w:left="30" w:right="0"/>
              <w:jc w:val="both"/>
              <w:rPr>
                <w:rFonts w:ascii="宋体" w:hAnsi="宋体" w:cs="宋体" w:eastAsia="宋体" w:hint="default"/>
                <w:sz w:val="18"/>
                <w:szCs w:val="18"/>
              </w:rPr>
            </w:pPr>
            <w:r>
              <w:rPr>
                <w:rFonts w:ascii="宋体" w:hAnsi="宋体" w:cs="宋体" w:eastAsia="宋体" w:hint="default"/>
                <w:spacing w:val="-9"/>
                <w:sz w:val="18"/>
                <w:szCs w:val="18"/>
              </w:rPr>
              <w:t>重大缺陷：</w:t>
            </w:r>
            <w:r>
              <w:rPr>
                <w:rFonts w:ascii="Times New Roman" w:hAnsi="Times New Roman" w:cs="Times New Roman" w:eastAsia="Times New Roman" w:hint="default"/>
                <w:spacing w:val="-9"/>
                <w:sz w:val="18"/>
                <w:szCs w:val="18"/>
              </w:rPr>
              <w:t>1. </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总资产 </w:t>
            </w:r>
            <w:r>
              <w:rPr>
                <w:rFonts w:ascii="Times New Roman" w:hAnsi="Times New Roman" w:cs="Times New Roman" w:eastAsia="Times New Roman" w:hint="default"/>
                <w:spacing w:val="-9"/>
                <w:sz w:val="18"/>
                <w:szCs w:val="18"/>
              </w:rPr>
              <w:t>0.5%</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错 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总</w:t>
            </w:r>
            <w:r>
              <w:rPr>
                <w:rFonts w:ascii="宋体" w:hAnsi="宋体" w:cs="宋体" w:eastAsia="宋体" w:hint="default"/>
                <w:spacing w:val="-88"/>
                <w:sz w:val="18"/>
                <w:szCs w:val="18"/>
              </w:rPr>
              <w:t> </w:t>
            </w:r>
            <w:r>
              <w:rPr>
                <w:rFonts w:ascii="宋体" w:hAnsi="宋体" w:cs="宋体" w:eastAsia="宋体" w:hint="default"/>
                <w:sz w:val="18"/>
                <w:szCs w:val="18"/>
              </w:rPr>
              <w:t>资产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错报＜总资产的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。一般缺陷：</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错报＜总资产的 </w:t>
            </w:r>
            <w:r>
              <w:rPr>
                <w:rFonts w:ascii="Times New Roman" w:hAnsi="Times New Roman" w:cs="Times New Roman" w:eastAsia="Times New Roman" w:hint="default"/>
                <w:spacing w:val="-10"/>
                <w:sz w:val="18"/>
                <w:szCs w:val="18"/>
              </w:rPr>
              <w:t>0.25%</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错报＜利润 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2"/>
        <w:rPr>
          <w:rFonts w:ascii="宋体" w:hAnsi="宋体" w:cs="宋体" w:eastAsia="宋体" w:hint="default"/>
          <w:b/>
          <w:bCs/>
          <w:sz w:val="17"/>
          <w:szCs w:val="17"/>
        </w:rPr>
      </w:pPr>
    </w:p>
    <w:p>
      <w:pPr>
        <w:pStyle w:val="Heading2"/>
        <w:spacing w:line="240" w:lineRule="auto" w:before="26"/>
        <w:ind w:right="1105"/>
        <w:jc w:val="left"/>
        <w:rPr>
          <w:b w:val="0"/>
          <w:bCs w:val="0"/>
        </w:rPr>
      </w:pPr>
      <w:bookmarkStart w:name="十、内部控制审计报告或鉴证报告" w:id="150"/>
      <w:bookmarkEnd w:id="150"/>
      <w:r>
        <w:rPr>
          <w:b w:val="0"/>
          <w:bCs w:val="0"/>
        </w:rPr>
      </w:r>
      <w:r>
        <w:rPr/>
        <w:t>十、内部控制审计报告或鉴证报告</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05"/>
        <w:jc w:val="left"/>
      </w:pPr>
      <w:r>
        <w:rPr/>
        <w:t>不适用</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040" w:right="1105"/>
        <w:jc w:val="left"/>
        <w:rPr>
          <w:b w:val="0"/>
          <w:bCs w:val="0"/>
        </w:rPr>
      </w:pPr>
      <w:bookmarkStart w:name="_TOC_250002" w:id="151"/>
      <w:bookmarkStart w:name="第十一节公司债券相关情况" w:id="152"/>
      <w:r>
        <w:rPr>
          <w:b w:val="0"/>
          <w:bCs w:val="0"/>
        </w:rPr>
      </w:r>
      <w:r>
        <w:rPr>
          <w:spacing w:val="5"/>
        </w:rPr>
        <w:t>第十一节公司债券相关情况</w:t>
      </w:r>
      <w:bookmarkEnd w:id="151"/>
      <w:r>
        <w:rPr>
          <w:b w:val="0"/>
          <w:bCs w:val="0"/>
          <w:spacing w:val="5"/>
        </w:rPr>
      </w:r>
    </w:p>
    <w:p>
      <w:pPr>
        <w:spacing w:line="240" w:lineRule="auto" w:before="5"/>
        <w:rPr>
          <w:rFonts w:ascii="宋体" w:hAnsi="宋体" w:cs="宋体" w:eastAsia="宋体" w:hint="default"/>
          <w:b/>
          <w:bCs/>
          <w:sz w:val="41"/>
          <w:szCs w:val="41"/>
        </w:rPr>
      </w:pPr>
    </w:p>
    <w:p>
      <w:pPr>
        <w:pStyle w:val="BodyText"/>
        <w:spacing w:line="367" w:lineRule="auto"/>
        <w:ind w:right="2109"/>
        <w:jc w:val="left"/>
      </w:pPr>
      <w:r>
        <w:rPr/>
        <w:t>公司是否存在公开发行并在证券交易所上市，且在年度报告批准报出日未到期或到期未能全额兑付的公司债券 否</w:t>
      </w:r>
    </w:p>
    <w:p>
      <w:pPr>
        <w:spacing w:after="0" w:line="367"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right="3749"/>
        <w:jc w:val="center"/>
        <w:rPr>
          <w:b w:val="0"/>
          <w:bCs w:val="0"/>
        </w:rPr>
      </w:pPr>
      <w:bookmarkStart w:name="_TOC_250001" w:id="153"/>
      <w:bookmarkStart w:name="第十二节财务报告" w:id="154"/>
      <w:r>
        <w:rPr>
          <w:b w:val="0"/>
          <w:bCs w:val="0"/>
        </w:rPr>
      </w:r>
      <w:r>
        <w:rPr>
          <w:spacing w:val="4"/>
        </w:rPr>
        <w:t>第十二节财务报告</w:t>
      </w:r>
      <w:bookmarkEnd w:id="153"/>
      <w:r>
        <w:rPr>
          <w:b w:val="0"/>
          <w:bCs w:val="0"/>
          <w:spacing w:val="4"/>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105"/>
        <w:jc w:val="left"/>
        <w:rPr>
          <w:b w:val="0"/>
          <w:bCs w:val="0"/>
        </w:rPr>
      </w:pPr>
      <w:bookmarkStart w:name="一、审计报告" w:id="155"/>
      <w:bookmarkEnd w:id="155"/>
      <w:r>
        <w:rPr>
          <w:b w:val="0"/>
          <w:bCs w:val="0"/>
        </w:rPr>
      </w:r>
      <w:r>
        <w:rPr/>
        <w:t>一、审计报告</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普华永道中天会计师事务所（特殊普通合伙）</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普华永道中天审字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10061 </w:t>
            </w:r>
            <w:r>
              <w:rPr>
                <w:rFonts w:ascii="宋体" w:hAnsi="宋体" w:cs="宋体" w:eastAsia="宋体" w:hint="default"/>
                <w:sz w:val="18"/>
                <w:szCs w:val="18"/>
              </w:rPr>
              <w:t>号</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李雪梅、赵育鹏</w:t>
            </w:r>
          </w:p>
        </w:tc>
      </w:tr>
    </w:tbl>
    <w:p>
      <w:pPr>
        <w:pStyle w:val="BodyText"/>
        <w:spacing w:line="672" w:lineRule="auto" w:before="44"/>
        <w:ind w:left="4422" w:right="5407"/>
        <w:jc w:val="center"/>
      </w:pPr>
      <w:r>
        <w:rPr/>
        <w:t>审计报告正文 审计报告</w:t>
      </w:r>
    </w:p>
    <w:p>
      <w:pPr>
        <w:spacing w:line="240" w:lineRule="auto" w:before="2"/>
        <w:rPr>
          <w:rFonts w:ascii="宋体" w:hAnsi="宋体" w:cs="宋体" w:eastAsia="宋体" w:hint="default"/>
          <w:sz w:val="26"/>
          <w:szCs w:val="26"/>
        </w:rPr>
      </w:pPr>
    </w:p>
    <w:p>
      <w:pPr>
        <w:pStyle w:val="BodyText"/>
        <w:spacing w:line="240" w:lineRule="auto" w:before="44"/>
        <w:ind w:left="0" w:right="1109"/>
        <w:jc w:val="right"/>
      </w:pPr>
      <w:r>
        <w:rPr/>
        <w:t>普华永道中天审字</w:t>
      </w:r>
      <w:r>
        <w:rPr>
          <w:rFonts w:ascii="Times New Roman" w:hAnsi="Times New Roman" w:cs="Times New Roman" w:eastAsia="Times New Roman" w:hint="default"/>
        </w:rPr>
        <w:t>(2020)</w:t>
      </w:r>
      <w:r>
        <w:rPr/>
        <w:t>第</w:t>
      </w:r>
      <w:r>
        <w:rPr>
          <w:rFonts w:ascii="Times New Roman" w:hAnsi="Times New Roman" w:cs="Times New Roman" w:eastAsia="Times New Roman" w:hint="default"/>
        </w:rPr>
        <w:t>10061</w:t>
      </w:r>
      <w:r>
        <w:rPr/>
        <w:t>号</w:t>
      </w:r>
    </w:p>
    <w:p>
      <w:pPr>
        <w:pStyle w:val="BodyText"/>
        <w:spacing w:line="240" w:lineRule="auto" w:before="51"/>
        <w:ind w:left="0" w:right="1111"/>
        <w:jc w:val="right"/>
      </w:pPr>
      <w:r>
        <w:rPr/>
        <w:t>（第一页，共七页）</w:t>
      </w:r>
    </w:p>
    <w:p>
      <w:pPr>
        <w:spacing w:line="240" w:lineRule="auto" w:before="9"/>
        <w:rPr>
          <w:rFonts w:ascii="宋体" w:hAnsi="宋体" w:cs="宋体" w:eastAsia="宋体" w:hint="default"/>
          <w:sz w:val="25"/>
          <w:szCs w:val="25"/>
        </w:rPr>
      </w:pPr>
    </w:p>
    <w:p>
      <w:pPr>
        <w:spacing w:line="643" w:lineRule="auto" w:before="44"/>
        <w:ind w:left="141" w:right="7689" w:firstLine="0"/>
        <w:jc w:val="left"/>
        <w:rPr>
          <w:rFonts w:ascii="宋体" w:hAnsi="宋体" w:cs="宋体" w:eastAsia="宋体" w:hint="default"/>
          <w:sz w:val="18"/>
          <w:szCs w:val="18"/>
        </w:rPr>
      </w:pPr>
      <w:r>
        <w:rPr>
          <w:rFonts w:ascii="宋体" w:hAnsi="宋体" w:cs="宋体" w:eastAsia="宋体" w:hint="default"/>
          <w:sz w:val="18"/>
          <w:szCs w:val="18"/>
        </w:rPr>
        <w:t>朗新科技集团股份有限公司全体股东：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240" w:lineRule="auto" w:before="137"/>
        <w:ind w:right="1105"/>
        <w:jc w:val="left"/>
      </w:pPr>
      <w:r>
        <w:rPr/>
        <w:t>（一）我们审计的内容</w:t>
      </w:r>
    </w:p>
    <w:p>
      <w:pPr>
        <w:spacing w:line="240" w:lineRule="auto" w:before="10"/>
        <w:rPr>
          <w:rFonts w:ascii="宋体" w:hAnsi="宋体" w:cs="宋体" w:eastAsia="宋体" w:hint="default"/>
          <w:sz w:val="18"/>
          <w:szCs w:val="18"/>
        </w:rPr>
      </w:pPr>
    </w:p>
    <w:p>
      <w:pPr>
        <w:pStyle w:val="BodyText"/>
        <w:spacing w:line="302" w:lineRule="auto"/>
        <w:ind w:right="1105" w:firstLine="570"/>
        <w:jc w:val="left"/>
      </w:pPr>
      <w:r>
        <w:rPr>
          <w:spacing w:val="-2"/>
        </w:rPr>
        <w:t>我们审计了朗新科技集团股份有限公司（以下简称</w:t>
      </w:r>
      <w:r>
        <w:rPr>
          <w:rFonts w:ascii="Times New Roman" w:hAnsi="Times New Roman" w:cs="Times New Roman" w:eastAsia="Times New Roman" w:hint="default"/>
          <w:spacing w:val="-2"/>
        </w:rPr>
        <w:t>“</w:t>
      </w:r>
      <w:r>
        <w:rPr>
          <w:spacing w:val="-2"/>
        </w:rPr>
        <w:t>朗新科技</w:t>
      </w:r>
      <w:r>
        <w:rPr>
          <w:rFonts w:ascii="Times New Roman" w:hAnsi="Times New Roman" w:cs="Times New Roman" w:eastAsia="Times New Roman" w:hint="default"/>
          <w:spacing w:val="-2"/>
        </w:rPr>
        <w:t>”</w:t>
      </w:r>
      <w:r>
        <w:rPr>
          <w:spacing w:val="-2"/>
        </w:rPr>
        <w:t>）的财务报表，包括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日的合并及公司资产</w:t>
      </w:r>
      <w:r>
        <w:rPr/>
        <w:t> 负债表，</w:t>
      </w:r>
      <w:r>
        <w:rPr>
          <w:rFonts w:ascii="Times New Roman" w:hAnsi="Times New Roman" w:cs="Times New Roman" w:eastAsia="Times New Roman" w:hint="default"/>
        </w:rPr>
        <w:t>2019</w:t>
      </w:r>
      <w:r>
        <w:rPr/>
        <w:t>年度的合并及公司利润表、合并及公司现金流量表、合并及公司股东权益变动表以及财务报表附注。</w:t>
      </w:r>
    </w:p>
    <w:p>
      <w:pPr>
        <w:spacing w:line="240" w:lineRule="auto" w:before="0"/>
        <w:rPr>
          <w:rFonts w:ascii="宋体" w:hAnsi="宋体" w:cs="宋体" w:eastAsia="宋体" w:hint="default"/>
          <w:sz w:val="24"/>
          <w:szCs w:val="24"/>
        </w:rPr>
      </w:pPr>
    </w:p>
    <w:p>
      <w:pPr>
        <w:pStyle w:val="BodyText"/>
        <w:spacing w:line="240" w:lineRule="auto"/>
        <w:ind w:right="1105"/>
        <w:jc w:val="left"/>
      </w:pPr>
      <w:r>
        <w:rPr/>
        <w:t>（二）我们的意见</w:t>
      </w:r>
    </w:p>
    <w:p>
      <w:pPr>
        <w:spacing w:line="240" w:lineRule="auto" w:before="10"/>
        <w:rPr>
          <w:rFonts w:ascii="宋体" w:hAnsi="宋体" w:cs="宋体" w:eastAsia="宋体" w:hint="default"/>
          <w:sz w:val="18"/>
          <w:szCs w:val="18"/>
        </w:rPr>
      </w:pPr>
    </w:p>
    <w:p>
      <w:pPr>
        <w:pStyle w:val="BodyText"/>
        <w:spacing w:line="304" w:lineRule="auto"/>
        <w:ind w:right="1105" w:firstLine="570"/>
        <w:jc w:val="left"/>
      </w:pPr>
      <w:r>
        <w:rPr/>
        <w:t>我们认为，后附的财务报表在所有重大方面按照企业会计准则的规定编制，公允反映了朗新科技</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 合并及公司财务状况以及</w:t>
      </w:r>
      <w:r>
        <w:rPr>
          <w:rFonts w:ascii="Times New Roman" w:hAnsi="Times New Roman" w:cs="Times New Roman" w:eastAsia="Times New Roman" w:hint="default"/>
        </w:rPr>
        <w:t>2019</w:t>
      </w:r>
      <w:r>
        <w:rPr/>
        <w:t>年度的合并及公司经营成果和现金流量。</w:t>
      </w:r>
    </w:p>
    <w:p>
      <w:pPr>
        <w:spacing w:line="240" w:lineRule="auto" w:before="11"/>
        <w:rPr>
          <w:rFonts w:ascii="宋体" w:hAnsi="宋体" w:cs="宋体" w:eastAsia="宋体" w:hint="default"/>
          <w:sz w:val="23"/>
          <w:szCs w:val="23"/>
        </w:rPr>
      </w:pPr>
    </w:p>
    <w:p>
      <w:pPr>
        <w:pStyle w:val="Heading4"/>
        <w:spacing w:line="240" w:lineRule="auto" w:before="0"/>
        <w:ind w:right="1105"/>
        <w:jc w:val="left"/>
        <w:rPr>
          <w:b w:val="0"/>
          <w:bCs w:val="0"/>
        </w:rPr>
      </w:pPr>
      <w:r>
        <w:rPr/>
        <w:t>二、形成审计意见的基础</w:t>
      </w:r>
      <w:r>
        <w:rPr>
          <w:b w:val="0"/>
          <w:bCs w:val="0"/>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5"/>
          <w:szCs w:val="15"/>
        </w:rPr>
      </w:pPr>
    </w:p>
    <w:p>
      <w:pPr>
        <w:pStyle w:val="BodyText"/>
        <w:spacing w:line="288" w:lineRule="auto"/>
        <w:ind w:right="1105" w:firstLine="570"/>
        <w:jc w:val="left"/>
      </w:pPr>
      <w:r>
        <w:rPr>
          <w:spacing w:val="-2"/>
          <w:w w:val="100"/>
        </w:rPr>
        <w:t>我们按照中国注册会计师审计准则的规定执行了审计工作。审计报告的</w:t>
      </w:r>
      <w:r>
        <w:rPr>
          <w:rFonts w:ascii="Times New Roman" w:hAnsi="Times New Roman" w:cs="Times New Roman" w:eastAsia="Times New Roman" w:hint="default"/>
          <w:spacing w:val="-2"/>
          <w:w w:val="100"/>
        </w:rPr>
        <w:t>“</w:t>
      </w:r>
      <w:r>
        <w:rPr>
          <w:spacing w:val="-2"/>
          <w:w w:val="100"/>
        </w:rPr>
        <w:t>注册会计师对财务报表审计的责任</w:t>
      </w:r>
      <w:r>
        <w:rPr>
          <w:rFonts w:ascii="Times New Roman" w:hAnsi="Times New Roman" w:cs="Times New Roman" w:eastAsia="Times New Roman" w:hint="default"/>
          <w:spacing w:val="-2"/>
          <w:w w:val="100"/>
        </w:rPr>
        <w:t>”</w:t>
      </w:r>
      <w:r>
        <w:rPr>
          <w:spacing w:val="-2"/>
          <w:w w:val="100"/>
        </w:rPr>
        <w:t>部分进一</w:t>
      </w:r>
      <w:r>
        <w:rPr/>
        <w:t> 步阐述了我们在这些准则下的责任。我们相信，我们获取的审计证据是充分、适当的，为发表审计意见提供了基础。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BodyText"/>
        <w:spacing w:line="626" w:lineRule="auto" w:before="123"/>
        <w:ind w:right="2619" w:firstLine="570"/>
        <w:jc w:val="left"/>
        <w:rPr>
          <w:rFonts w:ascii="宋体" w:hAnsi="宋体" w:cs="宋体" w:eastAsia="宋体" w:hint="default"/>
        </w:rPr>
      </w:pPr>
      <w:r>
        <w:rPr/>
        <w:t>按照中国注册会计师职业道德守则，我们独立于朗新科技，并履行了职业道德方面的其他责任。 </w:t>
      </w:r>
      <w:r>
        <w:rPr>
          <w:rFonts w:ascii="宋体" w:hAnsi="宋体" w:cs="宋体" w:eastAsia="宋体" w:hint="default"/>
          <w:b/>
          <w:bCs/>
        </w:rPr>
        <w:t>三、关键审计事项</w:t>
      </w:r>
      <w:r>
        <w:rPr>
          <w:rFonts w:ascii="宋体" w:hAnsi="宋体" w:cs="宋体" w:eastAsia="宋体" w:hint="default"/>
        </w:rPr>
      </w:r>
    </w:p>
    <w:p>
      <w:pPr>
        <w:pStyle w:val="BodyText"/>
        <w:spacing w:line="240" w:lineRule="auto" w:before="150"/>
        <w:ind w:left="711" w:right="1105"/>
        <w:jc w:val="left"/>
      </w:pPr>
      <w:r>
        <w:rPr/>
        <w:t>关键审计事项是我们根据职业判断，认为对本期财务报表审计最为重要的事项。这些事项的应对以对财务报表整体</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643" w:lineRule="auto" w:before="44"/>
        <w:ind w:left="711" w:right="5350" w:hanging="571"/>
        <w:jc w:val="left"/>
      </w:pPr>
      <w:r>
        <w:rPr/>
        <w:t>进行审计并形成审计意见为背景，我们不对这些事项单独发表意见。 我们在审计中识别出的关键审计事项汇总如下：</w:t>
      </w:r>
    </w:p>
    <w:p>
      <w:pPr>
        <w:pStyle w:val="BodyText"/>
        <w:spacing w:line="240" w:lineRule="auto" w:before="77"/>
        <w:ind w:left="711" w:right="1105"/>
        <w:jc w:val="left"/>
      </w:pPr>
      <w:r>
        <w:rPr/>
        <w:t>（一）定制软件开发业务收入确认</w:t>
      </w:r>
    </w:p>
    <w:p>
      <w:pPr>
        <w:pStyle w:val="BodyText"/>
        <w:spacing w:line="240" w:lineRule="auto" w:before="80"/>
        <w:ind w:left="711" w:right="1105"/>
        <w:jc w:val="left"/>
      </w:pPr>
      <w:r>
        <w:rPr/>
        <w:t>（二）邦道科技商誉减值</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tbl>
      <w:tblPr>
        <w:tblW w:w="0" w:type="auto"/>
        <w:jc w:val="left"/>
        <w:tblInd w:w="381" w:type="dxa"/>
        <w:tblLayout w:type="fixed"/>
        <w:tblCellMar>
          <w:top w:w="0" w:type="dxa"/>
          <w:left w:w="0" w:type="dxa"/>
          <w:bottom w:w="0" w:type="dxa"/>
          <w:right w:w="0" w:type="dxa"/>
        </w:tblCellMar>
        <w:tblLook w:val="01E0"/>
      </w:tblPr>
      <w:tblGrid>
        <w:gridCol w:w="4206"/>
        <w:gridCol w:w="4626"/>
      </w:tblGrid>
      <w:tr>
        <w:trPr>
          <w:trHeight w:val="345"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关键审计事项</w:t>
            </w:r>
          </w:p>
        </w:tc>
        <w:tc>
          <w:tcPr>
            <w:tcW w:w="4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855" w:right="0"/>
              <w:jc w:val="left"/>
              <w:rPr>
                <w:rFonts w:ascii="宋体" w:hAnsi="宋体" w:cs="宋体" w:eastAsia="宋体" w:hint="default"/>
                <w:sz w:val="18"/>
                <w:szCs w:val="18"/>
              </w:rPr>
            </w:pPr>
            <w:r>
              <w:rPr>
                <w:rFonts w:ascii="宋体" w:hAnsi="宋体" w:cs="宋体" w:eastAsia="宋体" w:hint="default"/>
                <w:sz w:val="18"/>
                <w:szCs w:val="18"/>
              </w:rPr>
              <w:t>我们在审计中如何应对关键审计事项</w:t>
            </w:r>
          </w:p>
        </w:tc>
      </w:tr>
      <w:tr>
        <w:trPr>
          <w:trHeight w:val="7222"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both"/>
              <w:rPr>
                <w:rFonts w:ascii="宋体" w:hAnsi="宋体" w:cs="宋体" w:eastAsia="宋体" w:hint="default"/>
                <w:sz w:val="18"/>
                <w:szCs w:val="18"/>
              </w:rPr>
            </w:pPr>
            <w:r>
              <w:rPr>
                <w:rFonts w:ascii="宋体" w:hAnsi="宋体" w:cs="宋体" w:eastAsia="宋体" w:hint="default"/>
                <w:b/>
                <w:bCs/>
                <w:sz w:val="18"/>
                <w:szCs w:val="18"/>
              </w:rPr>
              <w:t>（一）定制软件开发业务收入确认</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04" w:lineRule="auto"/>
              <w:ind w:right="-1"/>
              <w:jc w:val="both"/>
              <w:rPr>
                <w:rFonts w:ascii="宋体" w:hAnsi="宋体" w:cs="宋体" w:eastAsia="宋体" w:hint="default"/>
                <w:sz w:val="18"/>
                <w:szCs w:val="18"/>
              </w:rPr>
            </w:pPr>
            <w:r>
              <w:rPr>
                <w:rFonts w:ascii="宋体" w:hAnsi="宋体" w:cs="宋体" w:eastAsia="宋体" w:hint="default"/>
                <w:spacing w:val="3"/>
                <w:sz w:val="18"/>
                <w:szCs w:val="18"/>
              </w:rPr>
              <w:t>参见财务报表附注二</w:t>
            </w:r>
            <w:r>
              <w:rPr>
                <w:rFonts w:ascii="Times New Roman" w:hAnsi="Times New Roman" w:cs="Times New Roman" w:eastAsia="Times New Roman" w:hint="default"/>
                <w:spacing w:val="3"/>
                <w:sz w:val="18"/>
                <w:szCs w:val="18"/>
              </w:rPr>
              <w:t>(22)“</w:t>
            </w:r>
            <w:r>
              <w:rPr>
                <w:rFonts w:ascii="宋体" w:hAnsi="宋体" w:cs="宋体" w:eastAsia="宋体" w:hint="default"/>
                <w:spacing w:val="3"/>
                <w:sz w:val="18"/>
                <w:szCs w:val="18"/>
              </w:rPr>
              <w:t>收入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及附注四</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营业收</w:t>
            </w:r>
            <w:r>
              <w:rPr>
                <w:rFonts w:ascii="宋体" w:hAnsi="宋体" w:cs="宋体" w:eastAsia="宋体" w:hint="default"/>
                <w:sz w:val="18"/>
                <w:szCs w:val="18"/>
              </w:rPr>
              <w:t> 入及营业成本</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12"/>
              <w:ind w:right="0"/>
              <w:jc w:val="left"/>
              <w:rPr>
                <w:rFonts w:ascii="宋体" w:hAnsi="宋体" w:cs="宋体" w:eastAsia="宋体" w:hint="default"/>
                <w:sz w:val="23"/>
                <w:szCs w:val="23"/>
              </w:rPr>
            </w:pPr>
          </w:p>
          <w:p>
            <w:pPr>
              <w:pStyle w:val="TableParagraph"/>
              <w:spacing w:line="302" w:lineRule="auto"/>
              <w:ind w:right="-1"/>
              <w:jc w:val="both"/>
              <w:rPr>
                <w:rFonts w:ascii="宋体" w:hAnsi="宋体" w:cs="宋体" w:eastAsia="宋体" w:hint="default"/>
                <w:sz w:val="18"/>
                <w:szCs w:val="18"/>
              </w:rPr>
            </w:pPr>
            <w:r>
              <w:rPr>
                <w:rFonts w:ascii="宋体" w:hAnsi="宋体" w:cs="宋体" w:eastAsia="宋体" w:hint="default"/>
                <w:sz w:val="18"/>
                <w:szCs w:val="18"/>
              </w:rPr>
              <w:t>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年度，定制软件开发业务收入为人民币</w:t>
            </w:r>
            <w:r>
              <w:rPr>
                <w:rFonts w:ascii="Times New Roman" w:hAnsi="Times New Roman" w:cs="Times New Roman" w:eastAsia="Times New Roman" w:hint="default"/>
                <w:sz w:val="18"/>
                <w:szCs w:val="18"/>
              </w:rPr>
              <w:t>12.43</w:t>
            </w:r>
            <w:r>
              <w:rPr>
                <w:rFonts w:ascii="宋体" w:hAnsi="宋体" w:cs="宋体" w:eastAsia="宋体" w:hint="default"/>
                <w:sz w:val="18"/>
                <w:szCs w:val="18"/>
              </w:rPr>
              <w:t>亿</w:t>
            </w:r>
            <w:r>
              <w:rPr>
                <w:rFonts w:ascii="宋体" w:hAnsi="宋体" w:cs="宋体" w:eastAsia="宋体" w:hint="default"/>
                <w:spacing w:val="-86"/>
                <w:sz w:val="18"/>
                <w:szCs w:val="18"/>
              </w:rPr>
              <w:t> </w:t>
            </w:r>
            <w:r>
              <w:rPr>
                <w:rFonts w:ascii="宋体" w:hAnsi="宋体" w:cs="宋体" w:eastAsia="宋体" w:hint="default"/>
                <w:sz w:val="18"/>
                <w:szCs w:val="18"/>
              </w:rPr>
              <w:t>元，占营业收入的比重为</w:t>
            </w:r>
            <w:r>
              <w:rPr>
                <w:rFonts w:ascii="Times New Roman" w:hAnsi="Times New Roman" w:cs="Times New Roman" w:eastAsia="Times New Roman" w:hint="default"/>
                <w:sz w:val="18"/>
                <w:szCs w:val="18"/>
              </w:rPr>
              <w:t>41.89%</w:t>
            </w:r>
            <w:r>
              <w:rPr>
                <w:rFonts w:ascii="宋体" w:hAnsi="宋体" w:cs="宋体" w:eastAsia="宋体" w:hint="default"/>
                <w:sz w:val="18"/>
                <w:szCs w:val="18"/>
              </w:rPr>
              <w:t>。</w:t>
            </w:r>
          </w:p>
          <w:p>
            <w:pPr>
              <w:pStyle w:val="TableParagraph"/>
              <w:spacing w:line="240" w:lineRule="auto" w:before="0"/>
              <w:ind w:right="0"/>
              <w:jc w:val="left"/>
              <w:rPr>
                <w:rFonts w:ascii="宋体" w:hAnsi="宋体" w:cs="宋体" w:eastAsia="宋体" w:hint="default"/>
                <w:sz w:val="24"/>
                <w:szCs w:val="24"/>
              </w:rPr>
            </w:pPr>
          </w:p>
          <w:p>
            <w:pPr>
              <w:pStyle w:val="TableParagraph"/>
              <w:spacing w:line="319" w:lineRule="auto"/>
              <w:ind w:right="-6"/>
              <w:jc w:val="both"/>
              <w:rPr>
                <w:rFonts w:ascii="宋体" w:hAnsi="宋体" w:cs="宋体" w:eastAsia="宋体" w:hint="default"/>
                <w:sz w:val="18"/>
                <w:szCs w:val="18"/>
              </w:rPr>
            </w:pPr>
            <w:r>
              <w:rPr>
                <w:rFonts w:ascii="宋体" w:hAnsi="宋体" w:cs="宋体" w:eastAsia="宋体" w:hint="default"/>
                <w:sz w:val="18"/>
                <w:szCs w:val="18"/>
              </w:rPr>
              <w:t>定制软件开发业务，包括软件的设计、开发、测试和</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实施等环节。朗新科技在合同项目主要功能通过测试</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并取得客户确认的上线报告的前提下开始确认收入，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0"/>
                <w:sz w:val="18"/>
                <w:szCs w:val="18"/>
              </w:rPr>
              <w:t>完工进度按已经发生的成本占预计总成本的比例确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定，结合合同总收入及以前期间累计确认收入，确认</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当期定制软件开发收入。</w:t>
            </w:r>
          </w:p>
          <w:p>
            <w:pPr>
              <w:pStyle w:val="TableParagraph"/>
              <w:spacing w:line="240" w:lineRule="auto" w:before="7"/>
              <w:ind w:right="0"/>
              <w:jc w:val="left"/>
              <w:rPr>
                <w:rFonts w:ascii="宋体" w:hAnsi="宋体" w:cs="宋体" w:eastAsia="宋体" w:hint="default"/>
                <w:sz w:val="24"/>
                <w:szCs w:val="24"/>
              </w:rPr>
            </w:pPr>
          </w:p>
          <w:p>
            <w:pPr>
              <w:pStyle w:val="TableParagraph"/>
              <w:spacing w:line="321" w:lineRule="auto"/>
              <w:ind w:right="-6"/>
              <w:jc w:val="both"/>
              <w:rPr>
                <w:rFonts w:ascii="宋体" w:hAnsi="宋体" w:cs="宋体" w:eastAsia="宋体" w:hint="default"/>
                <w:sz w:val="18"/>
                <w:szCs w:val="18"/>
              </w:rPr>
            </w:pPr>
            <w:r>
              <w:rPr>
                <w:rFonts w:ascii="宋体" w:hAnsi="宋体" w:cs="宋体" w:eastAsia="宋体" w:hint="default"/>
                <w:sz w:val="18"/>
                <w:szCs w:val="18"/>
              </w:rPr>
              <w:t>管理层在制定预计总成本时，需要基于过往经验、合</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同项目规划及不确定性风险评估等因素，并于合同执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行过程中持续评估和修订。</w:t>
            </w:r>
          </w:p>
          <w:p>
            <w:pPr>
              <w:pStyle w:val="TableParagraph"/>
              <w:spacing w:line="240" w:lineRule="auto" w:before="5"/>
              <w:ind w:right="0"/>
              <w:jc w:val="left"/>
              <w:rPr>
                <w:rFonts w:ascii="宋体" w:hAnsi="宋体" w:cs="宋体" w:eastAsia="宋体" w:hint="default"/>
                <w:sz w:val="24"/>
                <w:szCs w:val="24"/>
              </w:rPr>
            </w:pPr>
          </w:p>
          <w:p>
            <w:pPr>
              <w:pStyle w:val="TableParagraph"/>
              <w:spacing w:line="321" w:lineRule="auto"/>
              <w:ind w:right="-6"/>
              <w:jc w:val="both"/>
              <w:rPr>
                <w:rFonts w:ascii="宋体" w:hAnsi="宋体" w:cs="宋体" w:eastAsia="宋体" w:hint="default"/>
                <w:sz w:val="18"/>
                <w:szCs w:val="18"/>
              </w:rPr>
            </w:pPr>
            <w:r>
              <w:rPr>
                <w:rFonts w:ascii="宋体" w:hAnsi="宋体" w:cs="宋体" w:eastAsia="宋体" w:hint="default"/>
                <w:spacing w:val="10"/>
                <w:sz w:val="18"/>
                <w:szCs w:val="18"/>
              </w:rPr>
              <w:t>由于定制软件开发业务收入金额重大且核算过程复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杂，属于审计重点关注领域，因此我们将其认定为关</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键审计事项。</w:t>
            </w:r>
          </w:p>
        </w:tc>
        <w:tc>
          <w:tcPr>
            <w:tcW w:w="4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我们实施的审计程序包括：</w:t>
            </w: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59"/>
              <w:ind w:left="420" w:right="16" w:hanging="36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6"/>
                <w:sz w:val="18"/>
                <w:szCs w:val="18"/>
              </w:rPr>
              <w:t> </w:t>
            </w:r>
            <w:r>
              <w:rPr>
                <w:rFonts w:ascii="宋体" w:hAnsi="宋体" w:cs="宋体" w:eastAsia="宋体" w:hint="default"/>
                <w:sz w:val="18"/>
                <w:szCs w:val="18"/>
              </w:rPr>
              <w:t>了解、评价并测试与定制软件开发业务收入确认相关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的内部控制，包括预算管理、成本归集、完工进度计</w:t>
            </w:r>
            <w:r>
              <w:rPr>
                <w:rFonts w:ascii="宋体" w:hAnsi="宋体" w:cs="宋体" w:eastAsia="宋体" w:hint="default"/>
                <w:sz w:val="18"/>
                <w:szCs w:val="18"/>
              </w:rPr>
              <w:t> 算和收入确认；</w:t>
            </w:r>
          </w:p>
          <w:p>
            <w:pPr>
              <w:pStyle w:val="TableParagraph"/>
              <w:spacing w:line="240" w:lineRule="auto" w:before="12"/>
              <w:ind w:right="0"/>
              <w:jc w:val="left"/>
              <w:rPr>
                <w:rFonts w:ascii="宋体" w:hAnsi="宋体" w:cs="宋体" w:eastAsia="宋体" w:hint="default"/>
                <w:sz w:val="25"/>
                <w:szCs w:val="25"/>
              </w:rPr>
            </w:pPr>
          </w:p>
          <w:p>
            <w:pPr>
              <w:pStyle w:val="TableParagraph"/>
              <w:spacing w:line="321" w:lineRule="auto"/>
              <w:ind w:left="420" w:right="18" w:hanging="36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5"/>
                <w:sz w:val="18"/>
                <w:szCs w:val="18"/>
              </w:rPr>
              <w:t> </w:t>
            </w:r>
            <w:r>
              <w:rPr>
                <w:rFonts w:ascii="宋体" w:hAnsi="宋体" w:cs="宋体" w:eastAsia="宋体" w:hint="default"/>
                <w:sz w:val="18"/>
                <w:szCs w:val="18"/>
              </w:rPr>
              <w:t>抽取已完工合同，将已经发生的成本与预计总成本进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行对比，分析差异原因，以评估管理层制定预计总成</w:t>
            </w:r>
            <w:r>
              <w:rPr>
                <w:rFonts w:ascii="宋体" w:hAnsi="宋体" w:cs="宋体" w:eastAsia="宋体" w:hint="default"/>
                <w:sz w:val="18"/>
                <w:szCs w:val="18"/>
              </w:rPr>
              <w:t> 本的经验和能力；</w:t>
            </w: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  复核预计总成本初始审批及定期更新的文档；</w:t>
            </w:r>
          </w:p>
          <w:p>
            <w:pPr>
              <w:pStyle w:val="TableParagraph"/>
              <w:spacing w:line="240" w:lineRule="auto" w:before="9"/>
              <w:ind w:right="0"/>
              <w:jc w:val="left"/>
              <w:rPr>
                <w:rFonts w:ascii="宋体" w:hAnsi="宋体" w:cs="宋体" w:eastAsia="宋体" w:hint="default"/>
                <w:sz w:val="18"/>
                <w:szCs w:val="18"/>
              </w:rPr>
            </w:pPr>
          </w:p>
          <w:p>
            <w:pPr>
              <w:pStyle w:val="TableParagraph"/>
              <w:spacing w:line="314" w:lineRule="auto"/>
              <w:ind w:left="420" w:right="18" w:hanging="36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5"/>
                <w:sz w:val="18"/>
                <w:szCs w:val="18"/>
              </w:rPr>
              <w:t> </w:t>
            </w:r>
            <w:r>
              <w:rPr>
                <w:rFonts w:ascii="宋体" w:hAnsi="宋体" w:cs="宋体" w:eastAsia="宋体" w:hint="default"/>
                <w:sz w:val="18"/>
                <w:szCs w:val="18"/>
              </w:rPr>
              <w:t>测试已经发生的成本，根据该等已经发生的成本和预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计总成本测算完工百分比，并结合合同总收入，检查</w:t>
            </w:r>
            <w:r>
              <w:rPr>
                <w:rFonts w:ascii="宋体" w:hAnsi="宋体" w:cs="宋体" w:eastAsia="宋体" w:hint="default"/>
                <w:sz w:val="18"/>
                <w:szCs w:val="18"/>
              </w:rPr>
              <w:t> 收入计算的准确性；及</w:t>
            </w: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420" w:right="18" w:hanging="36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5"/>
                <w:sz w:val="18"/>
                <w:szCs w:val="18"/>
              </w:rPr>
              <w:t> </w:t>
            </w:r>
            <w:r>
              <w:rPr>
                <w:rFonts w:ascii="宋体" w:hAnsi="宋体" w:cs="宋体" w:eastAsia="宋体" w:hint="default"/>
                <w:sz w:val="18"/>
                <w:szCs w:val="18"/>
              </w:rPr>
              <w:t>抽取合同检查上线报告或验收报告签署日期，复核收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入开始确认时点的准确性，就合同执行进度向客户发</w:t>
            </w:r>
            <w:r>
              <w:rPr>
                <w:rFonts w:ascii="宋体" w:hAnsi="宋体" w:cs="宋体" w:eastAsia="宋体" w:hint="default"/>
                <w:sz w:val="18"/>
                <w:szCs w:val="18"/>
              </w:rPr>
              <w:t> 放函证。</w:t>
            </w:r>
          </w:p>
          <w:p>
            <w:pPr>
              <w:pStyle w:val="TableParagraph"/>
              <w:spacing w:line="240" w:lineRule="auto" w:before="12"/>
              <w:ind w:right="0"/>
              <w:jc w:val="left"/>
              <w:rPr>
                <w:rFonts w:ascii="宋体" w:hAnsi="宋体" w:cs="宋体" w:eastAsia="宋体" w:hint="default"/>
                <w:sz w:val="25"/>
                <w:szCs w:val="25"/>
              </w:rPr>
            </w:pPr>
          </w:p>
          <w:p>
            <w:pPr>
              <w:pStyle w:val="TableParagraph"/>
              <w:spacing w:line="321" w:lineRule="auto"/>
              <w:ind w:right="0"/>
              <w:jc w:val="left"/>
              <w:rPr>
                <w:rFonts w:ascii="宋体" w:hAnsi="宋体" w:cs="宋体" w:eastAsia="宋体" w:hint="default"/>
                <w:sz w:val="18"/>
                <w:szCs w:val="18"/>
              </w:rPr>
            </w:pPr>
            <w:r>
              <w:rPr>
                <w:rFonts w:ascii="宋体" w:hAnsi="宋体" w:cs="宋体" w:eastAsia="宋体" w:hint="default"/>
                <w:spacing w:val="-3"/>
                <w:sz w:val="18"/>
                <w:szCs w:val="18"/>
              </w:rPr>
              <w:t>基于所实施的审计程序，管理层的定制软件开发业务收入确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认结果可以被我们获取的证据所支持。</w:t>
            </w:r>
          </w:p>
        </w:tc>
      </w:tr>
    </w:tbl>
    <w:p>
      <w:pPr>
        <w:spacing w:line="240" w:lineRule="auto" w:before="9"/>
        <w:rPr>
          <w:rFonts w:ascii="宋体" w:hAnsi="宋体" w:cs="宋体" w:eastAsia="宋体" w:hint="default"/>
          <w:sz w:val="20"/>
          <w:szCs w:val="20"/>
        </w:rPr>
      </w:pPr>
    </w:p>
    <w:p>
      <w:pPr>
        <w:pStyle w:val="Heading4"/>
        <w:spacing w:line="240" w:lineRule="auto"/>
        <w:ind w:left="666" w:right="1105"/>
        <w:jc w:val="left"/>
        <w:rPr>
          <w:b w:val="0"/>
          <w:bCs w:val="0"/>
        </w:rPr>
      </w:pPr>
      <w:r>
        <w:rPr/>
        <w:t>三、关键审计事项（续）</w:t>
      </w:r>
      <w:r>
        <w:rPr>
          <w:b w:val="0"/>
          <w:bCs w:val="0"/>
        </w:rPr>
      </w:r>
    </w:p>
    <w:p>
      <w:pPr>
        <w:spacing w:line="240" w:lineRule="auto" w:before="0"/>
        <w:rPr>
          <w:rFonts w:ascii="宋体" w:hAnsi="宋体" w:cs="宋体" w:eastAsia="宋体" w:hint="default"/>
          <w:b/>
          <w:bCs/>
          <w:sz w:val="29"/>
          <w:szCs w:val="29"/>
        </w:rPr>
      </w:pPr>
    </w:p>
    <w:tbl>
      <w:tblPr>
        <w:tblW w:w="0" w:type="auto"/>
        <w:jc w:val="left"/>
        <w:tblInd w:w="381" w:type="dxa"/>
        <w:tblLayout w:type="fixed"/>
        <w:tblCellMar>
          <w:top w:w="0" w:type="dxa"/>
          <w:left w:w="0" w:type="dxa"/>
          <w:bottom w:w="0" w:type="dxa"/>
          <w:right w:w="0" w:type="dxa"/>
        </w:tblCellMar>
        <w:tblLook w:val="01E0"/>
      </w:tblPr>
      <w:tblGrid>
        <w:gridCol w:w="4311"/>
        <w:gridCol w:w="4521"/>
      </w:tblGrid>
      <w:tr>
        <w:trPr>
          <w:trHeight w:val="360" w:hRule="exact"/>
        </w:trPr>
        <w:tc>
          <w:tcPr>
            <w:tcW w:w="4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37" w:right="0"/>
              <w:jc w:val="left"/>
              <w:rPr>
                <w:rFonts w:ascii="宋体" w:hAnsi="宋体" w:cs="宋体" w:eastAsia="宋体" w:hint="default"/>
                <w:sz w:val="18"/>
                <w:szCs w:val="18"/>
              </w:rPr>
            </w:pPr>
            <w:r>
              <w:rPr>
                <w:rFonts w:ascii="宋体" w:hAnsi="宋体" w:cs="宋体" w:eastAsia="宋体" w:hint="default"/>
                <w:sz w:val="18"/>
                <w:szCs w:val="18"/>
              </w:rPr>
              <w:t>关键审计事项（续）</w:t>
            </w:r>
          </w:p>
        </w:tc>
        <w:tc>
          <w:tcPr>
            <w:tcW w:w="4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75" w:right="0"/>
              <w:jc w:val="left"/>
              <w:rPr>
                <w:rFonts w:ascii="宋体" w:hAnsi="宋体" w:cs="宋体" w:eastAsia="宋体" w:hint="default"/>
                <w:sz w:val="18"/>
                <w:szCs w:val="18"/>
              </w:rPr>
            </w:pPr>
            <w:r>
              <w:rPr>
                <w:rFonts w:ascii="宋体" w:hAnsi="宋体" w:cs="宋体" w:eastAsia="宋体" w:hint="default"/>
                <w:sz w:val="18"/>
                <w:szCs w:val="18"/>
              </w:rPr>
              <w:t>我们在审计中如何应对关键审计事项（续）</w:t>
            </w:r>
          </w:p>
        </w:tc>
      </w:tr>
      <w:tr>
        <w:trPr>
          <w:trHeight w:val="2838" w:hRule="exact"/>
        </w:trPr>
        <w:tc>
          <w:tcPr>
            <w:tcW w:w="4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right="0"/>
              <w:jc w:val="both"/>
              <w:rPr>
                <w:rFonts w:ascii="宋体" w:hAnsi="宋体" w:cs="宋体" w:eastAsia="宋体" w:hint="default"/>
                <w:sz w:val="18"/>
                <w:szCs w:val="18"/>
              </w:rPr>
            </w:pPr>
            <w:r>
              <w:rPr>
                <w:rFonts w:ascii="宋体" w:hAnsi="宋体" w:cs="宋体" w:eastAsia="宋体" w:hint="default"/>
                <w:b/>
                <w:bCs/>
                <w:sz w:val="18"/>
                <w:szCs w:val="18"/>
              </w:rPr>
              <w:t>（二）邦道科技商誉减值</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90" w:lineRule="auto"/>
              <w:ind w:right="1"/>
              <w:jc w:val="both"/>
              <w:rPr>
                <w:rFonts w:ascii="宋体" w:hAnsi="宋体" w:cs="宋体" w:eastAsia="宋体" w:hint="default"/>
                <w:sz w:val="18"/>
                <w:szCs w:val="18"/>
              </w:rPr>
            </w:pPr>
            <w:r>
              <w:rPr>
                <w:rFonts w:ascii="宋体" w:hAnsi="宋体" w:cs="宋体" w:eastAsia="宋体" w:hint="default"/>
                <w:sz w:val="18"/>
                <w:szCs w:val="18"/>
              </w:rPr>
              <w:t>参见财务报表附注二</w:t>
            </w:r>
            <w:r>
              <w:rPr>
                <w:rFonts w:ascii="Times New Roman" w:hAnsi="Times New Roman" w:cs="Times New Roman" w:eastAsia="Times New Roman" w:hint="default"/>
                <w:sz w:val="18"/>
                <w:szCs w:val="18"/>
              </w:rPr>
              <w:t>(27)(a)“</w:t>
            </w:r>
            <w:r>
              <w:rPr>
                <w:rFonts w:ascii="宋体" w:hAnsi="宋体" w:cs="宋体" w:eastAsia="宋体" w:hint="default"/>
                <w:sz w:val="18"/>
                <w:szCs w:val="18"/>
              </w:rPr>
              <w:t>商誉减值</w:t>
            </w:r>
            <w:r>
              <w:rPr>
                <w:rFonts w:ascii="Times New Roman" w:hAnsi="Times New Roman" w:cs="Times New Roman" w:eastAsia="Times New Roman" w:hint="default"/>
                <w:sz w:val="18"/>
                <w:szCs w:val="18"/>
              </w:rPr>
              <w:t>”</w:t>
            </w:r>
            <w:r>
              <w:rPr>
                <w:rFonts w:ascii="宋体" w:hAnsi="宋体" w:cs="宋体" w:eastAsia="宋体" w:hint="default"/>
                <w:sz w:val="18"/>
                <w:szCs w:val="18"/>
              </w:rPr>
              <w:t>及财务报表附注</w:t>
            </w:r>
            <w:r>
              <w:rPr>
                <w:rFonts w:ascii="宋体" w:hAnsi="宋体" w:cs="宋体" w:eastAsia="宋体" w:hint="default"/>
                <w:spacing w:val="-73"/>
                <w:sz w:val="18"/>
                <w:szCs w:val="18"/>
              </w:rPr>
              <w:t> </w:t>
            </w:r>
            <w:r>
              <w:rPr>
                <w:rFonts w:ascii="宋体" w:hAnsi="宋体" w:cs="宋体" w:eastAsia="宋体" w:hint="default"/>
                <w:sz w:val="18"/>
                <w:szCs w:val="18"/>
              </w:rPr>
              <w:t>四</w:t>
            </w:r>
            <w:r>
              <w:rPr>
                <w:rFonts w:ascii="Times New Roman" w:hAnsi="Times New Roman" w:cs="Times New Roman" w:eastAsia="Times New Roman" w:hint="default"/>
                <w:sz w:val="18"/>
                <w:szCs w:val="18"/>
              </w:rPr>
              <w:t>(12)“</w:t>
            </w: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304" w:lineRule="auto"/>
              <w:ind w:right="1"/>
              <w:jc w:val="both"/>
              <w:rPr>
                <w:rFonts w:ascii="宋体" w:hAnsi="宋体" w:cs="宋体" w:eastAsia="宋体" w:hint="default"/>
                <w:sz w:val="18"/>
                <w:szCs w:val="18"/>
              </w:rPr>
            </w:pPr>
            <w:r>
              <w:rPr>
                <w:rFonts w:ascii="宋体" w:hAnsi="宋体" w:cs="宋体" w:eastAsia="宋体" w:hint="default"/>
                <w:spacing w:val="-2"/>
                <w:sz w:val="18"/>
                <w:szCs w:val="18"/>
              </w:rPr>
              <w:t>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日，朗新科技合并财务报表中列示的因</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朗新科技</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日发行股份购买邦道科技有限公</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邦道科技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r>
              <w:rPr>
                <w:rFonts w:ascii="宋体" w:hAnsi="宋体" w:cs="宋体" w:eastAsia="宋体" w:hint="default"/>
                <w:sz w:val="18"/>
                <w:szCs w:val="18"/>
              </w:rPr>
              <w:t>股权的交易而确认商誉</w:t>
            </w:r>
          </w:p>
        </w:tc>
        <w:tc>
          <w:tcPr>
            <w:tcW w:w="4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我们针对商誉减值评估的主要审计工作包括：</w:t>
            </w:r>
          </w:p>
          <w:p>
            <w:pPr>
              <w:pStyle w:val="TableParagraph"/>
              <w:spacing w:line="240" w:lineRule="auto"/>
              <w:ind w:right="0"/>
              <w:jc w:val="left"/>
              <w:rPr>
                <w:rFonts w:ascii="宋体" w:hAnsi="宋体" w:cs="宋体" w:eastAsia="宋体" w:hint="default"/>
                <w:b/>
                <w:bCs/>
                <w:sz w:val="18"/>
                <w:szCs w:val="18"/>
              </w:rPr>
            </w:pPr>
          </w:p>
          <w:p>
            <w:pPr>
              <w:pStyle w:val="TableParagraph"/>
              <w:spacing w:line="321" w:lineRule="auto" w:before="144"/>
              <w:ind w:left="735" w:right="-8" w:hanging="36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
                <w:sz w:val="18"/>
                <w:szCs w:val="18"/>
              </w:rPr>
              <w:t> </w:t>
            </w:r>
            <w:r>
              <w:rPr>
                <w:rFonts w:ascii="宋体" w:hAnsi="宋体" w:cs="宋体" w:eastAsia="宋体" w:hint="default"/>
                <w:spacing w:val="8"/>
                <w:sz w:val="18"/>
                <w:szCs w:val="18"/>
              </w:rPr>
              <w:t>了解及评估与商誉减值测试相关的内部控制的</w:t>
            </w:r>
            <w:r>
              <w:rPr>
                <w:rFonts w:ascii="宋体" w:hAnsi="宋体" w:cs="宋体" w:eastAsia="宋体" w:hint="default"/>
                <w:sz w:val="18"/>
                <w:szCs w:val="18"/>
              </w:rPr>
              <w:t> 设计及执行有效性，包括关键假设的采用及减值 测试表的复核及审批；</w:t>
            </w:r>
          </w:p>
        </w:tc>
      </w:tr>
    </w:tbl>
    <w:p>
      <w:pPr>
        <w:spacing w:after="0" w:line="321" w:lineRule="auto"/>
        <w:jc w:val="both"/>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381" w:type="dxa"/>
        <w:tblLayout w:type="fixed"/>
        <w:tblCellMar>
          <w:top w:w="0" w:type="dxa"/>
          <w:left w:w="0" w:type="dxa"/>
          <w:bottom w:w="0" w:type="dxa"/>
          <w:right w:w="0" w:type="dxa"/>
        </w:tblCellMar>
        <w:tblLook w:val="01E0"/>
      </w:tblPr>
      <w:tblGrid>
        <w:gridCol w:w="4311"/>
        <w:gridCol w:w="4521"/>
      </w:tblGrid>
      <w:tr>
        <w:trPr>
          <w:trHeight w:val="4714" w:hRule="exact"/>
        </w:trPr>
        <w:tc>
          <w:tcPr>
            <w:tcW w:w="43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29"/>
              <w:ind w:right="0"/>
              <w:jc w:val="both"/>
              <w:rPr>
                <w:rFonts w:ascii="宋体" w:hAnsi="宋体" w:cs="宋体" w:eastAsia="宋体" w:hint="default"/>
                <w:sz w:val="18"/>
                <w:szCs w:val="18"/>
              </w:rPr>
            </w:pPr>
            <w:r>
              <w:rPr>
                <w:rFonts w:ascii="宋体" w:hAnsi="宋体" w:cs="宋体" w:eastAsia="宋体" w:hint="default"/>
                <w:spacing w:val="-1"/>
                <w:sz w:val="18"/>
                <w:szCs w:val="18"/>
              </w:rPr>
              <w:t>为</w:t>
            </w:r>
            <w:r>
              <w:rPr>
                <w:rFonts w:ascii="Times New Roman" w:hAnsi="Times New Roman" w:cs="Times New Roman" w:eastAsia="Times New Roman" w:hint="default"/>
                <w:spacing w:val="-1"/>
                <w:sz w:val="18"/>
                <w:szCs w:val="18"/>
              </w:rPr>
              <w:t>1,114,085,408.60</w:t>
            </w:r>
            <w:r>
              <w:rPr>
                <w:rFonts w:ascii="宋体" w:hAnsi="宋体" w:cs="宋体" w:eastAsia="宋体" w:hint="default"/>
                <w:spacing w:val="-1"/>
                <w:sz w:val="18"/>
                <w:szCs w:val="18"/>
              </w:rPr>
              <w:t>元，管理层需每年对商誉进行减值评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估。</w:t>
            </w:r>
          </w:p>
          <w:p>
            <w:pPr>
              <w:pStyle w:val="TableParagraph"/>
              <w:spacing w:line="240" w:lineRule="auto"/>
              <w:ind w:right="0"/>
              <w:jc w:val="left"/>
              <w:rPr>
                <w:rFonts w:ascii="宋体" w:hAnsi="宋体" w:cs="宋体" w:eastAsia="宋体" w:hint="default"/>
                <w:b/>
                <w:bCs/>
                <w:sz w:val="18"/>
                <w:szCs w:val="18"/>
              </w:rPr>
            </w:pPr>
          </w:p>
          <w:p>
            <w:pPr>
              <w:pStyle w:val="TableParagraph"/>
              <w:spacing w:line="309" w:lineRule="auto" w:before="149"/>
              <w:ind w:right="0"/>
              <w:jc w:val="both"/>
              <w:rPr>
                <w:rFonts w:ascii="宋体" w:hAnsi="宋体" w:cs="宋体" w:eastAsia="宋体" w:hint="default"/>
                <w:sz w:val="18"/>
                <w:szCs w:val="18"/>
              </w:rPr>
            </w:pPr>
            <w:r>
              <w:rPr>
                <w:rFonts w:ascii="宋体" w:hAnsi="宋体" w:cs="宋体" w:eastAsia="宋体" w:hint="default"/>
                <w:spacing w:val="-1"/>
                <w:sz w:val="18"/>
                <w:szCs w:val="18"/>
              </w:rPr>
              <w:t>在进行减值评估时，管理层比较于</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日该资</w:t>
            </w:r>
            <w:r>
              <w:rPr>
                <w:rFonts w:ascii="宋体" w:hAnsi="宋体" w:cs="宋体" w:eastAsia="宋体" w:hint="default"/>
                <w:sz w:val="18"/>
                <w:szCs w:val="18"/>
              </w:rPr>
              <w:t> </w:t>
            </w:r>
            <w:r>
              <w:rPr>
                <w:rFonts w:ascii="宋体" w:hAnsi="宋体" w:cs="宋体" w:eastAsia="宋体" w:hint="default"/>
                <w:spacing w:val="-2"/>
                <w:sz w:val="18"/>
                <w:szCs w:val="18"/>
              </w:rPr>
              <w:t>产组的可收回金额与其账面价值（包含相关商誉）。资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产组的可收回金额，按照该资产组的公允价值减去处置</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费用后的净额与其预计未来现金流量的现值两者之间</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较高者确定。</w:t>
            </w:r>
          </w:p>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0"/>
              <w:jc w:val="both"/>
              <w:rPr>
                <w:rFonts w:ascii="宋体" w:hAnsi="宋体" w:cs="宋体" w:eastAsia="宋体" w:hint="default"/>
                <w:sz w:val="18"/>
                <w:szCs w:val="18"/>
              </w:rPr>
            </w:pPr>
            <w:r>
              <w:rPr>
                <w:rFonts w:ascii="宋体" w:hAnsi="宋体" w:cs="宋体" w:eastAsia="宋体" w:hint="default"/>
                <w:spacing w:val="5"/>
                <w:sz w:val="18"/>
                <w:szCs w:val="18"/>
              </w:rPr>
              <w:t>管理层基于使用预计未来现金流量的现值确定的资产</w:t>
            </w:r>
          </w:p>
          <w:p>
            <w:pPr>
              <w:pStyle w:val="TableParagraph"/>
              <w:spacing w:line="276" w:lineRule="auto" w:before="94"/>
              <w:ind w:right="1"/>
              <w:jc w:val="both"/>
              <w:rPr>
                <w:rFonts w:ascii="宋体" w:hAnsi="宋体" w:cs="宋体" w:eastAsia="宋体" w:hint="default"/>
                <w:sz w:val="18"/>
                <w:szCs w:val="18"/>
              </w:rPr>
            </w:pPr>
            <w:r>
              <w:rPr>
                <w:rFonts w:ascii="宋体" w:hAnsi="宋体" w:cs="宋体" w:eastAsia="宋体" w:hint="default"/>
                <w:spacing w:val="-2"/>
                <w:sz w:val="18"/>
                <w:szCs w:val="18"/>
              </w:rPr>
              <w:t>组的可收回金额，认为于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日对因购买邦道</w:t>
            </w:r>
            <w:r>
              <w:rPr>
                <w:rFonts w:ascii="宋体" w:hAnsi="宋体" w:cs="宋体" w:eastAsia="宋体" w:hint="default"/>
                <w:spacing w:val="-63"/>
                <w:sz w:val="18"/>
                <w:szCs w:val="18"/>
              </w:rPr>
              <w:t> </w:t>
            </w:r>
            <w:r>
              <w:rPr>
                <w:rFonts w:ascii="宋体" w:hAnsi="宋体" w:cs="宋体" w:eastAsia="宋体" w:hint="default"/>
                <w:sz w:val="18"/>
                <w:szCs w:val="18"/>
              </w:rPr>
              <w:t>科技产生的商誉无需计提减值。</w:t>
            </w:r>
          </w:p>
        </w:tc>
        <w:tc>
          <w:tcPr>
            <w:tcW w:w="45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
              <w:ind w:left="735" w:right="-11" w:hanging="36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
                <w:sz w:val="18"/>
                <w:szCs w:val="18"/>
              </w:rPr>
              <w:t> </w:t>
            </w:r>
            <w:r>
              <w:rPr>
                <w:rFonts w:ascii="宋体" w:hAnsi="宋体" w:cs="宋体" w:eastAsia="宋体" w:hint="default"/>
                <w:spacing w:val="8"/>
                <w:sz w:val="18"/>
                <w:szCs w:val="18"/>
              </w:rPr>
              <w:t>对于以预计未来现金流量现值确定的资产组的</w:t>
            </w:r>
            <w:r>
              <w:rPr>
                <w:rFonts w:ascii="宋体" w:hAnsi="宋体" w:cs="宋体" w:eastAsia="宋体" w:hint="default"/>
                <w:sz w:val="18"/>
                <w:szCs w:val="18"/>
              </w:rPr>
              <w:t> </w:t>
            </w:r>
            <w:r>
              <w:rPr>
                <w:rFonts w:ascii="宋体" w:hAnsi="宋体" w:cs="宋体" w:eastAsia="宋体" w:hint="default"/>
                <w:spacing w:val="-12"/>
                <w:sz w:val="18"/>
                <w:szCs w:val="18"/>
              </w:rPr>
              <w:t>可收回金额，通过</w:t>
            </w:r>
            <w:r>
              <w:rPr>
                <w:rFonts w:ascii="宋体" w:hAnsi="宋体" w:cs="宋体" w:eastAsia="宋体" w:hint="default"/>
                <w:spacing w:val="-9"/>
                <w:sz w:val="18"/>
                <w:szCs w:val="18"/>
              </w:rPr>
              <w:t> </w:t>
            </w:r>
            <w:r>
              <w:rPr>
                <w:rFonts w:ascii="宋体" w:hAnsi="宋体" w:cs="宋体" w:eastAsia="宋体" w:hint="default"/>
                <w:sz w:val="18"/>
                <w:szCs w:val="18"/>
              </w:rPr>
              <w:t>比较管理层在历史期间所做出</w:t>
            </w:r>
            <w:r>
              <w:rPr>
                <w:rFonts w:ascii="宋体" w:hAnsi="宋体" w:cs="宋体" w:eastAsia="宋体" w:hint="default"/>
                <w:sz w:val="18"/>
                <w:szCs w:val="18"/>
              </w:rPr>
              <w:t> </w:t>
            </w:r>
            <w:r>
              <w:rPr>
                <w:rFonts w:ascii="宋体" w:hAnsi="宋体" w:cs="宋体" w:eastAsia="宋体" w:hint="default"/>
                <w:spacing w:val="8"/>
                <w:sz w:val="18"/>
                <w:szCs w:val="18"/>
              </w:rPr>
              <w:t>的未来期间预测和后期的实际完成情况以及结</w:t>
            </w:r>
            <w:r>
              <w:rPr>
                <w:rFonts w:ascii="宋体" w:hAnsi="宋体" w:cs="宋体" w:eastAsia="宋体" w:hint="default"/>
                <w:sz w:val="18"/>
                <w:szCs w:val="18"/>
              </w:rPr>
              <w:t> 合对行业和业务环境的了解，评估管理层所采用 的未来现金流折现模型的合理性，以及其中使用 的预计收入增长率、预计毛利率和折现率及其他 重要参数的合理性，包括将预计收入增长率、预 </w:t>
            </w:r>
            <w:r>
              <w:rPr>
                <w:rFonts w:ascii="宋体" w:hAnsi="宋体" w:cs="宋体" w:eastAsia="宋体" w:hint="default"/>
                <w:spacing w:val="8"/>
                <w:sz w:val="18"/>
                <w:szCs w:val="18"/>
              </w:rPr>
              <w:t>计毛利率与管理层盈利预测及战略计划进行印</w:t>
            </w:r>
            <w:r>
              <w:rPr>
                <w:rFonts w:ascii="宋体" w:hAnsi="宋体" w:cs="宋体" w:eastAsia="宋体" w:hint="default"/>
                <w:sz w:val="18"/>
                <w:szCs w:val="18"/>
              </w:rPr>
              <w:t> 证，将折现率与市场上可比公司进行比对；</w:t>
            </w:r>
          </w:p>
        </w:tc>
      </w:tr>
    </w:tbl>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普华永道中天审字</w:t>
      </w:r>
      <w:r>
        <w:rPr>
          <w:rFonts w:ascii="Times New Roman" w:hAnsi="Times New Roman" w:cs="Times New Roman" w:eastAsia="Times New Roman" w:hint="default"/>
        </w:rPr>
        <w:t>(2020)</w:t>
      </w:r>
      <w:r>
        <w:rPr/>
        <w:t>第</w:t>
      </w:r>
      <w:r>
        <w:rPr>
          <w:rFonts w:ascii="Times New Roman" w:hAnsi="Times New Roman" w:cs="Times New Roman" w:eastAsia="Times New Roman" w:hint="default"/>
        </w:rPr>
        <w:t>10061</w:t>
      </w:r>
      <w:r>
        <w:rPr/>
        <w:t>号</w:t>
      </w:r>
    </w:p>
    <w:p>
      <w:pPr>
        <w:pStyle w:val="BodyText"/>
        <w:spacing w:line="240" w:lineRule="auto" w:before="51"/>
        <w:ind w:left="0" w:right="1111"/>
        <w:jc w:val="right"/>
      </w:pPr>
      <w:r>
        <w:rPr/>
        <w:t>（第四页，共七页）</w:t>
      </w:r>
    </w:p>
    <w:p>
      <w:pPr>
        <w:spacing w:line="240" w:lineRule="auto" w:before="10"/>
        <w:rPr>
          <w:rFonts w:ascii="宋体" w:hAnsi="宋体" w:cs="宋体" w:eastAsia="宋体" w:hint="default"/>
          <w:sz w:val="26"/>
          <w:szCs w:val="26"/>
        </w:rPr>
      </w:pPr>
    </w:p>
    <w:p>
      <w:pPr>
        <w:pStyle w:val="Heading4"/>
        <w:spacing w:line="240" w:lineRule="auto"/>
        <w:ind w:left="666" w:right="1105"/>
        <w:jc w:val="left"/>
        <w:rPr>
          <w:b w:val="0"/>
          <w:bCs w:val="0"/>
        </w:rPr>
      </w:pPr>
      <w:r>
        <w:rPr/>
        <w:t>三、关键审计事项（续）</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BodyText"/>
        <w:spacing w:line="240" w:lineRule="auto" w:before="44"/>
        <w:ind w:left="0" w:right="1626"/>
        <w:jc w:val="right"/>
      </w:pPr>
      <w:r>
        <w:rPr/>
        <w:pict>
          <v:shape style="position:absolute;margin-left:69.074997pt;margin-top:-32.338276pt;width:442.7pt;height:222.9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06"/>
                    <w:gridCol w:w="4626"/>
                  </w:tblGrid>
                  <w:tr>
                    <w:trPr>
                      <w:trHeight w:val="345"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77" w:right="0"/>
                          <w:jc w:val="left"/>
                          <w:rPr>
                            <w:rFonts w:ascii="宋体" w:hAnsi="宋体" w:cs="宋体" w:eastAsia="宋体" w:hint="default"/>
                            <w:sz w:val="18"/>
                            <w:szCs w:val="18"/>
                          </w:rPr>
                        </w:pPr>
                        <w:r>
                          <w:rPr>
                            <w:rFonts w:ascii="宋体" w:hAnsi="宋体" w:cs="宋体" w:eastAsia="宋体" w:hint="default"/>
                            <w:sz w:val="18"/>
                            <w:szCs w:val="18"/>
                          </w:rPr>
                          <w:t>关键审计事项（续）</w:t>
                        </w:r>
                      </w:p>
                    </w:tc>
                    <w:tc>
                      <w:tcPr>
                        <w:tcW w:w="4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0" w:right="0"/>
                          <w:jc w:val="left"/>
                          <w:rPr>
                            <w:rFonts w:ascii="宋体" w:hAnsi="宋体" w:cs="宋体" w:eastAsia="宋体" w:hint="default"/>
                            <w:sz w:val="18"/>
                            <w:szCs w:val="18"/>
                          </w:rPr>
                        </w:pPr>
                        <w:r>
                          <w:rPr>
                            <w:rFonts w:ascii="宋体" w:hAnsi="宋体" w:cs="宋体" w:eastAsia="宋体" w:hint="default"/>
                            <w:sz w:val="18"/>
                            <w:szCs w:val="18"/>
                          </w:rPr>
                          <w:t>我们在审计中如何应对关键审计事项（续）</w:t>
                        </w:r>
                      </w:p>
                    </w:tc>
                  </w:tr>
                  <w:tr>
                    <w:trPr>
                      <w:trHeight w:val="4099" w:hRule="exact"/>
                    </w:trPr>
                    <w:tc>
                      <w:tcPr>
                        <w:tcW w:w="4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both"/>
                          <w:rPr>
                            <w:rFonts w:ascii="宋体" w:hAnsi="宋体" w:cs="宋体" w:eastAsia="宋体" w:hint="default"/>
                            <w:sz w:val="18"/>
                            <w:szCs w:val="18"/>
                          </w:rPr>
                        </w:pPr>
                        <w:r>
                          <w:rPr>
                            <w:rFonts w:ascii="宋体" w:hAnsi="宋体" w:cs="宋体" w:eastAsia="宋体" w:hint="default"/>
                            <w:b/>
                            <w:bCs/>
                            <w:sz w:val="18"/>
                            <w:szCs w:val="18"/>
                          </w:rPr>
                          <w:t>（二）邦道科技商誉减值（续）</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44"/>
                          <w:ind w:right="18"/>
                          <w:jc w:val="both"/>
                          <w:rPr>
                            <w:rFonts w:ascii="宋体" w:hAnsi="宋体" w:cs="宋体" w:eastAsia="宋体" w:hint="default"/>
                            <w:sz w:val="18"/>
                            <w:szCs w:val="18"/>
                          </w:rPr>
                        </w:pPr>
                        <w:r>
                          <w:rPr>
                            <w:rFonts w:ascii="宋体" w:hAnsi="宋体" w:cs="宋体" w:eastAsia="宋体" w:hint="default"/>
                            <w:sz w:val="18"/>
                            <w:szCs w:val="18"/>
                          </w:rPr>
                          <w:t>邦道科技的商誉在合并财务报表账面价值重大，同时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在确定预计未来现金流量的现值时，管理层需要做出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关键假设与判断，包括业务的收入增长率、预计毛利</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率和折现率等，因此我们将商誉的减值评估确定为关</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键审计事项。</w:t>
                        </w:r>
                      </w:p>
                    </w:tc>
                    <w:tc>
                      <w:tcPr>
                        <w:tcW w:w="4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  检查管理层采用的现金流折现模型的计算准确性</w:t>
                        </w: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44"/>
                          <w:ind w:left="720" w:right="3" w:hanging="36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0"/>
                            <w:sz w:val="18"/>
                            <w:szCs w:val="18"/>
                          </w:rPr>
                          <w:t> </w:t>
                        </w:r>
                        <w:r>
                          <w:rPr>
                            <w:rFonts w:ascii="宋体" w:hAnsi="宋体" w:cs="宋体" w:eastAsia="宋体" w:hint="default"/>
                            <w:spacing w:val="-4"/>
                            <w:sz w:val="18"/>
                            <w:szCs w:val="18"/>
                          </w:rPr>
                          <w:t>评估管理层在作出关键假设时的敏感性分析，在单</w:t>
                        </w:r>
                        <w:r>
                          <w:rPr>
                            <w:rFonts w:ascii="宋体" w:hAnsi="宋体" w:cs="宋体" w:eastAsia="宋体" w:hint="default"/>
                            <w:sz w:val="18"/>
                            <w:szCs w:val="18"/>
                          </w:rPr>
                          <w:t> </w:t>
                        </w:r>
                        <w:r>
                          <w:rPr>
                            <w:rFonts w:ascii="宋体" w:hAnsi="宋体" w:cs="宋体" w:eastAsia="宋体" w:hint="default"/>
                            <w:spacing w:val="-5"/>
                            <w:sz w:val="18"/>
                            <w:szCs w:val="18"/>
                          </w:rPr>
                          <w:t>独或汇总层面考虑，当假设收入增长率、预计毛利</w:t>
                        </w:r>
                        <w:r>
                          <w:rPr>
                            <w:rFonts w:ascii="宋体" w:hAnsi="宋体" w:cs="宋体" w:eastAsia="宋体" w:hint="default"/>
                            <w:sz w:val="18"/>
                            <w:szCs w:val="18"/>
                          </w:rPr>
                          <w:t> </w:t>
                        </w:r>
                        <w:r>
                          <w:rPr>
                            <w:rFonts w:ascii="宋体" w:hAnsi="宋体" w:cs="宋体" w:eastAsia="宋体" w:hint="default"/>
                            <w:spacing w:val="4"/>
                            <w:sz w:val="18"/>
                            <w:szCs w:val="18"/>
                          </w:rPr>
                          <w:t>率和折现率在合理的范围内发生不利变化时对商</w:t>
                        </w:r>
                        <w:r>
                          <w:rPr>
                            <w:rFonts w:ascii="宋体" w:hAnsi="宋体" w:cs="宋体" w:eastAsia="宋体" w:hint="default"/>
                            <w:sz w:val="18"/>
                            <w:szCs w:val="18"/>
                          </w:rPr>
                          <w:t> 誉可能造成的减值影响；</w:t>
                        </w: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  评估管理层对商誉减值的披露是否恰当。</w:t>
                        </w: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59"/>
                          <w:ind w:left="720" w:right="3" w:hanging="36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0"/>
                            <w:sz w:val="18"/>
                            <w:szCs w:val="18"/>
                          </w:rPr>
                          <w:t> </w:t>
                        </w:r>
                        <w:r>
                          <w:rPr>
                            <w:rFonts w:ascii="宋体" w:hAnsi="宋体" w:cs="宋体" w:eastAsia="宋体" w:hint="default"/>
                            <w:spacing w:val="-4"/>
                            <w:sz w:val="18"/>
                            <w:szCs w:val="18"/>
                          </w:rPr>
                          <w:t>基于上述程序，我们认为管理层在评估商誉减值中</w:t>
                        </w:r>
                        <w:r>
                          <w:rPr>
                            <w:rFonts w:ascii="宋体" w:hAnsi="宋体" w:cs="宋体" w:eastAsia="宋体" w:hint="default"/>
                            <w:sz w:val="18"/>
                            <w:szCs w:val="18"/>
                          </w:rPr>
                          <w:t> </w:t>
                        </w:r>
                        <w:r>
                          <w:rPr>
                            <w:rFonts w:ascii="宋体" w:hAnsi="宋体" w:cs="宋体" w:eastAsia="宋体" w:hint="default"/>
                            <w:spacing w:val="-4"/>
                            <w:sz w:val="18"/>
                            <w:szCs w:val="18"/>
                          </w:rPr>
                          <w:t>采用的关键假设、判断和其他主要参数可以被我们</w:t>
                        </w:r>
                        <w:r>
                          <w:rPr>
                            <w:rFonts w:ascii="宋体" w:hAnsi="宋体" w:cs="宋体" w:eastAsia="宋体" w:hint="default"/>
                            <w:sz w:val="18"/>
                            <w:szCs w:val="18"/>
                          </w:rPr>
                          <w:t> 获得的审计证据所支持。</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Heading4"/>
        <w:spacing w:line="240" w:lineRule="auto"/>
        <w:ind w:right="1105"/>
        <w:jc w:val="left"/>
        <w:rPr>
          <w:b w:val="0"/>
          <w:bCs w:val="0"/>
        </w:rPr>
      </w:pPr>
      <w:r>
        <w:rPr/>
        <w:t>四、其他信息</w:t>
      </w:r>
      <w:r>
        <w:rPr>
          <w:b w:val="0"/>
          <w:bCs w:val="0"/>
        </w:rPr>
      </w:r>
    </w:p>
    <w:p>
      <w:pPr>
        <w:spacing w:line="240" w:lineRule="auto" w:before="9"/>
        <w:rPr>
          <w:rFonts w:ascii="宋体" w:hAnsi="宋体" w:cs="宋体" w:eastAsia="宋体" w:hint="default"/>
          <w:b/>
          <w:bCs/>
          <w:sz w:val="18"/>
          <w:szCs w:val="18"/>
        </w:rPr>
      </w:pPr>
    </w:p>
    <w:p>
      <w:pPr>
        <w:pStyle w:val="BodyText"/>
        <w:spacing w:line="290" w:lineRule="auto"/>
        <w:ind w:right="1105" w:firstLine="570"/>
        <w:jc w:val="left"/>
      </w:pPr>
      <w:r>
        <w:rPr/>
        <w:t>朗新科技管理层对其他信息负责。其他信息包括朗新科技</w:t>
      </w:r>
      <w:r>
        <w:rPr>
          <w:rFonts w:ascii="Times New Roman" w:hAnsi="Times New Roman" w:cs="Times New Roman" w:eastAsia="Times New Roman" w:hint="default"/>
        </w:rPr>
        <w:t>2019</w:t>
      </w:r>
      <w:r>
        <w:rPr/>
        <w:t>年年度报告中涵盖的信息，但不包括财务报表和我们 的审计报告。</w:t>
      </w:r>
    </w:p>
    <w:p>
      <w:pPr>
        <w:pStyle w:val="BodyText"/>
        <w:spacing w:line="616" w:lineRule="exact" w:before="74"/>
        <w:ind w:left="711" w:right="1105"/>
        <w:jc w:val="left"/>
      </w:pPr>
      <w:r>
        <w:rPr/>
        <w:t>我们对财务报表发表的审计意见不涵盖其他信息，我们也不对其他信息发表任何形式的鉴证结论。 结合我们对财务报表的审计，我们的责任是阅读其他信息，在此过程中，考虑其他信息是否与财务报表或我们在审</w:t>
      </w:r>
    </w:p>
    <w:p>
      <w:pPr>
        <w:spacing w:after="0" w:line="616" w:lineRule="exact"/>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1105"/>
        <w:jc w:val="left"/>
      </w:pPr>
      <w:r>
        <w:rPr>
          <w:spacing w:val="-2"/>
        </w:rPr>
        <w:t>计过程中了解到的情况存在重大不一致或者似乎存在重大错报。基于我们已经执行的工作，如果我们确定其他信息存在重大</w:t>
      </w:r>
      <w:r>
        <w:rPr>
          <w:spacing w:val="-72"/>
        </w:rPr>
        <w:t> </w:t>
      </w:r>
      <w:r>
        <w:rPr>
          <w:spacing w:val="-72"/>
        </w:rPr>
      </w:r>
      <w:r>
        <w:rPr/>
        <w:t>错报，我们应当报告该事实。在这方面，我们无任何事项需要报告。</w:t>
      </w:r>
    </w:p>
    <w:p>
      <w:pPr>
        <w:spacing w:line="480" w:lineRule="atLeast" w:before="74"/>
        <w:ind w:left="711" w:right="1179" w:hanging="571"/>
        <w:jc w:val="left"/>
        <w:rPr>
          <w:rFonts w:ascii="宋体" w:hAnsi="宋体" w:cs="宋体" w:eastAsia="宋体" w:hint="default"/>
          <w:sz w:val="18"/>
          <w:szCs w:val="18"/>
        </w:rPr>
      </w:pPr>
      <w:r>
        <w:rPr>
          <w:rFonts w:ascii="宋体" w:hAnsi="宋体" w:cs="宋体" w:eastAsia="宋体" w:hint="default"/>
          <w:b/>
          <w:bCs/>
          <w:sz w:val="18"/>
          <w:szCs w:val="18"/>
        </w:rPr>
        <w:t>五、管理层和审计委员会对财务报表的责任</w:t>
      </w:r>
      <w:r>
        <w:rPr>
          <w:rFonts w:ascii="宋体" w:hAnsi="宋体" w:cs="宋体" w:eastAsia="宋体" w:hint="default"/>
          <w:b/>
          <w:bCs/>
          <w:w w:val="99"/>
          <w:sz w:val="18"/>
          <w:szCs w:val="18"/>
        </w:rPr>
        <w:t> </w:t>
      </w:r>
      <w:r>
        <w:rPr>
          <w:rFonts w:ascii="宋体" w:hAnsi="宋体" w:cs="宋体" w:eastAsia="宋体" w:hint="default"/>
          <w:sz w:val="18"/>
          <w:szCs w:val="18"/>
        </w:rPr>
        <w:t>朗新科技管理层负责按照企业会计准则的规定编制财务报表，使其实现公允反映，并设计、执行和维护必要的内部</w:t>
      </w:r>
    </w:p>
    <w:p>
      <w:pPr>
        <w:pStyle w:val="BodyText"/>
        <w:spacing w:line="240" w:lineRule="auto" w:before="80"/>
        <w:ind w:right="1105"/>
        <w:jc w:val="left"/>
      </w:pPr>
      <w:r>
        <w:rPr/>
        <w:t>控制，以使财务报表不存在由于舞弊或错误导致的重大错报。</w:t>
      </w:r>
    </w:p>
    <w:p>
      <w:pPr>
        <w:spacing w:line="240" w:lineRule="auto" w:before="0"/>
        <w:rPr>
          <w:rFonts w:ascii="宋体" w:hAnsi="宋体" w:cs="宋体" w:eastAsia="宋体" w:hint="default"/>
          <w:sz w:val="18"/>
          <w:szCs w:val="18"/>
        </w:rPr>
      </w:pPr>
    </w:p>
    <w:p>
      <w:pPr>
        <w:pStyle w:val="BodyText"/>
        <w:spacing w:line="321" w:lineRule="auto" w:before="144"/>
        <w:ind w:right="1197" w:firstLine="570"/>
        <w:jc w:val="both"/>
      </w:pPr>
      <w:r>
        <w:rPr/>
        <w:t>在编制财务报表时，管理层负责评估朗新科技的持续经营能力，披露与持续经营相关的事项（如适用），并运用持 续经营假设，除非管理层计划清算朗新科技、终止运营或别无其他现实的选择。</w:t>
      </w:r>
    </w:p>
    <w:p>
      <w:pPr>
        <w:spacing w:line="616" w:lineRule="exact" w:before="51"/>
        <w:ind w:left="141" w:right="6399" w:firstLine="570"/>
        <w:jc w:val="left"/>
        <w:rPr>
          <w:rFonts w:ascii="宋体" w:hAnsi="宋体" w:cs="宋体" w:eastAsia="宋体" w:hint="default"/>
          <w:sz w:val="18"/>
          <w:szCs w:val="18"/>
        </w:rPr>
      </w:pPr>
      <w:r>
        <w:rPr>
          <w:rFonts w:ascii="宋体" w:hAnsi="宋体" w:cs="宋体" w:eastAsia="宋体" w:hint="default"/>
          <w:sz w:val="18"/>
          <w:szCs w:val="18"/>
        </w:rPr>
        <w:t>审计委员会负责监督朗新科技的财务报告过程。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147"/>
        <w:ind w:right="1120" w:firstLine="510"/>
        <w:jc w:val="both"/>
      </w:pPr>
      <w:r>
        <w:rPr>
          <w:spacing w:val="-1"/>
        </w:rPr>
        <w:t>我们的目标是对财务报表整体是否不存在由于舞弊或错误导致的重大错报获取合理保证，并出具包含审计意见的审计</w:t>
      </w:r>
      <w:r>
        <w:rPr/>
        <w:t> </w:t>
      </w:r>
      <w:r>
        <w:rPr>
          <w:spacing w:val="-2"/>
        </w:rPr>
        <w:t>报告。合理保证是高水平的保证，但并不能保证按照审计准则执行的审计在某一重大错报存在时总能发现。错报可能由于舞</w:t>
      </w:r>
      <w:r>
        <w:rPr>
          <w:spacing w:val="-75"/>
        </w:rPr>
        <w:t> </w:t>
      </w:r>
      <w:r>
        <w:rPr>
          <w:spacing w:val="-75"/>
        </w:rPr>
      </w:r>
      <w:r>
        <w:rPr>
          <w:spacing w:val="-2"/>
        </w:rPr>
        <w:t>弊或错误导致，如果合理预期错报单独或汇总起来可能影响财务报表使用者依据财务报表作出的经济决策，则通常认为错报</w:t>
      </w:r>
      <w:r>
        <w:rPr>
          <w:spacing w:val="-72"/>
        </w:rPr>
        <w:t> </w:t>
      </w:r>
      <w:r>
        <w:rPr>
          <w:spacing w:val="-72"/>
        </w:rPr>
      </w:r>
      <w:r>
        <w:rPr/>
        <w:t>是重大的。</w:t>
      </w:r>
    </w:p>
    <w:p>
      <w:pPr>
        <w:pStyle w:val="BodyText"/>
        <w:spacing w:line="240" w:lineRule="auto" w:before="142"/>
        <w:ind w:left="711" w:right="1105"/>
        <w:jc w:val="left"/>
      </w:pPr>
      <w:r>
        <w:rPr/>
        <w:t>在按照审计准则执行审计工作的过程中，我们运用职业判断，并保持职业怀疑。同时，我们也执行以下工作：</w:t>
      </w:r>
    </w:p>
    <w:p>
      <w:pPr>
        <w:spacing w:line="240" w:lineRule="auto" w:before="0"/>
        <w:rPr>
          <w:rFonts w:ascii="宋体" w:hAnsi="宋体" w:cs="宋体" w:eastAsia="宋体" w:hint="default"/>
          <w:sz w:val="18"/>
          <w:szCs w:val="18"/>
        </w:rPr>
      </w:pPr>
    </w:p>
    <w:p>
      <w:pPr>
        <w:pStyle w:val="BodyText"/>
        <w:spacing w:line="314" w:lineRule="auto" w:before="159"/>
        <w:ind w:right="1126" w:firstLine="570"/>
        <w:jc w:val="both"/>
      </w:pPr>
      <w:r>
        <w:rPr/>
        <w:t>（一）识别和评估由于舞弊或错误导致的财务报表重大错报风险；设计和实施审计程序以应对这些风险，并获取充 </w:t>
      </w:r>
      <w:r>
        <w:rPr>
          <w:spacing w:val="-2"/>
        </w:rPr>
        <w:t>分、适当的审计证据，作为发表审计意见的基础。由于舞弊可能涉及串通、伪造、故意遗漏、虚假陈述或凌驾于内部控制之</w:t>
      </w:r>
      <w:r>
        <w:rPr>
          <w:spacing w:val="-72"/>
        </w:rPr>
        <w:t> </w:t>
      </w:r>
      <w:r>
        <w:rPr>
          <w:spacing w:val="-72"/>
        </w:rPr>
      </w:r>
      <w:r>
        <w:rPr/>
        <w:t>上，未能发现由于舞弊导致的重大错报的风险高于未能发现由于错误导致的重大错报的风险。</w:t>
      </w:r>
    </w:p>
    <w:p>
      <w:pPr>
        <w:spacing w:line="240" w:lineRule="auto" w:before="12"/>
        <w:rPr>
          <w:rFonts w:ascii="宋体" w:hAnsi="宋体" w:cs="宋体" w:eastAsia="宋体" w:hint="default"/>
          <w:sz w:val="25"/>
          <w:szCs w:val="25"/>
        </w:rPr>
      </w:pPr>
    </w:p>
    <w:p>
      <w:pPr>
        <w:pStyle w:val="BodyText"/>
        <w:spacing w:line="240" w:lineRule="auto"/>
        <w:ind w:left="711" w:right="1105"/>
        <w:jc w:val="left"/>
      </w:pPr>
      <w:r>
        <w:rPr/>
        <w:t>（二）了解与审计相关的内部控制，以设计恰当的审计程序，但目的并非对内部控制的有效性发表意见。</w:t>
      </w:r>
    </w:p>
    <w:p>
      <w:pPr>
        <w:spacing w:line="240" w:lineRule="auto" w:before="0"/>
        <w:rPr>
          <w:rFonts w:ascii="宋体" w:hAnsi="宋体" w:cs="宋体" w:eastAsia="宋体" w:hint="default"/>
          <w:sz w:val="18"/>
          <w:szCs w:val="18"/>
        </w:rPr>
      </w:pPr>
    </w:p>
    <w:p>
      <w:pPr>
        <w:pStyle w:val="BodyText"/>
        <w:spacing w:line="240" w:lineRule="auto" w:before="144"/>
        <w:ind w:left="711" w:right="1105"/>
        <w:jc w:val="left"/>
      </w:pPr>
      <w:r>
        <w:rPr/>
        <w:t>（三）评价管理层选用会计政策的恰当性和作出会计估计及相关披露的合理性。</w:t>
      </w:r>
    </w:p>
    <w:p>
      <w:pPr>
        <w:spacing w:line="240" w:lineRule="auto" w:before="0"/>
        <w:rPr>
          <w:rFonts w:ascii="宋体" w:hAnsi="宋体" w:cs="宋体" w:eastAsia="宋体" w:hint="default"/>
          <w:sz w:val="18"/>
          <w:szCs w:val="18"/>
        </w:rPr>
      </w:pPr>
    </w:p>
    <w:p>
      <w:pPr>
        <w:pStyle w:val="BodyText"/>
        <w:spacing w:line="316" w:lineRule="auto" w:before="160"/>
        <w:ind w:right="1134" w:firstLine="570"/>
        <w:jc w:val="both"/>
      </w:pPr>
      <w:r>
        <w:rPr/>
        <w:t>（四）对管理层使用持续经营假设的恰当性得出结论。同时，根据获取的审计证据，就可能导致对朗新科技持续经 </w:t>
      </w:r>
      <w:r>
        <w:rPr>
          <w:spacing w:val="-2"/>
        </w:rPr>
        <w:t>营能力产生重大疑虑的事项或情况是否存在重大不确定性得出结论。如果我们得出结论认为存在重大不确定性，审计准则要</w:t>
      </w:r>
      <w:r>
        <w:rPr>
          <w:spacing w:val="-69"/>
        </w:rPr>
        <w:t> </w:t>
      </w:r>
      <w:r>
        <w:rPr>
          <w:spacing w:val="-69"/>
        </w:rPr>
      </w:r>
      <w:r>
        <w:rPr>
          <w:spacing w:val="-2"/>
        </w:rPr>
        <w:t>求我们在审计报告中提请报表使用者注意财务报表中的相关披露；如果披露不充分，我们应当发表非无保留意见。我们的结</w:t>
      </w:r>
      <w:r>
        <w:rPr>
          <w:spacing w:val="-75"/>
        </w:rPr>
        <w:t> </w:t>
      </w:r>
      <w:r>
        <w:rPr>
          <w:spacing w:val="-75"/>
        </w:rPr>
      </w:r>
      <w:r>
        <w:rPr/>
        <w:t>论基于截至审计报告日可获得的信息。然而，未来的事项或情况可能导致朗新科技不能持续经营。</w:t>
      </w:r>
    </w:p>
    <w:p>
      <w:pPr>
        <w:spacing w:line="240" w:lineRule="auto" w:before="10"/>
        <w:rPr>
          <w:rFonts w:ascii="宋体" w:hAnsi="宋体" w:cs="宋体" w:eastAsia="宋体" w:hint="default"/>
          <w:sz w:val="25"/>
          <w:szCs w:val="25"/>
        </w:rPr>
      </w:pPr>
    </w:p>
    <w:p>
      <w:pPr>
        <w:pStyle w:val="BodyText"/>
        <w:spacing w:line="240" w:lineRule="auto"/>
        <w:ind w:left="711" w:right="1105"/>
        <w:jc w:val="left"/>
      </w:pPr>
      <w:r>
        <w:rPr/>
        <w:t>（五）评价财务报表的总体列报（包括披露）、结构和内容，并评价财务报表是否公允反映相关交易和事项。</w:t>
      </w:r>
    </w:p>
    <w:p>
      <w:pPr>
        <w:spacing w:line="240" w:lineRule="auto" w:before="0"/>
        <w:rPr>
          <w:rFonts w:ascii="宋体" w:hAnsi="宋体" w:cs="宋体" w:eastAsia="宋体" w:hint="default"/>
          <w:sz w:val="18"/>
          <w:szCs w:val="18"/>
        </w:rPr>
      </w:pPr>
    </w:p>
    <w:p>
      <w:pPr>
        <w:pStyle w:val="BodyText"/>
        <w:spacing w:line="307" w:lineRule="auto" w:before="159"/>
        <w:ind w:right="1136" w:firstLine="570"/>
        <w:jc w:val="both"/>
      </w:pPr>
      <w:r>
        <w:rPr/>
        <w:t>（六）就朗新科技中实体或业务活动的财务信息获取充分、适当的审计证据，以对合并财务报表发表审计意见。我 们负责指导、监督和执行集团审计，并对审计意见承担全部责任。</w:t>
      </w:r>
    </w:p>
    <w:p>
      <w:pPr>
        <w:spacing w:line="240" w:lineRule="auto" w:before="4"/>
        <w:rPr>
          <w:rFonts w:ascii="宋体" w:hAnsi="宋体" w:cs="宋体" w:eastAsia="宋体" w:hint="default"/>
          <w:sz w:val="26"/>
          <w:szCs w:val="26"/>
        </w:rPr>
      </w:pPr>
    </w:p>
    <w:p>
      <w:pPr>
        <w:pStyle w:val="BodyText"/>
        <w:spacing w:line="321" w:lineRule="auto"/>
        <w:ind w:right="1136" w:firstLine="570"/>
        <w:jc w:val="both"/>
      </w:pPr>
      <w:r>
        <w:rPr/>
        <w:t>我们与审计委员会就计划的审计范围、时间安排和重大审计发现等事项进行沟通，包括沟通我们在审计中识别出的 值得关注的内部控制缺陷。</w:t>
      </w:r>
    </w:p>
    <w:p>
      <w:pPr>
        <w:spacing w:line="240" w:lineRule="auto" w:before="5"/>
        <w:rPr>
          <w:rFonts w:ascii="宋体" w:hAnsi="宋体" w:cs="宋体" w:eastAsia="宋体" w:hint="default"/>
          <w:sz w:val="24"/>
          <w:szCs w:val="24"/>
        </w:rPr>
      </w:pPr>
    </w:p>
    <w:p>
      <w:pPr>
        <w:pStyle w:val="BodyText"/>
        <w:spacing w:line="321" w:lineRule="auto"/>
        <w:ind w:right="1136" w:firstLine="570"/>
        <w:jc w:val="both"/>
      </w:pPr>
      <w:r>
        <w:rPr/>
        <w:t>我们还就已遵守与独立性相关的职业道德要求向审计委员会提供声明，并与审计委员会沟通可能被合理认为影响我 们独立性的所有关系和其他事项，以及相关的防范措施（如适用）。</w:t>
      </w:r>
    </w:p>
    <w:p>
      <w:pPr>
        <w:spacing w:after="0" w:line="321"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1127" w:firstLine="570"/>
        <w:jc w:val="both"/>
      </w:pPr>
      <w:r>
        <w:rPr/>
        <w:t>从与审计委员会沟通过的事项中，我们确定哪些事项对本期财务报表审计最为重要，因而构成关键审计事项。我们 </w:t>
      </w:r>
      <w:r>
        <w:rPr>
          <w:spacing w:val="-2"/>
        </w:rPr>
        <w:t>在审计报告中描述这些事项，除非法律法规禁止公开披露这些事项，或在极少数情形下，如果合理预期在审计报告中沟通某</w:t>
      </w:r>
      <w:r>
        <w:rPr>
          <w:spacing w:val="-65"/>
        </w:rPr>
        <w:t> </w:t>
      </w:r>
      <w:r>
        <w:rPr>
          <w:spacing w:val="-65"/>
        </w:rPr>
      </w:r>
      <w:r>
        <w:rPr/>
        <w:t>事项造成的负面后果超过在公众利益方面产生的益处，我们确定不应在审计报告中沟通该事项。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3713"/>
        <w:gridCol w:w="1788"/>
        <w:gridCol w:w="3544"/>
      </w:tblGrid>
      <w:tr>
        <w:trPr>
          <w:trHeight w:val="2222" w:hRule="exact"/>
        </w:trPr>
        <w:tc>
          <w:tcPr>
            <w:tcW w:w="371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5"/>
              <w:ind w:right="1176"/>
              <w:jc w:val="left"/>
              <w:rPr>
                <w:rFonts w:ascii="宋体" w:hAnsi="宋体" w:cs="宋体" w:eastAsia="宋体" w:hint="default"/>
                <w:sz w:val="18"/>
                <w:szCs w:val="18"/>
              </w:rPr>
            </w:pPr>
            <w:r>
              <w:rPr>
                <w:rFonts w:ascii="宋体" w:hAnsi="宋体" w:cs="宋体" w:eastAsia="宋体" w:hint="default"/>
                <w:sz w:val="18"/>
                <w:szCs w:val="18"/>
              </w:rPr>
              <w:t>普华永道中天 会计师事务所（特殊普通合伙）</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上海市</w:t>
            </w:r>
          </w:p>
          <w:p>
            <w:pPr>
              <w:pStyle w:val="TableParagraph"/>
              <w:spacing w:line="240" w:lineRule="auto" w:before="6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35" w:right="0"/>
              <w:jc w:val="left"/>
              <w:rPr>
                <w:rFonts w:ascii="宋体" w:hAnsi="宋体" w:cs="宋体" w:eastAsia="宋体" w:hint="default"/>
                <w:sz w:val="18"/>
                <w:szCs w:val="18"/>
              </w:rPr>
            </w:pPr>
            <w:r>
              <w:rPr>
                <w:rFonts w:ascii="宋体" w:hAnsi="宋体" w:cs="宋体" w:eastAsia="宋体" w:hint="default"/>
                <w:sz w:val="18"/>
                <w:szCs w:val="18"/>
              </w:rPr>
              <w:t>注册会计师</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注册会计师</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李雪梅（项目合伙人）</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p>
            <w:pPr>
              <w:pStyle w:val="TableParagraph"/>
              <w:spacing w:line="240" w:lineRule="auto" w:before="36"/>
              <w:ind w:left="-1" w:right="0"/>
              <w:jc w:val="left"/>
              <w:rPr>
                <w:rFonts w:ascii="宋体" w:hAnsi="宋体" w:cs="宋体" w:eastAsia="宋体" w:hint="default"/>
                <w:sz w:val="18"/>
                <w:szCs w:val="18"/>
              </w:rPr>
            </w:pPr>
            <w:r>
              <w:rPr>
                <w:rFonts w:ascii="宋体" w:hAnsi="宋体" w:cs="宋体" w:eastAsia="宋体" w:hint="default"/>
                <w:sz w:val="18"/>
                <w:szCs w:val="18"/>
              </w:rPr>
              <w:t>赵育鹏</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1105"/>
        <w:jc w:val="left"/>
        <w:rPr>
          <w:b w:val="0"/>
          <w:bCs w:val="0"/>
        </w:rPr>
      </w:pPr>
      <w:bookmarkStart w:name="二、财务报表" w:id="156"/>
      <w:bookmarkEnd w:id="156"/>
      <w:r>
        <w:rPr>
          <w:b w:val="0"/>
          <w:bCs w:val="0"/>
        </w:rPr>
      </w:r>
      <w:r>
        <w:rPr/>
        <w:t>二、财务报表</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05"/>
        <w:jc w:val="left"/>
      </w:pPr>
      <w:r>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1、合并资产负债表" w:id="157"/>
      <w:bookmarkEnd w:id="15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1105"/>
        <w:jc w:val="left"/>
      </w:pPr>
      <w:r>
        <w:rPr/>
        <w:t>编制单位：朗新科技集团股份有限公司</w:t>
      </w:r>
    </w:p>
    <w:p>
      <w:pPr>
        <w:pStyle w:val="BodyText"/>
        <w:spacing w:line="240" w:lineRule="auto" w:before="140"/>
        <w:ind w:left="2782" w:right="3750"/>
        <w:jc w:val="center"/>
      </w:pP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pStyle w:val="BodyText"/>
        <w:spacing w:line="240" w:lineRule="auto" w:before="81"/>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1,853,619,590.14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1,302,866,699.75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43,927,716.32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108,303,954.53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1,953,799,058.28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1,422,555,177.11</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51,774,042.53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27,127,680.42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130,334,713.16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51,954,289.91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8,806,520.54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1,229,180.56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3"/>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307,003,674.91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389,489,985.78</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27,731,372.38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367,047,006.71</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4,368,190,167.72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3,669,344,794.21</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109,437,296.71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189,154,889.61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111,381,001.58</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46,311,993.18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37,140,169.13</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6,332,967.19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2,443,276.04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47,732,906.30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7,161,663.39</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25,662,064.02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10,054,348.67</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1,159,530,363.44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31,404,852.49</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21,114,587.36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16,401,518.85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29,976,768.27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14,497,324.91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170,007,207.97</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1,557,479,948.05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478,265,251.06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31"/>
              <w:jc w:val="right"/>
              <w:rPr>
                <w:rFonts w:ascii="Times New Roman" w:hAnsi="Times New Roman" w:cs="Times New Roman" w:eastAsia="Times New Roman" w:hint="default"/>
                <w:sz w:val="18"/>
                <w:szCs w:val="18"/>
              </w:rPr>
            </w:pPr>
            <w:r>
              <w:rPr>
                <w:rFonts w:ascii="Times New Roman"/>
                <w:sz w:val="18"/>
              </w:rPr>
              <w:t>5,925,670,115.77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4,147,610,045.27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4,989,000.00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280,451,648.00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4,700,000.00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450,649,116.29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437,160,478.14</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114,194,840.59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65,313,821.91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240,031,030.38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159,381,072.10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81,202,640.27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64,857,249.46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206,984,386.21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255,432,270.50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23,127.66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447,357.70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99,000,000.00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40,598,642.53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19,404,866.52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1,148,649,656.27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1,385,701,406.63</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58,000,000.00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8,123,089.92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6,720,777.60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25,343,477.25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17,779,409.26</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1,778,198.37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232,500.00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994,733.57</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36,239,499.11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82,732,686.86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1,184,889,155.38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1,468,434,093.49</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680,331,993.00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429,220,300.00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5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2,523,161,632.13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858,899,809.69</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164,350,662.88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224,603,670.16</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308,057.49</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106,216,783.08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77,272,995.53</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1,493,659,028.08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537,096,360.41</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4,639,018,773.41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1,678,193,852.96</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101,762,186.98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1,000,982,098.82</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4,740,780,960.39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2,679,175,951.78</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5,925,670,115.77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4,147,610,045.27</w:t>
            </w:r>
          </w:p>
        </w:tc>
      </w:tr>
    </w:tbl>
    <w:p>
      <w:pPr>
        <w:spacing w:line="240" w:lineRule="auto" w:before="3"/>
        <w:rPr>
          <w:rFonts w:ascii="Times New Roman" w:hAnsi="Times New Roman" w:cs="Times New Roman" w:eastAsia="Times New Roman" w:hint="default"/>
          <w:sz w:val="22"/>
          <w:szCs w:val="22"/>
        </w:rPr>
      </w:pPr>
    </w:p>
    <w:p>
      <w:pPr>
        <w:pStyle w:val="BodyText"/>
        <w:tabs>
          <w:tab w:pos="3565" w:val="left" w:leader="none"/>
          <w:tab w:pos="7710" w:val="left" w:leader="none"/>
        </w:tabs>
        <w:spacing w:line="240" w:lineRule="auto" w:before="44"/>
        <w:ind w:right="1105"/>
        <w:jc w:val="left"/>
      </w:pPr>
      <w:r>
        <w:rPr/>
        <w:t>法定代表人：郑新标</w:t>
        <w:tab/>
        <w:t>主管会计工作负责人：鲁清芳</w:t>
        <w:tab/>
        <w:t>会计机构负责人：鲁清芳</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2、母公司资产负债表" w:id="158"/>
      <w:bookmarkEnd w:id="15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66"/>
        <w:gridCol w:w="3305"/>
        <w:gridCol w:w="3304"/>
      </w:tblGrid>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8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580,713,917.02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800,643,359.22</w:t>
            </w: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6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41,016,020.82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42,249,473.53</w:t>
            </w: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1,181,815,222.35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832,820,119.95</w:t>
            </w: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30,094,381.60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21,702,048.27</w:t>
            </w: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341,382,979.04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117,904,450.72</w:t>
            </w: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142"/>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1,124,733.73</w:t>
            </w: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141"/>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56,340,756.31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75,148,001.02</w:t>
            </w: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2,231,363,277.14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1,890,467,452.71</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3,740,003,116.78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283,782,446.36</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25,407,470.48</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16,052,259.95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7,645,470.34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5,587,507.74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6,978,922.19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23,528,884.61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23,528,884.61</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12,860,297.18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4,325,401.00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18,736,850.37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9,274,303.48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3,842,176,387.11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335,535,427.98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6,073,539,664.25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2,226,002,880.69</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4,989,000.00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110,050,000.00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361,341,271.97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214,572,721.10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74,240,941.20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56,360,706.02</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146,689,364.60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100,864,681.10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33,176,989.65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27,514,273.19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186,194,801.41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235,604,822.17</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7,294.33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170,453.59</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28,285,405.20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17,006,310.53</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834,917,774.03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761,973,514.11</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16,600,000.00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12,960,000.00</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174,375.00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232,500.00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16,774,375.00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13,192,500.00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851,692,149.03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775,166,014.11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680,331,993.00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429,220,300.00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3,807,563,508.92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602,386,046.83</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164,350,662.88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224,603,670.16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106,216,783.08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77,272,995.53</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792,085,893.10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566,561,194.38</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5,221,847,515.22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1,450,836,866.58</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6,073,539,664.25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2,226,002,880.69</w:t>
            </w:r>
          </w:p>
        </w:tc>
      </w:tr>
    </w:tbl>
    <w:p>
      <w:pPr>
        <w:spacing w:line="240" w:lineRule="auto" w:before="7"/>
        <w:rPr>
          <w:rFonts w:ascii="Times New Roman" w:hAnsi="Times New Roman" w:cs="Times New Roman" w:eastAsia="Times New Roman" w:hint="default"/>
          <w:sz w:val="22"/>
          <w:szCs w:val="22"/>
        </w:rPr>
      </w:pPr>
    </w:p>
    <w:p>
      <w:pPr>
        <w:pStyle w:val="Heading3"/>
        <w:spacing w:line="240" w:lineRule="auto" w:before="35"/>
        <w:ind w:right="1105"/>
        <w:jc w:val="left"/>
        <w:rPr>
          <w:b w:val="0"/>
          <w:bCs w:val="0"/>
        </w:rPr>
      </w:pPr>
      <w:bookmarkStart w:name="3、合并利润表" w:id="159"/>
      <w:bookmarkEnd w:id="15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2,968,330,140.42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2,671,680,074.85</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2,968,330,140.42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2,671,680,074.85</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98"/>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2,453,471,250.81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2,411,605,994.19</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1,646,429,473.53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1,816,489,690.71</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98"/>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08"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16,144,636.76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11,159,484.53</w:t>
            </w:r>
          </w:p>
        </w:tc>
      </w:tr>
      <w:tr>
        <w:trPr>
          <w:trHeight w:val="39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0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203,551,629.43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159,667,451.70</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325,282,208.25</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241,422,261.89</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309,087,428.03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176,391,848.81</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-47,024,125.19</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6,475,256.55</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97"/>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-2,636,074.21</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15,988,555.68</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97"/>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43,394,248.49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11,000,120.37</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102,076,623.51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32,446,089.92</w:t>
            </w: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534,373,461.94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63,431,209.49</w:t>
            </w:r>
          </w:p>
        </w:tc>
      </w:tr>
    </w:tbl>
    <w:p>
      <w:pPr>
        <w:spacing w:after="0" w:line="240" w:lineRule="auto"/>
        <w:jc w:val="right"/>
        <w:rPr>
          <w:rFonts w:ascii="Times New Roman" w:hAnsi="Times New Roman" w:cs="Times New Roman" w:eastAsia="Times New Roman" w:hint="default"/>
          <w:sz w:val="18"/>
          <w:szCs w:val="18"/>
        </w:rPr>
        <w:sectPr>
          <w:footerReference w:type="default" r:id="rId23"/>
          <w:pgSz w:w="11910" w:h="16850"/>
          <w:pgMar w:footer="981" w:header="73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8" w:firstLine="721"/>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31,407,941.23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49,049,171.31</w:t>
            </w: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57" w:firstLine="1081"/>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24" w:space="0" w:color="FFFFFF"/>
              <w:bottom w:val="single" w:sz="6" w:space="0" w:color="000000"/>
              <w:right w:val="single" w:sz="6" w:space="0" w:color="000000"/>
            </w:tcBorders>
          </w:tcPr>
          <w:p>
            <w:pPr>
              <w:pStyle w:val="TableParagraph"/>
              <w:spacing w:line="240" w:lineRule="auto" w:before="60"/>
              <w:ind w:left="-151" w:right="0"/>
              <w:jc w:val="left"/>
              <w:rPr>
                <w:rFonts w:ascii="宋体" w:hAnsi="宋体" w:cs="宋体" w:eastAsia="宋体" w:hint="default"/>
                <w:sz w:val="18"/>
                <w:szCs w:val="18"/>
              </w:rPr>
            </w:pPr>
            <w:r>
              <w:rPr>
                <w:rFonts w:ascii="宋体" w:hAnsi="宋体" w:cs="宋体" w:eastAsia="宋体" w:hint="default"/>
                <w:sz w:val="18"/>
                <w:szCs w:val="18"/>
              </w:rPr>
              <w:t>）</w:t>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9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1,412,584.01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7,207.97</w:t>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6"/>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-15,872,898.23</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6"/>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-2,388,804.53</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-18,330,888.50</w:t>
            </w:r>
            <w:r>
              <w:rPr>
                <w:rFonts w:ascii="Times New Roman"/>
                <w:sz w:val="18"/>
              </w:rPr>
            </w: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-926.41</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-114,053.53</w:t>
            </w:r>
            <w:r>
              <w:rPr>
                <w:rFonts w:ascii="Times New Roman"/>
                <w:sz w:val="18"/>
              </w:rPr>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1,134,458,929.90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337,513,646.01</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1,467,785.62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3,469,594.10</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1,164,727.56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2,432,362.34</w:t>
            </w:r>
          </w:p>
        </w:tc>
      </w:tr>
      <w:tr>
        <w:trPr>
          <w:trHeight w:val="405" w:hRule="exact"/>
        </w:trPr>
        <w:tc>
          <w:tcPr>
            <w:tcW w:w="3064"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pacing w:val="-7"/>
                <w:sz w:val="18"/>
                <w:szCs w:val="18"/>
              </w:rPr>
              <w:t>四、利润总额（亏损总额以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号填列</w:t>
            </w:r>
          </w:p>
        </w:tc>
        <w:tc>
          <w:tcPr>
            <w:tcW w:w="3222" w:type="dxa"/>
            <w:tcBorders>
              <w:top w:val="single" w:sz="6" w:space="0" w:color="000000"/>
              <w:left w:val="single" w:sz="24" w:space="0" w:color="FFFFFF"/>
              <w:bottom w:val="single" w:sz="6" w:space="0" w:color="000000"/>
              <w:right w:val="single" w:sz="6" w:space="0" w:color="000000"/>
            </w:tcBorders>
          </w:tcPr>
          <w:p>
            <w:pPr>
              <w:pStyle w:val="TableParagraph"/>
              <w:tabs>
                <w:tab w:pos="1906" w:val="left" w:leader="none"/>
              </w:tabs>
              <w:spacing w:line="240" w:lineRule="auto" w:before="60"/>
              <w:ind w:left="-1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1,134,761,987.96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338,550,877.77</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55,044,215.47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39,333,009.16</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1,079,717,772.49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299,217,868.61</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87"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1,079,717,772.49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299,217,868.61</w:t>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87"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1,020,167,786.95</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187,391,547.30</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59,549,985.54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111,826,321.31</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210,161.52</w:t>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59"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-15,367.18</w:t>
            </w:r>
            <w:r>
              <w:rPr>
                <w:rFonts w:ascii="Times New Roman"/>
                <w:sz w:val="18"/>
              </w:rPr>
            </w: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8" w:firstLine="345"/>
              <w:jc w:val="left"/>
              <w:rPr>
                <w:rFonts w:ascii="宋体" w:hAnsi="宋体" w:cs="宋体" w:eastAsia="宋体" w:hint="default"/>
                <w:sz w:val="18"/>
                <w:szCs w:val="18"/>
              </w:rPr>
            </w:pPr>
            <w:r>
              <w:rPr>
                <w:rFonts w:ascii="宋体" w:hAnsi="宋体" w:cs="宋体" w:eastAsia="宋体" w:hint="default"/>
                <w:spacing w:val="-1"/>
                <w:sz w:val="18"/>
                <w:szCs w:val="18"/>
              </w:rPr>
              <w:t>（一）不能重分类进损益的其他综</w:t>
            </w:r>
            <w:r>
              <w:rPr>
                <w:rFonts w:ascii="宋体" w:hAnsi="宋体" w:cs="宋体" w:eastAsia="宋体" w:hint="default"/>
                <w:sz w:val="18"/>
                <w:szCs w:val="18"/>
              </w:rPr>
              <w:t> 合收益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24"/>
          <w:pgSz w:w="11910" w:h="16850"/>
          <w:pgMar w:footer="981" w:header="731" w:top="1040" w:bottom="1180" w:left="100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8" w:firstLine="345"/>
              <w:jc w:val="left"/>
              <w:rPr>
                <w:rFonts w:ascii="宋体" w:hAnsi="宋体" w:cs="宋体" w:eastAsia="宋体" w:hint="default"/>
                <w:sz w:val="18"/>
                <w:szCs w:val="18"/>
              </w:rPr>
            </w:pPr>
            <w:r>
              <w:rPr>
                <w:rFonts w:ascii="宋体" w:hAnsi="宋体" w:cs="宋体" w:eastAsia="宋体" w:hint="default"/>
                <w:spacing w:val="-1"/>
                <w:sz w:val="18"/>
                <w:szCs w:val="18"/>
              </w:rPr>
              <w:t>（二）将重分类进损益的其他综合</w:t>
            </w:r>
            <w:r>
              <w:rPr>
                <w:rFonts w:ascii="宋体" w:hAnsi="宋体" w:cs="宋体" w:eastAsia="宋体" w:hint="default"/>
                <w:sz w:val="18"/>
                <w:szCs w:val="18"/>
              </w:rPr>
              <w:t> 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-15,367.18</w:t>
            </w:r>
            <w:r>
              <w:rPr>
                <w:rFonts w:ascii="Times New Roman"/>
                <w:sz w:val="18"/>
              </w:rPr>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-15,367.18</w:t>
            </w:r>
            <w:r>
              <w:rPr>
                <w:rFonts w:ascii="Times New Roman"/>
                <w:sz w:val="18"/>
              </w:rPr>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03"/>
              <w:jc w:val="righ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59"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225,528.70</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1,079,717,772.49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299,428,030.13</w:t>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1,020,167,786.95</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187,376,180.12</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8"/>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59,549,985.54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112,051,850.01</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1.7805</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0.4040</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1.7678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0.4034</w:t>
            </w:r>
          </w:p>
        </w:tc>
      </w:tr>
    </w:tbl>
    <w:p>
      <w:pPr>
        <w:pStyle w:val="BodyText"/>
        <w:spacing w:line="240" w:lineRule="auto" w:before="59"/>
        <w:ind w:right="0"/>
        <w:jc w:val="left"/>
      </w:pPr>
      <w:r>
        <w:rPr/>
        <w:t>本期发生同一控制下企业合并的，被合并方在合并前实现的净利润为：</w:t>
      </w:r>
      <w:r>
        <w:rPr>
          <w:rFonts w:ascii="Times New Roman" w:hAnsi="Times New Roman" w:cs="Times New Roman" w:eastAsia="Times New Roman" w:hint="default"/>
        </w:rPr>
        <w:t>109,579,163.43</w:t>
      </w:r>
      <w:r>
        <w:rPr>
          <w:rFonts w:ascii="Times New Roman" w:hAnsi="Times New Roman" w:cs="Times New Roman" w:eastAsia="Times New Roman" w:hint="default"/>
          <w:spacing w:val="7"/>
        </w:rPr>
        <w:t> </w:t>
      </w:r>
      <w:r>
        <w:rPr/>
        <w:t>元，上期被合并方实现的净利润为：</w:t>
      </w:r>
    </w:p>
    <w:p>
      <w:pPr>
        <w:pStyle w:val="BodyText"/>
        <w:spacing w:line="240" w:lineRule="auto" w:before="66"/>
        <w:ind w:right="1105"/>
        <w:jc w:val="left"/>
      </w:pPr>
      <w:r>
        <w:rPr>
          <w:rFonts w:ascii="Times New Roman" w:hAnsi="Times New Roman" w:cs="Times New Roman" w:eastAsia="Times New Roman" w:hint="default"/>
        </w:rPr>
        <w:t>187,791,806.09</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BodyText"/>
        <w:tabs>
          <w:tab w:pos="3565" w:val="left" w:leader="none"/>
          <w:tab w:pos="7710" w:val="left" w:leader="none"/>
        </w:tabs>
        <w:spacing w:line="240" w:lineRule="auto"/>
        <w:ind w:right="1105"/>
        <w:jc w:val="left"/>
      </w:pPr>
      <w:r>
        <w:rPr/>
        <w:t>法定代表人：郑新标</w:t>
        <w:tab/>
        <w:t>主管会计工作负责人：鲁清芳</w:t>
        <w:tab/>
        <w:t>会计机构负责人：鲁清芳</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1105"/>
        <w:jc w:val="left"/>
        <w:rPr>
          <w:b w:val="0"/>
          <w:bCs w:val="0"/>
        </w:rPr>
      </w:pPr>
      <w:bookmarkStart w:name="4、母公司利润表" w:id="160"/>
      <w:bookmarkEnd w:id="160"/>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1,357,126,261.22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1,001,126,942.53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692,706,298.25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521,198,380.47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8,061,488.27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5,686,467.78</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120,975,189.02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105,672,526.96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168,996,039.23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153,105,034.85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144,242,925.07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108,052,695.08</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-19,304,954.52</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-5,984,951.78</w:t>
            </w:r>
            <w:r>
              <w:rPr>
                <w:rFonts w:ascii="Times New Roman"/>
                <w:sz w:val="18"/>
              </w:rPr>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1,453,947.03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2,015,775.94</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49"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20,942,805.64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8,133,957.45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48,384,570.31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24,483,501.02</w:t>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28,485,023.06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57,204,050.37</w:t>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54" w:firstLine="721"/>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28,485,023.06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49,758,772.35</w:t>
            </w:r>
          </w:p>
        </w:tc>
      </w:tr>
      <w:tr>
        <w:trPr>
          <w:trHeight w:val="103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7" w:right="52" w:firstLine="1081"/>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9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8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-92,529.52</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-12,291,407.50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-2,326,608.57</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-14,847,580.26</w:t>
            </w:r>
            <w:r>
              <w:rPr>
                <w:rFonts w:ascii="Times New Roman"/>
                <w:sz w:val="18"/>
              </w:rPr>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-38,405.49</w:t>
            </w:r>
            <w:r>
              <w:rPr>
                <w:rFonts w:ascii="Times New Roman"/>
                <w:sz w:val="18"/>
              </w:rPr>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303,608,323.68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180,198,354.81</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1,150,790.71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1,064,508.54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692,625.99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1,306,362.34</w:t>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60"/>
              <w:ind w:left="7" w:right="65"/>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304,066,488.40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179,956,501.01</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14,628,612.91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12,684,020.07</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289,437,875.49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167,272,480.94</w:t>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30"/>
              <w:ind w:left="7" w:right="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289,437,875.49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167,272,480.94</w:t>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44"/>
              <w:ind w:left="7" w:right="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53"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59"/>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289,437,875.49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167,272,480.94</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Times New Roman" w:hAnsi="Times New Roman" w:cs="Times New Roman" w:eastAsia="Times New Roman" w:hint="default"/>
          <w:sz w:val="22"/>
          <w:szCs w:val="22"/>
        </w:rPr>
      </w:pPr>
    </w:p>
    <w:p>
      <w:pPr>
        <w:pStyle w:val="Heading3"/>
        <w:spacing w:line="240" w:lineRule="auto" w:before="35"/>
        <w:ind w:right="1105"/>
        <w:jc w:val="left"/>
        <w:rPr>
          <w:b w:val="0"/>
          <w:bCs w:val="0"/>
        </w:rPr>
      </w:pPr>
      <w:bookmarkStart w:name="5、合并现金流量表" w:id="161"/>
      <w:bookmarkEnd w:id="16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2,905,151,757.53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2,733,691,689.14</w:t>
            </w:r>
          </w:p>
        </w:tc>
      </w:tr>
      <w:tr>
        <w:trPr>
          <w:trHeight w:val="72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6,281,071.66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10,728,701.02</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195,587,688.43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77,270,835.72</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3,107,020,517.62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2,821,691,225.88</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1,252,271,790.07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1,895,252,498.96</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815,756,349.09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601,074,723.80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178,488,685.26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101,300,586.94</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300,670,187.51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204,041,698.43</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2,547,187,011.93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2,801,669,508.13</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44"/>
        <w:gridCol w:w="3327"/>
        <w:gridCol w:w="3304"/>
      </w:tblGrid>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559,833,505.69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20,021,717.75</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1,042,410,250.00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3,808,440,000.00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4,283,481.99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14,382,038.18</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8,765,220.54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319,305.00</w:t>
            </w:r>
          </w:p>
        </w:tc>
      </w:tr>
      <w:tr>
        <w:trPr>
          <w:trHeight w:val="7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135,720,849.63</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168,487,842.15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8,865,722.22</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1,223,946,794.68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3,967,727,915.03</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38"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99,847,291.63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40,206,856.00</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738,758,684.00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4,170,690,000.00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38"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624,200.00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8"/>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2,170,890.41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90,100,000.00</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840,776,866.04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4,301,621,056.00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383,169,928.64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-333,893,140.97</w:t>
            </w:r>
            <w:r>
              <w:rPr>
                <w:rFonts w:ascii="Times New Roman"/>
                <w:sz w:val="18"/>
              </w:rPr>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43,986,604.67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730,993,320.00</w:t>
            </w:r>
          </w:p>
        </w:tc>
      </w:tr>
      <w:tr>
        <w:trPr>
          <w:trHeight w:val="7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38"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11,982,250.00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250,050,000.00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186,360,253.00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55,968,854.67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1,167,403,573.00</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400,043,250.00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268,000,000.00</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减少投资支付的现金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1,271,497.60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311,496.00</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38"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39,073,735.46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40,427,640.23</w:t>
            </w:r>
          </w:p>
        </w:tc>
      </w:tr>
      <w:tr>
        <w:trPr>
          <w:trHeight w:val="72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38"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8"/>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8,553,419.92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44,234,987.00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448,941,902.98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352,974,123.23</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-392,973,048.31</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814,429,449.77</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6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157,496.39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517,339.51</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550,187,882.41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501,075,366.06</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1,298,904,541.35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797,829,175.29</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1,849,092,423.76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1,298,904,541.35</w:t>
            </w:r>
          </w:p>
        </w:tc>
      </w:tr>
    </w:tbl>
    <w:p>
      <w:pPr>
        <w:spacing w:line="240" w:lineRule="auto" w:before="7"/>
        <w:rPr>
          <w:rFonts w:ascii="Times New Roman" w:hAnsi="Times New Roman" w:cs="Times New Roman" w:eastAsia="Times New Roman" w:hint="default"/>
          <w:sz w:val="22"/>
          <w:szCs w:val="22"/>
        </w:rPr>
      </w:pPr>
    </w:p>
    <w:p>
      <w:pPr>
        <w:pStyle w:val="Heading3"/>
        <w:spacing w:line="240" w:lineRule="auto" w:before="35"/>
        <w:ind w:right="1105"/>
        <w:jc w:val="left"/>
        <w:rPr>
          <w:b w:val="0"/>
          <w:bCs w:val="0"/>
        </w:rPr>
      </w:pPr>
      <w:bookmarkStart w:name="6、母公司现金流量表" w:id="162"/>
      <w:bookmarkEnd w:id="16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44"/>
        <w:gridCol w:w="3327"/>
        <w:gridCol w:w="3304"/>
      </w:tblGrid>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8"/>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1,092,400,267.55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835,057,370.31</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6,167,855.65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6,764,101.02</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102,964,312.29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53,899,739.49</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1,201,532,435.49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895,721,210.82</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8"/>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315,228,071.61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258,264,679.26</w:t>
            </w:r>
          </w:p>
        </w:tc>
      </w:tr>
      <w:tr>
        <w:trPr>
          <w:trHeight w:val="7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406,251,181.73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362,588,069.02</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81,264,290.07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66,021,571.65</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194,363,126.71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137,441,543.66</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997,106,670.12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824,315,863.59</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204,425,765.37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71,405,347.23</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437,506,083.49</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7,445,278.02</w:t>
            </w:r>
          </w:p>
        </w:tc>
      </w:tr>
      <w:tr>
        <w:trPr>
          <w:trHeight w:val="7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45,705.00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303,445.00</w:t>
            </w:r>
          </w:p>
        </w:tc>
      </w:tr>
      <w:tr>
        <w:trPr>
          <w:trHeight w:val="72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215,762,338.79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10,100,000.00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215,808,043.79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455,354,806.51</w:t>
            </w:r>
          </w:p>
        </w:tc>
      </w:tr>
      <w:tr>
        <w:trPr>
          <w:trHeight w:val="7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38"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33,297,578.79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12,787,446.14</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86,100,000.00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469,296,999.00</w:t>
            </w:r>
          </w:p>
        </w:tc>
      </w:tr>
      <w:tr>
        <w:trPr>
          <w:trHeight w:val="7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38"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405,601,000.00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81,600,000.00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524,998,578.79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563,684,445.14</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-309,190,535.00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-108,329,638.63</w:t>
            </w:r>
            <w:r>
              <w:rPr>
                <w:rFonts w:ascii="Times New Roman"/>
                <w:sz w:val="18"/>
              </w:rPr>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26,975,603.67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102,743,320.00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9,989,000.00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110,050,000.00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10,000,000.00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46,964,603.67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212,793,320.00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115,050,000.00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减少投资支付的现金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1,271,497.60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311,496.00</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47"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36,586,495.51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23,100,096.80</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10,000,000.00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162,907,993.11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23,411,592.80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-115,943,389.44</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189,381,727.20</w:t>
            </w:r>
          </w:p>
        </w:tc>
      </w:tr>
      <w:tr>
        <w:trPr>
          <w:trHeight w:val="72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46"/>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-220,708,159.07</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152,457,435.80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796,679,066.25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644,221,630.45</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575,970,907.18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796,679,066.25</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7、合并所有者权益变动表" w:id="163"/>
      <w:bookmarkEnd w:id="16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right="1105"/>
        <w:jc w:val="left"/>
      </w:pPr>
      <w:r>
        <w:rPr/>
        <w:t>本期金额</w:t>
      </w:r>
    </w:p>
    <w:p>
      <w:pPr>
        <w:pStyle w:val="BodyText"/>
        <w:spacing w:line="240" w:lineRule="auto" w:before="110"/>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69"/>
        <w:gridCol w:w="473"/>
        <w:gridCol w:w="465"/>
        <w:gridCol w:w="481"/>
        <w:gridCol w:w="466"/>
        <w:gridCol w:w="585"/>
        <w:gridCol w:w="586"/>
        <w:gridCol w:w="586"/>
        <w:gridCol w:w="571"/>
        <w:gridCol w:w="585"/>
        <w:gridCol w:w="586"/>
        <w:gridCol w:w="586"/>
        <w:gridCol w:w="586"/>
        <w:gridCol w:w="586"/>
        <w:gridCol w:w="586"/>
        <w:gridCol w:w="586"/>
      </w:tblGrid>
      <w:tr>
        <w:trPr>
          <w:trHeight w:val="405" w:hRule="exact"/>
        </w:trPr>
        <w:tc>
          <w:tcPr>
            <w:tcW w:w="1269" w:type="dxa"/>
            <w:vMerge w:val="restart"/>
            <w:tcBorders>
              <w:top w:val="single" w:sz="6" w:space="0" w:color="000000"/>
              <w:left w:val="single" w:sz="6" w:space="0" w:color="000000"/>
              <w:right w:val="single" w:sz="6" w:space="0" w:color="000000"/>
            </w:tcBorders>
            <w:shd w:val="clear" w:color="auto" w:fill="D2D2D2"/>
          </w:tcPr>
          <w:p>
            <w:pPr/>
          </w:p>
        </w:tc>
        <w:tc>
          <w:tcPr>
            <w:tcW w:w="8313"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98" w:hRule="exact"/>
        </w:trPr>
        <w:tc>
          <w:tcPr>
            <w:tcW w:w="1269" w:type="dxa"/>
            <w:vMerge/>
            <w:tcBorders>
              <w:left w:val="single" w:sz="6" w:space="0" w:color="000000"/>
              <w:right w:val="single" w:sz="6" w:space="0" w:color="000000"/>
            </w:tcBorders>
            <w:shd w:val="clear" w:color="auto" w:fill="D2D2D2"/>
          </w:tcPr>
          <w:p>
            <w:pPr/>
          </w:p>
        </w:tc>
        <w:tc>
          <w:tcPr>
            <w:tcW w:w="7142" w:type="dxa"/>
            <w:gridSpan w:val="1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23"/>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50" w:hRule="exact"/>
        </w:trPr>
        <w:tc>
          <w:tcPr>
            <w:tcW w:w="1269" w:type="dxa"/>
            <w:vMerge/>
            <w:tcBorders>
              <w:left w:val="single" w:sz="6" w:space="0" w:color="000000"/>
              <w:right w:val="single" w:sz="6" w:space="0" w:color="000000"/>
            </w:tcBorders>
            <w:shd w:val="clear" w:color="auto" w:fill="D2D2D2"/>
          </w:tcPr>
          <w:p>
            <w:pPr/>
          </w:p>
        </w:tc>
        <w:tc>
          <w:tcPr>
            <w:tcW w:w="7142" w:type="dxa"/>
            <w:gridSpan w:val="13"/>
            <w:vMerge/>
            <w:tcBorders>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5"/>
              <w:ind w:left="90" w:right="118"/>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8" w:hRule="exact"/>
        </w:trPr>
        <w:tc>
          <w:tcPr>
            <w:tcW w:w="1269" w:type="dxa"/>
            <w:vMerge/>
            <w:tcBorders>
              <w:left w:val="single" w:sz="6" w:space="0" w:color="000000"/>
              <w:bottom w:val="single" w:sz="6" w:space="0" w:color="FFFFFF"/>
              <w:right w:val="single" w:sz="6" w:space="0" w:color="000000"/>
            </w:tcBorders>
            <w:shd w:val="clear" w:color="auto" w:fill="D2D2D2"/>
          </w:tcPr>
          <w:p>
            <w:pPr/>
          </w:p>
        </w:tc>
        <w:tc>
          <w:tcPr>
            <w:tcW w:w="7142" w:type="dxa"/>
            <w:gridSpan w:val="13"/>
            <w:vMerge/>
            <w:tcBorders>
              <w:left w:val="single" w:sz="6" w:space="0" w:color="000000"/>
              <w:bottom w:val="single" w:sz="6" w:space="0" w:color="FFFFFF"/>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105"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86" w:type="dxa"/>
            <w:vMerge/>
            <w:tcBorders>
              <w:left w:val="single" w:sz="6" w:space="0" w:color="000000"/>
              <w:right w:val="single" w:sz="6" w:space="0" w:color="000000"/>
            </w:tcBorders>
            <w:shd w:val="clear" w:color="auto" w:fill="D2D2D2"/>
          </w:tcPr>
          <w:p>
            <w:pPr/>
          </w:p>
        </w:tc>
      </w:tr>
      <w:tr>
        <w:trPr>
          <w:trHeight w:val="203" w:hRule="exact"/>
        </w:trPr>
        <w:tc>
          <w:tcPr>
            <w:tcW w:w="1269" w:type="dxa"/>
            <w:vMerge w:val="restart"/>
            <w:tcBorders>
              <w:top w:val="single" w:sz="6" w:space="0" w:color="FFFFFF"/>
              <w:left w:val="single" w:sz="6" w:space="0" w:color="000000"/>
              <w:right w:val="single" w:sz="6" w:space="0" w:color="000000"/>
            </w:tcBorders>
            <w:shd w:val="clear" w:color="auto" w:fill="D2D2D2"/>
          </w:tcPr>
          <w:p>
            <w:pPr>
              <w:pStyle w:val="TableParagraph"/>
              <w:spacing w:line="235" w:lineRule="exact"/>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473" w:type="dxa"/>
            <w:vMerge w:val="restart"/>
            <w:tcBorders>
              <w:top w:val="single" w:sz="6" w:space="0" w:color="FFFFFF"/>
              <w:left w:val="single" w:sz="6" w:space="0" w:color="000000"/>
              <w:right w:val="single" w:sz="6" w:space="0" w:color="000000"/>
            </w:tcBorders>
            <w:shd w:val="clear" w:color="auto" w:fill="D2D2D2"/>
          </w:tcPr>
          <w:p>
            <w:pPr/>
          </w:p>
        </w:tc>
        <w:tc>
          <w:tcPr>
            <w:tcW w:w="1412" w:type="dxa"/>
            <w:gridSpan w:val="3"/>
            <w:vMerge w:val="restart"/>
            <w:tcBorders>
              <w:top w:val="single" w:sz="6" w:space="0" w:color="FFFFFF"/>
              <w:left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5" w:type="dxa"/>
            <w:tcBorders>
              <w:top w:val="single" w:sz="6" w:space="0" w:color="FFFFFF"/>
              <w:left w:val="single" w:sz="6" w:space="0" w:color="000000"/>
              <w:bottom w:val="nil" w:sz="6" w:space="0" w:color="auto"/>
              <w:right w:val="single" w:sz="6" w:space="0" w:color="000000"/>
            </w:tcBorders>
            <w:shd w:val="clear" w:color="auto" w:fill="D2D2D2"/>
          </w:tcPr>
          <w:p>
            <w:pPr/>
          </w:p>
        </w:tc>
        <w:tc>
          <w:tcPr>
            <w:tcW w:w="586" w:type="dxa"/>
            <w:tcBorders>
              <w:top w:val="single" w:sz="6" w:space="0" w:color="FFFFFF"/>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FFFFFF"/>
              <w:left w:val="single" w:sz="6" w:space="0" w:color="000000"/>
              <w:right w:val="single" w:sz="6" w:space="0" w:color="000000"/>
            </w:tcBorders>
            <w:shd w:val="clear" w:color="auto" w:fill="D2D2D2"/>
          </w:tcPr>
          <w:p>
            <w:pPr>
              <w:pStyle w:val="TableParagraph"/>
              <w:spacing w:line="314" w:lineRule="auto" w:before="89"/>
              <w:ind w:left="90" w:right="118"/>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1" w:type="dxa"/>
            <w:tcBorders>
              <w:top w:val="single" w:sz="6" w:space="0" w:color="FFFFFF"/>
              <w:left w:val="single" w:sz="6" w:space="0" w:color="000000"/>
              <w:bottom w:val="nil" w:sz="6" w:space="0" w:color="auto"/>
              <w:right w:val="single" w:sz="6" w:space="0" w:color="000000"/>
            </w:tcBorders>
            <w:shd w:val="clear" w:color="auto" w:fill="D2D2D2"/>
          </w:tcPr>
          <w:p>
            <w:pPr/>
          </w:p>
        </w:tc>
        <w:tc>
          <w:tcPr>
            <w:tcW w:w="585" w:type="dxa"/>
            <w:tcBorders>
              <w:top w:val="single" w:sz="6" w:space="0" w:color="FFFFFF"/>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FFFFFF"/>
              <w:left w:val="single" w:sz="6" w:space="0" w:color="000000"/>
              <w:right w:val="single" w:sz="6" w:space="0" w:color="000000"/>
            </w:tcBorders>
            <w:shd w:val="clear" w:color="auto" w:fill="D2D2D2"/>
          </w:tcPr>
          <w:p>
            <w:pPr>
              <w:pStyle w:val="TableParagraph"/>
              <w:spacing w:line="314" w:lineRule="auto" w:before="89"/>
              <w:ind w:left="105"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6" w:space="0" w:color="FFFFFF"/>
              <w:left w:val="single" w:sz="6" w:space="0" w:color="000000"/>
              <w:right w:val="single" w:sz="6" w:space="0" w:color="000000"/>
            </w:tcBorders>
            <w:shd w:val="clear" w:color="auto" w:fill="D2D2D2"/>
          </w:tcPr>
          <w:p>
            <w:pPr>
              <w:pStyle w:val="TableParagraph"/>
              <w:spacing w:line="314" w:lineRule="auto" w:before="89"/>
              <w:ind w:left="105"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6" w:type="dxa"/>
            <w:vMerge w:val="restart"/>
            <w:tcBorders>
              <w:top w:val="single" w:sz="6" w:space="0" w:color="FFFFFF"/>
              <w:left w:val="single" w:sz="6" w:space="0" w:color="000000"/>
              <w:right w:val="single" w:sz="6" w:space="0" w:color="000000"/>
            </w:tcBorders>
            <w:shd w:val="clear" w:color="auto" w:fill="D2D2D2"/>
          </w:tcPr>
          <w:p>
            <w:pPr/>
          </w:p>
        </w:tc>
        <w:tc>
          <w:tcPr>
            <w:tcW w:w="586" w:type="dxa"/>
            <w:vMerge w:val="restart"/>
            <w:tcBorders>
              <w:top w:val="single" w:sz="6" w:space="0" w:color="FFFFFF"/>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72" w:hRule="exact"/>
        </w:trPr>
        <w:tc>
          <w:tcPr>
            <w:tcW w:w="1269" w:type="dxa"/>
            <w:vMerge/>
            <w:tcBorders>
              <w:left w:val="single" w:sz="6" w:space="0" w:color="000000"/>
              <w:bottom w:val="nil" w:sz="6" w:space="0" w:color="auto"/>
              <w:right w:val="single" w:sz="6" w:space="0" w:color="000000"/>
            </w:tcBorders>
            <w:shd w:val="clear" w:color="auto" w:fill="D2D2D2"/>
          </w:tcPr>
          <w:p>
            <w:pPr/>
          </w:p>
        </w:tc>
        <w:tc>
          <w:tcPr>
            <w:tcW w:w="473" w:type="dxa"/>
            <w:vMerge/>
            <w:tcBorders>
              <w:left w:val="single" w:sz="6" w:space="0" w:color="000000"/>
              <w:bottom w:val="nil" w:sz="6" w:space="0" w:color="auto"/>
              <w:right w:val="single" w:sz="6" w:space="0" w:color="000000"/>
            </w:tcBorders>
            <w:shd w:val="clear" w:color="auto" w:fill="D2D2D2"/>
          </w:tcPr>
          <w:p>
            <w:pPr/>
          </w:p>
        </w:tc>
        <w:tc>
          <w:tcPr>
            <w:tcW w:w="1412" w:type="dxa"/>
            <w:gridSpan w:val="3"/>
            <w:vMerge/>
            <w:tcBorders>
              <w:left w:val="single" w:sz="6" w:space="0" w:color="000000"/>
              <w:bottom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89" w:right="118"/>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90" w:right="28" w:hanging="75"/>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z w:val="18"/>
                <w:szCs w:val="18"/>
              </w:rPr>
              <w:t> 存股</w:t>
            </w: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90"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104"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383" w:hRule="exact"/>
        </w:trPr>
        <w:tc>
          <w:tcPr>
            <w:tcW w:w="1269" w:type="dxa"/>
            <w:vMerge w:val="restart"/>
            <w:tcBorders>
              <w:top w:val="nil" w:sz="6" w:space="0" w:color="auto"/>
              <w:left w:val="single" w:sz="6" w:space="0" w:color="000000"/>
              <w:right w:val="single" w:sz="6" w:space="0" w:color="000000"/>
            </w:tcBorders>
            <w:shd w:val="clear" w:color="auto" w:fill="D2D2D2"/>
          </w:tcPr>
          <w:p>
            <w:pPr/>
          </w:p>
        </w:tc>
        <w:tc>
          <w:tcPr>
            <w:tcW w:w="47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3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5"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75"/>
              <w:ind w:left="135" w:right="43" w:hanging="91"/>
              <w:jc w:val="left"/>
              <w:rPr>
                <w:rFonts w:ascii="宋体" w:hAnsi="宋体" w:cs="宋体" w:eastAsia="宋体" w:hint="default"/>
                <w:sz w:val="18"/>
                <w:szCs w:val="18"/>
              </w:rPr>
            </w:pPr>
            <w:r>
              <w:rPr>
                <w:rFonts w:ascii="宋体" w:hAnsi="宋体" w:cs="宋体" w:eastAsia="宋体" w:hint="default"/>
                <w:sz w:val="18"/>
                <w:szCs w:val="18"/>
              </w:rPr>
              <w:t>优先 股</w:t>
            </w:r>
          </w:p>
        </w:tc>
        <w:tc>
          <w:tcPr>
            <w:tcW w:w="481"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75"/>
              <w:ind w:left="135" w:right="60" w:hanging="91"/>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5"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28" w:hRule="exact"/>
        </w:trPr>
        <w:tc>
          <w:tcPr>
            <w:tcW w:w="1269" w:type="dxa"/>
            <w:vMerge/>
            <w:tcBorders>
              <w:left w:val="single" w:sz="6" w:space="0" w:color="000000"/>
              <w:right w:val="single" w:sz="6" w:space="0" w:color="000000"/>
            </w:tcBorders>
            <w:shd w:val="clear" w:color="auto" w:fill="D2D2D2"/>
          </w:tcPr>
          <w:p>
            <w:pPr/>
          </w:p>
        </w:tc>
        <w:tc>
          <w:tcPr>
            <w:tcW w:w="473" w:type="dxa"/>
            <w:vMerge w:val="restart"/>
            <w:tcBorders>
              <w:top w:val="nil" w:sz="6" w:space="0" w:color="auto"/>
              <w:left w:val="single" w:sz="6" w:space="0" w:color="000000"/>
              <w:right w:val="single" w:sz="6" w:space="0" w:color="000000"/>
            </w:tcBorders>
            <w:shd w:val="clear" w:color="auto" w:fill="D2D2D2"/>
          </w:tcPr>
          <w:p>
            <w:pPr/>
          </w:p>
        </w:tc>
        <w:tc>
          <w:tcPr>
            <w:tcW w:w="465"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6" w:type="dxa"/>
            <w:vMerge/>
            <w:tcBorders>
              <w:left w:val="single" w:sz="6" w:space="0" w:color="000000"/>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16" w:hRule="exact"/>
        </w:trPr>
        <w:tc>
          <w:tcPr>
            <w:tcW w:w="1269" w:type="dxa"/>
            <w:vMerge/>
            <w:tcBorders>
              <w:left w:val="single" w:sz="6" w:space="0" w:color="000000"/>
              <w:right w:val="single" w:sz="6" w:space="0" w:color="000000"/>
            </w:tcBorders>
            <w:shd w:val="clear" w:color="auto" w:fill="D2D2D2"/>
          </w:tcPr>
          <w:p>
            <w:pPr/>
          </w:p>
        </w:tc>
        <w:tc>
          <w:tcPr>
            <w:tcW w:w="473" w:type="dxa"/>
            <w:vMerge/>
            <w:tcBorders>
              <w:left w:val="single" w:sz="6" w:space="0" w:color="000000"/>
              <w:right w:val="single" w:sz="6" w:space="0" w:color="000000"/>
            </w:tcBorders>
            <w:shd w:val="clear" w:color="auto" w:fill="D2D2D2"/>
          </w:tcPr>
          <w:p>
            <w:pPr/>
          </w:p>
        </w:tc>
        <w:tc>
          <w:tcPr>
            <w:tcW w:w="465"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6" w:type="dxa"/>
            <w:vMerge/>
            <w:tcBorders>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r>
      <w:tr>
        <w:trPr>
          <w:trHeight w:val="98" w:hRule="exact"/>
        </w:trPr>
        <w:tc>
          <w:tcPr>
            <w:tcW w:w="1269" w:type="dxa"/>
            <w:vMerge/>
            <w:tcBorders>
              <w:left w:val="single" w:sz="6" w:space="0" w:color="000000"/>
              <w:bottom w:val="single" w:sz="6" w:space="0" w:color="000000"/>
              <w:right w:val="single" w:sz="6" w:space="0" w:color="000000"/>
            </w:tcBorders>
            <w:shd w:val="clear" w:color="auto" w:fill="D2D2D2"/>
          </w:tcPr>
          <w:p>
            <w:pPr/>
          </w:p>
        </w:tc>
        <w:tc>
          <w:tcPr>
            <w:tcW w:w="473" w:type="dxa"/>
            <w:vMerge/>
            <w:tcBorders>
              <w:left w:val="single" w:sz="6" w:space="0" w:color="000000"/>
              <w:bottom w:val="single" w:sz="6" w:space="0" w:color="000000"/>
              <w:right w:val="single" w:sz="6" w:space="0" w:color="000000"/>
            </w:tcBorders>
            <w:shd w:val="clear" w:color="auto" w:fill="D2D2D2"/>
          </w:tcPr>
          <w:p>
            <w:pPr/>
          </w:p>
        </w:tc>
        <w:tc>
          <w:tcPr>
            <w:tcW w:w="465" w:type="dxa"/>
            <w:vMerge/>
            <w:tcBorders>
              <w:left w:val="single" w:sz="6" w:space="0" w:color="000000"/>
              <w:bottom w:val="single" w:sz="6" w:space="0" w:color="000000"/>
              <w:right w:val="single" w:sz="6" w:space="0" w:color="000000"/>
            </w:tcBorders>
            <w:shd w:val="clear" w:color="auto" w:fill="D2D2D2"/>
          </w:tcPr>
          <w:p>
            <w:pPr/>
          </w:p>
        </w:tc>
        <w:tc>
          <w:tcPr>
            <w:tcW w:w="481" w:type="dxa"/>
            <w:vMerge/>
            <w:tcBorders>
              <w:left w:val="single" w:sz="6" w:space="0" w:color="000000"/>
              <w:bottom w:val="single" w:sz="6" w:space="0" w:color="000000"/>
              <w:right w:val="single" w:sz="6" w:space="0" w:color="000000"/>
            </w:tcBorders>
            <w:shd w:val="clear" w:color="auto" w:fill="D2D2D2"/>
          </w:tcPr>
          <w:p>
            <w:pPr/>
          </w:p>
        </w:tc>
        <w:tc>
          <w:tcPr>
            <w:tcW w:w="466" w:type="dxa"/>
            <w:vMerge/>
            <w:tcBorders>
              <w:left w:val="single" w:sz="6" w:space="0" w:color="000000"/>
              <w:bottom w:val="single" w:sz="6" w:space="0" w:color="000000"/>
              <w:right w:val="single" w:sz="6" w:space="0" w:color="000000"/>
            </w:tcBorders>
            <w:shd w:val="clear" w:color="auto" w:fill="D2D2D2"/>
          </w:tcPr>
          <w:p>
            <w:pPr/>
          </w:p>
        </w:tc>
        <w:tc>
          <w:tcPr>
            <w:tcW w:w="585"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85"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72" w:hRule="exact"/>
        </w:trPr>
        <w:tc>
          <w:tcPr>
            <w:tcW w:w="1269" w:type="dxa"/>
            <w:tcBorders>
              <w:top w:val="single" w:sz="6" w:space="0" w:color="000000"/>
              <w:left w:val="single" w:sz="6" w:space="0" w:color="000000"/>
              <w:bottom w:val="nil" w:sz="6" w:space="0" w:color="auto"/>
              <w:right w:val="single" w:sz="6" w:space="0" w:color="000000"/>
            </w:tcBorders>
            <w:shd w:val="clear" w:color="auto" w:fill="D2D2D2"/>
          </w:tcPr>
          <w:p>
            <w:pPr/>
          </w:p>
        </w:tc>
        <w:tc>
          <w:tcPr>
            <w:tcW w:w="473" w:type="dxa"/>
            <w:vMerge w:val="restart"/>
            <w:tcBorders>
              <w:top w:val="single" w:sz="6" w:space="0" w:color="000000"/>
              <w:left w:val="single" w:sz="12" w:space="0" w:color="D2D2D2"/>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429,2</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20,30</w:t>
            </w:r>
          </w:p>
          <w:p>
            <w:pPr>
              <w:pStyle w:val="TableParagraph"/>
              <w:spacing w:line="240" w:lineRule="auto" w:before="93"/>
              <w:ind w:left="120" w:right="0"/>
              <w:jc w:val="left"/>
              <w:rPr>
                <w:rFonts w:ascii="Times New Roman" w:hAnsi="Times New Roman" w:cs="Times New Roman" w:eastAsia="Times New Roman" w:hint="default"/>
                <w:sz w:val="18"/>
                <w:szCs w:val="18"/>
              </w:rPr>
            </w:pPr>
            <w:r>
              <w:rPr>
                <w:rFonts w:ascii="Times New Roman"/>
                <w:sz w:val="18"/>
              </w:rPr>
              <w:t>0.00</w:t>
            </w:r>
          </w:p>
        </w:tc>
        <w:tc>
          <w:tcPr>
            <w:tcW w:w="465" w:type="dxa"/>
            <w:vMerge w:val="restart"/>
            <w:tcBorders>
              <w:top w:val="single" w:sz="6" w:space="0" w:color="000000"/>
              <w:left w:val="single" w:sz="6" w:space="0" w:color="000000"/>
              <w:right w:val="single" w:sz="6" w:space="0" w:color="000000"/>
            </w:tcBorders>
          </w:tcPr>
          <w:p>
            <w:pPr/>
          </w:p>
        </w:tc>
        <w:tc>
          <w:tcPr>
            <w:tcW w:w="481" w:type="dxa"/>
            <w:vMerge w:val="restart"/>
            <w:tcBorders>
              <w:top w:val="single" w:sz="6" w:space="0" w:color="000000"/>
              <w:left w:val="single" w:sz="6" w:space="0" w:color="000000"/>
              <w:right w:val="single" w:sz="6" w:space="0" w:color="000000"/>
            </w:tcBorders>
          </w:tcPr>
          <w:p>
            <w:pPr/>
          </w:p>
        </w:tc>
        <w:tc>
          <w:tcPr>
            <w:tcW w:w="466"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left="44" w:right="0"/>
              <w:jc w:val="left"/>
              <w:rPr>
                <w:rFonts w:ascii="Times New Roman" w:hAnsi="Times New Roman" w:cs="Times New Roman" w:eastAsia="Times New Roman" w:hint="default"/>
                <w:sz w:val="18"/>
                <w:szCs w:val="18"/>
              </w:rPr>
            </w:pPr>
            <w:r>
              <w:rPr>
                <w:rFonts w:ascii="Times New Roman"/>
                <w:sz w:val="18"/>
              </w:rPr>
              <w:t>600,75</w:t>
            </w:r>
          </w:p>
          <w:p>
            <w:pPr>
              <w:pStyle w:val="TableParagraph"/>
              <w:spacing w:line="240" w:lineRule="auto" w:before="108"/>
              <w:ind w:left="89" w:right="0"/>
              <w:jc w:val="left"/>
              <w:rPr>
                <w:rFonts w:ascii="Times New Roman" w:hAnsi="Times New Roman" w:cs="Times New Roman" w:eastAsia="Times New Roman" w:hint="default"/>
                <w:sz w:val="18"/>
                <w:szCs w:val="18"/>
              </w:rPr>
            </w:pPr>
            <w:r>
              <w:rPr>
                <w:rFonts w:ascii="Times New Roman"/>
                <w:sz w:val="18"/>
              </w:rPr>
              <w:t>9,686.</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63</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224,60</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3,670.</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16</w:t>
            </w:r>
          </w:p>
        </w:tc>
        <w:tc>
          <w:tcPr>
            <w:tcW w:w="586" w:type="dxa"/>
            <w:vMerge w:val="restart"/>
            <w:tcBorders>
              <w:top w:val="single" w:sz="24" w:space="0" w:color="D2D2D2"/>
              <w:left w:val="single" w:sz="6" w:space="0" w:color="000000"/>
              <w:right w:val="single" w:sz="6" w:space="0" w:color="000000"/>
            </w:tcBorders>
          </w:tcPr>
          <w:p>
            <w:pPr/>
          </w:p>
        </w:tc>
        <w:tc>
          <w:tcPr>
            <w:tcW w:w="571"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77,272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,995.5</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w:t>
            </w:r>
          </w:p>
        </w:tc>
        <w:tc>
          <w:tcPr>
            <w:tcW w:w="586" w:type="dxa"/>
            <w:vMerge w:val="restart"/>
            <w:tcBorders>
              <w:top w:val="single" w:sz="24" w:space="0" w:color="D2D2D2"/>
              <w:left w:val="single" w:sz="6" w:space="0" w:color="000000"/>
              <w:right w:val="single" w:sz="6" w:space="0" w:color="000000"/>
            </w:tcBorders>
          </w:tcPr>
          <w:p>
            <w:pPr/>
          </w:p>
        </w:tc>
        <w:tc>
          <w:tcPr>
            <w:tcW w:w="586" w:type="dxa"/>
            <w:vMerge w:val="restart"/>
            <w:tcBorders>
              <w:top w:val="single" w:sz="24" w:space="0" w:color="D2D2D2"/>
              <w:left w:val="single" w:sz="6" w:space="0" w:color="000000"/>
              <w:right w:val="single" w:sz="6"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477,68</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7,985.</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93</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1,360,</w:t>
            </w:r>
          </w:p>
          <w:p>
            <w:pPr>
              <w:pStyle w:val="TableParagraph"/>
              <w:spacing w:line="240" w:lineRule="auto" w:before="108"/>
              <w:ind w:left="45" w:right="0"/>
              <w:jc w:val="center"/>
              <w:rPr>
                <w:rFonts w:ascii="Times New Roman" w:hAnsi="Times New Roman" w:cs="Times New Roman" w:eastAsia="Times New Roman" w:hint="default"/>
                <w:sz w:val="18"/>
                <w:szCs w:val="18"/>
              </w:rPr>
            </w:pPr>
            <w:r>
              <w:rPr>
                <w:rFonts w:ascii="Times New Roman"/>
                <w:sz w:val="18"/>
              </w:rPr>
              <w:t>337,29</w:t>
            </w:r>
          </w:p>
          <w:p>
            <w:pPr>
              <w:pStyle w:val="TableParagraph"/>
              <w:spacing w:line="240" w:lineRule="auto" w:before="93"/>
              <w:ind w:left="225" w:right="0"/>
              <w:jc w:val="center"/>
              <w:rPr>
                <w:rFonts w:ascii="Times New Roman" w:hAnsi="Times New Roman" w:cs="Times New Roman" w:eastAsia="Times New Roman" w:hint="default"/>
                <w:sz w:val="18"/>
                <w:szCs w:val="18"/>
              </w:rPr>
            </w:pPr>
            <w:r>
              <w:rPr>
                <w:rFonts w:ascii="Times New Roman"/>
                <w:sz w:val="18"/>
              </w:rPr>
              <w:t>7.93</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-4,967,</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302.28</w:t>
            </w:r>
          </w:p>
        </w:tc>
        <w:tc>
          <w:tcPr>
            <w:tcW w:w="586" w:type="dxa"/>
            <w:vMerge w:val="restart"/>
            <w:tcBorders>
              <w:top w:val="single" w:sz="42" w:space="0" w:color="D2D2D2"/>
              <w:left w:val="single" w:sz="6" w:space="0" w:color="000000"/>
              <w:right w:val="single" w:sz="6" w:space="0" w:color="000000"/>
            </w:tcBorders>
          </w:tcPr>
          <w:p>
            <w:pPr>
              <w:pStyle w:val="TableParagraph"/>
              <w:spacing w:line="240" w:lineRule="auto" w:before="56"/>
              <w:ind w:left="60" w:right="0"/>
              <w:jc w:val="center"/>
              <w:rPr>
                <w:rFonts w:ascii="Times New Roman" w:hAnsi="Times New Roman" w:cs="Times New Roman" w:eastAsia="Times New Roman" w:hint="default"/>
                <w:sz w:val="18"/>
                <w:szCs w:val="18"/>
              </w:rPr>
            </w:pPr>
            <w:r>
              <w:rPr>
                <w:rFonts w:ascii="Times New Roman"/>
                <w:sz w:val="18"/>
              </w:rPr>
              <w:t>1,355,</w:t>
            </w:r>
          </w:p>
          <w:p>
            <w:pPr>
              <w:pStyle w:val="TableParagraph"/>
              <w:spacing w:line="240" w:lineRule="auto" w:before="108"/>
              <w:ind w:left="14" w:right="0"/>
              <w:jc w:val="center"/>
              <w:rPr>
                <w:rFonts w:ascii="Times New Roman" w:hAnsi="Times New Roman" w:cs="Times New Roman" w:eastAsia="Times New Roman" w:hint="default"/>
                <w:sz w:val="18"/>
                <w:szCs w:val="18"/>
              </w:rPr>
            </w:pPr>
            <w:r>
              <w:rPr>
                <w:rFonts w:ascii="Times New Roman"/>
                <w:sz w:val="18"/>
              </w:rPr>
              <w:t>369,99</w:t>
            </w:r>
          </w:p>
          <w:p>
            <w:pPr>
              <w:pStyle w:val="TableParagraph"/>
              <w:spacing w:line="240" w:lineRule="auto" w:before="93"/>
              <w:ind w:left="195" w:right="0"/>
              <w:jc w:val="center"/>
              <w:rPr>
                <w:rFonts w:ascii="Times New Roman" w:hAnsi="Times New Roman" w:cs="Times New Roman" w:eastAsia="Times New Roman" w:hint="default"/>
                <w:sz w:val="18"/>
                <w:szCs w:val="18"/>
              </w:rPr>
            </w:pPr>
            <w:r>
              <w:rPr>
                <w:rFonts w:ascii="Times New Roman"/>
                <w:sz w:val="18"/>
              </w:rPr>
              <w:t>5.65</w:t>
            </w:r>
          </w:p>
        </w:tc>
      </w:tr>
      <w:tr>
        <w:trPr>
          <w:trHeight w:val="690" w:hRule="exact"/>
        </w:trPr>
        <w:tc>
          <w:tcPr>
            <w:tcW w:w="126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07" w:lineRule="auto" w:before="45"/>
              <w:ind w:left="15" w:right="36"/>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73" w:type="dxa"/>
            <w:vMerge/>
            <w:tcBorders>
              <w:left w:val="single" w:sz="12" w:space="0" w:color="D2D2D2"/>
              <w:right w:val="single" w:sz="6" w:space="0" w:color="000000"/>
            </w:tcBorders>
          </w:tcPr>
          <w:p>
            <w:pPr/>
          </w:p>
        </w:tc>
        <w:tc>
          <w:tcPr>
            <w:tcW w:w="465" w:type="dxa"/>
            <w:vMerge/>
            <w:tcBorders>
              <w:left w:val="single" w:sz="6" w:space="0" w:color="000000"/>
              <w:right w:val="single" w:sz="6" w:space="0" w:color="000000"/>
            </w:tcBorders>
          </w:tcPr>
          <w:p>
            <w:pPr/>
          </w:p>
        </w:tc>
        <w:tc>
          <w:tcPr>
            <w:tcW w:w="481" w:type="dxa"/>
            <w:vMerge/>
            <w:tcBorders>
              <w:left w:val="single" w:sz="6" w:space="0" w:color="000000"/>
              <w:right w:val="single" w:sz="6" w:space="0" w:color="000000"/>
            </w:tcBorders>
          </w:tcPr>
          <w:p>
            <w:pPr/>
          </w:p>
        </w:tc>
        <w:tc>
          <w:tcPr>
            <w:tcW w:w="466"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r>
      <w:tr>
        <w:trPr>
          <w:trHeight w:val="173" w:hRule="exact"/>
        </w:trPr>
        <w:tc>
          <w:tcPr>
            <w:tcW w:w="1269" w:type="dxa"/>
            <w:tcBorders>
              <w:top w:val="nil" w:sz="6" w:space="0" w:color="auto"/>
              <w:left w:val="single" w:sz="6" w:space="0" w:color="000000"/>
              <w:bottom w:val="single" w:sz="6" w:space="0" w:color="000000"/>
              <w:right w:val="single" w:sz="6" w:space="0" w:color="000000"/>
            </w:tcBorders>
            <w:shd w:val="clear" w:color="auto" w:fill="D2D2D2"/>
          </w:tcPr>
          <w:p>
            <w:pPr/>
          </w:p>
        </w:tc>
        <w:tc>
          <w:tcPr>
            <w:tcW w:w="473" w:type="dxa"/>
            <w:vMerge/>
            <w:tcBorders>
              <w:left w:val="single" w:sz="12" w:space="0" w:color="D2D2D2"/>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1" w:type="dxa"/>
            <w:vMerge/>
            <w:tcBorders>
              <w:left w:val="single" w:sz="6" w:space="0" w:color="000000"/>
              <w:bottom w:val="single" w:sz="6" w:space="0" w:color="000000"/>
              <w:right w:val="single" w:sz="6" w:space="0" w:color="000000"/>
            </w:tcBorders>
          </w:tcPr>
          <w:p>
            <w:pPr/>
          </w:p>
        </w:tc>
        <w:tc>
          <w:tcPr>
            <w:tcW w:w="466"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r>
      <w:tr>
        <w:trPr>
          <w:trHeight w:val="706" w:hRule="exact"/>
        </w:trPr>
        <w:tc>
          <w:tcPr>
            <w:tcW w:w="12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36"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w:t>
            </w:r>
            <w:r>
              <w:rPr>
                <w:rFonts w:ascii="宋体" w:hAnsi="宋体" w:cs="宋体" w:eastAsia="宋体" w:hint="default"/>
                <w:sz w:val="18"/>
                <w:szCs w:val="18"/>
              </w:rPr>
              <w:t> 策变更</w:t>
            </w:r>
          </w:p>
        </w:tc>
        <w:tc>
          <w:tcPr>
            <w:tcW w:w="473"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-308,0</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57.49</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center"/>
              <w:rPr>
                <w:rFonts w:ascii="Times New Roman" w:hAnsi="Times New Roman" w:cs="Times New Roman" w:eastAsia="Times New Roman" w:hint="default"/>
                <w:sz w:val="18"/>
                <w:szCs w:val="18"/>
              </w:rPr>
            </w:pPr>
            <w:r>
              <w:rPr>
                <w:rFonts w:ascii="Times New Roman"/>
                <w:sz w:val="18"/>
              </w:rPr>
              <w:t>308,05</w:t>
            </w:r>
          </w:p>
          <w:p>
            <w:pPr>
              <w:pStyle w:val="TableParagraph"/>
              <w:spacing w:line="240" w:lineRule="auto" w:before="93"/>
              <w:ind w:left="225" w:right="0"/>
              <w:jc w:val="center"/>
              <w:rPr>
                <w:rFonts w:ascii="Times New Roman" w:hAnsi="Times New Roman" w:cs="Times New Roman" w:eastAsia="Times New Roman" w:hint="default"/>
                <w:sz w:val="18"/>
                <w:szCs w:val="18"/>
              </w:rPr>
            </w:pPr>
            <w:r>
              <w:rPr>
                <w:rFonts w:ascii="Times New Roman"/>
                <w:sz w:val="18"/>
              </w:rPr>
              <w:t>7.49</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73"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62"/>
        <w:gridCol w:w="481"/>
        <w:gridCol w:w="465"/>
        <w:gridCol w:w="481"/>
        <w:gridCol w:w="466"/>
        <w:gridCol w:w="585"/>
        <w:gridCol w:w="586"/>
        <w:gridCol w:w="586"/>
        <w:gridCol w:w="571"/>
        <w:gridCol w:w="585"/>
        <w:gridCol w:w="586"/>
        <w:gridCol w:w="586"/>
        <w:gridCol w:w="586"/>
        <w:gridCol w:w="586"/>
        <w:gridCol w:w="586"/>
        <w:gridCol w:w="586"/>
      </w:tblGrid>
      <w:tr>
        <w:trPr>
          <w:trHeight w:val="10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48" w:firstLine="721"/>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left"/>
              <w:rPr>
                <w:rFonts w:ascii="Times New Roman" w:hAnsi="Times New Roman" w:cs="Times New Roman" w:eastAsia="Times New Roman" w:hint="default"/>
                <w:sz w:val="18"/>
                <w:szCs w:val="18"/>
              </w:rPr>
            </w:pPr>
            <w:r>
              <w:rPr>
                <w:rFonts w:ascii="Times New Roman"/>
                <w:sz w:val="18"/>
              </w:rPr>
              <w:t>258,14</w:t>
            </w:r>
          </w:p>
          <w:p>
            <w:pPr>
              <w:pStyle w:val="TableParagraph"/>
              <w:spacing w:line="240" w:lineRule="auto" w:before="93"/>
              <w:ind w:left="89" w:right="0"/>
              <w:jc w:val="left"/>
              <w:rPr>
                <w:rFonts w:ascii="Times New Roman" w:hAnsi="Times New Roman" w:cs="Times New Roman" w:eastAsia="Times New Roman" w:hint="default"/>
                <w:sz w:val="18"/>
                <w:szCs w:val="18"/>
              </w:rPr>
            </w:pPr>
            <w:r>
              <w:rPr>
                <w:rFonts w:ascii="Times New Roman"/>
                <w:sz w:val="18"/>
              </w:rPr>
              <w:t>0,123.</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308,05</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7.49</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59,408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,374.4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317,85</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6,555.</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03</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1,005,</w:t>
            </w:r>
          </w:p>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949,40</w:t>
            </w:r>
          </w:p>
          <w:p>
            <w:pPr>
              <w:pStyle w:val="TableParagraph"/>
              <w:spacing w:line="240" w:lineRule="auto" w:before="108"/>
              <w:ind w:left="224" w:right="0"/>
              <w:jc w:val="center"/>
              <w:rPr>
                <w:rFonts w:ascii="Times New Roman" w:hAnsi="Times New Roman" w:cs="Times New Roman" w:eastAsia="Times New Roman" w:hint="default"/>
                <w:sz w:val="18"/>
                <w:szCs w:val="18"/>
              </w:rPr>
            </w:pPr>
            <w:r>
              <w:rPr>
                <w:rFonts w:ascii="Times New Roman"/>
                <w:sz w:val="18"/>
              </w:rPr>
              <w:t>1.10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center"/>
              <w:rPr>
                <w:rFonts w:ascii="Times New Roman" w:hAnsi="Times New Roman" w:cs="Times New Roman" w:eastAsia="Times New Roman" w:hint="default"/>
                <w:sz w:val="18"/>
                <w:szCs w:val="18"/>
              </w:rPr>
            </w:pPr>
            <w:r>
              <w:rPr>
                <w:rFonts w:ascii="Times New Roman"/>
                <w:sz w:val="18"/>
              </w:rPr>
              <w:t>1,323,</w:t>
            </w:r>
          </w:p>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805,95</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6.13</w:t>
            </w: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429,2</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20,30</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0.00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left"/>
              <w:rPr>
                <w:rFonts w:ascii="Times New Roman" w:hAnsi="Times New Roman" w:cs="Times New Roman" w:eastAsia="Times New Roman" w:hint="default"/>
                <w:sz w:val="18"/>
                <w:szCs w:val="18"/>
              </w:rPr>
            </w:pPr>
            <w:r>
              <w:rPr>
                <w:rFonts w:ascii="Times New Roman"/>
                <w:sz w:val="18"/>
              </w:rPr>
              <w:t>858,89</w:t>
            </w:r>
          </w:p>
          <w:p>
            <w:pPr>
              <w:pStyle w:val="TableParagraph"/>
              <w:spacing w:line="240" w:lineRule="auto" w:before="93"/>
              <w:ind w:left="89" w:right="0"/>
              <w:jc w:val="left"/>
              <w:rPr>
                <w:rFonts w:ascii="Times New Roman" w:hAnsi="Times New Roman" w:cs="Times New Roman" w:eastAsia="Times New Roman" w:hint="default"/>
                <w:sz w:val="18"/>
                <w:szCs w:val="18"/>
              </w:rPr>
            </w:pPr>
            <w:r>
              <w:rPr>
                <w:rFonts w:ascii="Times New Roman"/>
                <w:sz w:val="18"/>
              </w:rPr>
              <w:t>9,809.</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69</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224,60</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3,670.</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16</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77,272</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,995.5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537,40</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4,417.</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90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1,678,</w:t>
            </w:r>
          </w:p>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193,85</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2.96</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982,09</w:t>
            </w:r>
          </w:p>
          <w:p>
            <w:pPr>
              <w:pStyle w:val="TableParagraph"/>
              <w:spacing w:line="240" w:lineRule="auto" w:before="108"/>
              <w:ind w:left="224" w:right="0"/>
              <w:jc w:val="center"/>
              <w:rPr>
                <w:rFonts w:ascii="Times New Roman" w:hAnsi="Times New Roman" w:cs="Times New Roman" w:eastAsia="Times New Roman" w:hint="default"/>
                <w:sz w:val="18"/>
                <w:szCs w:val="18"/>
              </w:rPr>
            </w:pPr>
            <w:r>
              <w:rPr>
                <w:rFonts w:ascii="Times New Roman"/>
                <w:sz w:val="18"/>
              </w:rPr>
              <w:t>8.82</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center"/>
              <w:rPr>
                <w:rFonts w:ascii="Times New Roman" w:hAnsi="Times New Roman" w:cs="Times New Roman" w:eastAsia="Times New Roman" w:hint="default"/>
                <w:sz w:val="18"/>
                <w:szCs w:val="18"/>
              </w:rPr>
            </w:pPr>
            <w:r>
              <w:rPr>
                <w:rFonts w:ascii="Times New Roman"/>
                <w:sz w:val="18"/>
              </w:rPr>
              <w:t>2,679,</w:t>
            </w:r>
          </w:p>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175,95</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1.78</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8" w:lineRule="auto" w:before="29"/>
              <w:ind w:left="15" w:right="2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251,1</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11,69</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3.00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center"/>
              <w:rPr>
                <w:rFonts w:ascii="Times New Roman" w:hAnsi="Times New Roman" w:cs="Times New Roman" w:eastAsia="Times New Roman" w:hint="default"/>
                <w:sz w:val="18"/>
                <w:szCs w:val="18"/>
              </w:rPr>
            </w:pPr>
            <w:r>
              <w:rPr>
                <w:rFonts w:ascii="Times New Roman"/>
                <w:sz w:val="18"/>
              </w:rPr>
              <w:t>1,664,</w:t>
            </w:r>
          </w:p>
          <w:p>
            <w:pPr>
              <w:pStyle w:val="TableParagraph"/>
              <w:spacing w:line="240" w:lineRule="auto" w:before="108"/>
              <w:ind w:left="14" w:right="0"/>
              <w:jc w:val="center"/>
              <w:rPr>
                <w:rFonts w:ascii="Times New Roman" w:hAnsi="Times New Roman" w:cs="Times New Roman" w:eastAsia="Times New Roman" w:hint="default"/>
                <w:sz w:val="18"/>
                <w:szCs w:val="18"/>
              </w:rPr>
            </w:pPr>
            <w:r>
              <w:rPr>
                <w:rFonts w:ascii="Times New Roman"/>
                <w:sz w:val="18"/>
              </w:rPr>
              <w:t>261,82</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2.44</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-60,25</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3,007.</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28</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28,943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,787.5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956,25</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4,610.</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18</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center"/>
              <w:rPr>
                <w:rFonts w:ascii="Times New Roman" w:hAnsi="Times New Roman" w:cs="Times New Roman" w:eastAsia="Times New Roman" w:hint="default"/>
                <w:sz w:val="18"/>
                <w:szCs w:val="18"/>
              </w:rPr>
            </w:pPr>
            <w:r>
              <w:rPr>
                <w:rFonts w:ascii="Times New Roman"/>
                <w:sz w:val="18"/>
              </w:rPr>
              <w:t>2,960,</w:t>
            </w:r>
          </w:p>
          <w:p>
            <w:pPr>
              <w:pStyle w:val="TableParagraph"/>
              <w:spacing w:line="240" w:lineRule="auto" w:before="108"/>
              <w:ind w:left="45" w:right="0"/>
              <w:jc w:val="center"/>
              <w:rPr>
                <w:rFonts w:ascii="Times New Roman" w:hAnsi="Times New Roman" w:cs="Times New Roman" w:eastAsia="Times New Roman" w:hint="default"/>
                <w:sz w:val="18"/>
                <w:szCs w:val="18"/>
              </w:rPr>
            </w:pPr>
            <w:r>
              <w:rPr>
                <w:rFonts w:ascii="Times New Roman"/>
                <w:sz w:val="18"/>
              </w:rPr>
              <w:t>824,92</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0.45</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-899,2</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19,911</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.84</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center"/>
              <w:rPr>
                <w:rFonts w:ascii="Times New Roman" w:hAnsi="Times New Roman" w:cs="Times New Roman" w:eastAsia="Times New Roman" w:hint="default"/>
                <w:sz w:val="18"/>
                <w:szCs w:val="18"/>
              </w:rPr>
            </w:pPr>
            <w:r>
              <w:rPr>
                <w:rFonts w:ascii="Times New Roman"/>
                <w:sz w:val="18"/>
              </w:rPr>
              <w:t>2,061,</w:t>
            </w:r>
          </w:p>
          <w:p>
            <w:pPr>
              <w:pStyle w:val="TableParagraph"/>
              <w:spacing w:line="240" w:lineRule="auto" w:before="108"/>
              <w:ind w:left="14" w:right="0"/>
              <w:jc w:val="center"/>
              <w:rPr>
                <w:rFonts w:ascii="Times New Roman" w:hAnsi="Times New Roman" w:cs="Times New Roman" w:eastAsia="Times New Roman" w:hint="default"/>
                <w:sz w:val="18"/>
                <w:szCs w:val="18"/>
              </w:rPr>
            </w:pPr>
            <w:r>
              <w:rPr>
                <w:rFonts w:ascii="Times New Roman"/>
                <w:sz w:val="18"/>
              </w:rPr>
              <w:t>605,00</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8.61</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1,020,</w:t>
            </w:r>
          </w:p>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167,78</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6.95</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1,020,</w:t>
            </w:r>
          </w:p>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167,78</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6.95</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59,549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,985.5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center"/>
              <w:rPr>
                <w:rFonts w:ascii="Times New Roman" w:hAnsi="Times New Roman" w:cs="Times New Roman" w:eastAsia="Times New Roman" w:hint="default"/>
                <w:sz w:val="18"/>
                <w:szCs w:val="18"/>
              </w:rPr>
            </w:pPr>
            <w:r>
              <w:rPr>
                <w:rFonts w:ascii="Times New Roman"/>
                <w:sz w:val="18"/>
              </w:rPr>
              <w:t>1,079,</w:t>
            </w:r>
          </w:p>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717,77</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2.49</w:t>
            </w: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251,1</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11,69</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3.00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1,664,</w:t>
            </w:r>
          </w:p>
          <w:p>
            <w:pPr>
              <w:pStyle w:val="TableParagraph"/>
              <w:spacing w:line="240" w:lineRule="auto" w:before="108"/>
              <w:ind w:left="14" w:right="0"/>
              <w:jc w:val="center"/>
              <w:rPr>
                <w:rFonts w:ascii="Times New Roman" w:hAnsi="Times New Roman" w:cs="Times New Roman" w:eastAsia="Times New Roman" w:hint="default"/>
                <w:sz w:val="18"/>
                <w:szCs w:val="18"/>
              </w:rPr>
            </w:pPr>
            <w:r>
              <w:rPr>
                <w:rFonts w:ascii="Times New Roman"/>
                <w:sz w:val="18"/>
              </w:rPr>
              <w:t>261,82</w:t>
            </w:r>
          </w:p>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2.44</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-58,27</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8,745.</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52</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1,973,</w:t>
            </w:r>
          </w:p>
          <w:p>
            <w:pPr>
              <w:pStyle w:val="TableParagraph"/>
              <w:spacing w:line="240" w:lineRule="auto" w:before="108"/>
              <w:ind w:left="45" w:right="0"/>
              <w:jc w:val="center"/>
              <w:rPr>
                <w:rFonts w:ascii="Times New Roman" w:hAnsi="Times New Roman" w:cs="Times New Roman" w:eastAsia="Times New Roman" w:hint="default"/>
                <w:sz w:val="18"/>
                <w:szCs w:val="18"/>
              </w:rPr>
            </w:pPr>
            <w:r>
              <w:rPr>
                <w:rFonts w:ascii="Times New Roman"/>
                <w:sz w:val="18"/>
              </w:rPr>
              <w:t>652,26</w:t>
            </w:r>
          </w:p>
          <w:p>
            <w:pPr>
              <w:pStyle w:val="TableParagraph"/>
              <w:spacing w:line="240" w:lineRule="auto" w:before="93"/>
              <w:ind w:left="225" w:right="0"/>
              <w:jc w:val="center"/>
              <w:rPr>
                <w:rFonts w:ascii="Times New Roman" w:hAnsi="Times New Roman" w:cs="Times New Roman" w:eastAsia="Times New Roman" w:hint="default"/>
                <w:sz w:val="18"/>
                <w:szCs w:val="18"/>
              </w:rPr>
            </w:pPr>
            <w:r>
              <w:rPr>
                <w:rFonts w:ascii="Times New Roman"/>
                <w:sz w:val="18"/>
              </w:rPr>
              <w:t>0.96</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-958,7</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69,897</w:t>
            </w:r>
          </w:p>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.38</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center"/>
              <w:rPr>
                <w:rFonts w:ascii="Times New Roman" w:hAnsi="Times New Roman" w:cs="Times New Roman" w:eastAsia="Times New Roman" w:hint="default"/>
                <w:sz w:val="18"/>
                <w:szCs w:val="18"/>
              </w:rPr>
            </w:pPr>
            <w:r>
              <w:rPr>
                <w:rFonts w:ascii="Times New Roman"/>
                <w:sz w:val="18"/>
              </w:rPr>
              <w:t>1,014,</w:t>
            </w:r>
          </w:p>
          <w:p>
            <w:pPr>
              <w:pStyle w:val="TableParagraph"/>
              <w:spacing w:line="240" w:lineRule="auto" w:before="108"/>
              <w:ind w:left="14" w:right="0"/>
              <w:jc w:val="center"/>
              <w:rPr>
                <w:rFonts w:ascii="Times New Roman" w:hAnsi="Times New Roman" w:cs="Times New Roman" w:eastAsia="Times New Roman" w:hint="default"/>
                <w:sz w:val="18"/>
                <w:szCs w:val="18"/>
              </w:rPr>
            </w:pPr>
            <w:r>
              <w:rPr>
                <w:rFonts w:ascii="Times New Roman"/>
                <w:sz w:val="18"/>
              </w:rPr>
              <w:t>882,36</w:t>
            </w:r>
          </w:p>
          <w:p>
            <w:pPr>
              <w:pStyle w:val="TableParagraph"/>
              <w:spacing w:line="240" w:lineRule="auto" w:before="93"/>
              <w:ind w:left="195" w:right="0"/>
              <w:jc w:val="center"/>
              <w:rPr>
                <w:rFonts w:ascii="Times New Roman" w:hAnsi="Times New Roman" w:cs="Times New Roman" w:eastAsia="Times New Roman" w:hint="default"/>
                <w:sz w:val="18"/>
                <w:szCs w:val="18"/>
              </w:rPr>
            </w:pPr>
            <w:r>
              <w:rPr>
                <w:rFonts w:ascii="Times New Roman"/>
                <w:sz w:val="18"/>
              </w:rPr>
              <w:t>3.58</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76" w:lineRule="auto"/>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center"/>
              <w:rPr>
                <w:rFonts w:ascii="Times New Roman" w:hAnsi="Times New Roman" w:cs="Times New Roman" w:eastAsia="Times New Roman" w:hint="default"/>
                <w:sz w:val="18"/>
                <w:szCs w:val="18"/>
              </w:rPr>
            </w:pPr>
            <w:r>
              <w:rPr>
                <w:rFonts w:ascii="Times New Roman"/>
                <w:sz w:val="18"/>
              </w:rPr>
              <w:t>55,81</w:t>
            </w:r>
          </w:p>
          <w:p>
            <w:pPr>
              <w:pStyle w:val="TableParagraph"/>
              <w:spacing w:line="240" w:lineRule="auto" w:before="108"/>
              <w:ind w:left="29" w:right="0"/>
              <w:jc w:val="center"/>
              <w:rPr>
                <w:rFonts w:ascii="Times New Roman" w:hAnsi="Times New Roman" w:cs="Times New Roman" w:eastAsia="Times New Roman" w:hint="default"/>
                <w:sz w:val="18"/>
                <w:szCs w:val="18"/>
              </w:rPr>
            </w:pPr>
            <w:r>
              <w:rPr>
                <w:rFonts w:ascii="Times New Roman"/>
                <w:sz w:val="18"/>
              </w:rPr>
              <w:t>0,116</w:t>
            </w:r>
          </w:p>
          <w:p>
            <w:pPr>
              <w:pStyle w:val="TableParagraph"/>
              <w:spacing w:line="240" w:lineRule="auto" w:before="108"/>
              <w:ind w:left="210" w:right="0"/>
              <w:jc w:val="center"/>
              <w:rPr>
                <w:rFonts w:ascii="Times New Roman" w:hAnsi="Times New Roman" w:cs="Times New Roman" w:eastAsia="Times New Roman" w:hint="default"/>
                <w:sz w:val="18"/>
                <w:szCs w:val="18"/>
              </w:rPr>
            </w:pPr>
            <w:r>
              <w:rPr>
                <w:rFonts w:ascii="Times New Roman"/>
                <w:sz w:val="18"/>
              </w:rPr>
              <w:t>.00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4" w:right="0"/>
              <w:jc w:val="left"/>
              <w:rPr>
                <w:rFonts w:ascii="Times New Roman" w:hAnsi="Times New Roman" w:cs="Times New Roman" w:eastAsia="Times New Roman" w:hint="default"/>
                <w:sz w:val="18"/>
                <w:szCs w:val="18"/>
              </w:rPr>
            </w:pPr>
            <w:r>
              <w:rPr>
                <w:rFonts w:ascii="Times New Roman"/>
                <w:sz w:val="18"/>
              </w:rPr>
              <w:t>772,01</w:t>
            </w:r>
          </w:p>
          <w:p>
            <w:pPr>
              <w:pStyle w:val="TableParagraph"/>
              <w:spacing w:line="240" w:lineRule="auto" w:before="108"/>
              <w:ind w:left="89" w:right="0"/>
              <w:jc w:val="left"/>
              <w:rPr>
                <w:rFonts w:ascii="Times New Roman" w:hAnsi="Times New Roman" w:cs="Times New Roman" w:eastAsia="Times New Roman" w:hint="default"/>
                <w:sz w:val="18"/>
                <w:szCs w:val="18"/>
              </w:rPr>
            </w:pPr>
            <w:r>
              <w:rPr>
                <w:rFonts w:ascii="Times New Roman"/>
                <w:sz w:val="18"/>
              </w:rPr>
              <w:t>1,819.</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57</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20,680</w:t>
            </w:r>
          </w:p>
          <w:p>
            <w:pPr>
              <w:pStyle w:val="TableParagraph"/>
              <w:spacing w:line="240" w:lineRule="auto" w:before="108"/>
              <w:ind w:right="30"/>
              <w:jc w:val="right"/>
              <w:rPr>
                <w:rFonts w:ascii="Times New Roman" w:hAnsi="Times New Roman" w:cs="Times New Roman" w:eastAsia="Times New Roman" w:hint="default"/>
                <w:sz w:val="18"/>
                <w:szCs w:val="18"/>
              </w:rPr>
            </w:pPr>
            <w:r>
              <w:rPr>
                <w:rFonts w:ascii="Times New Roman"/>
                <w:sz w:val="18"/>
              </w:rPr>
              <w:t>,108.1</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2</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807,14</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1,827.</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45</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66,920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,840.5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874,06</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2,667.</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95</w:t>
            </w: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66,958</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,252.2</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-78,95</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8,853.</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64</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145,91</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7,105.</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84</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3,067,</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101.94</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148,98</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4,207.</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78</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195,3</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01,57</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7.00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left"/>
              <w:rPr>
                <w:rFonts w:ascii="Times New Roman" w:hAnsi="Times New Roman" w:cs="Times New Roman" w:eastAsia="Times New Roman" w:hint="default"/>
                <w:sz w:val="18"/>
                <w:szCs w:val="18"/>
              </w:rPr>
            </w:pPr>
            <w:r>
              <w:rPr>
                <w:rFonts w:ascii="Times New Roman"/>
                <w:sz w:val="18"/>
              </w:rPr>
              <w:t>825,29</w:t>
            </w:r>
          </w:p>
          <w:p>
            <w:pPr>
              <w:pStyle w:val="TableParagraph"/>
              <w:spacing w:line="240" w:lineRule="auto" w:before="93"/>
              <w:ind w:left="89" w:right="0"/>
              <w:jc w:val="left"/>
              <w:rPr>
                <w:rFonts w:ascii="Times New Roman" w:hAnsi="Times New Roman" w:cs="Times New Roman" w:eastAsia="Times New Roman" w:hint="default"/>
                <w:sz w:val="18"/>
                <w:szCs w:val="18"/>
              </w:rPr>
            </w:pPr>
            <w:r>
              <w:rPr>
                <w:rFonts w:ascii="Times New Roman"/>
                <w:sz w:val="18"/>
              </w:rPr>
              <w:t>1,750.</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67</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1,020,</w:t>
            </w:r>
          </w:p>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593,32</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7.67</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-1,028,</w:t>
            </w:r>
          </w:p>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757,83</w:t>
            </w:r>
          </w:p>
          <w:p>
            <w:pPr>
              <w:pStyle w:val="TableParagraph"/>
              <w:spacing w:line="240" w:lineRule="auto" w:before="108"/>
              <w:ind w:left="224" w:right="0"/>
              <w:jc w:val="center"/>
              <w:rPr>
                <w:rFonts w:ascii="Times New Roman" w:hAnsi="Times New Roman" w:cs="Times New Roman" w:eastAsia="Times New Roman" w:hint="default"/>
                <w:sz w:val="18"/>
                <w:szCs w:val="18"/>
              </w:rPr>
            </w:pPr>
            <w:r>
              <w:rPr>
                <w:rFonts w:ascii="Times New Roman"/>
                <w:sz w:val="18"/>
              </w:rPr>
              <w:t>9.82</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-8,164,</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512.15</w:t>
            </w: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-1,974,</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261.76</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28,943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,787.5</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-63,91</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3,176.</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77</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-32,99</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5,127.</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46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-32,99</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5,127.</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46</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76" w:lineRule="auto"/>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28,943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,787.5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-28,94</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3,787.</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55</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76" w:lineRule="auto"/>
              <w:ind w:left="15" w:right="29"/>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3</w:t>
            </w:r>
            <w:r>
              <w:rPr>
                <w:rFonts w:ascii="宋体" w:hAnsi="宋体" w:cs="宋体" w:eastAsia="宋体" w:hint="default"/>
                <w:spacing w:val="-19"/>
                <w:sz w:val="18"/>
                <w:szCs w:val="18"/>
              </w:rPr>
              <w:t>．对所有者（或</w:t>
            </w:r>
            <w:r>
              <w:rPr>
                <w:rFonts w:ascii="宋体" w:hAnsi="宋体" w:cs="宋体" w:eastAsia="宋体" w:hint="default"/>
                <w:sz w:val="18"/>
                <w:szCs w:val="18"/>
              </w:rPr>
              <w:t> 股东）的分配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-1,974,</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261.76</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-34,96</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9,389.</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22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-32,99</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5,127.</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46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-32,99</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5,127.</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46</w:t>
            </w: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62"/>
        <w:gridCol w:w="481"/>
        <w:gridCol w:w="465"/>
        <w:gridCol w:w="481"/>
        <w:gridCol w:w="466"/>
        <w:gridCol w:w="585"/>
        <w:gridCol w:w="586"/>
        <w:gridCol w:w="586"/>
        <w:gridCol w:w="571"/>
        <w:gridCol w:w="585"/>
        <w:gridCol w:w="586"/>
        <w:gridCol w:w="586"/>
        <w:gridCol w:w="586"/>
        <w:gridCol w:w="586"/>
        <w:gridCol w:w="586"/>
        <w:gridCol w:w="586"/>
      </w:tblGrid>
      <w:tr>
        <w:trPr>
          <w:trHeight w:val="7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29"/>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680,3</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31,99</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3.00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center"/>
              <w:rPr>
                <w:rFonts w:ascii="Times New Roman" w:hAnsi="Times New Roman" w:cs="Times New Roman" w:eastAsia="Times New Roman" w:hint="default"/>
                <w:sz w:val="18"/>
                <w:szCs w:val="18"/>
              </w:rPr>
            </w:pPr>
            <w:r>
              <w:rPr>
                <w:rFonts w:ascii="Times New Roman"/>
                <w:sz w:val="18"/>
              </w:rPr>
              <w:t>2,523,</w:t>
            </w:r>
          </w:p>
          <w:p>
            <w:pPr>
              <w:pStyle w:val="TableParagraph"/>
              <w:spacing w:line="240" w:lineRule="auto" w:before="108"/>
              <w:ind w:left="14" w:right="0"/>
              <w:jc w:val="center"/>
              <w:rPr>
                <w:rFonts w:ascii="Times New Roman" w:hAnsi="Times New Roman" w:cs="Times New Roman" w:eastAsia="Times New Roman" w:hint="default"/>
                <w:sz w:val="18"/>
                <w:szCs w:val="18"/>
              </w:rPr>
            </w:pPr>
            <w:r>
              <w:rPr>
                <w:rFonts w:ascii="Times New Roman"/>
                <w:sz w:val="18"/>
              </w:rPr>
              <w:t>161,63</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2.13</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164,35</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0,662.</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88</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left"/>
              <w:rPr>
                <w:rFonts w:ascii="Times New Roman" w:hAnsi="Times New Roman" w:cs="Times New Roman" w:eastAsia="Times New Roman" w:hint="default"/>
                <w:sz w:val="18"/>
                <w:szCs w:val="18"/>
              </w:rPr>
            </w:pPr>
            <w:r>
              <w:rPr>
                <w:rFonts w:ascii="Times New Roman"/>
                <w:sz w:val="18"/>
              </w:rPr>
              <w:t>106,21</w:t>
            </w:r>
          </w:p>
          <w:p>
            <w:pPr>
              <w:pStyle w:val="TableParagraph"/>
              <w:spacing w:line="240" w:lineRule="auto" w:before="108"/>
              <w:ind w:left="104" w:right="0"/>
              <w:jc w:val="left"/>
              <w:rPr>
                <w:rFonts w:ascii="Times New Roman" w:hAnsi="Times New Roman" w:cs="Times New Roman" w:eastAsia="Times New Roman" w:hint="default"/>
                <w:sz w:val="18"/>
                <w:szCs w:val="18"/>
              </w:rPr>
            </w:pPr>
            <w:r>
              <w:rPr>
                <w:rFonts w:ascii="Times New Roman"/>
                <w:sz w:val="18"/>
              </w:rPr>
              <w:t>6,783.</w:t>
            </w:r>
          </w:p>
          <w:p>
            <w:pPr>
              <w:pStyle w:val="TableParagraph"/>
              <w:spacing w:line="240" w:lineRule="auto" w:before="108"/>
              <w:ind w:left="374" w:right="0"/>
              <w:jc w:val="left"/>
              <w:rPr>
                <w:rFonts w:ascii="Times New Roman" w:hAnsi="Times New Roman" w:cs="Times New Roman" w:eastAsia="Times New Roman" w:hint="default"/>
                <w:sz w:val="18"/>
                <w:szCs w:val="18"/>
              </w:rPr>
            </w:pPr>
            <w:r>
              <w:rPr>
                <w:rFonts w:ascii="Times New Roman"/>
                <w:sz w:val="18"/>
              </w:rPr>
              <w:t>08</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center"/>
              <w:rPr>
                <w:rFonts w:ascii="Times New Roman" w:hAnsi="Times New Roman" w:cs="Times New Roman" w:eastAsia="Times New Roman" w:hint="default"/>
                <w:sz w:val="18"/>
                <w:szCs w:val="18"/>
              </w:rPr>
            </w:pPr>
            <w:r>
              <w:rPr>
                <w:rFonts w:ascii="Times New Roman"/>
                <w:sz w:val="18"/>
              </w:rPr>
              <w:t>1,493,</w:t>
            </w:r>
          </w:p>
          <w:p>
            <w:pPr>
              <w:pStyle w:val="TableParagraph"/>
              <w:spacing w:line="240" w:lineRule="auto" w:before="108"/>
              <w:ind w:left="45" w:right="0"/>
              <w:jc w:val="center"/>
              <w:rPr>
                <w:rFonts w:ascii="Times New Roman" w:hAnsi="Times New Roman" w:cs="Times New Roman" w:eastAsia="Times New Roman" w:hint="default"/>
                <w:sz w:val="18"/>
                <w:szCs w:val="18"/>
              </w:rPr>
            </w:pPr>
            <w:r>
              <w:rPr>
                <w:rFonts w:ascii="Times New Roman"/>
                <w:sz w:val="18"/>
              </w:rPr>
              <w:t>659,02</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8.08</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center"/>
              <w:rPr>
                <w:rFonts w:ascii="Times New Roman" w:hAnsi="Times New Roman" w:cs="Times New Roman" w:eastAsia="Times New Roman" w:hint="default"/>
                <w:sz w:val="18"/>
                <w:szCs w:val="18"/>
              </w:rPr>
            </w:pPr>
            <w:r>
              <w:rPr>
                <w:rFonts w:ascii="Times New Roman"/>
                <w:sz w:val="18"/>
              </w:rPr>
              <w:t>4,639,</w:t>
            </w:r>
          </w:p>
          <w:p>
            <w:pPr>
              <w:pStyle w:val="TableParagraph"/>
              <w:spacing w:line="240" w:lineRule="auto" w:before="108"/>
              <w:ind w:left="45" w:right="0"/>
              <w:jc w:val="center"/>
              <w:rPr>
                <w:rFonts w:ascii="Times New Roman" w:hAnsi="Times New Roman" w:cs="Times New Roman" w:eastAsia="Times New Roman" w:hint="default"/>
                <w:sz w:val="18"/>
                <w:szCs w:val="18"/>
              </w:rPr>
            </w:pPr>
            <w:r>
              <w:rPr>
                <w:rFonts w:ascii="Times New Roman"/>
                <w:sz w:val="18"/>
              </w:rPr>
              <w:t>018,77</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3.41</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101,76</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2,186.</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98</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center"/>
              <w:rPr>
                <w:rFonts w:ascii="Times New Roman" w:hAnsi="Times New Roman" w:cs="Times New Roman" w:eastAsia="Times New Roman" w:hint="default"/>
                <w:sz w:val="18"/>
                <w:szCs w:val="18"/>
              </w:rPr>
            </w:pPr>
            <w:r>
              <w:rPr>
                <w:rFonts w:ascii="Times New Roman"/>
                <w:sz w:val="18"/>
              </w:rPr>
              <w:t>4,740,</w:t>
            </w:r>
          </w:p>
          <w:p>
            <w:pPr>
              <w:pStyle w:val="TableParagraph"/>
              <w:spacing w:line="240" w:lineRule="auto" w:before="108"/>
              <w:ind w:left="14" w:right="0"/>
              <w:jc w:val="center"/>
              <w:rPr>
                <w:rFonts w:ascii="Times New Roman" w:hAnsi="Times New Roman" w:cs="Times New Roman" w:eastAsia="Times New Roman" w:hint="default"/>
                <w:sz w:val="18"/>
                <w:szCs w:val="18"/>
              </w:rPr>
            </w:pPr>
            <w:r>
              <w:rPr>
                <w:rFonts w:ascii="Times New Roman"/>
                <w:sz w:val="18"/>
              </w:rPr>
              <w:t>780,96</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0.39</w:t>
            </w:r>
          </w:p>
        </w:tc>
      </w:tr>
    </w:tbl>
    <w:p>
      <w:pPr>
        <w:pStyle w:val="BodyText"/>
        <w:spacing w:line="240" w:lineRule="auto" w:before="44"/>
        <w:ind w:right="1105"/>
        <w:jc w:val="left"/>
      </w:pPr>
      <w:r>
        <w:rPr/>
        <w:t>上期金额</w:t>
      </w:r>
    </w:p>
    <w:p>
      <w:pPr>
        <w:pStyle w:val="BodyText"/>
        <w:spacing w:line="240" w:lineRule="auto" w:before="110"/>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24"/>
        <w:gridCol w:w="473"/>
        <w:gridCol w:w="450"/>
        <w:gridCol w:w="451"/>
        <w:gridCol w:w="496"/>
        <w:gridCol w:w="570"/>
        <w:gridCol w:w="586"/>
        <w:gridCol w:w="571"/>
        <w:gridCol w:w="585"/>
        <w:gridCol w:w="571"/>
        <w:gridCol w:w="586"/>
        <w:gridCol w:w="586"/>
        <w:gridCol w:w="571"/>
        <w:gridCol w:w="571"/>
        <w:gridCol w:w="631"/>
        <w:gridCol w:w="661"/>
      </w:tblGrid>
      <w:tr>
        <w:trPr>
          <w:trHeight w:val="405" w:hRule="exact"/>
        </w:trPr>
        <w:tc>
          <w:tcPr>
            <w:tcW w:w="122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项目</w:t>
            </w:r>
          </w:p>
        </w:tc>
        <w:tc>
          <w:tcPr>
            <w:tcW w:w="8358"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248" w:hRule="exact"/>
        </w:trPr>
        <w:tc>
          <w:tcPr>
            <w:tcW w:w="1224" w:type="dxa"/>
            <w:vMerge/>
            <w:tcBorders>
              <w:left w:val="single" w:sz="6" w:space="0" w:color="000000"/>
              <w:right w:val="single" w:sz="6" w:space="0" w:color="000000"/>
            </w:tcBorders>
            <w:shd w:val="clear" w:color="auto" w:fill="D2D2D2"/>
          </w:tcPr>
          <w:p>
            <w:pPr/>
          </w:p>
        </w:tc>
        <w:tc>
          <w:tcPr>
            <w:tcW w:w="7067" w:type="dxa"/>
            <w:gridSpan w:val="1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38"/>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31" w:type="dxa"/>
            <w:vMerge w:val="restart"/>
            <w:tcBorders>
              <w:top w:val="single" w:sz="6" w:space="0" w:color="000000"/>
              <w:left w:val="single" w:sz="6" w:space="0" w:color="000000"/>
              <w:right w:val="single" w:sz="6" w:space="0" w:color="000000"/>
            </w:tcBorders>
            <w:shd w:val="clear" w:color="auto" w:fill="D2D2D2"/>
          </w:tcPr>
          <w:p>
            <w:pPr/>
          </w:p>
        </w:tc>
        <w:tc>
          <w:tcPr>
            <w:tcW w:w="66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57" w:hRule="exact"/>
        </w:trPr>
        <w:tc>
          <w:tcPr>
            <w:tcW w:w="1224" w:type="dxa"/>
            <w:vMerge/>
            <w:tcBorders>
              <w:left w:val="single" w:sz="6" w:space="0" w:color="000000"/>
              <w:right w:val="single" w:sz="6" w:space="0" w:color="000000"/>
            </w:tcBorders>
            <w:shd w:val="clear" w:color="auto" w:fill="D2D2D2"/>
          </w:tcPr>
          <w:p>
            <w:pPr/>
          </w:p>
        </w:tc>
        <w:tc>
          <w:tcPr>
            <w:tcW w:w="7067" w:type="dxa"/>
            <w:gridSpan w:val="13"/>
            <w:vMerge/>
            <w:tcBorders>
              <w:left w:val="single" w:sz="6" w:space="0" w:color="000000"/>
              <w:bottom w:val="single" w:sz="6" w:space="0" w:color="000000"/>
              <w:right w:val="single" w:sz="6" w:space="0" w:color="000000"/>
            </w:tcBorders>
            <w:shd w:val="clear" w:color="auto" w:fill="D2D2D2"/>
          </w:tcPr>
          <w:p>
            <w:pPr/>
          </w:p>
        </w:tc>
        <w:tc>
          <w:tcPr>
            <w:tcW w:w="631" w:type="dxa"/>
            <w:vMerge/>
            <w:tcBorders>
              <w:left w:val="single" w:sz="6" w:space="0" w:color="000000"/>
              <w:bottom w:val="nil" w:sz="6" w:space="0" w:color="auto"/>
              <w:right w:val="single" w:sz="6" w:space="0" w:color="000000"/>
            </w:tcBorders>
            <w:shd w:val="clear" w:color="auto" w:fill="D2D2D2"/>
          </w:tcPr>
          <w:p>
            <w:pPr/>
          </w:p>
        </w:tc>
        <w:tc>
          <w:tcPr>
            <w:tcW w:w="66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60" w:right="4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3" w:hRule="exact"/>
        </w:trPr>
        <w:tc>
          <w:tcPr>
            <w:tcW w:w="1224" w:type="dxa"/>
            <w:vMerge/>
            <w:tcBorders>
              <w:left w:val="single" w:sz="6" w:space="0" w:color="000000"/>
              <w:right w:val="single" w:sz="6" w:space="0" w:color="000000"/>
            </w:tcBorders>
            <w:shd w:val="clear" w:color="auto" w:fill="D2D2D2"/>
          </w:tcPr>
          <w:p>
            <w:pPr/>
          </w:p>
        </w:tc>
        <w:tc>
          <w:tcPr>
            <w:tcW w:w="473" w:type="dxa"/>
            <w:vMerge w:val="restart"/>
            <w:tcBorders>
              <w:top w:val="single" w:sz="6" w:space="0" w:color="000000"/>
              <w:left w:val="single" w:sz="6" w:space="0" w:color="000000"/>
              <w:right w:val="single" w:sz="6" w:space="0" w:color="000000"/>
            </w:tcBorders>
            <w:shd w:val="clear" w:color="auto" w:fill="D2D2D2"/>
          </w:tcPr>
          <w:p>
            <w:pPr/>
          </w:p>
        </w:tc>
        <w:tc>
          <w:tcPr>
            <w:tcW w:w="139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0"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90"/>
              <w:ind w:left="90"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90"/>
              <w:ind w:left="105"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90"/>
              <w:ind w:left="105"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71" w:type="dxa"/>
            <w:vMerge w:val="restart"/>
            <w:tcBorders>
              <w:top w:val="single" w:sz="6" w:space="0" w:color="000000"/>
              <w:left w:val="single" w:sz="6" w:space="0" w:color="000000"/>
              <w:right w:val="single" w:sz="6" w:space="0" w:color="000000"/>
            </w:tcBorders>
            <w:shd w:val="clear" w:color="auto" w:fill="D2D2D2"/>
          </w:tcPr>
          <w:p>
            <w:pPr/>
          </w:p>
        </w:tc>
        <w:tc>
          <w:tcPr>
            <w:tcW w:w="571" w:type="dxa"/>
            <w:vMerge w:val="restart"/>
            <w:tcBorders>
              <w:top w:val="single" w:sz="6" w:space="0" w:color="000000"/>
              <w:left w:val="single" w:sz="6" w:space="0" w:color="000000"/>
              <w:right w:val="single" w:sz="6" w:space="0" w:color="000000"/>
            </w:tcBorders>
            <w:shd w:val="clear" w:color="auto" w:fill="D2D2D2"/>
          </w:tcPr>
          <w:p>
            <w:pPr/>
          </w:p>
        </w:tc>
        <w:tc>
          <w:tcPr>
            <w:tcW w:w="631"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53"/>
              <w:ind w:left="30" w:right="43"/>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1" w:type="dxa"/>
            <w:vMerge/>
            <w:tcBorders>
              <w:left w:val="single" w:sz="6" w:space="0" w:color="000000"/>
              <w:right w:val="single" w:sz="6" w:space="0" w:color="000000"/>
            </w:tcBorders>
            <w:shd w:val="clear" w:color="auto" w:fill="D2D2D2"/>
          </w:tcPr>
          <w:p>
            <w:pPr/>
          </w:p>
        </w:tc>
      </w:tr>
      <w:tr>
        <w:trPr>
          <w:trHeight w:val="184" w:hRule="exact"/>
        </w:trPr>
        <w:tc>
          <w:tcPr>
            <w:tcW w:w="1224" w:type="dxa"/>
            <w:vMerge/>
            <w:tcBorders>
              <w:left w:val="single" w:sz="6" w:space="0" w:color="000000"/>
              <w:right w:val="single" w:sz="6" w:space="0" w:color="000000"/>
            </w:tcBorders>
            <w:shd w:val="clear" w:color="auto" w:fill="D2D2D2"/>
          </w:tcPr>
          <w:p>
            <w:pPr/>
          </w:p>
        </w:tc>
        <w:tc>
          <w:tcPr>
            <w:tcW w:w="473" w:type="dxa"/>
            <w:vMerge/>
            <w:tcBorders>
              <w:left w:val="single" w:sz="6" w:space="0" w:color="000000"/>
              <w:bottom w:val="nil" w:sz="6" w:space="0" w:color="auto"/>
              <w:right w:val="single" w:sz="6" w:space="0" w:color="000000"/>
            </w:tcBorders>
            <w:shd w:val="clear" w:color="auto" w:fill="D2D2D2"/>
          </w:tcPr>
          <w:p>
            <w:pPr/>
          </w:p>
        </w:tc>
        <w:tc>
          <w:tcPr>
            <w:tcW w:w="1397" w:type="dxa"/>
            <w:gridSpan w:val="3"/>
            <w:vMerge/>
            <w:tcBorders>
              <w:left w:val="single" w:sz="6" w:space="0" w:color="000000"/>
              <w:bottom w:val="single" w:sz="6" w:space="0" w:color="000000"/>
              <w:right w:val="single" w:sz="6" w:space="0" w:color="000000"/>
            </w:tcBorders>
            <w:shd w:val="clear" w:color="auto" w:fill="D2D2D2"/>
          </w:tcPr>
          <w:p>
            <w:pPr/>
          </w:p>
        </w:tc>
        <w:tc>
          <w:tcPr>
            <w:tcW w:w="570"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104" w:right="88"/>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105" w:right="13" w:hanging="75"/>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z w:val="18"/>
                <w:szCs w:val="18"/>
              </w:rPr>
              <w:t> 存股</w:t>
            </w:r>
          </w:p>
        </w:tc>
        <w:tc>
          <w:tcPr>
            <w:tcW w:w="571" w:type="dxa"/>
            <w:vMerge/>
            <w:tcBorders>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105" w:right="10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90"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63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76" w:hRule="exact"/>
        </w:trPr>
        <w:tc>
          <w:tcPr>
            <w:tcW w:w="1224" w:type="dxa"/>
            <w:vMerge/>
            <w:tcBorders>
              <w:left w:val="single" w:sz="6" w:space="0" w:color="000000"/>
              <w:right w:val="single" w:sz="6" w:space="0" w:color="000000"/>
            </w:tcBorders>
            <w:shd w:val="clear" w:color="auto" w:fill="D2D2D2"/>
          </w:tcPr>
          <w:p>
            <w:pPr/>
          </w:p>
        </w:tc>
        <w:tc>
          <w:tcPr>
            <w:tcW w:w="473"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3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50"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64"/>
              <w:ind w:left="135" w:right="2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51"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64"/>
              <w:ind w:left="135" w:right="28" w:hanging="91"/>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6" w:type="dxa"/>
            <w:tcBorders>
              <w:top w:val="single" w:sz="6" w:space="0" w:color="000000"/>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9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3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84" w:hRule="exact"/>
        </w:trPr>
        <w:tc>
          <w:tcPr>
            <w:tcW w:w="1224" w:type="dxa"/>
            <w:vMerge/>
            <w:tcBorders>
              <w:left w:val="single" w:sz="6" w:space="0" w:color="000000"/>
              <w:right w:val="single" w:sz="6" w:space="0" w:color="000000"/>
            </w:tcBorders>
            <w:shd w:val="clear" w:color="auto" w:fill="D2D2D2"/>
          </w:tcPr>
          <w:p>
            <w:pPr/>
          </w:p>
        </w:tc>
        <w:tc>
          <w:tcPr>
            <w:tcW w:w="473" w:type="dxa"/>
            <w:vMerge/>
            <w:tcBorders>
              <w:left w:val="single" w:sz="6" w:space="0" w:color="000000"/>
              <w:bottom w:val="nil" w:sz="6" w:space="0" w:color="auto"/>
              <w:right w:val="single" w:sz="6" w:space="0" w:color="000000"/>
            </w:tcBorders>
            <w:shd w:val="clear" w:color="auto" w:fill="D2D2D2"/>
          </w:tcPr>
          <w:p>
            <w:pPr/>
          </w:p>
        </w:tc>
        <w:tc>
          <w:tcPr>
            <w:tcW w:w="450" w:type="dxa"/>
            <w:vMerge/>
            <w:tcBorders>
              <w:left w:val="single" w:sz="6" w:space="0" w:color="000000"/>
              <w:right w:val="single" w:sz="6" w:space="0" w:color="000000"/>
            </w:tcBorders>
            <w:shd w:val="clear" w:color="auto" w:fill="D2D2D2"/>
          </w:tcPr>
          <w:p>
            <w:pPr/>
          </w:p>
        </w:tc>
        <w:tc>
          <w:tcPr>
            <w:tcW w:w="451" w:type="dxa"/>
            <w:vMerge/>
            <w:tcBorders>
              <w:left w:val="single" w:sz="6" w:space="0" w:color="000000"/>
              <w:right w:val="single" w:sz="6" w:space="0" w:color="000000"/>
            </w:tcBorders>
            <w:shd w:val="clear" w:color="auto" w:fill="D2D2D2"/>
          </w:tcPr>
          <w:p>
            <w:pPr/>
          </w:p>
        </w:tc>
        <w:tc>
          <w:tcPr>
            <w:tcW w:w="4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0"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single" w:sz="18" w:space="0" w:color="FFFFFF"/>
              <w:right w:val="single" w:sz="6" w:space="0" w:color="000000"/>
            </w:tcBorders>
            <w:shd w:val="clear" w:color="auto" w:fill="D2D2D2"/>
          </w:tcPr>
          <w:p>
            <w:pPr/>
          </w:p>
        </w:tc>
        <w:tc>
          <w:tcPr>
            <w:tcW w:w="631" w:type="dxa"/>
            <w:vMerge/>
            <w:tcBorders>
              <w:left w:val="single" w:sz="6" w:space="0" w:color="000000"/>
              <w:bottom w:val="single" w:sz="18" w:space="0" w:color="FFFFFF"/>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39" w:hRule="exact"/>
        </w:trPr>
        <w:tc>
          <w:tcPr>
            <w:tcW w:w="1224" w:type="dxa"/>
            <w:vMerge/>
            <w:tcBorders>
              <w:left w:val="single" w:sz="6" w:space="0" w:color="000000"/>
              <w:right w:val="single" w:sz="6" w:space="0" w:color="000000"/>
            </w:tcBorders>
            <w:shd w:val="clear" w:color="auto" w:fill="D2D2D2"/>
          </w:tcPr>
          <w:p>
            <w:pPr/>
          </w:p>
        </w:tc>
        <w:tc>
          <w:tcPr>
            <w:tcW w:w="473" w:type="dxa"/>
            <w:vMerge w:val="restart"/>
            <w:tcBorders>
              <w:top w:val="nil" w:sz="6" w:space="0" w:color="auto"/>
              <w:left w:val="single" w:sz="6" w:space="0" w:color="000000"/>
              <w:right w:val="single" w:sz="6" w:space="0" w:color="000000"/>
            </w:tcBorders>
            <w:shd w:val="clear" w:color="auto" w:fill="D2D2D2"/>
          </w:tcPr>
          <w:p>
            <w:pPr/>
          </w:p>
        </w:tc>
        <w:tc>
          <w:tcPr>
            <w:tcW w:w="450" w:type="dxa"/>
            <w:vMerge/>
            <w:tcBorders>
              <w:left w:val="single" w:sz="6" w:space="0" w:color="000000"/>
              <w:right w:val="single" w:sz="6" w:space="0" w:color="000000"/>
            </w:tcBorders>
            <w:shd w:val="clear" w:color="auto" w:fill="D2D2D2"/>
          </w:tcPr>
          <w:p>
            <w:pPr/>
          </w:p>
        </w:tc>
        <w:tc>
          <w:tcPr>
            <w:tcW w:w="451" w:type="dxa"/>
            <w:vMerge/>
            <w:tcBorders>
              <w:left w:val="single" w:sz="6" w:space="0" w:color="000000"/>
              <w:right w:val="single" w:sz="6" w:space="0" w:color="000000"/>
            </w:tcBorders>
            <w:shd w:val="clear" w:color="auto" w:fill="D2D2D2"/>
          </w:tcPr>
          <w:p>
            <w:pPr/>
          </w:p>
        </w:tc>
        <w:tc>
          <w:tcPr>
            <w:tcW w:w="496" w:type="dxa"/>
            <w:vMerge/>
            <w:tcBorders>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1" w:type="dxa"/>
            <w:vMerge w:val="restart"/>
            <w:tcBorders>
              <w:top w:val="single" w:sz="18" w:space="0" w:color="FFFFFF"/>
              <w:left w:val="single" w:sz="6" w:space="0" w:color="000000"/>
              <w:right w:val="single" w:sz="6" w:space="0" w:color="000000"/>
            </w:tcBorders>
            <w:shd w:val="clear" w:color="auto" w:fill="D2D2D2"/>
          </w:tcPr>
          <w:p>
            <w:pPr/>
          </w:p>
        </w:tc>
        <w:tc>
          <w:tcPr>
            <w:tcW w:w="631" w:type="dxa"/>
            <w:vMerge w:val="restart"/>
            <w:tcBorders>
              <w:top w:val="single" w:sz="18" w:space="0" w:color="FFFFFF"/>
              <w:left w:val="single" w:sz="6" w:space="0" w:color="000000"/>
              <w:right w:val="single" w:sz="6" w:space="0" w:color="000000"/>
            </w:tcBorders>
            <w:shd w:val="clear" w:color="auto" w:fill="D2D2D2"/>
          </w:tcPr>
          <w:p>
            <w:pPr/>
          </w:p>
        </w:tc>
        <w:tc>
          <w:tcPr>
            <w:tcW w:w="661" w:type="dxa"/>
            <w:vMerge/>
            <w:tcBorders>
              <w:left w:val="single" w:sz="6" w:space="0" w:color="000000"/>
              <w:bottom w:val="nil" w:sz="6" w:space="0" w:color="auto"/>
              <w:right w:val="single" w:sz="6" w:space="0" w:color="000000"/>
            </w:tcBorders>
            <w:shd w:val="clear" w:color="auto" w:fill="D2D2D2"/>
          </w:tcPr>
          <w:p>
            <w:pPr/>
          </w:p>
        </w:tc>
      </w:tr>
      <w:tr>
        <w:trPr>
          <w:trHeight w:val="214" w:hRule="exact"/>
        </w:trPr>
        <w:tc>
          <w:tcPr>
            <w:tcW w:w="1224" w:type="dxa"/>
            <w:vMerge/>
            <w:tcBorders>
              <w:left w:val="single" w:sz="6" w:space="0" w:color="000000"/>
              <w:bottom w:val="single" w:sz="6" w:space="0" w:color="000000"/>
              <w:right w:val="single" w:sz="6" w:space="0" w:color="000000"/>
            </w:tcBorders>
            <w:shd w:val="clear" w:color="auto" w:fill="D2D2D2"/>
          </w:tcPr>
          <w:p>
            <w:pPr/>
          </w:p>
        </w:tc>
        <w:tc>
          <w:tcPr>
            <w:tcW w:w="473" w:type="dxa"/>
            <w:vMerge/>
            <w:tcBorders>
              <w:left w:val="single" w:sz="6" w:space="0" w:color="000000"/>
              <w:bottom w:val="single" w:sz="6" w:space="0" w:color="000000"/>
              <w:right w:val="single" w:sz="6" w:space="0" w:color="000000"/>
            </w:tcBorders>
            <w:shd w:val="clear" w:color="auto" w:fill="D2D2D2"/>
          </w:tcPr>
          <w:p>
            <w:pPr/>
          </w:p>
        </w:tc>
        <w:tc>
          <w:tcPr>
            <w:tcW w:w="450" w:type="dxa"/>
            <w:vMerge/>
            <w:tcBorders>
              <w:left w:val="single" w:sz="6" w:space="0" w:color="000000"/>
              <w:bottom w:val="single" w:sz="6" w:space="0" w:color="000000"/>
              <w:right w:val="single" w:sz="6" w:space="0" w:color="000000"/>
            </w:tcBorders>
            <w:shd w:val="clear" w:color="auto" w:fill="D2D2D2"/>
          </w:tcPr>
          <w:p>
            <w:pPr/>
          </w:p>
        </w:tc>
        <w:tc>
          <w:tcPr>
            <w:tcW w:w="451" w:type="dxa"/>
            <w:vMerge/>
            <w:tcBorders>
              <w:left w:val="single" w:sz="6" w:space="0" w:color="000000"/>
              <w:bottom w:val="single" w:sz="6" w:space="0" w:color="000000"/>
              <w:right w:val="single" w:sz="6" w:space="0" w:color="000000"/>
            </w:tcBorders>
            <w:shd w:val="clear" w:color="auto" w:fill="D2D2D2"/>
          </w:tcPr>
          <w:p>
            <w:pPr/>
          </w:p>
        </w:tc>
        <w:tc>
          <w:tcPr>
            <w:tcW w:w="496" w:type="dxa"/>
            <w:tcBorders>
              <w:top w:val="nil" w:sz="6" w:space="0" w:color="auto"/>
              <w:left w:val="single" w:sz="6" w:space="0" w:color="000000"/>
              <w:bottom w:val="single" w:sz="6" w:space="0" w:color="000000"/>
              <w:right w:val="single" w:sz="6" w:space="0" w:color="000000"/>
            </w:tcBorders>
            <w:shd w:val="clear" w:color="auto" w:fill="D2D2D2"/>
          </w:tcPr>
          <w:p>
            <w:pPr/>
          </w:p>
        </w:tc>
        <w:tc>
          <w:tcPr>
            <w:tcW w:w="570" w:type="dxa"/>
            <w:tcBorders>
              <w:top w:val="nil" w:sz="6" w:space="0" w:color="auto"/>
              <w:left w:val="single" w:sz="6" w:space="0" w:color="000000"/>
              <w:bottom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85"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tcBorders>
              <w:top w:val="nil" w:sz="6" w:space="0" w:color="auto"/>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631" w:type="dxa"/>
            <w:vMerge/>
            <w:tcBorders>
              <w:left w:val="single" w:sz="6" w:space="0" w:color="000000"/>
              <w:bottom w:val="single" w:sz="6" w:space="0" w:color="000000"/>
              <w:right w:val="single" w:sz="6" w:space="0" w:color="000000"/>
            </w:tcBorders>
            <w:shd w:val="clear" w:color="auto" w:fill="D2D2D2"/>
          </w:tcPr>
          <w:p>
            <w:pPr/>
          </w:p>
        </w:tc>
        <w:tc>
          <w:tcPr>
            <w:tcW w:w="66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036"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07" w:lineRule="auto"/>
              <w:ind w:left="15" w:right="113"/>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416,7</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60,30</w:t>
            </w:r>
          </w:p>
          <w:p>
            <w:pPr>
              <w:pStyle w:val="TableParagraph"/>
              <w:spacing w:line="240" w:lineRule="auto" w:before="93"/>
              <w:ind w:left="120" w:right="0"/>
              <w:jc w:val="left"/>
              <w:rPr>
                <w:rFonts w:ascii="Times New Roman" w:hAnsi="Times New Roman" w:cs="Times New Roman" w:eastAsia="Times New Roman" w:hint="default"/>
                <w:sz w:val="18"/>
                <w:szCs w:val="18"/>
              </w:rPr>
            </w:pPr>
            <w:r>
              <w:rPr>
                <w:rFonts w:ascii="Times New Roman"/>
                <w:sz w:val="18"/>
              </w:rPr>
              <w:t>0.00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452,22</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1,187.</w:t>
            </w:r>
          </w:p>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z w:val="18"/>
              </w:rPr>
              <w:t>29</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153,23</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6,709.</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24" w:space="0" w:color="D2D2D2"/>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60,545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,747.4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w:t>
            </w:r>
          </w:p>
        </w:tc>
        <w:tc>
          <w:tcPr>
            <w:tcW w:w="586" w:type="dxa"/>
            <w:tcBorders>
              <w:top w:val="single" w:sz="24" w:space="0" w:color="D2D2D2"/>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381,98</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6,961.</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71</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1,158,</w:t>
            </w:r>
          </w:p>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277,48</w:t>
            </w:r>
          </w:p>
          <w:p>
            <w:pPr>
              <w:pStyle w:val="TableParagraph"/>
              <w:spacing w:line="240" w:lineRule="auto" w:before="93"/>
              <w:ind w:left="180" w:right="0"/>
              <w:jc w:val="center"/>
              <w:rPr>
                <w:rFonts w:ascii="Times New Roman" w:hAnsi="Times New Roman" w:cs="Times New Roman" w:eastAsia="Times New Roman" w:hint="default"/>
                <w:sz w:val="18"/>
                <w:szCs w:val="18"/>
              </w:rPr>
            </w:pPr>
            <w:r>
              <w:rPr>
                <w:rFonts w:ascii="Times New Roman"/>
                <w:sz w:val="18"/>
              </w:rPr>
              <w:t>7.44</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12,732,</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049.45</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1,171,0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09,536.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89</w:t>
            </w:r>
          </w:p>
        </w:tc>
      </w:tr>
      <w:tr>
        <w:trPr>
          <w:trHeight w:val="706"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11"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73"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6"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73"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17"/>
        <w:gridCol w:w="481"/>
        <w:gridCol w:w="450"/>
        <w:gridCol w:w="451"/>
        <w:gridCol w:w="496"/>
        <w:gridCol w:w="570"/>
        <w:gridCol w:w="586"/>
        <w:gridCol w:w="571"/>
        <w:gridCol w:w="585"/>
        <w:gridCol w:w="571"/>
        <w:gridCol w:w="586"/>
        <w:gridCol w:w="586"/>
        <w:gridCol w:w="571"/>
        <w:gridCol w:w="571"/>
        <w:gridCol w:w="631"/>
        <w:gridCol w:w="661"/>
      </w:tblGrid>
      <w:tr>
        <w:trPr>
          <w:trHeight w:val="10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03" w:firstLine="721"/>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147,42</w:t>
            </w:r>
          </w:p>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z w:val="18"/>
              </w:rPr>
              <w:t>8,285.</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50</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323,42</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4.67</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5,699,</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873.94</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153,45</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1,584.</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11</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355,466</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,897.55</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508,918</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,481.66</w:t>
            </w: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416,7</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60,30</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0.00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599,64</w:t>
            </w:r>
          </w:p>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z w:val="18"/>
              </w:rPr>
              <w:t>9,472.</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79</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153,23</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6,709.</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323,42</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4.67</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60,545</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,747.4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387,68</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6,835.</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65</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1,311,</w:t>
            </w:r>
          </w:p>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729,07</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1.55</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368,198</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,947.00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1,679,9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28,018.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55</w:t>
            </w:r>
          </w:p>
        </w:tc>
      </w:tr>
      <w:tr>
        <w:trPr>
          <w:trHeight w:val="13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04"/>
              <w:jc w:val="left"/>
              <w:rPr>
                <w:rFonts w:ascii="宋体" w:hAnsi="宋体" w:cs="宋体" w:eastAsia="宋体" w:hint="default"/>
                <w:sz w:val="18"/>
                <w:szCs w:val="18"/>
              </w:rPr>
            </w:pPr>
            <w:r>
              <w:rPr>
                <w:rFonts w:ascii="宋体" w:hAnsi="宋体" w:cs="宋体" w:eastAsia="宋体" w:hint="default"/>
                <w:sz w:val="18"/>
                <w:szCs w:val="18"/>
              </w:rPr>
              <w:t>三、本期增减 变动金额（减</w:t>
            </w:r>
          </w:p>
          <w:p>
            <w:pPr>
              <w:pStyle w:val="TableParagraph"/>
              <w:spacing w:line="276" w:lineRule="auto" w:before="33"/>
              <w:ind w:left="15" w:right="118"/>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5"/>
                <w:sz w:val="18"/>
                <w:szCs w:val="18"/>
              </w:rPr>
              <w:t> </w:t>
            </w:r>
            <w:r>
              <w:rPr>
                <w:rFonts w:ascii="宋体" w:hAnsi="宋体" w:cs="宋体" w:eastAsia="宋体" w:hint="default"/>
                <w:sz w:val="18"/>
                <w:szCs w:val="18"/>
              </w:rPr>
              <w:t>列）</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12,46</w:t>
            </w:r>
          </w:p>
          <w:p>
            <w:pPr>
              <w:pStyle w:val="TableParagraph"/>
              <w:spacing w:line="240" w:lineRule="auto" w:before="93"/>
              <w:ind w:left="29"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259,25</w:t>
            </w:r>
          </w:p>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z w:val="18"/>
              </w:rPr>
              <w:t>0,336.</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90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71,366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,961.1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-15,36</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7.18</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16,727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,248.0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149,40</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9,524.</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76</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366,46</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4,781.</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41</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632,783</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,151.82</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999,247</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,933.23</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104"/>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-15,36</w:t>
            </w:r>
          </w:p>
          <w:p>
            <w:pPr>
              <w:pStyle w:val="TableParagraph"/>
              <w:spacing w:line="240" w:lineRule="auto" w:before="93"/>
              <w:ind w:left="209" w:right="0"/>
              <w:jc w:val="center"/>
              <w:rPr>
                <w:rFonts w:ascii="Times New Roman" w:hAnsi="Times New Roman" w:cs="Times New Roman" w:eastAsia="Times New Roman" w:hint="default"/>
                <w:sz w:val="18"/>
                <w:szCs w:val="18"/>
              </w:rPr>
            </w:pPr>
            <w:r>
              <w:rPr>
                <w:rFonts w:ascii="Times New Roman"/>
                <w:sz w:val="18"/>
              </w:rPr>
              <w:t>7.18</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187,39</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1,547.</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30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187,37</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6,180.</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12</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112,051</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,850.01</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299,428</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,030.13</w:t>
            </w: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04"/>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12,46</w:t>
            </w:r>
          </w:p>
          <w:p>
            <w:pPr>
              <w:pStyle w:val="TableParagraph"/>
              <w:spacing w:line="240" w:lineRule="auto" w:before="93"/>
              <w:ind w:left="29"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259,25</w:t>
            </w:r>
          </w:p>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z w:val="18"/>
              </w:rPr>
              <w:t>0,336.</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90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71,966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,736.4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199,74</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3,600.</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44</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520,731</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,301.81</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720,474</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,902.25</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73" w:lineRule="auto"/>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的普通股</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center"/>
              <w:rPr>
                <w:rFonts w:ascii="Times New Roman" w:hAnsi="Times New Roman" w:cs="Times New Roman" w:eastAsia="Times New Roman" w:hint="default"/>
                <w:sz w:val="18"/>
                <w:szCs w:val="18"/>
              </w:rPr>
            </w:pPr>
            <w:r>
              <w:rPr>
                <w:rFonts w:ascii="Times New Roman"/>
                <w:sz w:val="18"/>
              </w:rPr>
              <w:t>12,46</w:t>
            </w:r>
          </w:p>
          <w:p>
            <w:pPr>
              <w:pStyle w:val="TableParagraph"/>
              <w:spacing w:line="240" w:lineRule="auto" w:before="108"/>
              <w:ind w:left="29"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89,971</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,824.0</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102,43</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1,824.</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2,250,0</w:t>
            </w:r>
          </w:p>
          <w:p>
            <w:pPr>
              <w:pStyle w:val="TableParagraph"/>
              <w:spacing w:line="240" w:lineRule="auto" w:before="93"/>
              <w:ind w:left="179" w:right="0"/>
              <w:jc w:val="center"/>
              <w:rPr>
                <w:rFonts w:ascii="Times New Roman" w:hAnsi="Times New Roman" w:cs="Times New Roman" w:eastAsia="Times New Roman" w:hint="default"/>
                <w:sz w:val="18"/>
                <w:szCs w:val="18"/>
              </w:rPr>
            </w:pPr>
            <w:r>
              <w:rPr>
                <w:rFonts w:ascii="Times New Roman"/>
                <w:sz w:val="18"/>
              </w:rPr>
              <w:t>00.00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2,250,0</w:t>
            </w:r>
          </w:p>
          <w:p>
            <w:pPr>
              <w:pStyle w:val="TableParagraph"/>
              <w:spacing w:line="240" w:lineRule="auto" w:before="93"/>
              <w:ind w:left="210" w:right="0"/>
              <w:jc w:val="center"/>
              <w:rPr>
                <w:rFonts w:ascii="Times New Roman" w:hAnsi="Times New Roman" w:cs="Times New Roman" w:eastAsia="Times New Roman" w:hint="default"/>
                <w:sz w:val="18"/>
                <w:szCs w:val="18"/>
              </w:rPr>
            </w:pPr>
            <w:r>
              <w:rPr>
                <w:rFonts w:ascii="Times New Roman"/>
                <w:sz w:val="18"/>
              </w:rPr>
              <w:t>00.00</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具持有者投入 资本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入所有者权益 的金额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58,770</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,443.8</w:t>
            </w:r>
          </w:p>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z w:val="18"/>
              </w:rPr>
              <w:t>1</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-30,46</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5,087.</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54</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89,235</w:t>
            </w:r>
          </w:p>
          <w:p>
            <w:pPr>
              <w:pStyle w:val="TableParagraph"/>
              <w:spacing w:line="240" w:lineRule="auto" w:before="108"/>
              <w:ind w:right="30"/>
              <w:jc w:val="right"/>
              <w:rPr>
                <w:rFonts w:ascii="Times New Roman" w:hAnsi="Times New Roman" w:cs="Times New Roman" w:eastAsia="Times New Roman" w:hint="default"/>
                <w:sz w:val="18"/>
                <w:szCs w:val="18"/>
              </w:rPr>
            </w:pPr>
            <w:r>
              <w:rPr>
                <w:rFonts w:ascii="Times New Roman"/>
                <w:sz w:val="18"/>
              </w:rPr>
              <w:t>,531.3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5</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2,989,3</w:t>
            </w:r>
          </w:p>
          <w:p>
            <w:pPr>
              <w:pStyle w:val="TableParagraph"/>
              <w:spacing w:line="240" w:lineRule="auto" w:before="108"/>
              <w:ind w:left="179" w:right="0"/>
              <w:jc w:val="center"/>
              <w:rPr>
                <w:rFonts w:ascii="Times New Roman" w:hAnsi="Times New Roman" w:cs="Times New Roman" w:eastAsia="Times New Roman" w:hint="default"/>
                <w:sz w:val="18"/>
                <w:szCs w:val="18"/>
              </w:rPr>
            </w:pPr>
            <w:r>
              <w:rPr>
                <w:rFonts w:ascii="Times New Roman"/>
                <w:sz w:val="18"/>
              </w:rPr>
              <w:t>70.90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92,224,</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902.25</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110,50</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8,069.</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09</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110,50</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8,069.</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09</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515,491</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,930.91</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626,000</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,000.00</w:t>
            </w: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-599,7</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75.30</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16,727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,248.0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-37,98</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2,022.</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54</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-20,65</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4,999.</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15</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-20,654</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,999.15</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73" w:lineRule="auto"/>
              <w:ind w:left="15" w:right="2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．提取盈余公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积</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16,727</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,248.0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-16,72</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7,248.</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09</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．提取一般风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险准备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51"/>
              <w:ind w:left="15" w:right="104"/>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-599,7</w:t>
            </w:r>
          </w:p>
          <w:p>
            <w:pPr>
              <w:pStyle w:val="TableParagraph"/>
              <w:spacing w:line="240" w:lineRule="auto" w:before="93"/>
              <w:ind w:left="150" w:right="0"/>
              <w:jc w:val="left"/>
              <w:rPr>
                <w:rFonts w:ascii="Times New Roman" w:hAnsi="Times New Roman" w:cs="Times New Roman" w:eastAsia="Times New Roman" w:hint="default"/>
                <w:sz w:val="18"/>
                <w:szCs w:val="18"/>
              </w:rPr>
            </w:pPr>
            <w:r>
              <w:rPr>
                <w:rFonts w:ascii="Times New Roman"/>
                <w:sz w:val="18"/>
              </w:rPr>
              <w:t>75.30</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-21,25</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4,774.</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45</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-20,65</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4,999.</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15</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-20,654</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,999.15</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17"/>
        <w:gridCol w:w="481"/>
        <w:gridCol w:w="450"/>
        <w:gridCol w:w="451"/>
        <w:gridCol w:w="496"/>
        <w:gridCol w:w="570"/>
        <w:gridCol w:w="586"/>
        <w:gridCol w:w="571"/>
        <w:gridCol w:w="585"/>
        <w:gridCol w:w="571"/>
        <w:gridCol w:w="586"/>
        <w:gridCol w:w="586"/>
        <w:gridCol w:w="571"/>
        <w:gridCol w:w="571"/>
        <w:gridCol w:w="631"/>
        <w:gridCol w:w="661"/>
      </w:tblGrid>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04"/>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补亏损</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．设定受益计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划变动额结转 留存收益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．其他综合收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益结转留存收 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104"/>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429,2</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20,30</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0.00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858,89</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9,809.</w:t>
            </w:r>
          </w:p>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z w:val="18"/>
              </w:rPr>
              <w:t>69</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224,60</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3,670.</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16</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308,05</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7.49</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77,272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,995.5</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537,09</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6,360.</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41</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1,678,</w:t>
            </w:r>
          </w:p>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193,85</w:t>
            </w:r>
          </w:p>
          <w:p>
            <w:pPr>
              <w:pStyle w:val="TableParagraph"/>
              <w:spacing w:line="240" w:lineRule="auto" w:before="93"/>
              <w:ind w:left="180" w:right="0"/>
              <w:jc w:val="center"/>
              <w:rPr>
                <w:rFonts w:ascii="Times New Roman" w:hAnsi="Times New Roman" w:cs="Times New Roman" w:eastAsia="Times New Roman" w:hint="default"/>
                <w:sz w:val="18"/>
                <w:szCs w:val="18"/>
              </w:rPr>
            </w:pPr>
            <w:r>
              <w:rPr>
                <w:rFonts w:ascii="Times New Roman"/>
                <w:sz w:val="18"/>
              </w:rPr>
              <w:t>2.96</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1,000,9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82,098.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82</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2,679,1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75,951.</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78</w:t>
            </w:r>
          </w:p>
        </w:tc>
      </w:tr>
    </w:tbl>
    <w:p>
      <w:pPr>
        <w:spacing w:line="240" w:lineRule="auto" w:before="7"/>
        <w:rPr>
          <w:rFonts w:ascii="Times New Roman" w:hAnsi="Times New Roman" w:cs="Times New Roman" w:eastAsia="Times New Roman" w:hint="default"/>
          <w:sz w:val="22"/>
          <w:szCs w:val="22"/>
        </w:rPr>
      </w:pPr>
    </w:p>
    <w:p>
      <w:pPr>
        <w:pStyle w:val="Heading3"/>
        <w:spacing w:line="240" w:lineRule="auto" w:before="35"/>
        <w:ind w:right="1105"/>
        <w:jc w:val="left"/>
        <w:rPr>
          <w:b w:val="0"/>
          <w:bCs w:val="0"/>
        </w:rPr>
      </w:pPr>
      <w:bookmarkStart w:name="8、母公司所有者权益变动表" w:id="164"/>
      <w:bookmarkEnd w:id="16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5"/>
        <w:jc w:val="left"/>
      </w:pPr>
      <w:r>
        <w:rPr/>
        <w:t>本期金额</w:t>
      </w:r>
    </w:p>
    <w:p>
      <w:pPr>
        <w:pStyle w:val="BodyText"/>
        <w:spacing w:line="240" w:lineRule="auto" w:before="125"/>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07"/>
        <w:gridCol w:w="631"/>
        <w:gridCol w:w="601"/>
        <w:gridCol w:w="601"/>
        <w:gridCol w:w="615"/>
        <w:gridCol w:w="721"/>
        <w:gridCol w:w="736"/>
        <w:gridCol w:w="721"/>
        <w:gridCol w:w="736"/>
        <w:gridCol w:w="721"/>
        <w:gridCol w:w="616"/>
        <w:gridCol w:w="706"/>
        <w:gridCol w:w="871"/>
      </w:tblGrid>
      <w:tr>
        <w:trPr>
          <w:trHeight w:val="428" w:hRule="exact"/>
        </w:trPr>
        <w:tc>
          <w:tcPr>
            <w:tcW w:w="13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8275"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180" w:hRule="exact"/>
        </w:trPr>
        <w:tc>
          <w:tcPr>
            <w:tcW w:w="1307" w:type="dxa"/>
            <w:vMerge/>
            <w:tcBorders>
              <w:left w:val="single" w:sz="6" w:space="0" w:color="000000"/>
              <w:right w:val="single" w:sz="6" w:space="0" w:color="000000"/>
            </w:tcBorders>
            <w:shd w:val="clear" w:color="auto" w:fill="D2D2D2"/>
          </w:tcPr>
          <w:p>
            <w:pPr/>
          </w:p>
        </w:tc>
        <w:tc>
          <w:tcPr>
            <w:tcW w:w="631" w:type="dxa"/>
            <w:tcBorders>
              <w:top w:val="single" w:sz="6" w:space="0" w:color="000000"/>
              <w:left w:val="single" w:sz="6" w:space="0" w:color="000000"/>
              <w:bottom w:val="nil" w:sz="6" w:space="0" w:color="auto"/>
              <w:right w:val="single" w:sz="6" w:space="0" w:color="000000"/>
            </w:tcBorders>
            <w:shd w:val="clear" w:color="auto" w:fill="D2D2D2"/>
          </w:tcPr>
          <w:p>
            <w:pPr/>
          </w:p>
        </w:tc>
        <w:tc>
          <w:tcPr>
            <w:tcW w:w="181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2"/>
              <w:ind w:left="34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7"/>
              <w:ind w:left="255" w:right="90"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7"/>
              <w:ind w:left="270" w:right="15" w:hanging="241"/>
              <w:jc w:val="left"/>
              <w:rPr>
                <w:rFonts w:ascii="宋体" w:hAnsi="宋体" w:cs="宋体" w:eastAsia="宋体" w:hint="default"/>
                <w:sz w:val="18"/>
                <w:szCs w:val="18"/>
              </w:rPr>
            </w:pPr>
            <w:r>
              <w:rPr>
                <w:rFonts w:ascii="宋体" w:hAnsi="宋体" w:cs="宋体" w:eastAsia="宋体" w:hint="default"/>
                <w:spacing w:val="-12"/>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7"/>
              <w:ind w:left="75" w:right="9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7"/>
              <w:ind w:left="270" w:right="8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7"/>
              <w:ind w:left="254" w:right="8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7"/>
              <w:ind w:left="105" w:right="44" w:hanging="91"/>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06" w:type="dxa"/>
            <w:tcBorders>
              <w:top w:val="single" w:sz="6" w:space="0" w:color="000000"/>
              <w:left w:val="single" w:sz="6" w:space="0" w:color="000000"/>
              <w:bottom w:val="nil" w:sz="6" w:space="0" w:color="auto"/>
              <w:right w:val="single" w:sz="6" w:space="0" w:color="000000"/>
            </w:tcBorders>
            <w:shd w:val="clear" w:color="auto" w:fill="D2D2D2"/>
          </w:tcPr>
          <w:p>
            <w:pPr/>
          </w:p>
        </w:tc>
        <w:tc>
          <w:tcPr>
            <w:tcW w:w="871"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7"/>
              <w:ind w:left="165" w:right="58"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203" w:hRule="exact"/>
        </w:trPr>
        <w:tc>
          <w:tcPr>
            <w:tcW w:w="1307" w:type="dxa"/>
            <w:vMerge/>
            <w:tcBorders>
              <w:left w:val="single" w:sz="6" w:space="0" w:color="000000"/>
              <w:right w:val="single" w:sz="6" w:space="0" w:color="000000"/>
            </w:tcBorders>
            <w:shd w:val="clear" w:color="auto" w:fill="D2D2D2"/>
          </w:tcPr>
          <w:p>
            <w:pPr/>
          </w:p>
        </w:tc>
        <w:tc>
          <w:tcPr>
            <w:tcW w:w="63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7" w:type="dxa"/>
            <w:gridSpan w:val="3"/>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616" w:type="dxa"/>
            <w:vMerge/>
            <w:tcBorders>
              <w:left w:val="single" w:sz="6" w:space="0" w:color="000000"/>
              <w:right w:val="single" w:sz="6" w:space="0" w:color="000000"/>
            </w:tcBorders>
            <w:shd w:val="clear" w:color="auto" w:fill="D2D2D2"/>
          </w:tcPr>
          <w:p>
            <w:pPr/>
          </w:p>
        </w:tc>
        <w:tc>
          <w:tcPr>
            <w:tcW w:w="70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6" w:space="0" w:color="000000"/>
              <w:right w:val="single" w:sz="6" w:space="0" w:color="000000"/>
            </w:tcBorders>
            <w:shd w:val="clear" w:color="auto" w:fill="D2D2D2"/>
          </w:tcPr>
          <w:p>
            <w:pPr/>
          </w:p>
        </w:tc>
      </w:tr>
      <w:tr>
        <w:trPr>
          <w:trHeight w:val="188" w:hRule="exact"/>
        </w:trPr>
        <w:tc>
          <w:tcPr>
            <w:tcW w:w="1307" w:type="dxa"/>
            <w:vMerge/>
            <w:tcBorders>
              <w:left w:val="single" w:sz="6" w:space="0" w:color="000000"/>
              <w:right w:val="single" w:sz="6" w:space="0" w:color="000000"/>
            </w:tcBorders>
            <w:shd w:val="clear" w:color="auto" w:fill="D2D2D2"/>
          </w:tcPr>
          <w:p>
            <w:pPr/>
          </w:p>
        </w:tc>
        <w:tc>
          <w:tcPr>
            <w:tcW w:w="631" w:type="dxa"/>
            <w:vMerge/>
            <w:tcBorders>
              <w:left w:val="single" w:sz="6" w:space="0" w:color="000000"/>
              <w:bottom w:val="nil" w:sz="6" w:space="0" w:color="auto"/>
              <w:right w:val="single" w:sz="6" w:space="0" w:color="000000"/>
            </w:tcBorders>
            <w:shd w:val="clear" w:color="auto" w:fill="D2D2D2"/>
          </w:tcPr>
          <w:p>
            <w:pPr/>
          </w:p>
        </w:tc>
        <w:tc>
          <w:tcPr>
            <w:tcW w:w="6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1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616" w:type="dxa"/>
            <w:vMerge/>
            <w:tcBorders>
              <w:left w:val="single" w:sz="6" w:space="0" w:color="000000"/>
              <w:right w:val="single" w:sz="6" w:space="0" w:color="000000"/>
            </w:tcBorders>
            <w:shd w:val="clear" w:color="auto" w:fill="D2D2D2"/>
          </w:tcPr>
          <w:p>
            <w:pPr/>
          </w:p>
        </w:tc>
        <w:tc>
          <w:tcPr>
            <w:tcW w:w="706" w:type="dxa"/>
            <w:vMerge/>
            <w:tcBorders>
              <w:left w:val="single" w:sz="6" w:space="0" w:color="000000"/>
              <w:bottom w:val="nil" w:sz="6" w:space="0" w:color="auto"/>
              <w:right w:val="single" w:sz="6" w:space="0" w:color="000000"/>
            </w:tcBorders>
            <w:shd w:val="clear" w:color="auto" w:fill="D2D2D2"/>
          </w:tcPr>
          <w:p>
            <w:pPr/>
          </w:p>
        </w:tc>
        <w:tc>
          <w:tcPr>
            <w:tcW w:w="871" w:type="dxa"/>
            <w:vMerge/>
            <w:tcBorders>
              <w:left w:val="single" w:sz="6" w:space="0" w:color="000000"/>
              <w:right w:val="single" w:sz="6" w:space="0" w:color="000000"/>
            </w:tcBorders>
            <w:shd w:val="clear" w:color="auto" w:fill="D2D2D2"/>
          </w:tcPr>
          <w:p>
            <w:pPr/>
          </w:p>
        </w:tc>
      </w:tr>
      <w:tr>
        <w:trPr>
          <w:trHeight w:val="218" w:hRule="exact"/>
        </w:trPr>
        <w:tc>
          <w:tcPr>
            <w:tcW w:w="1307" w:type="dxa"/>
            <w:vMerge/>
            <w:tcBorders>
              <w:left w:val="single" w:sz="6" w:space="0" w:color="000000"/>
              <w:bottom w:val="single" w:sz="6" w:space="0" w:color="000000"/>
              <w:right w:val="single" w:sz="6" w:space="0" w:color="000000"/>
            </w:tcBorders>
            <w:shd w:val="clear" w:color="auto" w:fill="D2D2D2"/>
          </w:tcPr>
          <w:p>
            <w:pPr/>
          </w:p>
        </w:tc>
        <w:tc>
          <w:tcPr>
            <w:tcW w:w="631" w:type="dxa"/>
            <w:tcBorders>
              <w:top w:val="nil" w:sz="6" w:space="0" w:color="auto"/>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615"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616" w:type="dxa"/>
            <w:vMerge/>
            <w:tcBorders>
              <w:left w:val="single" w:sz="6" w:space="0" w:color="000000"/>
              <w:bottom w:val="single" w:sz="6" w:space="0" w:color="000000"/>
              <w:right w:val="single" w:sz="6" w:space="0" w:color="000000"/>
            </w:tcBorders>
            <w:shd w:val="clear" w:color="auto" w:fill="D2D2D2"/>
          </w:tcPr>
          <w:p>
            <w:pPr/>
          </w:p>
        </w:tc>
        <w:tc>
          <w:tcPr>
            <w:tcW w:w="706" w:type="dxa"/>
            <w:tcBorders>
              <w:top w:val="nil" w:sz="6" w:space="0" w:color="auto"/>
              <w:left w:val="single" w:sz="6" w:space="0" w:color="000000"/>
              <w:bottom w:val="single" w:sz="6" w:space="0" w:color="000000"/>
              <w:right w:val="single" w:sz="6" w:space="0" w:color="000000"/>
            </w:tcBorders>
            <w:shd w:val="clear" w:color="auto" w:fill="D2D2D2"/>
          </w:tcPr>
          <w:p>
            <w:pPr/>
          </w:p>
        </w:tc>
        <w:tc>
          <w:tcPr>
            <w:tcW w:w="871" w:type="dxa"/>
            <w:vMerge/>
            <w:tcBorders>
              <w:left w:val="single" w:sz="6" w:space="0" w:color="000000"/>
              <w:bottom w:val="single" w:sz="6" w:space="0" w:color="000000"/>
              <w:right w:val="single" w:sz="6" w:space="0" w:color="000000"/>
            </w:tcBorders>
            <w:shd w:val="clear" w:color="auto" w:fill="D2D2D2"/>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29"/>
              <w:jc w:val="left"/>
              <w:rPr>
                <w:rFonts w:ascii="宋体" w:hAnsi="宋体" w:cs="宋体" w:eastAsia="宋体" w:hint="default"/>
                <w:sz w:val="18"/>
                <w:szCs w:val="18"/>
              </w:rPr>
            </w:pPr>
            <w:r>
              <w:rPr>
                <w:rFonts w:ascii="宋体" w:hAnsi="宋体" w:cs="宋体" w:eastAsia="宋体" w:hint="default"/>
                <w:spacing w:val="-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429,22</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0,300.0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602,386,</w:t>
            </w:r>
          </w:p>
          <w:p>
            <w:pPr>
              <w:pStyle w:val="TableParagraph"/>
              <w:spacing w:line="240" w:lineRule="auto" w:before="93"/>
              <w:ind w:left="180" w:right="0"/>
              <w:jc w:val="center"/>
              <w:rPr>
                <w:rFonts w:ascii="Times New Roman" w:hAnsi="Times New Roman" w:cs="Times New Roman" w:eastAsia="Times New Roman" w:hint="default"/>
                <w:sz w:val="18"/>
                <w:szCs w:val="18"/>
              </w:rPr>
            </w:pPr>
            <w:r>
              <w:rPr>
                <w:rFonts w:ascii="Times New Roman"/>
                <w:sz w:val="18"/>
              </w:rPr>
              <w:t>046.83</w:t>
            </w:r>
          </w:p>
        </w:tc>
        <w:tc>
          <w:tcPr>
            <w:tcW w:w="736"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224,603,</w:t>
            </w:r>
          </w:p>
          <w:p>
            <w:pPr>
              <w:pStyle w:val="TableParagraph"/>
              <w:spacing w:line="240" w:lineRule="auto" w:before="93"/>
              <w:ind w:left="195" w:right="0"/>
              <w:jc w:val="center"/>
              <w:rPr>
                <w:rFonts w:ascii="Times New Roman" w:hAnsi="Times New Roman" w:cs="Times New Roman" w:eastAsia="Times New Roman" w:hint="default"/>
                <w:sz w:val="18"/>
                <w:szCs w:val="18"/>
              </w:rPr>
            </w:pPr>
            <w:r>
              <w:rPr>
                <w:rFonts w:ascii="Times New Roman"/>
                <w:sz w:val="18"/>
              </w:rPr>
              <w:t>670.16</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24" w:space="0" w:color="D2D2D2"/>
              <w:left w:val="single" w:sz="6" w:space="0" w:color="000000"/>
              <w:bottom w:val="single" w:sz="6" w:space="0" w:color="000000"/>
              <w:right w:val="single" w:sz="6" w:space="0" w:color="000000"/>
            </w:tcBorders>
          </w:tcPr>
          <w:p>
            <w:pPr/>
          </w:p>
        </w:tc>
        <w:tc>
          <w:tcPr>
            <w:tcW w:w="72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77,272,9</w:t>
            </w:r>
          </w:p>
          <w:p>
            <w:pPr>
              <w:pStyle w:val="TableParagraph"/>
              <w:spacing w:line="240" w:lineRule="auto" w:before="93"/>
              <w:ind w:left="284" w:right="0"/>
              <w:jc w:val="left"/>
              <w:rPr>
                <w:rFonts w:ascii="Times New Roman" w:hAnsi="Times New Roman" w:cs="Times New Roman" w:eastAsia="Times New Roman" w:hint="default"/>
                <w:sz w:val="18"/>
                <w:szCs w:val="18"/>
              </w:rPr>
            </w:pPr>
            <w:r>
              <w:rPr>
                <w:rFonts w:ascii="Times New Roman"/>
                <w:sz w:val="18"/>
              </w:rPr>
              <w:t>95.53</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566,56</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1,194.3</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8</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87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1,450,836,</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866.58</w:t>
            </w:r>
          </w:p>
        </w:tc>
      </w:tr>
      <w:tr>
        <w:trPr>
          <w:trHeight w:val="7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28" w:firstLine="360"/>
              <w:jc w:val="left"/>
              <w:rPr>
                <w:rFonts w:ascii="宋体" w:hAnsi="宋体" w:cs="宋体" w:eastAsia="宋体" w:hint="default"/>
                <w:sz w:val="18"/>
                <w:szCs w:val="18"/>
              </w:rPr>
            </w:pPr>
            <w:r>
              <w:rPr>
                <w:rFonts w:ascii="宋体" w:hAnsi="宋体" w:cs="宋体" w:eastAsia="宋体" w:hint="default"/>
                <w:spacing w:val="-3"/>
                <w:sz w:val="18"/>
                <w:szCs w:val="18"/>
              </w:rPr>
              <w:t>加：会计政</w:t>
            </w:r>
            <w:r>
              <w:rPr>
                <w:rFonts w:ascii="宋体" w:hAnsi="宋体" w:cs="宋体" w:eastAsia="宋体" w:hint="default"/>
                <w:sz w:val="18"/>
                <w:szCs w:val="18"/>
              </w:rPr>
              <w:t> 策变更</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07"/>
        <w:gridCol w:w="631"/>
        <w:gridCol w:w="601"/>
        <w:gridCol w:w="601"/>
        <w:gridCol w:w="615"/>
        <w:gridCol w:w="721"/>
        <w:gridCol w:w="736"/>
        <w:gridCol w:w="721"/>
        <w:gridCol w:w="736"/>
        <w:gridCol w:w="721"/>
        <w:gridCol w:w="616"/>
        <w:gridCol w:w="706"/>
        <w:gridCol w:w="871"/>
      </w:tblGrid>
      <w:tr>
        <w:trPr>
          <w:trHeight w:val="7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429,22</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0,300.0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602,386,</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046.83</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224,603,</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670.16</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77,272,9</w:t>
            </w:r>
          </w:p>
          <w:p>
            <w:pPr>
              <w:pStyle w:val="TableParagraph"/>
              <w:spacing w:line="240" w:lineRule="auto" w:before="108"/>
              <w:ind w:left="284" w:right="0"/>
              <w:jc w:val="left"/>
              <w:rPr>
                <w:rFonts w:ascii="Times New Roman" w:hAnsi="Times New Roman" w:cs="Times New Roman" w:eastAsia="Times New Roman" w:hint="default"/>
                <w:sz w:val="18"/>
                <w:szCs w:val="18"/>
              </w:rPr>
            </w:pPr>
            <w:r>
              <w:rPr>
                <w:rFonts w:ascii="Times New Roman"/>
                <w:sz w:val="18"/>
              </w:rPr>
              <w:t>95.53</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566,56</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1,194.3</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8</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1,450,836,</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866.58</w:t>
            </w: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8" w:lineRule="auto" w:before="30"/>
              <w:ind w:left="15" w:right="29"/>
              <w:jc w:val="both"/>
              <w:rPr>
                <w:rFonts w:ascii="宋体" w:hAnsi="宋体" w:cs="宋体" w:eastAsia="宋体" w:hint="default"/>
                <w:sz w:val="18"/>
                <w:szCs w:val="18"/>
              </w:rPr>
            </w:pPr>
            <w:r>
              <w:rPr>
                <w:rFonts w:ascii="宋体" w:hAnsi="宋体" w:cs="宋体" w:eastAsia="宋体" w:hint="default"/>
                <w:spacing w:val="-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251,111</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,693.00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3,205,17</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7,462.09</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-60,253,</w:t>
            </w:r>
          </w:p>
          <w:p>
            <w:pPr>
              <w:pStyle w:val="TableParagraph"/>
              <w:spacing w:line="240" w:lineRule="auto" w:before="93"/>
              <w:ind w:left="195" w:right="0"/>
              <w:jc w:val="center"/>
              <w:rPr>
                <w:rFonts w:ascii="Times New Roman" w:hAnsi="Times New Roman" w:cs="Times New Roman" w:eastAsia="Times New Roman" w:hint="default"/>
                <w:sz w:val="18"/>
                <w:szCs w:val="18"/>
              </w:rPr>
            </w:pPr>
            <w:r>
              <w:rPr>
                <w:rFonts w:ascii="Times New Roman"/>
                <w:sz w:val="18"/>
              </w:rPr>
              <w:t>007.28</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28,943,7</w:t>
            </w:r>
          </w:p>
          <w:p>
            <w:pPr>
              <w:pStyle w:val="TableParagraph"/>
              <w:spacing w:line="240" w:lineRule="auto" w:before="93"/>
              <w:ind w:left="284" w:right="0"/>
              <w:jc w:val="left"/>
              <w:rPr>
                <w:rFonts w:ascii="Times New Roman" w:hAnsi="Times New Roman" w:cs="Times New Roman" w:eastAsia="Times New Roman" w:hint="default"/>
                <w:sz w:val="18"/>
                <w:szCs w:val="18"/>
              </w:rPr>
            </w:pPr>
            <w:r>
              <w:rPr>
                <w:rFonts w:ascii="Times New Roman"/>
                <w:sz w:val="18"/>
              </w:rPr>
              <w:t>87.55</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225,52</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4,698.7</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2</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3,771,010,</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648.64</w:t>
            </w: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289,43</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7,875.4</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9</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289,437,8</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75.49</w:t>
            </w:r>
          </w:p>
        </w:tc>
      </w:tr>
      <w:tr>
        <w:trPr>
          <w:trHeight w:val="7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pacing w:val="-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251,111</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,693.00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3,205,17</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7,462.09</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center"/>
              <w:rPr>
                <w:rFonts w:ascii="Times New Roman" w:hAnsi="Times New Roman" w:cs="Times New Roman" w:eastAsia="Times New Roman" w:hint="default"/>
                <w:sz w:val="18"/>
                <w:szCs w:val="18"/>
              </w:rPr>
            </w:pPr>
            <w:r>
              <w:rPr>
                <w:rFonts w:ascii="Times New Roman"/>
                <w:sz w:val="18"/>
              </w:rPr>
              <w:t>-58,278,</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745.52</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3,514,567,</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900.61</w:t>
            </w:r>
          </w:p>
        </w:tc>
      </w:tr>
      <w:tr>
        <w:trPr>
          <w:trHeight w:val="7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251,111</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,693.00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3,135,15</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2,107.95</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20,680,1</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08.12</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3,365,583,</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692.83</w:t>
            </w: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70,025,3</w:t>
            </w:r>
          </w:p>
          <w:p>
            <w:pPr>
              <w:pStyle w:val="TableParagraph"/>
              <w:spacing w:line="240" w:lineRule="auto" w:before="108"/>
              <w:ind w:left="285" w:right="0"/>
              <w:jc w:val="left"/>
              <w:rPr>
                <w:rFonts w:ascii="Times New Roman" w:hAnsi="Times New Roman" w:cs="Times New Roman" w:eastAsia="Times New Roman" w:hint="default"/>
                <w:sz w:val="18"/>
                <w:szCs w:val="18"/>
              </w:rPr>
            </w:pPr>
            <w:r>
              <w:rPr>
                <w:rFonts w:ascii="Times New Roman"/>
                <w:sz w:val="18"/>
              </w:rPr>
              <w:t>54.14</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-78,958,</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853.64</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148,984,2</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07.78</w:t>
            </w:r>
          </w:p>
        </w:tc>
      </w:tr>
      <w:tr>
        <w:trPr>
          <w:trHeight w:val="39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9" w:right="0"/>
              <w:jc w:val="center"/>
              <w:rPr>
                <w:rFonts w:ascii="Times New Roman" w:hAnsi="Times New Roman" w:cs="Times New Roman" w:eastAsia="Times New Roman" w:hint="default"/>
                <w:sz w:val="18"/>
                <w:szCs w:val="18"/>
              </w:rPr>
            </w:pPr>
            <w:r>
              <w:rPr>
                <w:rFonts w:ascii="Times New Roman"/>
                <w:sz w:val="18"/>
              </w:rPr>
              <w:t>-1,974,2</w:t>
            </w:r>
          </w:p>
          <w:p>
            <w:pPr>
              <w:pStyle w:val="TableParagraph"/>
              <w:spacing w:line="240" w:lineRule="auto" w:before="108"/>
              <w:ind w:left="285" w:right="0"/>
              <w:jc w:val="center"/>
              <w:rPr>
                <w:rFonts w:ascii="Times New Roman" w:hAnsi="Times New Roman" w:cs="Times New Roman" w:eastAsia="Times New Roman" w:hint="default"/>
                <w:sz w:val="18"/>
                <w:szCs w:val="18"/>
              </w:rPr>
            </w:pPr>
            <w:r>
              <w:rPr>
                <w:rFonts w:ascii="Times New Roman"/>
                <w:sz w:val="18"/>
              </w:rPr>
              <w:t>61.76</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9" w:right="0"/>
              <w:jc w:val="left"/>
              <w:rPr>
                <w:rFonts w:ascii="Times New Roman" w:hAnsi="Times New Roman" w:cs="Times New Roman" w:eastAsia="Times New Roman" w:hint="default"/>
                <w:sz w:val="18"/>
                <w:szCs w:val="18"/>
              </w:rPr>
            </w:pPr>
            <w:r>
              <w:rPr>
                <w:rFonts w:ascii="Times New Roman"/>
                <w:sz w:val="18"/>
              </w:rPr>
              <w:t>28,943,7</w:t>
            </w:r>
          </w:p>
          <w:p>
            <w:pPr>
              <w:pStyle w:val="TableParagraph"/>
              <w:spacing w:line="240" w:lineRule="auto" w:before="108"/>
              <w:ind w:left="284" w:right="0"/>
              <w:jc w:val="left"/>
              <w:rPr>
                <w:rFonts w:ascii="Times New Roman" w:hAnsi="Times New Roman" w:cs="Times New Roman" w:eastAsia="Times New Roman" w:hint="default"/>
                <w:sz w:val="18"/>
                <w:szCs w:val="18"/>
              </w:rPr>
            </w:pPr>
            <w:r>
              <w:rPr>
                <w:rFonts w:ascii="Times New Roman"/>
                <w:sz w:val="18"/>
              </w:rPr>
              <w:t>87.55</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5" w:right="0"/>
              <w:jc w:val="left"/>
              <w:rPr>
                <w:rFonts w:ascii="Times New Roman" w:hAnsi="Times New Roman" w:cs="Times New Roman" w:eastAsia="Times New Roman" w:hint="default"/>
                <w:sz w:val="18"/>
                <w:szCs w:val="18"/>
              </w:rPr>
            </w:pPr>
            <w:r>
              <w:rPr>
                <w:rFonts w:ascii="Times New Roman"/>
                <w:sz w:val="18"/>
              </w:rPr>
              <w:t>-63,913</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,176.77</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0" w:right="0"/>
              <w:jc w:val="left"/>
              <w:rPr>
                <w:rFonts w:ascii="Times New Roman" w:hAnsi="Times New Roman" w:cs="Times New Roman" w:eastAsia="Times New Roman" w:hint="default"/>
                <w:sz w:val="18"/>
                <w:szCs w:val="18"/>
              </w:rPr>
            </w:pPr>
            <w:r>
              <w:rPr>
                <w:rFonts w:ascii="Times New Roman"/>
                <w:sz w:val="18"/>
              </w:rPr>
              <w:t>-32,995,12</w:t>
            </w:r>
          </w:p>
          <w:p>
            <w:pPr>
              <w:pStyle w:val="TableParagraph"/>
              <w:spacing w:line="240" w:lineRule="auto" w:before="108"/>
              <w:ind w:left="525" w:right="0"/>
              <w:jc w:val="left"/>
              <w:rPr>
                <w:rFonts w:ascii="Times New Roman" w:hAnsi="Times New Roman" w:cs="Times New Roman" w:eastAsia="Times New Roman" w:hint="default"/>
                <w:sz w:val="18"/>
                <w:szCs w:val="18"/>
              </w:rPr>
            </w:pPr>
            <w:r>
              <w:rPr>
                <w:rFonts w:ascii="Times New Roman"/>
                <w:sz w:val="18"/>
              </w:rPr>
              <w:t>7.46</w:t>
            </w:r>
          </w:p>
        </w:tc>
      </w:tr>
      <w:tr>
        <w:trPr>
          <w:trHeight w:val="7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28,943,7</w:t>
            </w:r>
          </w:p>
          <w:p>
            <w:pPr>
              <w:pStyle w:val="TableParagraph"/>
              <w:spacing w:line="240" w:lineRule="auto" w:before="93"/>
              <w:ind w:left="284" w:right="0"/>
              <w:jc w:val="left"/>
              <w:rPr>
                <w:rFonts w:ascii="Times New Roman" w:hAnsi="Times New Roman" w:cs="Times New Roman" w:eastAsia="Times New Roman" w:hint="default"/>
                <w:sz w:val="18"/>
                <w:szCs w:val="18"/>
              </w:rPr>
            </w:pPr>
            <w:r>
              <w:rPr>
                <w:rFonts w:ascii="Times New Roman"/>
                <w:sz w:val="18"/>
              </w:rPr>
              <w:t>87.55</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-28,943</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,787.55</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14"/>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center"/>
              <w:rPr>
                <w:rFonts w:ascii="Times New Roman" w:hAnsi="Times New Roman" w:cs="Times New Roman" w:eastAsia="Times New Roman" w:hint="default"/>
                <w:sz w:val="18"/>
                <w:szCs w:val="18"/>
              </w:rPr>
            </w:pPr>
            <w:r>
              <w:rPr>
                <w:rFonts w:ascii="Times New Roman"/>
                <w:sz w:val="18"/>
              </w:rPr>
              <w:t>-1,974,2</w:t>
            </w:r>
          </w:p>
          <w:p>
            <w:pPr>
              <w:pStyle w:val="TableParagraph"/>
              <w:spacing w:line="240" w:lineRule="auto" w:before="108"/>
              <w:ind w:left="285" w:right="0"/>
              <w:jc w:val="center"/>
              <w:rPr>
                <w:rFonts w:ascii="Times New Roman" w:hAnsi="Times New Roman" w:cs="Times New Roman" w:eastAsia="Times New Roman" w:hint="default"/>
                <w:sz w:val="18"/>
                <w:szCs w:val="18"/>
              </w:rPr>
            </w:pPr>
            <w:r>
              <w:rPr>
                <w:rFonts w:ascii="Times New Roman"/>
                <w:sz w:val="18"/>
              </w:rPr>
              <w:t>61.76</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-34,969</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,389.22</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-32,995,12</w:t>
            </w:r>
          </w:p>
          <w:p>
            <w:pPr>
              <w:pStyle w:val="TableParagraph"/>
              <w:spacing w:line="240" w:lineRule="auto" w:before="108"/>
              <w:ind w:left="525" w:right="0"/>
              <w:jc w:val="left"/>
              <w:rPr>
                <w:rFonts w:ascii="Times New Roman" w:hAnsi="Times New Roman" w:cs="Times New Roman" w:eastAsia="Times New Roman" w:hint="default"/>
                <w:sz w:val="18"/>
                <w:szCs w:val="18"/>
              </w:rPr>
            </w:pPr>
            <w:r>
              <w:rPr>
                <w:rFonts w:ascii="Times New Roman"/>
                <w:sz w:val="18"/>
              </w:rPr>
              <w:t>7.46</w:t>
            </w: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9"/>
              <w:jc w:val="left"/>
              <w:rPr>
                <w:rFonts w:ascii="宋体" w:hAnsi="宋体" w:cs="宋体" w:eastAsia="宋体" w:hint="default"/>
                <w:sz w:val="18"/>
                <w:szCs w:val="18"/>
              </w:rPr>
            </w:pPr>
            <w:r>
              <w:rPr>
                <w:rFonts w:ascii="宋体" w:hAnsi="宋体" w:cs="宋体" w:eastAsia="宋体" w:hint="default"/>
                <w:spacing w:val="-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07"/>
        <w:gridCol w:w="631"/>
        <w:gridCol w:w="601"/>
        <w:gridCol w:w="601"/>
        <w:gridCol w:w="615"/>
        <w:gridCol w:w="721"/>
        <w:gridCol w:w="736"/>
        <w:gridCol w:w="721"/>
        <w:gridCol w:w="736"/>
        <w:gridCol w:w="721"/>
        <w:gridCol w:w="616"/>
        <w:gridCol w:w="706"/>
        <w:gridCol w:w="871"/>
      </w:tblGrid>
      <w:tr>
        <w:trPr>
          <w:trHeight w:val="7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680,33</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1,993.0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3,807,56</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3,508.92</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164,350,</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662.88</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106,216,</w:t>
            </w:r>
          </w:p>
          <w:p>
            <w:pPr>
              <w:pStyle w:val="TableParagraph"/>
              <w:spacing w:line="240" w:lineRule="auto" w:before="108"/>
              <w:ind w:left="179" w:right="0"/>
              <w:jc w:val="center"/>
              <w:rPr>
                <w:rFonts w:ascii="Times New Roman" w:hAnsi="Times New Roman" w:cs="Times New Roman" w:eastAsia="Times New Roman" w:hint="default"/>
                <w:sz w:val="18"/>
                <w:szCs w:val="18"/>
              </w:rPr>
            </w:pPr>
            <w:r>
              <w:rPr>
                <w:rFonts w:ascii="Times New Roman"/>
                <w:sz w:val="18"/>
              </w:rPr>
              <w:t>783.08</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792,08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5,893.1</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5,221,847,</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515.22</w:t>
            </w:r>
          </w:p>
        </w:tc>
      </w:tr>
    </w:tbl>
    <w:p>
      <w:pPr>
        <w:pStyle w:val="BodyText"/>
        <w:spacing w:line="240" w:lineRule="auto" w:before="44"/>
        <w:ind w:right="1105"/>
        <w:jc w:val="left"/>
      </w:pPr>
      <w:r>
        <w:rPr/>
        <w:t>上期金额</w:t>
      </w:r>
    </w:p>
    <w:p>
      <w:pPr>
        <w:pStyle w:val="BodyText"/>
        <w:spacing w:line="240" w:lineRule="auto" w:before="125"/>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24"/>
        <w:gridCol w:w="608"/>
        <w:gridCol w:w="571"/>
        <w:gridCol w:w="570"/>
        <w:gridCol w:w="571"/>
        <w:gridCol w:w="691"/>
        <w:gridCol w:w="676"/>
        <w:gridCol w:w="691"/>
        <w:gridCol w:w="781"/>
        <w:gridCol w:w="675"/>
        <w:gridCol w:w="796"/>
        <w:gridCol w:w="796"/>
        <w:gridCol w:w="931"/>
      </w:tblGrid>
      <w:tr>
        <w:trPr>
          <w:trHeight w:val="405" w:hRule="exact"/>
        </w:trPr>
        <w:tc>
          <w:tcPr>
            <w:tcW w:w="122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8358"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203" w:hRule="exact"/>
        </w:trPr>
        <w:tc>
          <w:tcPr>
            <w:tcW w:w="1224" w:type="dxa"/>
            <w:vMerge/>
            <w:tcBorders>
              <w:left w:val="single" w:sz="6" w:space="0" w:color="000000"/>
              <w:right w:val="single" w:sz="6" w:space="0" w:color="000000"/>
            </w:tcBorders>
            <w:shd w:val="clear" w:color="auto" w:fill="D2D2D2"/>
          </w:tcPr>
          <w:p>
            <w:pPr/>
          </w:p>
        </w:tc>
        <w:tc>
          <w:tcPr>
            <w:tcW w:w="608" w:type="dxa"/>
            <w:vMerge w:val="restart"/>
            <w:tcBorders>
              <w:top w:val="single" w:sz="6" w:space="0" w:color="000000"/>
              <w:left w:val="single" w:sz="6" w:space="0" w:color="000000"/>
              <w:right w:val="single" w:sz="6" w:space="0" w:color="000000"/>
            </w:tcBorders>
            <w:shd w:val="clear" w:color="auto" w:fill="D2D2D2"/>
          </w:tcPr>
          <w:p>
            <w:pPr/>
          </w:p>
        </w:tc>
        <w:tc>
          <w:tcPr>
            <w:tcW w:w="171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91" w:type="dxa"/>
            <w:tcBorders>
              <w:top w:val="single" w:sz="6" w:space="0" w:color="000000"/>
              <w:left w:val="single" w:sz="6" w:space="0" w:color="000000"/>
              <w:bottom w:val="nil" w:sz="6" w:space="0" w:color="auto"/>
              <w:right w:val="single" w:sz="6" w:space="0" w:color="000000"/>
            </w:tcBorders>
            <w:shd w:val="clear" w:color="auto" w:fill="D2D2D2"/>
          </w:tcPr>
          <w:p>
            <w:pPr/>
          </w:p>
        </w:tc>
        <w:tc>
          <w:tcPr>
            <w:tcW w:w="676" w:type="dxa"/>
            <w:tcBorders>
              <w:top w:val="single" w:sz="6" w:space="0" w:color="000000"/>
              <w:left w:val="single" w:sz="6" w:space="0" w:color="000000"/>
              <w:bottom w:val="nil" w:sz="6" w:space="0" w:color="auto"/>
              <w:right w:val="single" w:sz="6" w:space="0" w:color="000000"/>
            </w:tcBorders>
            <w:shd w:val="clear" w:color="auto" w:fill="D2D2D2"/>
          </w:tcPr>
          <w:p>
            <w:pPr/>
          </w:p>
        </w:tc>
        <w:tc>
          <w:tcPr>
            <w:tcW w:w="691" w:type="dxa"/>
            <w:tcBorders>
              <w:top w:val="single" w:sz="6" w:space="0" w:color="000000"/>
              <w:left w:val="single" w:sz="6" w:space="0" w:color="000000"/>
              <w:bottom w:val="nil" w:sz="6" w:space="0" w:color="auto"/>
              <w:right w:val="single" w:sz="6" w:space="0" w:color="000000"/>
            </w:tcBorders>
            <w:shd w:val="clear" w:color="auto" w:fill="D2D2D2"/>
          </w:tcPr>
          <w:p>
            <w:pPr/>
          </w:p>
        </w:tc>
        <w:tc>
          <w:tcPr>
            <w:tcW w:w="781" w:type="dxa"/>
            <w:vMerge w:val="restart"/>
            <w:tcBorders>
              <w:top w:val="single" w:sz="6" w:space="0" w:color="000000"/>
              <w:left w:val="single" w:sz="6" w:space="0" w:color="000000"/>
              <w:right w:val="single" w:sz="6" w:space="0" w:color="000000"/>
            </w:tcBorders>
            <w:shd w:val="clear" w:color="auto" w:fill="D2D2D2"/>
          </w:tcPr>
          <w:p>
            <w:pPr/>
          </w:p>
        </w:tc>
        <w:tc>
          <w:tcPr>
            <w:tcW w:w="675"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04" w:lineRule="auto"/>
              <w:ind w:left="180" w:right="10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77" w:hRule="exact"/>
        </w:trPr>
        <w:tc>
          <w:tcPr>
            <w:tcW w:w="1224" w:type="dxa"/>
            <w:vMerge/>
            <w:tcBorders>
              <w:left w:val="single" w:sz="6" w:space="0" w:color="000000"/>
              <w:right w:val="single" w:sz="6" w:space="0" w:color="000000"/>
            </w:tcBorders>
            <w:shd w:val="clear" w:color="auto" w:fill="D2D2D2"/>
          </w:tcPr>
          <w:p>
            <w:pPr/>
          </w:p>
        </w:tc>
        <w:tc>
          <w:tcPr>
            <w:tcW w:w="608" w:type="dxa"/>
            <w:vMerge/>
            <w:tcBorders>
              <w:left w:val="single" w:sz="6" w:space="0" w:color="000000"/>
              <w:bottom w:val="nil" w:sz="6" w:space="0" w:color="auto"/>
              <w:right w:val="single" w:sz="6" w:space="0" w:color="000000"/>
            </w:tcBorders>
            <w:shd w:val="clear" w:color="auto" w:fill="D2D2D2"/>
          </w:tcPr>
          <w:p>
            <w:pPr/>
          </w:p>
        </w:tc>
        <w:tc>
          <w:tcPr>
            <w:tcW w:w="1712" w:type="dxa"/>
            <w:gridSpan w:val="3"/>
            <w:vMerge/>
            <w:tcBorders>
              <w:left w:val="single" w:sz="6" w:space="0" w:color="000000"/>
              <w:bottom w:val="single" w:sz="6" w:space="0" w:color="000000"/>
              <w:right w:val="single" w:sz="6" w:space="0" w:color="000000"/>
            </w:tcBorders>
            <w:shd w:val="clear" w:color="auto" w:fill="D2D2D2"/>
          </w:tcPr>
          <w:p>
            <w:pPr/>
          </w:p>
        </w:tc>
        <w:tc>
          <w:tcPr>
            <w:tcW w:w="691"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255" w:right="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76"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240" w:right="15"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91"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75" w:right="6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1" w:type="dxa"/>
            <w:vMerge/>
            <w:tcBorders>
              <w:left w:val="single" w:sz="6" w:space="0" w:color="000000"/>
              <w:bottom w:val="nil" w:sz="6" w:space="0" w:color="auto"/>
              <w:right w:val="single" w:sz="6" w:space="0" w:color="000000"/>
            </w:tcBorders>
            <w:shd w:val="clear" w:color="auto" w:fill="D2D2D2"/>
          </w:tcPr>
          <w:p>
            <w:pPr/>
          </w:p>
        </w:tc>
        <w:tc>
          <w:tcPr>
            <w:tcW w:w="675"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240" w:right="5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285" w:right="43"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364" w:hRule="exact"/>
        </w:trPr>
        <w:tc>
          <w:tcPr>
            <w:tcW w:w="1224" w:type="dxa"/>
            <w:vMerge/>
            <w:tcBorders>
              <w:left w:val="single" w:sz="6" w:space="0" w:color="000000"/>
              <w:right w:val="single" w:sz="6" w:space="0" w:color="000000"/>
            </w:tcBorders>
            <w:shd w:val="clear" w:color="auto" w:fill="D2D2D2"/>
          </w:tcPr>
          <w:p>
            <w:pPr/>
          </w:p>
        </w:tc>
        <w:tc>
          <w:tcPr>
            <w:tcW w:w="60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8"/>
              <w:ind w:left="12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56"/>
              <w:ind w:left="180" w:right="103"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0"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56"/>
              <w:ind w:left="180" w:right="10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691" w:type="dxa"/>
            <w:vMerge/>
            <w:tcBorders>
              <w:left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8"/>
              <w:ind w:left="2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75"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65" w:hRule="exact"/>
        </w:trPr>
        <w:tc>
          <w:tcPr>
            <w:tcW w:w="1224" w:type="dxa"/>
            <w:vMerge/>
            <w:tcBorders>
              <w:left w:val="single" w:sz="6" w:space="0" w:color="000000"/>
              <w:right w:val="single" w:sz="6" w:space="0" w:color="000000"/>
            </w:tcBorders>
            <w:shd w:val="clear" w:color="auto" w:fill="D2D2D2"/>
          </w:tcPr>
          <w:p>
            <w:pPr/>
          </w:p>
        </w:tc>
        <w:tc>
          <w:tcPr>
            <w:tcW w:w="608" w:type="dxa"/>
            <w:vMerge w:val="restart"/>
            <w:tcBorders>
              <w:top w:val="nil" w:sz="6" w:space="0" w:color="auto"/>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0"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691" w:type="dxa"/>
            <w:vMerge/>
            <w:tcBorders>
              <w:left w:val="single" w:sz="6" w:space="0" w:color="000000"/>
              <w:bottom w:val="nil" w:sz="6" w:space="0" w:color="auto"/>
              <w:right w:val="single" w:sz="6" w:space="0" w:color="000000"/>
            </w:tcBorders>
            <w:shd w:val="clear" w:color="auto" w:fill="D2D2D2"/>
          </w:tcPr>
          <w:p>
            <w:pPr/>
          </w:p>
        </w:tc>
        <w:tc>
          <w:tcPr>
            <w:tcW w:w="676" w:type="dxa"/>
            <w:vMerge/>
            <w:tcBorders>
              <w:left w:val="single" w:sz="6" w:space="0" w:color="000000"/>
              <w:bottom w:val="nil" w:sz="6" w:space="0" w:color="auto"/>
              <w:right w:val="single" w:sz="6" w:space="0" w:color="000000"/>
            </w:tcBorders>
            <w:shd w:val="clear" w:color="auto" w:fill="D2D2D2"/>
          </w:tcPr>
          <w:p>
            <w:pPr/>
          </w:p>
        </w:tc>
        <w:tc>
          <w:tcPr>
            <w:tcW w:w="691"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
        </w:tc>
        <w:tc>
          <w:tcPr>
            <w:tcW w:w="675"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203" w:hRule="exact"/>
        </w:trPr>
        <w:tc>
          <w:tcPr>
            <w:tcW w:w="1224" w:type="dxa"/>
            <w:vMerge/>
            <w:tcBorders>
              <w:left w:val="single" w:sz="6" w:space="0" w:color="000000"/>
              <w:bottom w:val="single" w:sz="6" w:space="0" w:color="000000"/>
              <w:right w:val="single" w:sz="6" w:space="0" w:color="000000"/>
            </w:tcBorders>
            <w:shd w:val="clear" w:color="auto" w:fill="D2D2D2"/>
          </w:tcPr>
          <w:p>
            <w:pPr/>
          </w:p>
        </w:tc>
        <w:tc>
          <w:tcPr>
            <w:tcW w:w="608"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70"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691" w:type="dxa"/>
            <w:tcBorders>
              <w:top w:val="nil" w:sz="6" w:space="0" w:color="auto"/>
              <w:left w:val="single" w:sz="6" w:space="0" w:color="000000"/>
              <w:bottom w:val="single" w:sz="6" w:space="0" w:color="000000"/>
              <w:right w:val="single" w:sz="6" w:space="0" w:color="000000"/>
            </w:tcBorders>
            <w:shd w:val="clear" w:color="auto" w:fill="D2D2D2"/>
          </w:tcPr>
          <w:p>
            <w:pPr/>
          </w:p>
        </w:tc>
        <w:tc>
          <w:tcPr>
            <w:tcW w:w="676" w:type="dxa"/>
            <w:tcBorders>
              <w:top w:val="nil" w:sz="6" w:space="0" w:color="auto"/>
              <w:left w:val="single" w:sz="6" w:space="0" w:color="000000"/>
              <w:bottom w:val="single" w:sz="6" w:space="0" w:color="000000"/>
              <w:right w:val="single" w:sz="6" w:space="0" w:color="000000"/>
            </w:tcBorders>
            <w:shd w:val="clear" w:color="auto" w:fill="D2D2D2"/>
          </w:tcPr>
          <w:p>
            <w:pPr/>
          </w:p>
        </w:tc>
        <w:tc>
          <w:tcPr>
            <w:tcW w:w="691" w:type="dxa"/>
            <w:tcBorders>
              <w:top w:val="nil" w:sz="6" w:space="0" w:color="auto"/>
              <w:left w:val="single" w:sz="6" w:space="0" w:color="000000"/>
              <w:bottom w:val="single" w:sz="6" w:space="0" w:color="000000"/>
              <w:right w:val="single" w:sz="6" w:space="0" w:color="000000"/>
            </w:tcBorders>
            <w:shd w:val="clear" w:color="auto" w:fill="D2D2D2"/>
          </w:tcPr>
          <w:p>
            <w:pPr/>
          </w:p>
        </w:tc>
        <w:tc>
          <w:tcPr>
            <w:tcW w:w="781" w:type="dxa"/>
            <w:vMerge/>
            <w:tcBorders>
              <w:left w:val="single" w:sz="6" w:space="0" w:color="000000"/>
              <w:bottom w:val="single" w:sz="6" w:space="0" w:color="000000"/>
              <w:right w:val="single" w:sz="6" w:space="0" w:color="000000"/>
            </w:tcBorders>
            <w:shd w:val="clear" w:color="auto" w:fill="D2D2D2"/>
          </w:tcPr>
          <w:p>
            <w:pPr/>
          </w:p>
        </w:tc>
        <w:tc>
          <w:tcPr>
            <w:tcW w:w="675"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1036"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321" w:lineRule="auto"/>
              <w:ind w:left="15" w:right="23"/>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z w:val="18"/>
                <w:szCs w:val="18"/>
              </w:rPr>
              <w:t> 额</w:t>
            </w:r>
          </w:p>
        </w:tc>
        <w:tc>
          <w:tcPr>
            <w:tcW w:w="6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416,76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0,300.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451,330</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,201.35</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153,236,</w:t>
            </w:r>
          </w:p>
          <w:p>
            <w:pPr>
              <w:pStyle w:val="TableParagraph"/>
              <w:spacing w:line="240" w:lineRule="auto" w:before="108"/>
              <w:ind w:left="134" w:right="0"/>
              <w:jc w:val="center"/>
              <w:rPr>
                <w:rFonts w:ascii="Times New Roman" w:hAnsi="Times New Roman" w:cs="Times New Roman" w:eastAsia="Times New Roman" w:hint="default"/>
                <w:sz w:val="18"/>
                <w:szCs w:val="18"/>
              </w:rPr>
            </w:pPr>
            <w:r>
              <w:rPr>
                <w:rFonts w:ascii="Times New Roman"/>
                <w:sz w:val="18"/>
              </w:rPr>
              <w:t>709.00</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60,545,</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747.44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438,618,7</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42.63</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1,214,018,2</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82.42</w:t>
            </w:r>
          </w:p>
        </w:tc>
      </w:tr>
      <w:tr>
        <w:trPr>
          <w:trHeight w:val="705"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21" w:firstLine="360"/>
              <w:jc w:val="left"/>
              <w:rPr>
                <w:rFonts w:ascii="宋体" w:hAnsi="宋体" w:cs="宋体" w:eastAsia="宋体" w:hint="default"/>
                <w:sz w:val="18"/>
                <w:szCs w:val="18"/>
              </w:rPr>
            </w:pPr>
            <w:r>
              <w:rPr>
                <w:rFonts w:ascii="宋体" w:hAnsi="宋体" w:cs="宋体" w:eastAsia="宋体" w:hint="default"/>
                <w:spacing w:val="-18"/>
                <w:sz w:val="18"/>
                <w:szCs w:val="18"/>
              </w:rPr>
              <w:t>加：会计政</w:t>
            </w:r>
            <w:r>
              <w:rPr>
                <w:rFonts w:ascii="宋体" w:hAnsi="宋体" w:cs="宋体" w:eastAsia="宋体" w:hint="default"/>
                <w:sz w:val="18"/>
                <w:szCs w:val="18"/>
              </w:rPr>
              <w:t> 策变更</w:t>
            </w:r>
          </w:p>
        </w:tc>
        <w:tc>
          <w:tcPr>
            <w:tcW w:w="608"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08"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08"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23"/>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z w:val="18"/>
                <w:szCs w:val="18"/>
              </w:rPr>
              <w:t> 额</w:t>
            </w:r>
          </w:p>
        </w:tc>
        <w:tc>
          <w:tcPr>
            <w:tcW w:w="6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416,76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0,300.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451,330</w:t>
            </w:r>
          </w:p>
          <w:p>
            <w:pPr>
              <w:pStyle w:val="TableParagraph"/>
              <w:spacing w:line="240" w:lineRule="auto" w:before="93"/>
              <w:ind w:left="120" w:right="0"/>
              <w:jc w:val="left"/>
              <w:rPr>
                <w:rFonts w:ascii="Times New Roman" w:hAnsi="Times New Roman" w:cs="Times New Roman" w:eastAsia="Times New Roman" w:hint="default"/>
                <w:sz w:val="18"/>
                <w:szCs w:val="18"/>
              </w:rPr>
            </w:pPr>
            <w:r>
              <w:rPr>
                <w:rFonts w:ascii="Times New Roman"/>
                <w:sz w:val="18"/>
              </w:rPr>
              <w:t>,201.35</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153,236,</w:t>
            </w:r>
          </w:p>
          <w:p>
            <w:pPr>
              <w:pStyle w:val="TableParagraph"/>
              <w:spacing w:line="240" w:lineRule="auto" w:before="93"/>
              <w:ind w:left="134" w:right="0"/>
              <w:jc w:val="center"/>
              <w:rPr>
                <w:rFonts w:ascii="Times New Roman" w:hAnsi="Times New Roman" w:cs="Times New Roman" w:eastAsia="Times New Roman" w:hint="default"/>
                <w:sz w:val="18"/>
                <w:szCs w:val="18"/>
              </w:rPr>
            </w:pPr>
            <w:r>
              <w:rPr>
                <w:rFonts w:ascii="Times New Roman"/>
                <w:sz w:val="18"/>
              </w:rPr>
              <w:t>709.00</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60,545,</w:t>
            </w:r>
          </w:p>
          <w:p>
            <w:pPr>
              <w:pStyle w:val="TableParagraph"/>
              <w:spacing w:line="240" w:lineRule="auto" w:before="93"/>
              <w:ind w:left="150" w:right="0"/>
              <w:jc w:val="left"/>
              <w:rPr>
                <w:rFonts w:ascii="Times New Roman" w:hAnsi="Times New Roman" w:cs="Times New Roman" w:eastAsia="Times New Roman" w:hint="default"/>
                <w:sz w:val="18"/>
                <w:szCs w:val="18"/>
              </w:rPr>
            </w:pPr>
            <w:r>
              <w:rPr>
                <w:rFonts w:ascii="Times New Roman"/>
                <w:sz w:val="18"/>
              </w:rPr>
              <w:t>747.44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438,618,7</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42.63</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1,214,018,2</w:t>
            </w:r>
          </w:p>
          <w:p>
            <w:pPr>
              <w:pStyle w:val="TableParagraph"/>
              <w:spacing w:line="240" w:lineRule="auto" w:before="93"/>
              <w:ind w:left="480" w:right="0"/>
              <w:jc w:val="left"/>
              <w:rPr>
                <w:rFonts w:ascii="Times New Roman" w:hAnsi="Times New Roman" w:cs="Times New Roman" w:eastAsia="Times New Roman" w:hint="default"/>
                <w:sz w:val="18"/>
                <w:szCs w:val="18"/>
              </w:rPr>
            </w:pPr>
            <w:r>
              <w:rPr>
                <w:rFonts w:ascii="Times New Roman"/>
                <w:sz w:val="18"/>
              </w:rPr>
              <w:t>82.42</w:t>
            </w:r>
          </w:p>
        </w:tc>
      </w:tr>
      <w:tr>
        <w:trPr>
          <w:trHeight w:val="10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23"/>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z w:val="18"/>
                <w:szCs w:val="18"/>
              </w:rPr>
              <w:t> </w:t>
            </w:r>
            <w:r>
              <w:rPr>
                <w:rFonts w:ascii="宋体" w:hAnsi="宋体" w:cs="宋体" w:eastAsia="宋体" w:hint="default"/>
                <w:spacing w:val="-13"/>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12,460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151,055</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,845.48</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71,366,9</w:t>
            </w:r>
          </w:p>
          <w:p>
            <w:pPr>
              <w:pStyle w:val="TableParagraph"/>
              <w:spacing w:line="240" w:lineRule="auto" w:before="108"/>
              <w:ind w:left="240" w:right="0"/>
              <w:jc w:val="left"/>
              <w:rPr>
                <w:rFonts w:ascii="Times New Roman" w:hAnsi="Times New Roman" w:cs="Times New Roman" w:eastAsia="Times New Roman" w:hint="default"/>
                <w:sz w:val="18"/>
                <w:szCs w:val="18"/>
              </w:rPr>
            </w:pPr>
            <w:r>
              <w:rPr>
                <w:rFonts w:ascii="Times New Roman"/>
                <w:sz w:val="18"/>
              </w:rPr>
              <w:t>61.16</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16,727,</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248.09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127,942,4</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51.75</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236,818,58</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4.16</w:t>
            </w:r>
          </w:p>
        </w:tc>
      </w:tr>
      <w:tr>
        <w:trPr>
          <w:trHeight w:val="7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23"/>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z w:val="18"/>
                <w:szCs w:val="18"/>
              </w:rPr>
              <w:t> 总额</w:t>
            </w:r>
          </w:p>
        </w:tc>
        <w:tc>
          <w:tcPr>
            <w:tcW w:w="608"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167,272,4</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80.94</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167,272,48</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0.94</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32"/>
        <w:gridCol w:w="601"/>
        <w:gridCol w:w="571"/>
        <w:gridCol w:w="570"/>
        <w:gridCol w:w="571"/>
        <w:gridCol w:w="691"/>
        <w:gridCol w:w="676"/>
        <w:gridCol w:w="691"/>
        <w:gridCol w:w="781"/>
        <w:gridCol w:w="675"/>
        <w:gridCol w:w="796"/>
        <w:gridCol w:w="796"/>
        <w:gridCol w:w="931"/>
      </w:tblGrid>
      <w:tr>
        <w:trPr>
          <w:trHeight w:val="10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z w:val="18"/>
                <w:szCs w:val="18"/>
              </w:rPr>
              <w:t> 入和减少资本</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12,460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151,055</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,845.48</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71,966,7</w:t>
            </w:r>
          </w:p>
          <w:p>
            <w:pPr>
              <w:pStyle w:val="TableParagraph"/>
              <w:spacing w:line="240" w:lineRule="auto" w:before="108"/>
              <w:ind w:left="240" w:right="0"/>
              <w:jc w:val="left"/>
              <w:rPr>
                <w:rFonts w:ascii="Times New Roman" w:hAnsi="Times New Roman" w:cs="Times New Roman" w:eastAsia="Times New Roman" w:hint="default"/>
                <w:sz w:val="18"/>
                <w:szCs w:val="18"/>
              </w:rPr>
            </w:pPr>
            <w:r>
              <w:rPr>
                <w:rFonts w:ascii="Times New Roman"/>
                <w:sz w:val="18"/>
              </w:rPr>
              <w:t>36.46</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91,549,109.</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02</w:t>
            </w: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90" w:lineRule="auto"/>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12,484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90,259,</w:t>
            </w:r>
          </w:p>
          <w:p>
            <w:pPr>
              <w:pStyle w:val="TableParagraph"/>
              <w:spacing w:line="240" w:lineRule="auto" w:before="108"/>
              <w:ind w:left="165" w:right="0"/>
              <w:jc w:val="left"/>
              <w:rPr>
                <w:rFonts w:ascii="Times New Roman" w:hAnsi="Times New Roman" w:cs="Times New Roman" w:eastAsia="Times New Roman" w:hint="default"/>
                <w:sz w:val="18"/>
                <w:szCs w:val="18"/>
              </w:rPr>
            </w:pPr>
            <w:r>
              <w:rPr>
                <w:rFonts w:ascii="Times New Roman"/>
                <w:sz w:val="18"/>
              </w:rPr>
              <w:t>320.00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102,743,</w:t>
            </w:r>
          </w:p>
          <w:p>
            <w:pPr>
              <w:pStyle w:val="TableParagraph"/>
              <w:spacing w:line="240" w:lineRule="auto" w:before="108"/>
              <w:ind w:left="134" w:right="0"/>
              <w:jc w:val="center"/>
              <w:rPr>
                <w:rFonts w:ascii="Times New Roman" w:hAnsi="Times New Roman" w:cs="Times New Roman" w:eastAsia="Times New Roman" w:hint="default"/>
                <w:sz w:val="18"/>
                <w:szCs w:val="18"/>
              </w:rPr>
            </w:pPr>
            <w:r>
              <w:rPr>
                <w:rFonts w:ascii="Times New Roman"/>
                <w:sz w:val="18"/>
              </w:rPr>
              <w:t>320.00</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61,084,</w:t>
            </w:r>
          </w:p>
          <w:p>
            <w:pPr>
              <w:pStyle w:val="TableParagraph"/>
              <w:spacing w:line="240" w:lineRule="auto" w:before="108"/>
              <w:ind w:left="165" w:right="0"/>
              <w:jc w:val="left"/>
              <w:rPr>
                <w:rFonts w:ascii="Times New Roman" w:hAnsi="Times New Roman" w:cs="Times New Roman" w:eastAsia="Times New Roman" w:hint="default"/>
                <w:sz w:val="18"/>
                <w:szCs w:val="18"/>
              </w:rPr>
            </w:pPr>
            <w:r>
              <w:rPr>
                <w:rFonts w:ascii="Times New Roman"/>
                <w:sz w:val="18"/>
              </w:rPr>
              <w:t>021.48</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-30,465,</w:t>
            </w:r>
          </w:p>
          <w:p>
            <w:pPr>
              <w:pStyle w:val="TableParagraph"/>
              <w:spacing w:line="240" w:lineRule="auto" w:before="108"/>
              <w:ind w:left="134" w:right="0"/>
              <w:jc w:val="center"/>
              <w:rPr>
                <w:rFonts w:ascii="Times New Roman" w:hAnsi="Times New Roman" w:cs="Times New Roman" w:eastAsia="Times New Roman" w:hint="default"/>
                <w:sz w:val="18"/>
                <w:szCs w:val="18"/>
              </w:rPr>
            </w:pPr>
            <w:r>
              <w:rPr>
                <w:rFonts w:ascii="Times New Roman"/>
                <w:sz w:val="18"/>
              </w:rPr>
              <w:t>087.54</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91,549,109.</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02</w:t>
            </w: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center"/>
              <w:rPr>
                <w:rFonts w:ascii="Times New Roman" w:hAnsi="Times New Roman" w:cs="Times New Roman" w:eastAsia="Times New Roman" w:hint="default"/>
                <w:sz w:val="18"/>
                <w:szCs w:val="18"/>
              </w:rPr>
            </w:pPr>
            <w:r>
              <w:rPr>
                <w:rFonts w:ascii="Times New Roman"/>
                <w:sz w:val="18"/>
              </w:rPr>
              <w:t>-24,00</w:t>
            </w:r>
          </w:p>
          <w:p>
            <w:pPr>
              <w:pStyle w:val="TableParagraph"/>
              <w:spacing w:line="240" w:lineRule="auto" w:before="108"/>
              <w:ind w:left="240" w:right="0"/>
              <w:jc w:val="center"/>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5" w:right="0"/>
              <w:jc w:val="left"/>
              <w:rPr>
                <w:rFonts w:ascii="Times New Roman" w:hAnsi="Times New Roman" w:cs="Times New Roman" w:eastAsia="Times New Roman" w:hint="default"/>
                <w:sz w:val="18"/>
                <w:szCs w:val="18"/>
              </w:rPr>
            </w:pPr>
            <w:r>
              <w:rPr>
                <w:rFonts w:ascii="Times New Roman"/>
                <w:sz w:val="18"/>
              </w:rPr>
              <w:t>-287,49</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6.00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-311,49</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6.00</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90"/>
                <w:sz w:val="18"/>
                <w:szCs w:val="18"/>
              </w:rPr>
              <w:t>）</w:t>
            </w:r>
            <w:r>
              <w:rPr>
                <w:rFonts w:ascii="宋体" w:hAnsi="宋体" w:cs="宋体" w:eastAsia="宋体" w:hint="default"/>
                <w:sz w:val="18"/>
                <w:szCs w:val="18"/>
              </w:rPr>
              <w:t>利润分配</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-599,77</w:t>
            </w:r>
          </w:p>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5.30</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16,727,</w:t>
            </w:r>
          </w:p>
          <w:p>
            <w:pPr>
              <w:pStyle w:val="TableParagraph"/>
              <w:spacing w:line="240" w:lineRule="auto" w:before="93"/>
              <w:ind w:left="150" w:right="0"/>
              <w:jc w:val="left"/>
              <w:rPr>
                <w:rFonts w:ascii="Times New Roman" w:hAnsi="Times New Roman" w:cs="Times New Roman" w:eastAsia="Times New Roman" w:hint="default"/>
                <w:sz w:val="18"/>
                <w:szCs w:val="18"/>
              </w:rPr>
            </w:pPr>
            <w:r>
              <w:rPr>
                <w:rFonts w:ascii="Times New Roman"/>
                <w:sz w:val="18"/>
              </w:rPr>
              <w:t>248.09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-37,982,0</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22.54</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-20,654,999</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.15</w:t>
            </w: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5" w:right="0"/>
              <w:jc w:val="left"/>
              <w:rPr>
                <w:rFonts w:ascii="Times New Roman" w:hAnsi="Times New Roman" w:cs="Times New Roman" w:eastAsia="Times New Roman" w:hint="default"/>
                <w:sz w:val="18"/>
                <w:szCs w:val="18"/>
              </w:rPr>
            </w:pPr>
            <w:r>
              <w:rPr>
                <w:rFonts w:ascii="Times New Roman"/>
                <w:sz w:val="18"/>
              </w:rPr>
              <w:t>16,727,</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248.09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-16,727,2</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48.09</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2</w:t>
            </w:r>
            <w:r>
              <w:rPr>
                <w:rFonts w:ascii="宋体" w:hAnsi="宋体" w:cs="宋体" w:eastAsia="宋体" w:hint="default"/>
                <w:spacing w:val="-23"/>
                <w:sz w:val="18"/>
                <w:szCs w:val="18"/>
              </w:rPr>
              <w:t>．对所有者（或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股东）的分配</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-599,77</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5.30</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-21,254,7</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74.45</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-20,654,999</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.15</w:t>
            </w: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z w:val="18"/>
                <w:szCs w:val="18"/>
              </w:rPr>
              <w:t> 益内部结转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90"/>
                <w:sz w:val="18"/>
                <w:szCs w:val="18"/>
              </w:rPr>
              <w:t>）</w:t>
            </w:r>
            <w:r>
              <w:rPr>
                <w:rFonts w:ascii="宋体" w:hAnsi="宋体" w:cs="宋体" w:eastAsia="宋体" w:hint="default"/>
                <w:sz w:val="18"/>
                <w:szCs w:val="18"/>
              </w:rPr>
              <w:t>专项储备</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32"/>
        <w:gridCol w:w="601"/>
        <w:gridCol w:w="571"/>
        <w:gridCol w:w="570"/>
        <w:gridCol w:w="571"/>
        <w:gridCol w:w="691"/>
        <w:gridCol w:w="676"/>
        <w:gridCol w:w="691"/>
        <w:gridCol w:w="781"/>
        <w:gridCol w:w="675"/>
        <w:gridCol w:w="796"/>
        <w:gridCol w:w="796"/>
        <w:gridCol w:w="931"/>
      </w:tblGrid>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-1,348,00</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6.65</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-1,348,006.</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65</w:t>
            </w: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z w:val="18"/>
                <w:szCs w:val="18"/>
              </w:rPr>
              <w:t> 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429,22</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0,300.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602,386</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,046.83</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224,603,</w:t>
            </w:r>
          </w:p>
          <w:p>
            <w:pPr>
              <w:pStyle w:val="TableParagraph"/>
              <w:spacing w:line="240" w:lineRule="auto" w:before="108"/>
              <w:ind w:left="134" w:right="0"/>
              <w:jc w:val="center"/>
              <w:rPr>
                <w:rFonts w:ascii="Times New Roman" w:hAnsi="Times New Roman" w:cs="Times New Roman" w:eastAsia="Times New Roman" w:hint="default"/>
                <w:sz w:val="18"/>
                <w:szCs w:val="18"/>
              </w:rPr>
            </w:pPr>
            <w:r>
              <w:rPr>
                <w:rFonts w:ascii="Times New Roman"/>
                <w:sz w:val="18"/>
              </w:rPr>
              <w:t>670.16</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77,272,</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995.53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566,561,1</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94.38</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1,450,836,8</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66.58</w:t>
            </w:r>
          </w:p>
        </w:tc>
      </w:tr>
    </w:tbl>
    <w:p>
      <w:pPr>
        <w:spacing w:line="240" w:lineRule="auto" w:before="4"/>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bookmarkStart w:name="三、公司基本情况" w:id="165"/>
      <w:bookmarkEnd w:id="165"/>
      <w:r>
        <w:rPr>
          <w:b w:val="0"/>
          <w:bCs w:val="0"/>
        </w:rPr>
      </w:r>
      <w:r>
        <w:rPr/>
        <w:t>三、公司基本情况</w:t>
      </w:r>
      <w:r>
        <w:rPr>
          <w:b w:val="0"/>
          <w:bCs w:val="0"/>
        </w:rPr>
      </w:r>
    </w:p>
    <w:p>
      <w:pPr>
        <w:spacing w:line="240" w:lineRule="auto" w:before="1"/>
        <w:rPr>
          <w:rFonts w:ascii="宋体" w:hAnsi="宋体" w:cs="宋体" w:eastAsia="宋体" w:hint="default"/>
          <w:b/>
          <w:bCs/>
          <w:sz w:val="26"/>
          <w:szCs w:val="26"/>
        </w:rPr>
      </w:pPr>
    </w:p>
    <w:p>
      <w:pPr>
        <w:pStyle w:val="BodyText"/>
        <w:spacing w:line="321" w:lineRule="auto"/>
        <w:ind w:left="501" w:right="1105"/>
        <w:jc w:val="left"/>
      </w:pPr>
      <w:r>
        <w:rPr>
          <w:rFonts w:ascii="宋体" w:hAnsi="宋体" w:cs="宋体" w:eastAsia="宋体" w:hint="default"/>
        </w:rPr>
        <w:t>(1)</w:t>
      </w:r>
      <w:r>
        <w:rPr/>
        <w:t>本公司基本信息 </w:t>
      </w:r>
      <w:r>
        <w:rPr>
          <w:spacing w:val="-2"/>
        </w:rPr>
        <w:t>朗新科技集团股份有限公司系经中华人民共和国江苏省无锡市国家高新技术产业开发区管理委员会发出的《关于同意朗</w:t>
      </w:r>
    </w:p>
    <w:p>
      <w:pPr>
        <w:pStyle w:val="BodyText"/>
        <w:spacing w:line="297" w:lineRule="auto" w:before="33"/>
        <w:ind w:right="1106"/>
        <w:jc w:val="both"/>
      </w:pPr>
      <w:r>
        <w:rPr/>
        <w:t>新科技（中国）有限公司整体变更为股份有限公司的批复》（锡高管项发</w:t>
      </w:r>
      <w:r>
        <w:rPr>
          <w:rFonts w:ascii="Times New Roman" w:hAnsi="Times New Roman" w:cs="Times New Roman" w:eastAsia="Times New Roman" w:hint="default"/>
        </w:rPr>
        <w:t>[2013]233</w:t>
      </w:r>
      <w:r>
        <w:rPr/>
        <w:t>号）批准，由朗新科技（中国）有限公</w:t>
      </w:r>
      <w:r>
        <w:rPr>
          <w:spacing w:val="-28"/>
        </w:rPr>
        <w:t> </w:t>
      </w:r>
      <w:r>
        <w:rPr>
          <w:spacing w:val="-28"/>
        </w:rPr>
      </w:r>
      <w:r>
        <w:rPr/>
        <w:t>司整体变更设立的外商投资股份有限公司。本公司于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日取得国家工商行政管理总局核发的《企业名称变更核准</w:t>
      </w:r>
      <w:r>
        <w:rPr>
          <w:spacing w:val="-85"/>
        </w:rPr>
        <w:t> </w:t>
      </w:r>
      <w:r>
        <w:rPr/>
        <w:t>通知书》（</w:t>
      </w:r>
      <w:r>
        <w:rPr>
          <w:rFonts w:ascii="Times New Roman" w:hAnsi="Times New Roman" w:cs="Times New Roman" w:eastAsia="Times New Roman" w:hint="default"/>
        </w:rPr>
        <w:t>(</w:t>
      </w:r>
      <w:r>
        <w:rPr/>
        <w:t>国</w:t>
      </w:r>
      <w:r>
        <w:rPr>
          <w:rFonts w:ascii="Times New Roman" w:hAnsi="Times New Roman" w:cs="Times New Roman" w:eastAsia="Times New Roman" w:hint="default"/>
        </w:rPr>
        <w:t>)</w:t>
      </w:r>
      <w:r>
        <w:rPr/>
        <w:t>名称变核外字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161</w:t>
      </w:r>
      <w:r>
        <w:rPr/>
        <w:t>号），其后于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日获得了江苏省无锡工商行政管理局核发的注册号为</w:t>
      </w:r>
      <w:r>
        <w:rPr>
          <w:spacing w:val="25"/>
        </w:rPr>
        <w:t> </w:t>
      </w:r>
      <w:r>
        <w:rPr>
          <w:spacing w:val="25"/>
        </w:rPr>
      </w:r>
      <w:r>
        <w:rPr>
          <w:rFonts w:ascii="Times New Roman" w:hAnsi="Times New Roman" w:cs="Times New Roman" w:eastAsia="Times New Roman" w:hint="default"/>
          <w:spacing w:val="-2"/>
        </w:rPr>
        <w:t>330100400016254</w:t>
      </w:r>
      <w:r>
        <w:rPr>
          <w:spacing w:val="-2"/>
        </w:rPr>
        <w:t>的《企业法人营业执照》。</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月，本公司完成了相关工商变更登记手续，由朗新科技股份有限公司变</w:t>
      </w:r>
      <w:r>
        <w:rPr>
          <w:spacing w:val="-28"/>
        </w:rPr>
        <w:t> </w:t>
      </w:r>
      <w:r>
        <w:rPr>
          <w:spacing w:val="-28"/>
        </w:rPr>
      </w:r>
      <w:r>
        <w:rPr>
          <w:spacing w:val="-2"/>
        </w:rPr>
        <w:t>更为朗新科技集团股份有限公司，并取得了无锡市市场监督管理局换发的《营业执照》。本公司现注册地为中国江苏省无锡</w:t>
      </w:r>
    </w:p>
    <w:p>
      <w:pPr>
        <w:pStyle w:val="BodyText"/>
        <w:spacing w:line="240" w:lineRule="auto" w:before="52"/>
        <w:ind w:right="0"/>
        <w:jc w:val="both"/>
      </w:pPr>
      <w:r>
        <w:rPr>
          <w:spacing w:val="27"/>
        </w:rPr>
        <w:t>市无锡新吴区净慧东道</w:t>
      </w:r>
      <w:r>
        <w:rPr>
          <w:spacing w:val="-62"/>
        </w:rPr>
        <w:t> </w:t>
      </w:r>
      <w:r>
        <w:rPr>
          <w:rFonts w:ascii="Times New Roman" w:hAnsi="Times New Roman" w:cs="Times New Roman" w:eastAsia="Times New Roman" w:hint="default"/>
        </w:rPr>
        <w:t>90</w:t>
      </w:r>
      <w:r>
        <w:rPr>
          <w:rFonts w:ascii="Times New Roman" w:hAnsi="Times New Roman" w:cs="Times New Roman" w:eastAsia="Times New Roman" w:hint="default"/>
          <w:spacing w:val="-15"/>
        </w:rPr>
        <w:t> </w:t>
      </w:r>
      <w:r>
        <w:rPr/>
        <w:t>号</w:t>
      </w:r>
      <w:r>
        <w:rPr>
          <w:spacing w:val="-60"/>
        </w:rPr>
        <w:t> </w:t>
      </w:r>
      <w:r>
        <w:rPr/>
        <w:t>无</w:t>
      </w:r>
      <w:r>
        <w:rPr>
          <w:spacing w:val="-45"/>
        </w:rPr>
        <w:t> </w:t>
      </w:r>
      <w:r>
        <w:rPr/>
        <w:t>锡</w:t>
      </w:r>
      <w:r>
        <w:rPr>
          <w:spacing w:val="-60"/>
        </w:rPr>
        <w:t> </w:t>
      </w:r>
      <w:r>
        <w:rPr/>
        <w:t>软</w:t>
      </w:r>
      <w:r>
        <w:rPr>
          <w:spacing w:val="-60"/>
        </w:rPr>
        <w:t> </w:t>
      </w:r>
      <w:r>
        <w:rPr/>
        <w:t>件</w:t>
      </w:r>
      <w:r>
        <w:rPr>
          <w:spacing w:val="-60"/>
        </w:rPr>
        <w:t> </w:t>
      </w:r>
      <w:r>
        <w:rPr/>
        <w:t>园</w:t>
      </w:r>
      <w:r>
        <w:rPr>
          <w:spacing w:val="-60"/>
        </w:rPr>
        <w:t> </w:t>
      </w:r>
      <w:r>
        <w:rPr/>
        <w:t>天</w:t>
      </w:r>
      <w:r>
        <w:rPr>
          <w:spacing w:val="-60"/>
        </w:rPr>
        <w:t> </w:t>
      </w:r>
      <w:r>
        <w:rPr/>
        <w:t>鹅</w:t>
      </w:r>
      <w:r>
        <w:rPr>
          <w:spacing w:val="-60"/>
        </w:rPr>
        <w:t> </w:t>
      </w:r>
      <w:r>
        <w:rPr/>
        <w:t>座</w:t>
      </w:r>
      <w:r>
        <w:rPr>
          <w:spacing w:val="-61"/>
        </w:rPr>
        <w:t> </w:t>
      </w:r>
      <w:r>
        <w:rPr>
          <w:rFonts w:ascii="Times New Roman" w:hAnsi="Times New Roman" w:cs="Times New Roman" w:eastAsia="Times New Roman" w:hint="default"/>
        </w:rPr>
        <w:t>B</w:t>
      </w:r>
      <w:r>
        <w:rPr>
          <w:rFonts w:ascii="Times New Roman" w:hAnsi="Times New Roman" w:cs="Times New Roman" w:eastAsia="Times New Roman" w:hint="default"/>
          <w:spacing w:val="-15"/>
        </w:rPr>
        <w:t> </w:t>
      </w:r>
      <w:r>
        <w:rPr/>
        <w:t>栋</w:t>
      </w:r>
      <w:r>
        <w:rPr>
          <w:spacing w:val="-60"/>
        </w:rPr>
        <w:t> </w:t>
      </w:r>
      <w:r>
        <w:rPr>
          <w:rFonts w:ascii="Times New Roman" w:hAnsi="Times New Roman" w:cs="Times New Roman" w:eastAsia="Times New Roman" w:hint="default"/>
        </w:rPr>
        <w:t>10 </w:t>
      </w:r>
      <w:r>
        <w:rPr/>
        <w:t>、</w:t>
      </w:r>
      <w:r>
        <w:rPr>
          <w:spacing w:val="-60"/>
        </w:rPr>
        <w:t> </w:t>
      </w:r>
      <w:r>
        <w:rPr>
          <w:rFonts w:ascii="Times New Roman" w:hAnsi="Times New Roman" w:cs="Times New Roman" w:eastAsia="Times New Roman" w:hint="default"/>
        </w:rPr>
        <w:t>11</w:t>
      </w:r>
      <w:r>
        <w:rPr>
          <w:rFonts w:ascii="Times New Roman" w:hAnsi="Times New Roman" w:cs="Times New Roman" w:eastAsia="Times New Roman" w:hint="default"/>
          <w:spacing w:val="-15"/>
        </w:rPr>
        <w:t> </w:t>
      </w:r>
      <w:r>
        <w:rPr/>
        <w:t>楼</w:t>
      </w:r>
      <w:r>
        <w:rPr>
          <w:spacing w:val="-60"/>
        </w:rPr>
        <w:t> </w:t>
      </w:r>
      <w:r>
        <w:rPr/>
        <w:t>，</w:t>
      </w:r>
      <w:r>
        <w:rPr>
          <w:spacing w:val="-60"/>
        </w:rPr>
        <w:t> </w:t>
      </w:r>
      <w:r>
        <w:rPr/>
        <w:t>法</w:t>
      </w:r>
      <w:r>
        <w:rPr>
          <w:spacing w:val="-60"/>
        </w:rPr>
        <w:t> </w:t>
      </w:r>
      <w:r>
        <w:rPr/>
        <w:t>定</w:t>
      </w:r>
      <w:r>
        <w:rPr>
          <w:spacing w:val="-60"/>
        </w:rPr>
        <w:t> </w:t>
      </w:r>
      <w:r>
        <w:rPr/>
        <w:t>代</w:t>
      </w:r>
      <w:r>
        <w:rPr>
          <w:spacing w:val="-60"/>
        </w:rPr>
        <w:t> </w:t>
      </w:r>
      <w:r>
        <w:rPr/>
        <w:t>表</w:t>
      </w:r>
      <w:r>
        <w:rPr>
          <w:spacing w:val="-60"/>
        </w:rPr>
        <w:t> </w:t>
      </w:r>
      <w:r>
        <w:rPr/>
        <w:t>人</w:t>
      </w:r>
      <w:r>
        <w:rPr>
          <w:spacing w:val="-45"/>
        </w:rPr>
        <w:t> </w:t>
      </w:r>
      <w:r>
        <w:rPr/>
        <w:t>为</w:t>
      </w:r>
      <w:r>
        <w:rPr>
          <w:spacing w:val="-60"/>
        </w:rPr>
        <w:t> </w:t>
      </w:r>
      <w:r>
        <w:rPr/>
        <w:t>郑</w:t>
      </w:r>
      <w:r>
        <w:rPr>
          <w:spacing w:val="-60"/>
        </w:rPr>
        <w:t> </w:t>
      </w:r>
      <w:r>
        <w:rPr/>
        <w:t>新</w:t>
      </w:r>
      <w:r>
        <w:rPr>
          <w:spacing w:val="-60"/>
        </w:rPr>
        <w:t> </w:t>
      </w:r>
      <w:r>
        <w:rPr/>
        <w:t>标</w:t>
      </w:r>
      <w:r>
        <w:rPr>
          <w:spacing w:val="-60"/>
        </w:rPr>
        <w:t> </w:t>
      </w:r>
      <w:r>
        <w:rPr/>
        <w:t>，</w:t>
      </w:r>
      <w:r>
        <w:rPr>
          <w:spacing w:val="-60"/>
        </w:rPr>
        <w:t> </w:t>
      </w:r>
      <w:r>
        <w:rPr/>
        <w:t>统</w:t>
      </w:r>
      <w:r>
        <w:rPr>
          <w:spacing w:val="-60"/>
        </w:rPr>
        <w:t> </w:t>
      </w:r>
      <w:r>
        <w:rPr/>
        <w:t>一</w:t>
      </w:r>
      <w:r>
        <w:rPr>
          <w:spacing w:val="-60"/>
        </w:rPr>
        <w:t> </w:t>
      </w:r>
      <w:r>
        <w:rPr/>
        <w:t>社</w:t>
      </w:r>
      <w:r>
        <w:rPr>
          <w:spacing w:val="-60"/>
        </w:rPr>
        <w:t> </w:t>
      </w:r>
      <w:r>
        <w:rPr/>
        <w:t>会</w:t>
      </w:r>
      <w:r>
        <w:rPr>
          <w:spacing w:val="-45"/>
        </w:rPr>
        <w:t> </w:t>
      </w:r>
      <w:r>
        <w:rPr/>
        <w:t>信</w:t>
      </w:r>
      <w:r>
        <w:rPr>
          <w:spacing w:val="-60"/>
        </w:rPr>
        <w:t> </w:t>
      </w:r>
      <w:r>
        <w:rPr/>
        <w:t>用</w:t>
      </w:r>
      <w:r>
        <w:rPr>
          <w:spacing w:val="-60"/>
        </w:rPr>
        <w:t> </w:t>
      </w:r>
      <w:r>
        <w:rPr/>
        <w:t>代</w:t>
      </w:r>
      <w:r>
        <w:rPr>
          <w:spacing w:val="-60"/>
        </w:rPr>
        <w:t> </w:t>
      </w:r>
      <w:r>
        <w:rPr/>
        <w:t>码</w:t>
      </w:r>
      <w:r>
        <w:rPr>
          <w:spacing w:val="-60"/>
        </w:rPr>
        <w:t> </w:t>
      </w:r>
      <w:r>
        <w:rPr/>
        <w:t>为</w:t>
      </w:r>
    </w:p>
    <w:p>
      <w:pPr>
        <w:pStyle w:val="BodyText"/>
        <w:spacing w:line="240" w:lineRule="auto" w:before="66"/>
        <w:ind w:right="0"/>
        <w:jc w:val="both"/>
      </w:pPr>
      <w:r>
        <w:rPr>
          <w:rFonts w:ascii="Times New Roman" w:hAnsi="Times New Roman" w:cs="Times New Roman" w:eastAsia="Times New Roman" w:hint="default"/>
        </w:rPr>
        <w:t>91320200747189665N</w:t>
      </w:r>
      <w:r>
        <w:rPr/>
        <w:t>。</w:t>
      </w:r>
    </w:p>
    <w:p>
      <w:pPr>
        <w:spacing w:line="240" w:lineRule="auto" w:before="0"/>
        <w:rPr>
          <w:rFonts w:ascii="宋体" w:hAnsi="宋体" w:cs="宋体" w:eastAsia="宋体" w:hint="default"/>
          <w:sz w:val="18"/>
          <w:szCs w:val="18"/>
        </w:rPr>
      </w:pPr>
    </w:p>
    <w:p>
      <w:pPr>
        <w:pStyle w:val="BodyText"/>
        <w:spacing w:line="300" w:lineRule="auto" w:before="131"/>
        <w:ind w:right="1094" w:firstLine="300"/>
        <w:jc w:val="both"/>
      </w:pPr>
      <w:r>
        <w:rPr/>
        <w:t>根据中国证券监督管理委员会证监许可</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rFonts w:ascii="Times New Roman" w:hAnsi="Times New Roman" w:cs="Times New Roman" w:eastAsia="Times New Roman" w:hint="default"/>
        </w:rPr>
        <w:t>1101</w:t>
      </w:r>
      <w:r>
        <w:rPr/>
        <w:t>号文《关于核准朗新科技股份有限公司首次公开发行股票的批复》， </w:t>
      </w:r>
      <w:r>
        <w:rPr>
          <w:spacing w:val="-1"/>
        </w:rPr>
        <w:t>本公司截至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26</w:t>
      </w:r>
      <w:r>
        <w:rPr>
          <w:spacing w:val="-1"/>
        </w:rPr>
        <w:t>日止完成了向境内投资者首次公开发行</w:t>
      </w:r>
      <w:r>
        <w:rPr>
          <w:rFonts w:ascii="Times New Roman" w:hAnsi="Times New Roman" w:cs="Times New Roman" w:eastAsia="Times New Roman" w:hint="default"/>
          <w:spacing w:val="-1"/>
        </w:rPr>
        <w:t>45,000,000</w:t>
      </w:r>
      <w:r>
        <w:rPr>
          <w:spacing w:val="-1"/>
        </w:rPr>
        <w:t>股人民币普通股</w:t>
      </w:r>
      <w:r>
        <w:rPr>
          <w:rFonts w:ascii="Times New Roman" w:hAnsi="Times New Roman" w:cs="Times New Roman" w:eastAsia="Times New Roman" w:hint="default"/>
          <w:spacing w:val="-1"/>
        </w:rPr>
        <w:t>A</w:t>
      </w:r>
      <w:r>
        <w:rPr>
          <w:spacing w:val="-1"/>
        </w:rPr>
        <w:t>股的工作，于深圳证券交易所创</w:t>
      </w:r>
      <w:r>
        <w:rPr>
          <w:spacing w:val="-50"/>
        </w:rPr>
        <w:t> </w:t>
      </w:r>
      <w:r>
        <w:rPr>
          <w:spacing w:val="-50"/>
        </w:rPr>
      </w:r>
      <w:r>
        <w:rPr/>
        <w:t>业板挂牌上市交易。根据中国证券监督管理委员会证监许可</w:t>
      </w:r>
      <w:r>
        <w:rPr>
          <w:rFonts w:ascii="Times New Roman" w:hAnsi="Times New Roman" w:cs="Times New Roman" w:eastAsia="Times New Roman" w:hint="default"/>
        </w:rPr>
        <w:t>[2019]914</w:t>
      </w:r>
      <w:r>
        <w:rPr/>
        <w:t>号文《关于核准朗新科技股份有限公司向徐长军等发</w:t>
      </w:r>
      <w:r>
        <w:rPr>
          <w:spacing w:val="-29"/>
        </w:rPr>
        <w:t> </w:t>
      </w:r>
      <w:r>
        <w:rPr>
          <w:spacing w:val="-29"/>
        </w:rPr>
      </w:r>
      <w:r>
        <w:rPr/>
        <w:t>行股份购买资产的批复》，本公司截止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日止完成了通过非公开发行人民币</w:t>
      </w:r>
      <w:r>
        <w:rPr>
          <w:rFonts w:ascii="Times New Roman" w:hAnsi="Times New Roman" w:cs="Times New Roman" w:eastAsia="Times New Roman" w:hint="default"/>
        </w:rPr>
        <w:t>A</w:t>
      </w:r>
      <w:r>
        <w:rPr/>
        <w:t>股普通股股份方式向易视腾科技股</w:t>
      </w:r>
      <w:r>
        <w:rPr>
          <w:spacing w:val="-37"/>
        </w:rPr>
        <w:t> </w:t>
      </w:r>
      <w:r>
        <w:rPr>
          <w:spacing w:val="-37"/>
        </w:rPr>
      </w:r>
      <w:r>
        <w:rPr>
          <w:spacing w:val="-2"/>
        </w:rPr>
        <w:t>份有限公司（以下简称</w:t>
      </w:r>
      <w:r>
        <w:rPr>
          <w:rFonts w:ascii="Times New Roman" w:hAnsi="Times New Roman" w:cs="Times New Roman" w:eastAsia="Times New Roman" w:hint="default"/>
          <w:spacing w:val="-2"/>
        </w:rPr>
        <w:t>“</w:t>
      </w:r>
      <w:r>
        <w:rPr>
          <w:spacing w:val="-2"/>
        </w:rPr>
        <w:t>易视腾科技</w:t>
      </w:r>
      <w:r>
        <w:rPr>
          <w:rFonts w:ascii="Times New Roman" w:hAnsi="Times New Roman" w:cs="Times New Roman" w:eastAsia="Times New Roman" w:hint="default"/>
          <w:spacing w:val="-2"/>
        </w:rPr>
        <w:t>”</w:t>
      </w:r>
      <w:r>
        <w:rPr>
          <w:spacing w:val="-2"/>
        </w:rPr>
        <w:t>）的</w:t>
      </w:r>
      <w:r>
        <w:rPr>
          <w:rFonts w:ascii="Times New Roman" w:hAnsi="Times New Roman" w:cs="Times New Roman" w:eastAsia="Times New Roman" w:hint="default"/>
          <w:spacing w:val="-2"/>
        </w:rPr>
        <w:t>20</w:t>
      </w:r>
      <w:r>
        <w:rPr>
          <w:spacing w:val="-2"/>
        </w:rPr>
        <w:t>名股东购买其持有的易视腾科技</w:t>
      </w:r>
      <w:r>
        <w:rPr>
          <w:rFonts w:ascii="Times New Roman" w:hAnsi="Times New Roman" w:cs="Times New Roman" w:eastAsia="Times New Roman" w:hint="default"/>
          <w:spacing w:val="-2"/>
        </w:rPr>
        <w:t>96%</w:t>
      </w:r>
      <w:r>
        <w:rPr>
          <w:spacing w:val="-2"/>
        </w:rPr>
        <w:t>股份以及向邦道科技有限公司（以下简称</w:t>
      </w:r>
      <w:r>
        <w:rPr>
          <w:rFonts w:ascii="Times New Roman" w:hAnsi="Times New Roman" w:cs="Times New Roman" w:eastAsia="Times New Roman" w:hint="default"/>
          <w:spacing w:val="-2"/>
        </w:rPr>
        <w:t>“</w:t>
      </w:r>
      <w:r>
        <w:rPr>
          <w:spacing w:val="-2"/>
        </w:rPr>
        <w:t>邦</w:t>
      </w:r>
      <w:r>
        <w:rPr>
          <w:spacing w:val="-55"/>
        </w:rPr>
        <w:t> </w:t>
      </w:r>
      <w:r>
        <w:rPr/>
        <w:t>道科技</w:t>
      </w:r>
      <w:r>
        <w:rPr>
          <w:rFonts w:ascii="Times New Roman" w:hAnsi="Times New Roman" w:cs="Times New Roman" w:eastAsia="Times New Roman" w:hint="default"/>
        </w:rPr>
        <w:t>”</w:t>
      </w:r>
      <w:r>
        <w:rPr/>
        <w:t>）的</w:t>
      </w:r>
      <w:r>
        <w:rPr>
          <w:rFonts w:ascii="Times New Roman" w:hAnsi="Times New Roman" w:cs="Times New Roman" w:eastAsia="Times New Roman" w:hint="default"/>
        </w:rPr>
        <w:t>2</w:t>
      </w:r>
      <w:r>
        <w:rPr/>
        <w:t>名股东购买其持有的邦道科技</w:t>
      </w:r>
      <w:r>
        <w:rPr>
          <w:rFonts w:ascii="Times New Roman" w:hAnsi="Times New Roman" w:cs="Times New Roman" w:eastAsia="Times New Roman" w:hint="default"/>
        </w:rPr>
        <w:t>50%</w:t>
      </w:r>
      <w:r>
        <w:rPr/>
        <w:t>股份的工作，合计发行股份</w:t>
      </w:r>
      <w:r>
        <w:rPr>
          <w:rFonts w:ascii="宋体" w:hAnsi="宋体" w:cs="宋体" w:eastAsia="宋体" w:hint="default"/>
        </w:rPr>
        <w:t>248,211,629.00</w:t>
      </w:r>
      <w:r>
        <w:rPr/>
        <w:t>股。</w:t>
      </w:r>
    </w:p>
    <w:p>
      <w:pPr>
        <w:spacing w:line="240" w:lineRule="auto" w:before="10"/>
        <w:rPr>
          <w:rFonts w:ascii="宋体" w:hAnsi="宋体" w:cs="宋体" w:eastAsia="宋体" w:hint="default"/>
          <w:sz w:val="12"/>
          <w:szCs w:val="12"/>
        </w:rPr>
      </w:pPr>
    </w:p>
    <w:p>
      <w:pPr>
        <w:pStyle w:val="BodyText"/>
        <w:spacing w:line="489" w:lineRule="auto"/>
        <w:ind w:left="561" w:right="4389"/>
        <w:jc w:val="left"/>
      </w:pPr>
      <w:r>
        <w:rPr/>
        <w:t>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日，本公司总股本为</w:t>
      </w:r>
      <w:r>
        <w:rPr>
          <w:rFonts w:ascii="宋体" w:hAnsi="宋体" w:cs="宋体" w:eastAsia="宋体" w:hint="default"/>
        </w:rPr>
        <w:t>680,331,993.00</w:t>
      </w:r>
      <w:r>
        <w:rPr/>
        <w:t>元，每股面值</w:t>
      </w:r>
      <w:r>
        <w:rPr>
          <w:rFonts w:ascii="宋体" w:hAnsi="宋体" w:cs="宋体" w:eastAsia="宋体" w:hint="default"/>
        </w:rPr>
        <w:t>1.00</w:t>
      </w:r>
      <w:r>
        <w:rPr/>
        <w:t>元。</w:t>
      </w:r>
      <w:r>
        <w:rPr>
          <w:spacing w:val="-87"/>
        </w:rPr>
        <w:t> </w:t>
      </w:r>
      <w:r>
        <w:rPr>
          <w:rFonts w:ascii="宋体" w:hAnsi="宋体" w:cs="宋体" w:eastAsia="宋体" w:hint="default"/>
        </w:rPr>
        <w:t>(2)</w:t>
      </w:r>
      <w:r>
        <w:rPr/>
        <w:t>控股股东及实际控制人</w:t>
      </w:r>
    </w:p>
    <w:p>
      <w:pPr>
        <w:pStyle w:val="BodyText"/>
        <w:spacing w:line="321" w:lineRule="auto" w:before="28"/>
        <w:ind w:right="0" w:firstLine="420"/>
        <w:jc w:val="left"/>
      </w:pPr>
      <w:r>
        <w:rPr/>
        <w:t>如三</w:t>
      </w:r>
      <w:r>
        <w:rPr>
          <w:rFonts w:ascii="宋体" w:hAnsi="宋体" w:cs="宋体" w:eastAsia="宋体" w:hint="default"/>
        </w:rPr>
        <w:t>(1)</w:t>
      </w:r>
      <w:r>
        <w:rPr/>
        <w:t>所述，本公司于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31</w:t>
      </w:r>
      <w:r>
        <w:rPr/>
        <w:t>日止完成了通过非公开发行人民币</w:t>
      </w:r>
      <w:r>
        <w:rPr>
          <w:rFonts w:ascii="宋体" w:hAnsi="宋体" w:cs="宋体" w:eastAsia="宋体" w:hint="default"/>
        </w:rPr>
        <w:t>A</w:t>
      </w:r>
      <w:r>
        <w:rPr/>
        <w:t>股普通股股份方式向易视腾科技</w:t>
      </w:r>
      <w:r>
        <w:rPr>
          <w:rFonts w:ascii="宋体" w:hAnsi="宋体" w:cs="宋体" w:eastAsia="宋体" w:hint="default"/>
        </w:rPr>
        <w:t>20</w:t>
      </w:r>
      <w:r>
        <w:rPr/>
        <w:t>名股东购买 其持有的易视腾科技</w:t>
      </w:r>
      <w:r>
        <w:rPr>
          <w:rFonts w:ascii="宋体" w:hAnsi="宋体" w:cs="宋体" w:eastAsia="宋体" w:hint="default"/>
        </w:rPr>
        <w:t>96%</w:t>
      </w:r>
      <w:r>
        <w:rPr/>
        <w:t>股份，包括向徐长军购买其直接持有易视腾科技的股权以及徐长军及郑新标间接共同控制的无锡杰 </w:t>
      </w:r>
      <w:r>
        <w:rPr>
          <w:spacing w:val="-10"/>
        </w:rPr>
        <w:t>华投资合伙企业（有限合伙）（以下简称“无锡杰华”）、无锡曦杰智诚投资合伙企业（有限合伙）（以下简称“无锡曦杰”）、</w:t>
      </w:r>
      <w:r>
        <w:rPr>
          <w:spacing w:val="-64"/>
        </w:rPr>
        <w:t> </w:t>
      </w:r>
      <w:r>
        <w:rPr>
          <w:spacing w:val="-64"/>
        </w:rPr>
      </w:r>
      <w:r>
        <w:rPr/>
        <w:t>无锡易朴投资合伙企业（有限合伙）（以下简称“无锡易朴”）间接持有的易视腾科技的股权。</w:t>
      </w:r>
    </w:p>
    <w:p>
      <w:pPr>
        <w:pStyle w:val="BodyText"/>
        <w:spacing w:line="321" w:lineRule="auto" w:before="153"/>
        <w:ind w:right="1029" w:firstLine="420"/>
        <w:jc w:val="left"/>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日止，徐长军及郑新标共同控制并持有本公司股权的合伙企业包括无锡朴华股权投资合伙企业（有 </w:t>
      </w:r>
      <w:r>
        <w:rPr>
          <w:spacing w:val="-2"/>
        </w:rPr>
        <w:t>限公司）（以下简称“无锡朴华”）、无锡群英股权投资合伙企业（有限合伙）（以下简称“无锡群英”），无锡富赡股权</w:t>
      </w:r>
      <w:r>
        <w:rPr>
          <w:spacing w:val="-42"/>
        </w:rPr>
        <w:t> </w:t>
      </w:r>
      <w:r>
        <w:rPr>
          <w:spacing w:val="-42"/>
        </w:rPr>
      </w:r>
      <w:r>
        <w:rPr>
          <w:spacing w:val="-7"/>
        </w:rPr>
        <w:t>投资合伙企业（有限合伙）（以下简称“无锡富赡”）、无锡羲华股权投资合伙企业（有限合伙）（以下简称“无锡羲华”）、</w:t>
      </w:r>
      <w:r>
        <w:rPr>
          <w:spacing w:val="-67"/>
        </w:rPr>
        <w:t> </w:t>
      </w:r>
      <w:r>
        <w:rPr>
          <w:spacing w:val="-67"/>
        </w:rPr>
      </w:r>
      <w:r>
        <w:rPr>
          <w:spacing w:val="-2"/>
        </w:rPr>
        <w:t>无锡道元股权投资合伙企业（有限合伙）（以下简称“无锡道元”）、无锡杰华、无锡曦杰以及无锡易朴，通过上述合伙企</w:t>
      </w:r>
      <w:r>
        <w:rPr>
          <w:spacing w:val="-74"/>
        </w:rPr>
        <w:t> </w:t>
      </w:r>
      <w:r>
        <w:rPr>
          <w:spacing w:val="-74"/>
        </w:rPr>
      </w:r>
      <w:r>
        <w:rPr>
          <w:spacing w:val="-2"/>
        </w:rPr>
        <w:t>业，徐长军先生及郑新标先生间接控制本公司</w:t>
      </w:r>
      <w:r>
        <w:rPr>
          <w:rFonts w:ascii="宋体" w:hAnsi="宋体" w:cs="宋体" w:eastAsia="宋体" w:hint="default"/>
          <w:spacing w:val="-2"/>
        </w:rPr>
        <w:t>34.87%</w:t>
      </w:r>
      <w:r>
        <w:rPr>
          <w:spacing w:val="-2"/>
        </w:rPr>
        <w:t>的股份。根据徐长军先生和郑新标先生于</w:t>
      </w:r>
      <w:r>
        <w:rPr>
          <w:rFonts w:ascii="宋体" w:hAnsi="宋体" w:cs="宋体" w:eastAsia="宋体" w:hint="default"/>
          <w:spacing w:val="-2"/>
        </w:rPr>
        <w:t>2014</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w:t>
      </w:r>
      <w:r>
        <w:rPr>
          <w:spacing w:val="-2"/>
        </w:rPr>
        <w:t>日签订的《一致行</w:t>
      </w:r>
      <w:r>
        <w:rPr>
          <w:spacing w:val="-55"/>
        </w:rPr>
        <w:t> </w:t>
      </w:r>
      <w:r>
        <w:rPr>
          <w:spacing w:val="-55"/>
        </w:rPr>
      </w:r>
      <w:r>
        <w:rPr/>
        <w:t>动协议》，确认二人自本公司设立时即为商业合作伙伴，并承诺将在需要作出有关本公司的任何重大经营决策时保持一致。 因此，徐长军先生和郑新标先生为本公司的最终共同控制人。</w:t>
      </w:r>
    </w:p>
    <w:p>
      <w:pPr>
        <w:spacing w:line="240" w:lineRule="auto" w:before="11"/>
        <w:rPr>
          <w:rFonts w:ascii="宋体" w:hAnsi="宋体" w:cs="宋体" w:eastAsia="宋体" w:hint="default"/>
          <w:sz w:val="12"/>
          <w:szCs w:val="12"/>
        </w:rPr>
      </w:pPr>
    </w:p>
    <w:p>
      <w:pPr>
        <w:pStyle w:val="BodyText"/>
        <w:spacing w:line="240" w:lineRule="auto"/>
        <w:ind w:left="561" w:right="1105"/>
        <w:jc w:val="left"/>
      </w:pPr>
      <w:r>
        <w:rPr>
          <w:rFonts w:ascii="宋体" w:hAnsi="宋体" w:cs="宋体" w:eastAsia="宋体" w:hint="default"/>
        </w:rPr>
        <w:t>(3)</w:t>
      </w:r>
      <w:r>
        <w:rPr/>
        <w:t>经营范围</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36" w:lineRule="auto" w:before="44"/>
        <w:ind w:right="1021" w:firstLine="420"/>
        <w:jc w:val="left"/>
      </w:pPr>
      <w:r>
        <w:rPr>
          <w:spacing w:val="-1"/>
        </w:rPr>
        <w:t>本公司的经营范围主要包括：软件开发服务、维护服务、第三方软硬件业务及系统集成服务；智能终端研发销售业务、</w:t>
      </w:r>
      <w:r>
        <w:rPr/>
        <w:t> 用户服务业务、增值业务、技术服务业务；移动支付云平台支撑服务、互联网运营服务业务等。</w:t>
      </w:r>
    </w:p>
    <w:p>
      <w:pPr>
        <w:pStyle w:val="BodyText"/>
        <w:spacing w:line="450" w:lineRule="exact" w:before="8"/>
        <w:ind w:left="561" w:right="1021" w:firstLine="90"/>
        <w:jc w:val="left"/>
      </w:pPr>
      <w:r>
        <w:rPr>
          <w:rFonts w:ascii="宋体" w:hAnsi="宋体" w:cs="宋体" w:eastAsia="宋体" w:hint="default"/>
        </w:rPr>
        <w:t>(4)</w:t>
      </w:r>
      <w:r>
        <w:rPr/>
        <w:t>合并范围 </w:t>
      </w:r>
      <w:r>
        <w:rPr>
          <w:spacing w:val="-1"/>
        </w:rPr>
        <w:t>由于易视腾科技与本公司的实际控制人均为徐长军及郑新标，因此易视腾科技纳入合并范围适用同一控制下企业合并，</w:t>
      </w:r>
    </w:p>
    <w:p>
      <w:pPr>
        <w:pStyle w:val="BodyText"/>
        <w:spacing w:line="316" w:lineRule="auto" w:before="30"/>
        <w:ind w:right="1105"/>
        <w:jc w:val="left"/>
      </w:pPr>
      <w:r>
        <w:rPr/>
        <w:t>本公司对报告可比期间</w:t>
      </w:r>
      <w:r>
        <w:rPr>
          <w:rFonts w:ascii="Times New Roman" w:hAnsi="Times New Roman" w:cs="Times New Roman" w:eastAsia="Times New Roman" w:hint="default"/>
        </w:rPr>
        <w:t>2018</w:t>
      </w:r>
      <w:r>
        <w:rPr/>
        <w:t>年度合并利润表、合并现金流量表以及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日合并资产负债表进行追溯调整，截止至</w:t>
      </w:r>
      <w:r>
        <w:rPr>
          <w:spacing w:val="-1"/>
        </w:rPr>
        <w:t> </w:t>
      </w:r>
      <w:r>
        <w:rPr>
          <w:spacing w:val="-1"/>
        </w:rPr>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月，本公司合并财务报表范围内的子公司包括：</w:t>
      </w:r>
    </w:p>
    <w:p>
      <w:pPr>
        <w:spacing w:line="240" w:lineRule="auto" w:before="5"/>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695"/>
        <w:gridCol w:w="3454"/>
        <w:gridCol w:w="601"/>
        <w:gridCol w:w="962"/>
        <w:gridCol w:w="961"/>
      </w:tblGrid>
      <w:tr>
        <w:trPr>
          <w:trHeight w:val="661"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b/>
                <w:bCs/>
                <w:sz w:val="18"/>
                <w:szCs w:val="18"/>
              </w:rPr>
              <w:t>公司类型</w:t>
            </w:r>
            <w:r>
              <w:rPr>
                <w:rFonts w:ascii="宋体" w:hAnsi="宋体" w:cs="宋体" w:eastAsia="宋体" w:hint="default"/>
                <w:sz w:val="18"/>
                <w:szCs w:val="18"/>
              </w:rPr>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5" w:right="0"/>
              <w:jc w:val="left"/>
              <w:rPr>
                <w:rFonts w:ascii="宋体" w:hAnsi="宋体" w:cs="宋体" w:eastAsia="宋体" w:hint="default"/>
                <w:sz w:val="18"/>
                <w:szCs w:val="18"/>
              </w:rPr>
            </w:pPr>
            <w:r>
              <w:rPr>
                <w:rFonts w:ascii="宋体" w:hAnsi="宋体" w:cs="宋体" w:eastAsia="宋体" w:hint="default"/>
                <w:b/>
                <w:bCs/>
                <w:sz w:val="18"/>
                <w:szCs w:val="18"/>
              </w:rPr>
              <w:t>级次</w:t>
            </w:r>
            <w:r>
              <w:rPr>
                <w:rFonts w:ascii="宋体" w:hAnsi="宋体" w:cs="宋体" w:eastAsia="宋体" w:hint="default"/>
                <w:sz w:val="18"/>
                <w:szCs w:val="18"/>
              </w:rPr>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left="375" w:right="29" w:hanging="361"/>
              <w:jc w:val="left"/>
              <w:rPr>
                <w:rFonts w:ascii="宋体" w:hAnsi="宋体" w:cs="宋体" w:eastAsia="宋体" w:hint="default"/>
                <w:sz w:val="18"/>
                <w:szCs w:val="18"/>
              </w:rPr>
            </w:pPr>
            <w:r>
              <w:rPr>
                <w:rFonts w:ascii="宋体" w:hAnsi="宋体" w:cs="宋体" w:eastAsia="宋体" w:hint="default"/>
                <w:b/>
                <w:bCs/>
                <w:sz w:val="18"/>
                <w:szCs w:val="18"/>
              </w:rPr>
              <w:t>直接持股比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left="375" w:right="28" w:hanging="361"/>
              <w:jc w:val="left"/>
              <w:rPr>
                <w:rFonts w:ascii="宋体" w:hAnsi="宋体" w:cs="宋体" w:eastAsia="宋体" w:hint="default"/>
                <w:sz w:val="18"/>
                <w:szCs w:val="18"/>
              </w:rPr>
            </w:pPr>
            <w:r>
              <w:rPr>
                <w:rFonts w:ascii="宋体" w:hAnsi="宋体" w:cs="宋体" w:eastAsia="宋体" w:hint="default"/>
                <w:b/>
                <w:bCs/>
                <w:sz w:val="18"/>
                <w:szCs w:val="18"/>
              </w:rPr>
              <w:t>间接持股比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r>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、母公司财务报表汇总范围</w:t>
            </w:r>
          </w:p>
        </w:tc>
        <w:tc>
          <w:tcPr>
            <w:tcW w:w="3454"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股份有限公司（中外合资、上市）</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朗新科技股份有限公司厦门分公司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非独立核算分公司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朗新科技股份有限公司武汉分公司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非独立核算分公司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361"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朗新科技集团股份有限公司杭州分公司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非独立核算分公司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朗新科技股份有限公司北京第一分公司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非独立核算分公司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朗新科技股份有限公司广州分公司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非独立核算分公司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朗新科技股份有限公司上海分公司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非独立核算分公司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朗新科技股份有限公司广西分公司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非独立核算分公司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、纳入合并范围的子公司</w:t>
            </w:r>
          </w:p>
        </w:tc>
        <w:tc>
          <w:tcPr>
            <w:tcW w:w="3454"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北京朗新科技有限公司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360"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杭州朗新智能技术有限公司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朗新科技有限公司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厄瓜多尔</w:t>
            </w:r>
            <w:r>
              <w:rPr>
                <w:rFonts w:ascii="Times New Roman" w:hAnsi="Times New Roman" w:cs="Times New Roman" w:eastAsia="Times New Roman" w:hint="default"/>
                <w:sz w:val="18"/>
                <w:szCs w:val="18"/>
              </w:rPr>
              <w:t>)</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新耀能源科技有限公司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60%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3%</w:t>
            </w:r>
          </w:p>
        </w:tc>
      </w:tr>
      <w:tr>
        <w:trPr>
          <w:trHeight w:val="346"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合肥新耀科技有限公司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3</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63%</w:t>
            </w:r>
          </w:p>
        </w:tc>
      </w:tr>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瀚云科技有限公司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8"/>
                <w:szCs w:val="18"/>
              </w:rPr>
            </w:pPr>
            <w:r>
              <w:rPr>
                <w:rFonts w:ascii="Times New Roman"/>
                <w:sz w:val="18"/>
              </w:rPr>
              <w:t>2</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8"/>
                <w:szCs w:val="18"/>
              </w:rPr>
            </w:pPr>
            <w:r>
              <w:rPr>
                <w:rFonts w:ascii="Times New Roman"/>
                <w:sz w:val="18"/>
              </w:rPr>
              <w:t>60%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8"/>
                <w:szCs w:val="18"/>
              </w:rPr>
            </w:pPr>
            <w:r>
              <w:rPr>
                <w:rFonts w:ascii="Times New Roman"/>
                <w:sz w:val="18"/>
              </w:rPr>
              <w:t>2%</w:t>
            </w:r>
          </w:p>
        </w:tc>
      </w:tr>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瀚佑（上海）科技有限公司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62%</w:t>
            </w:r>
          </w:p>
        </w:tc>
      </w:tr>
      <w:tr>
        <w:trPr>
          <w:trHeight w:val="436"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瀚云风鹏（重庆）科技有限公司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62%</w:t>
            </w:r>
          </w:p>
        </w:tc>
      </w:tr>
      <w:tr>
        <w:trPr>
          <w:trHeight w:val="420"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湖南瀚云风鹏科技有限公司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3</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t>62%</w:t>
            </w:r>
          </w:p>
        </w:tc>
      </w:tr>
      <w:tr>
        <w:trPr>
          <w:trHeight w:val="43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瀚云风鹏（武汉）科技有限公司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62%</w:t>
            </w:r>
          </w:p>
        </w:tc>
      </w:tr>
      <w:tr>
        <w:trPr>
          <w:trHeight w:val="420"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贵阳瀚佑科技有限公司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3</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62%</w:t>
            </w:r>
          </w:p>
        </w:tc>
      </w:tr>
      <w:tr>
        <w:trPr>
          <w:trHeight w:val="43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无锡瀚智物联网产业发展有限公司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55.80%</w:t>
            </w:r>
          </w:p>
        </w:tc>
      </w:tr>
      <w:tr>
        <w:trPr>
          <w:trHeight w:val="346"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朗新金关信息科技有限公司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51%</w:t>
            </w: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朗新云商科技有限公司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51%</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w w:val="95"/>
                <w:sz w:val="18"/>
              </w:rPr>
              <w:t>2.80%</w:t>
            </w:r>
            <w:r>
              <w:rPr>
                <w:rFonts w:ascii="Times New Roman"/>
                <w:sz w:val="18"/>
              </w:rPr>
            </w:r>
          </w:p>
        </w:tc>
      </w:tr>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朗新数据科技有限公司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60%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3%</w:t>
            </w:r>
          </w:p>
        </w:tc>
      </w:tr>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广西朗新数据科技限公司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63%</w:t>
            </w:r>
          </w:p>
        </w:tc>
      </w:tr>
      <w:tr>
        <w:trPr>
          <w:trHeight w:val="436"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贵州朗新数据科技有限公司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63%</w:t>
            </w:r>
          </w:p>
        </w:tc>
      </w:tr>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朗新投资管理无锡有限公司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73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无锡智丰企业管理合伙企业（有限合伙）</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3</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695"/>
        <w:gridCol w:w="3454"/>
        <w:gridCol w:w="601"/>
        <w:gridCol w:w="962"/>
        <w:gridCol w:w="961"/>
      </w:tblGrid>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朗新智元科技有限公司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51%</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w w:val="95"/>
                <w:sz w:val="18"/>
              </w:rPr>
              <w:t>2.80%</w:t>
            </w:r>
            <w:r>
              <w:rPr>
                <w:rFonts w:ascii="Times New Roman"/>
                <w:sz w:val="18"/>
              </w:rPr>
            </w:r>
          </w:p>
        </w:tc>
      </w:tr>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云筑智联科技有限公司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51%</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w w:val="95"/>
                <w:sz w:val="18"/>
              </w:rPr>
              <w:t>2.80%</w:t>
            </w:r>
            <w:r>
              <w:rPr>
                <w:rFonts w:ascii="Times New Roman"/>
                <w:sz w:val="18"/>
              </w:rPr>
            </w:r>
          </w:p>
        </w:tc>
      </w:tr>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清大朗新（厦门）科技有限公司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81%</w:t>
            </w: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360"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视加慧联科技有限公司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30%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45.12%</w:t>
            </w:r>
          </w:p>
        </w:tc>
      </w:tr>
      <w:tr>
        <w:trPr>
          <w:trHeight w:val="346"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涵谷科技有限公司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51%</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3%</w:t>
            </w:r>
          </w:p>
        </w:tc>
      </w:tr>
      <w:tr>
        <w:trPr>
          <w:trHeight w:val="420"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朗新云贸科技有限公司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54%</w:t>
            </w:r>
          </w:p>
        </w:tc>
      </w:tr>
      <w:tr>
        <w:trPr>
          <w:trHeight w:val="43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涵谷海运科技（广州）有限公司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2</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51%</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5"/>
                <w:sz w:val="18"/>
              </w:rPr>
              <w:t>2.80%</w:t>
            </w:r>
            <w:r>
              <w:rPr>
                <w:rFonts w:ascii="Times New Roman"/>
                <w:sz w:val="18"/>
              </w:rPr>
            </w:r>
          </w:p>
        </w:tc>
      </w:tr>
      <w:tr>
        <w:trPr>
          <w:trHeight w:val="346"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易天气（北京）科技有限公司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40%</w:t>
            </w: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无锡朗易软件产业发展有限公司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朗新科技（海南）有限公司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邦道科技有限公司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90%</w:t>
            </w: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河北邦道科技有限公司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67.50%</w:t>
            </w:r>
          </w:p>
        </w:tc>
      </w:tr>
      <w:tr>
        <w:trPr>
          <w:trHeight w:val="346"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众畅科技有限公司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56.00%</w:t>
            </w:r>
          </w:p>
        </w:tc>
      </w:tr>
      <w:tr>
        <w:trPr>
          <w:trHeight w:val="360"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易视腾科技股份有限公司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96%</w:t>
            </w: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北京大米视讯科技有限公司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3</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96%</w:t>
            </w:r>
          </w:p>
        </w:tc>
      </w:tr>
      <w:tr>
        <w:trPr>
          <w:trHeight w:val="346"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视加天辰</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3</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96%</w:t>
            </w:r>
          </w:p>
        </w:tc>
      </w:tr>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无锡派瑞新媒体投资合伙企业（有限合伙）</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4</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95.04%</w:t>
            </w:r>
          </w:p>
        </w:tc>
      </w:tr>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弘道科技有限公司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49.34%</w:t>
            </w:r>
          </w:p>
        </w:tc>
      </w:tr>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云之尚智能科技无锡有限公司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96%</w:t>
            </w:r>
          </w:p>
        </w:tc>
      </w:tr>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视加天辰科技有限公司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96%</w:t>
            </w:r>
          </w:p>
        </w:tc>
      </w:tr>
      <w:tr>
        <w:trPr>
          <w:trHeight w:val="346"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易视腾投资管理无锡有限公司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96%</w:t>
            </w:r>
          </w:p>
        </w:tc>
      </w:tr>
      <w:tr>
        <w:trPr>
          <w:trHeight w:val="360"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深圳市云之尚网络科技有限公司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96%</w:t>
            </w:r>
          </w:p>
        </w:tc>
      </w:tr>
      <w:tr>
        <w:trPr>
          <w:trHeight w:val="346"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北京数联领航网络科技有限公司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3</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49.75%</w:t>
            </w:r>
          </w:p>
        </w:tc>
      </w:tr>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无锡易云投资合伙企业（有限合伙）</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4</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19.20%</w:t>
            </w:r>
          </w:p>
        </w:tc>
      </w:tr>
      <w:tr>
        <w:trPr>
          <w:trHeight w:val="345"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派瑞无锡产业投资中心（有限合伙）</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4</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94.08%</w:t>
            </w:r>
          </w:p>
        </w:tc>
      </w:tr>
      <w:tr>
        <w:trPr>
          <w:trHeight w:val="421"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清大易视（厦门）科技有限公司</w:t>
            </w:r>
          </w:p>
        </w:tc>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w:t>
            </w: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77.76%</w:t>
            </w:r>
          </w:p>
        </w:tc>
      </w:tr>
    </w:tbl>
    <w:p>
      <w:pPr>
        <w:pStyle w:val="BodyText"/>
        <w:spacing w:line="504" w:lineRule="auto"/>
        <w:ind w:left="501" w:right="6069" w:hanging="361"/>
        <w:jc w:val="left"/>
      </w:pPr>
      <w:r>
        <w:rPr/>
        <w:t>本年度纳入合并范围的重要子公司详见附注八。 本财务报表由本公司董事会于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日批准报出。</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4"/>
          <w:szCs w:val="24"/>
        </w:rPr>
      </w:pPr>
    </w:p>
    <w:p>
      <w:pPr>
        <w:pStyle w:val="Heading2"/>
        <w:spacing w:line="240" w:lineRule="auto"/>
        <w:ind w:right="1105"/>
        <w:jc w:val="left"/>
        <w:rPr>
          <w:b w:val="0"/>
          <w:bCs w:val="0"/>
        </w:rPr>
      </w:pPr>
      <w:bookmarkStart w:name="四、财务报表的编制基础" w:id="166"/>
      <w:bookmarkEnd w:id="166"/>
      <w:r>
        <w:rPr>
          <w:b w:val="0"/>
          <w:bCs w:val="0"/>
        </w:rPr>
      </w:r>
      <w:r>
        <w:rPr/>
        <w:t>四、财务报表的编制基础</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05"/>
        <w:jc w:val="left"/>
        <w:rPr>
          <w:b w:val="0"/>
          <w:bCs w:val="0"/>
        </w:rPr>
      </w:pPr>
      <w:bookmarkStart w:name="1、编制基础" w:id="167"/>
      <w:bookmarkEnd w:id="16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094"/>
        <w:jc w:val="left"/>
      </w:pPr>
      <w:r>
        <w:rPr/>
        <w:t>本财务报表按照财政部于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日及以后期间颁布的《企业会计准则</w:t>
      </w:r>
      <w:r>
        <w:rPr>
          <w:rFonts w:ascii="Times New Roman" w:hAnsi="Times New Roman" w:cs="Times New Roman" w:eastAsia="Times New Roman" w:hint="default"/>
        </w:rPr>
        <w:t>——</w:t>
      </w:r>
      <w:r>
        <w:rPr/>
        <w:t>基本准则》、各项具体会计准则及相关规定</w:t>
      </w:r>
    </w:p>
    <w:p>
      <w:pPr>
        <w:pStyle w:val="BodyText"/>
        <w:spacing w:line="288" w:lineRule="auto" w:before="66"/>
        <w:ind w:right="1094"/>
        <w:jc w:val="left"/>
      </w:pPr>
      <w:r>
        <w:rPr>
          <w:spacing w:val="-1"/>
        </w:rPr>
        <w:t>（以下合称</w:t>
      </w:r>
      <w:r>
        <w:rPr>
          <w:rFonts w:ascii="Times New Roman" w:hAnsi="Times New Roman" w:cs="Times New Roman" w:eastAsia="Times New Roman" w:hint="default"/>
          <w:spacing w:val="-1"/>
        </w:rPr>
        <w:t>“</w:t>
      </w:r>
      <w:r>
        <w:rPr>
          <w:spacing w:val="-1"/>
        </w:rPr>
        <w:t>企业会计准则</w:t>
      </w:r>
      <w:r>
        <w:rPr>
          <w:rFonts w:ascii="Times New Roman" w:hAnsi="Times New Roman" w:cs="Times New Roman" w:eastAsia="Times New Roman" w:hint="default"/>
          <w:spacing w:val="-1"/>
        </w:rPr>
        <w:t>”</w:t>
      </w:r>
      <w:r>
        <w:rPr>
          <w:spacing w:val="-1"/>
        </w:rPr>
        <w:t>）、以及中国证券监督管理委员会《公开发行证券的的公司信息披露编报规则第</w:t>
      </w:r>
      <w:r>
        <w:rPr>
          <w:rFonts w:ascii="Times New Roman" w:hAnsi="Times New Roman" w:cs="Times New Roman" w:eastAsia="Times New Roman" w:hint="default"/>
          <w:spacing w:val="-1"/>
        </w:rPr>
        <w:t>15</w:t>
      </w:r>
      <w:r>
        <w:rPr>
          <w:spacing w:val="-1"/>
        </w:rPr>
        <w:t>号</w:t>
      </w:r>
      <w:r>
        <w:rPr>
          <w:rFonts w:ascii="Times New Roman" w:hAnsi="Times New Roman" w:cs="Times New Roman" w:eastAsia="Times New Roman" w:hint="default"/>
          <w:spacing w:val="-1"/>
        </w:rPr>
        <w:t>——</w:t>
      </w:r>
      <w:r>
        <w:rPr>
          <w:spacing w:val="-1"/>
        </w:rPr>
        <w:t>财务报</w:t>
      </w:r>
      <w:r>
        <w:rPr>
          <w:spacing w:val="-66"/>
        </w:rPr>
        <w:t> </w:t>
      </w:r>
      <w:r>
        <w:rPr/>
        <w:t>告的一般规定》的披露规定编制。</w:t>
      </w:r>
    </w:p>
    <w:p>
      <w:pPr>
        <w:spacing w:line="240" w:lineRule="auto" w:before="0"/>
        <w:rPr>
          <w:rFonts w:ascii="宋体" w:hAnsi="宋体" w:cs="宋体" w:eastAsia="宋体" w:hint="default"/>
          <w:sz w:val="18"/>
          <w:szCs w:val="18"/>
        </w:rPr>
      </w:pPr>
    </w:p>
    <w:p>
      <w:pPr>
        <w:pStyle w:val="BodyText"/>
        <w:spacing w:line="240" w:lineRule="auto" w:before="123"/>
        <w:ind w:right="1105"/>
        <w:jc w:val="left"/>
      </w:pPr>
      <w:r>
        <w:rPr/>
        <w:t>本财务报表以持续经营为基础编制。</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1105"/>
        <w:jc w:val="left"/>
        <w:rPr>
          <w:b w:val="0"/>
          <w:bCs w:val="0"/>
        </w:rPr>
      </w:pPr>
      <w:bookmarkStart w:name="2、持续经营" w:id="168"/>
      <w:bookmarkEnd w:id="16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5"/>
        <w:jc w:val="left"/>
      </w:pPr>
      <w:r>
        <w:rPr/>
        <w:t>本集团自报告期末起</w:t>
      </w:r>
      <w:r>
        <w:rPr>
          <w:rFonts w:ascii="Times New Roman" w:hAnsi="Times New Roman" w:cs="Times New Roman" w:eastAsia="Times New Roman" w:hint="default"/>
        </w:rPr>
        <w:t>12</w:t>
      </w:r>
      <w:r>
        <w:rPr/>
        <w:t>个月的持续经营能力良好。</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Heading2"/>
        <w:spacing w:line="240" w:lineRule="auto"/>
        <w:ind w:right="1105"/>
        <w:jc w:val="left"/>
        <w:rPr>
          <w:b w:val="0"/>
          <w:bCs w:val="0"/>
        </w:rPr>
      </w:pPr>
      <w:bookmarkStart w:name="五、重要会计政策及会计估计" w:id="169"/>
      <w:bookmarkEnd w:id="169"/>
      <w:r>
        <w:rPr>
          <w:b w:val="0"/>
          <w:bCs w:val="0"/>
        </w:rPr>
      </w:r>
      <w:r>
        <w:rPr/>
        <w:t>五、重要会计政策及会计估计</w:t>
      </w:r>
      <w:r>
        <w:rPr>
          <w:b w:val="0"/>
          <w:bCs w:val="0"/>
        </w:rPr>
      </w:r>
    </w:p>
    <w:p>
      <w:pPr>
        <w:spacing w:line="240" w:lineRule="auto" w:before="1"/>
        <w:rPr>
          <w:rFonts w:ascii="宋体" w:hAnsi="宋体" w:cs="宋体" w:eastAsia="宋体" w:hint="default"/>
          <w:b/>
          <w:bCs/>
          <w:sz w:val="26"/>
          <w:szCs w:val="26"/>
        </w:rPr>
      </w:pPr>
    </w:p>
    <w:p>
      <w:pPr>
        <w:pStyle w:val="BodyText"/>
        <w:spacing w:line="367" w:lineRule="auto"/>
        <w:ind w:right="8229"/>
        <w:jc w:val="left"/>
      </w:pPr>
      <w:r>
        <w:rPr/>
        <w:t>具体会计政策和会计估计提示： 具体会计政策和会计估计提示：</w:t>
      </w:r>
    </w:p>
    <w:p>
      <w:pPr>
        <w:pStyle w:val="BodyText"/>
        <w:spacing w:line="234" w:lineRule="exact"/>
        <w:ind w:right="0"/>
        <w:jc w:val="left"/>
      </w:pPr>
      <w:r>
        <w:rPr/>
        <w:t>本集团根据生产经营特点确定具体会计政策和会计估计，主要体现在应收款项坏账准备的计提方法（附注五</w:t>
      </w:r>
      <w:r>
        <w:rPr>
          <w:rFonts w:ascii="Times New Roman" w:hAnsi="Times New Roman" w:cs="Times New Roman" w:eastAsia="Times New Roman" w:hint="default"/>
        </w:rPr>
        <w:t>(12)</w:t>
      </w:r>
      <w:r>
        <w:rPr/>
        <w:t>）、存货的</w:t>
      </w:r>
    </w:p>
    <w:p>
      <w:pPr>
        <w:pStyle w:val="BodyText"/>
        <w:spacing w:line="302" w:lineRule="auto" w:before="66"/>
        <w:ind w:right="3729"/>
        <w:jc w:val="left"/>
      </w:pPr>
      <w:r>
        <w:rPr/>
        <w:t>计价方法（附注五</w:t>
      </w:r>
      <w:r>
        <w:rPr>
          <w:rFonts w:ascii="Times New Roman" w:hAnsi="Times New Roman" w:cs="Times New Roman" w:eastAsia="Times New Roman" w:hint="default"/>
        </w:rPr>
        <w:t>(15)</w:t>
      </w:r>
      <w:r>
        <w:rPr/>
        <w:t>）、无形资产摊销（附注五</w:t>
      </w:r>
      <w:r>
        <w:rPr>
          <w:rFonts w:ascii="Times New Roman" w:hAnsi="Times New Roman" w:cs="Times New Roman" w:eastAsia="Times New Roman" w:hint="default"/>
        </w:rPr>
        <w:t>(30)</w:t>
      </w:r>
      <w:r>
        <w:rPr/>
        <w:t>）及收入的确认（附注五</w:t>
      </w:r>
      <w:r>
        <w:rPr>
          <w:rFonts w:ascii="Times New Roman" w:hAnsi="Times New Roman" w:cs="Times New Roman" w:eastAsia="Times New Roman" w:hint="default"/>
        </w:rPr>
        <w:t>(39)</w:t>
      </w:r>
      <w:r>
        <w:rPr/>
        <w:t>）等。</w:t>
      </w:r>
      <w:r>
        <w:rPr>
          <w:spacing w:val="-85"/>
        </w:rPr>
        <w:t> </w:t>
      </w:r>
      <w:r>
        <w:rPr/>
        <w:t>本集团在确定重要的会计政策时所运用的关键判断详见附注五</w:t>
      </w:r>
      <w:r>
        <w:rPr>
          <w:rFonts w:ascii="Times New Roman" w:hAnsi="Times New Roman" w:cs="Times New Roman" w:eastAsia="Times New Roman" w:hint="default"/>
        </w:rPr>
        <w:t>(43)</w:t>
      </w:r>
      <w:r>
        <w:rPr/>
        <w:t>。</w:t>
      </w:r>
    </w:p>
    <w:p>
      <w:pPr>
        <w:spacing w:line="240" w:lineRule="auto" w:before="7"/>
        <w:rPr>
          <w:rFonts w:ascii="宋体" w:hAnsi="宋体" w:cs="宋体" w:eastAsia="宋体" w:hint="default"/>
          <w:sz w:val="22"/>
          <w:szCs w:val="22"/>
        </w:rPr>
      </w:pPr>
    </w:p>
    <w:p>
      <w:pPr>
        <w:pStyle w:val="Heading3"/>
        <w:spacing w:line="240" w:lineRule="auto"/>
        <w:ind w:right="1105"/>
        <w:jc w:val="left"/>
        <w:rPr>
          <w:b w:val="0"/>
          <w:bCs w:val="0"/>
        </w:rPr>
      </w:pPr>
      <w:bookmarkStart w:name="1、遵循企业会计准则的声明" w:id="170"/>
      <w:bookmarkEnd w:id="17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本集团</w:t>
      </w:r>
      <w:r>
        <w:rPr>
          <w:rFonts w:ascii="Times New Roman" w:hAnsi="Times New Roman" w:cs="Times New Roman" w:eastAsia="Times New Roman" w:hint="default"/>
        </w:rPr>
        <w:t>2019</w:t>
      </w:r>
      <w:r>
        <w:rPr/>
        <w:t>年度财务报表符合企业会计准则的要求，真实、完整地反映了本集团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p>
    <w:p>
      <w:pPr>
        <w:pStyle w:val="BodyText"/>
        <w:spacing w:line="240" w:lineRule="auto" w:before="51"/>
        <w:ind w:right="1105"/>
        <w:jc w:val="left"/>
      </w:pPr>
      <w:r>
        <w:rPr>
          <w:rFonts w:ascii="Times New Roman" w:hAnsi="Times New Roman" w:cs="Times New Roman" w:eastAsia="Times New Roman" w:hint="default"/>
        </w:rPr>
        <w:t>2019</w:t>
      </w:r>
      <w:r>
        <w:rPr/>
        <w:t>年度的合并及公司经营成果和现金流量等有关信息。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1105"/>
        <w:jc w:val="left"/>
        <w:rPr>
          <w:b w:val="0"/>
          <w:bCs w:val="0"/>
        </w:rPr>
      </w:pPr>
      <w:bookmarkStart w:name="2、会计期间" w:id="171"/>
      <w:bookmarkEnd w:id="17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5"/>
        <w:jc w:val="left"/>
      </w:pPr>
      <w:r>
        <w:rPr/>
        <w:t>会计年度为公历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7"/>
        <w:rPr>
          <w:rFonts w:ascii="宋体" w:hAnsi="宋体" w:cs="宋体" w:eastAsia="宋体" w:hint="default"/>
          <w:sz w:val="26"/>
          <w:szCs w:val="26"/>
        </w:rPr>
      </w:pPr>
    </w:p>
    <w:p>
      <w:pPr>
        <w:pStyle w:val="Heading3"/>
        <w:spacing w:line="240" w:lineRule="auto"/>
        <w:ind w:right="1105"/>
        <w:jc w:val="left"/>
        <w:rPr>
          <w:b w:val="0"/>
          <w:bCs w:val="0"/>
        </w:rPr>
      </w:pPr>
      <w:bookmarkStart w:name="3、营业周期" w:id="172"/>
      <w:bookmarkEnd w:id="17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5"/>
        <w:jc w:val="left"/>
      </w:pPr>
      <w:r>
        <w:rPr/>
        <w:t>本公司营业周期为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pStyle w:val="Heading3"/>
        <w:spacing w:line="240" w:lineRule="auto"/>
        <w:ind w:right="1105"/>
        <w:jc w:val="left"/>
        <w:rPr>
          <w:b w:val="0"/>
          <w:bCs w:val="0"/>
        </w:rPr>
      </w:pPr>
      <w:bookmarkStart w:name="4、记账本位币" w:id="173"/>
      <w:bookmarkEnd w:id="17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5"/>
        <w:jc w:val="left"/>
      </w:pPr>
      <w:r>
        <w:rPr/>
        <w:t>本集团记账本位币为人民币。本财务报表以人民币列示。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3"/>
        <w:spacing w:line="240" w:lineRule="auto"/>
        <w:ind w:right="1105"/>
        <w:jc w:val="left"/>
        <w:rPr>
          <w:b w:val="0"/>
          <w:bCs w:val="0"/>
        </w:rPr>
      </w:pPr>
      <w:bookmarkStart w:name="5、同一控制下和非同一控制下企业合并的会计处理方法" w:id="174"/>
      <w:bookmarkEnd w:id="17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21" w:lineRule="auto"/>
        <w:ind w:right="1105"/>
        <w:jc w:val="left"/>
      </w:pPr>
      <w:r>
        <w:rPr/>
        <w:t>（</w:t>
      </w:r>
      <w:r>
        <w:rPr>
          <w:rFonts w:ascii="Times New Roman" w:hAnsi="Times New Roman" w:cs="Times New Roman" w:eastAsia="Times New Roman" w:hint="default"/>
        </w:rPr>
        <w:t>1</w:t>
      </w:r>
      <w:r>
        <w:rPr/>
        <w:t>）同一控制下的企业合并 </w:t>
      </w:r>
      <w:r>
        <w:rPr>
          <w:spacing w:val="-2"/>
        </w:rPr>
        <w:t>合并方支付的合并对价及取得的净资产均按账面价值计量，如被合并方是最终控制方以前年度从第三方收购来的，则以被合</w:t>
      </w:r>
      <w:r>
        <w:rPr>
          <w:spacing w:val="-72"/>
        </w:rPr>
        <w:t> </w:t>
      </w:r>
      <w:r>
        <w:rPr>
          <w:spacing w:val="-72"/>
        </w:rPr>
      </w:r>
      <w:r>
        <w:rPr>
          <w:spacing w:val="-2"/>
        </w:rPr>
        <w:t>并方的资产、负债（包括最终控制方收购被合并方而形成的商誉）在最终控制方合并财务报表中的账面价值为基础。合并方</w:t>
      </w:r>
      <w:r>
        <w:rPr>
          <w:spacing w:val="-42"/>
        </w:rPr>
        <w:t> </w:t>
      </w:r>
      <w:r>
        <w:rPr>
          <w:spacing w:val="-42"/>
        </w:rPr>
      </w:r>
      <w:r>
        <w:rPr>
          <w:spacing w:val="-2"/>
        </w:rPr>
        <w:t>取得的净资产账面价值与支付的合并对价账面价值的差额，调整资本公积（股本溢价）；资本公积（股本溢价）不足以冲减</w:t>
      </w:r>
      <w:r>
        <w:rPr>
          <w:spacing w:val="-72"/>
        </w:rPr>
        <w:t> </w:t>
      </w:r>
      <w:r>
        <w:rPr>
          <w:spacing w:val="-72"/>
        </w:rPr>
      </w:r>
      <w:r>
        <w:rPr>
          <w:spacing w:val="-2"/>
        </w:rPr>
        <w:t>的，调整留存收益。为进行企业合并发生的直接相关费用于发生时计入当期损益。为企业合并而发行权益性证券或债务性证</w:t>
      </w:r>
      <w:r>
        <w:rPr>
          <w:spacing w:val="-70"/>
        </w:rPr>
        <w:t> </w:t>
      </w:r>
      <w:r>
        <w:rPr>
          <w:spacing w:val="-70"/>
        </w:rPr>
      </w:r>
      <w:r>
        <w:rPr/>
        <w:t>券的交易费用，计入权益性证券或债务性证券的初始确认金额。</w:t>
      </w:r>
    </w:p>
    <w:p>
      <w:pPr>
        <w:pStyle w:val="BodyText"/>
        <w:spacing w:line="326" w:lineRule="auto" w:before="64"/>
        <w:ind w:right="1105"/>
        <w:jc w:val="left"/>
      </w:pPr>
      <w:r>
        <w:rPr/>
        <w:t>（</w:t>
      </w:r>
      <w:r>
        <w:rPr>
          <w:rFonts w:ascii="Times New Roman" w:hAnsi="Times New Roman" w:cs="Times New Roman" w:eastAsia="Times New Roman" w:hint="default"/>
        </w:rPr>
        <w:t>2</w:t>
      </w:r>
      <w:r>
        <w:rPr/>
        <w:t>）非同一控制下的企业合并 </w:t>
      </w:r>
      <w:r>
        <w:rPr>
          <w:spacing w:val="-2"/>
        </w:rPr>
        <w:t>购买方发生的合并成本及在合并中取得的可辨认净资产按购买日的公允价值计量。合并成本大于合并中取得的被购买方于购</w:t>
      </w:r>
      <w:r>
        <w:rPr>
          <w:spacing w:val="-58"/>
        </w:rPr>
        <w:t> </w:t>
      </w:r>
      <w:r>
        <w:rPr>
          <w:spacing w:val="-58"/>
        </w:rPr>
      </w:r>
      <w:r>
        <w:rPr>
          <w:spacing w:val="-2"/>
        </w:rPr>
        <w:t>买日可辨认净资产公允价值份额的差额，确认为商誉；合并成本小于合并中取得的被购买方可辨认净资产公允价值份额的差</w:t>
      </w:r>
    </w:p>
    <w:p>
      <w:pPr>
        <w:spacing w:after="0" w:line="326"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1136"/>
        <w:jc w:val="both"/>
      </w:pPr>
      <w:r>
        <w:rPr>
          <w:spacing w:val="-2"/>
        </w:rPr>
        <w:t>额，计入当期损益。为进行企业合并发生的直接相关费用于发生时计入当期损益。为企业合并而发行权益性证券或债务性证</w:t>
      </w:r>
      <w:r>
        <w:rPr>
          <w:spacing w:val="-75"/>
        </w:rPr>
        <w:t> </w:t>
      </w:r>
      <w:r>
        <w:rPr>
          <w:spacing w:val="-75"/>
        </w:rPr>
      </w:r>
      <w:r>
        <w:rPr/>
        <w:t>券的交易费用，计入权益性证券或债务性证券的初始确认金额。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Heading3"/>
        <w:spacing w:line="240" w:lineRule="auto"/>
        <w:ind w:right="0"/>
        <w:jc w:val="both"/>
        <w:rPr>
          <w:b w:val="0"/>
          <w:bCs w:val="0"/>
        </w:rPr>
      </w:pPr>
      <w:bookmarkStart w:name="6、合并财务报表的编制方法" w:id="175"/>
      <w:bookmarkEnd w:id="17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both"/>
      </w:pPr>
      <w:r>
        <w:rPr/>
        <w:t>编制合并财务报表时，合并范围包括本公司及全部子公司。</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314" w:lineRule="auto"/>
        <w:ind w:right="1136"/>
        <w:jc w:val="both"/>
      </w:pPr>
      <w:r>
        <w:rPr>
          <w:spacing w:val="-2"/>
        </w:rPr>
        <w:t>从取得子公司的实际控制权之日起，本集团开始将其纳入合并范围；从丧失实际控制权之日起停止纳入合并范围。对于同一</w:t>
      </w:r>
      <w:r>
        <w:rPr>
          <w:spacing w:val="-75"/>
        </w:rPr>
        <w:t> </w:t>
      </w:r>
      <w:r>
        <w:rPr>
          <w:spacing w:val="-75"/>
        </w:rPr>
      </w:r>
      <w:r>
        <w:rPr>
          <w:spacing w:val="-2"/>
        </w:rPr>
        <w:t>控制下企业合并取得的子公司，自其与本公司同受最终控制方控制之日起纳入本公司合并范围，并将其在合并日前实现的净</w:t>
      </w:r>
      <w:r>
        <w:rPr>
          <w:spacing w:val="-72"/>
        </w:rPr>
        <w:t> </w:t>
      </w:r>
      <w:r>
        <w:rPr>
          <w:spacing w:val="-72"/>
        </w:rPr>
      </w:r>
      <w:r>
        <w:rPr/>
        <w:t>利润在合并利润表中单列项目反映。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BodyText"/>
        <w:spacing w:line="321" w:lineRule="auto"/>
        <w:ind w:right="1131"/>
        <w:jc w:val="both"/>
      </w:pPr>
      <w:r>
        <w:rPr>
          <w:spacing w:val="-2"/>
        </w:rPr>
        <w:t>在编制合并财务报表时，子公司与本公司采用的会计政策或会计期间不一致的，按照本公司的会计政策和会计期间对子公司</w:t>
      </w:r>
      <w:r>
        <w:rPr>
          <w:spacing w:val="-72"/>
        </w:rPr>
        <w:t> </w:t>
      </w:r>
      <w:r>
        <w:rPr>
          <w:spacing w:val="-72"/>
        </w:rPr>
      </w:r>
      <w:r>
        <w:rPr>
          <w:spacing w:val="-2"/>
        </w:rPr>
        <w:t>财务报表进行必要的调整。对于非同一控制下企业合并取得的子公司，以购买日可辨认净资产公允价值为基础对其财务报表</w:t>
      </w:r>
      <w:r>
        <w:rPr>
          <w:spacing w:val="-67"/>
        </w:rPr>
        <w:t> </w:t>
      </w:r>
      <w:r>
        <w:rPr>
          <w:spacing w:val="-67"/>
        </w:rPr>
      </w:r>
      <w:r>
        <w:rPr/>
        <w:t>进行调整。</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19" w:lineRule="auto"/>
        <w:ind w:right="1121"/>
        <w:jc w:val="both"/>
      </w:pPr>
      <w:r>
        <w:rPr>
          <w:spacing w:val="-2"/>
        </w:rPr>
        <w:t>集团内所有重大往来余额、交易及未实现利润在合并财务报表编制时予以抵销。子公司的股东权益、当期净损益及综合收益</w:t>
      </w:r>
      <w:r>
        <w:rPr>
          <w:spacing w:val="-75"/>
        </w:rPr>
        <w:t> </w:t>
      </w:r>
      <w:r>
        <w:rPr>
          <w:spacing w:val="-75"/>
        </w:rPr>
      </w:r>
      <w:r>
        <w:rPr>
          <w:spacing w:val="-2"/>
        </w:rPr>
        <w:t>中不属于本公司所拥有的部分分别作为少数股东权益、少数股东损益及归属于少数股东的综合收益总额在合并财务报表中股</w:t>
      </w:r>
      <w:r>
        <w:rPr>
          <w:spacing w:val="-58"/>
        </w:rPr>
        <w:t> </w:t>
      </w:r>
      <w:r>
        <w:rPr>
          <w:spacing w:val="-58"/>
        </w:rPr>
      </w:r>
      <w:r>
        <w:rPr>
          <w:spacing w:val="-2"/>
        </w:rPr>
        <w:t>东权益、净利润及综合收益总额项下单独列示。本公司向子公司出售资产所发生的未实现内部交易损益，全额抵销归属于母</w:t>
      </w:r>
      <w:r>
        <w:rPr>
          <w:spacing w:val="-75"/>
        </w:rPr>
        <w:t> </w:t>
      </w:r>
      <w:r>
        <w:rPr>
          <w:spacing w:val="-75"/>
        </w:rPr>
      </w:r>
      <w:r>
        <w:rPr>
          <w:spacing w:val="-2"/>
        </w:rPr>
        <w:t>公司股东的净利润；子公司向本公司出售资产所发生的未实现内部交易损益，按本公司对该子公司的分配比例在归属于母公</w:t>
      </w:r>
      <w:r>
        <w:rPr>
          <w:spacing w:val="-72"/>
        </w:rPr>
        <w:t> </w:t>
      </w:r>
      <w:r>
        <w:rPr>
          <w:spacing w:val="-72"/>
        </w:rPr>
      </w:r>
      <w:r>
        <w:rPr>
          <w:spacing w:val="-2"/>
        </w:rPr>
        <w:t>司股东的净利润和少数股东损益之间分配抵销。子公司之间出售资产所发生的未实现内部交易损益，按照母公司对出售方子</w:t>
      </w:r>
      <w:r>
        <w:rPr>
          <w:spacing w:val="-72"/>
        </w:rPr>
        <w:t> </w:t>
      </w:r>
      <w:r>
        <w:rPr>
          <w:spacing w:val="-72"/>
        </w:rPr>
      </w:r>
      <w:r>
        <w:rPr/>
        <w:t>公司的分配比例在归属于母公司股东的净利润和少数股东损益之间分配抵销。</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BodyText"/>
        <w:spacing w:line="240" w:lineRule="auto"/>
        <w:ind w:right="0"/>
        <w:jc w:val="both"/>
      </w:pPr>
      <w:r>
        <w:rPr/>
        <w:t>如果以本集团为会计主体与以本公司或子公司为会计主体对同一交易的认定不同时，从本集团的角度对该交易予以调整。</w:t>
      </w: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bookmarkStart w:name="7、合营安排分类及共同经营会计处理方法" w:id="176"/>
      <w:bookmarkEnd w:id="176"/>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both"/>
        <w:rPr>
          <w:b w:val="0"/>
          <w:bCs w:val="0"/>
        </w:rPr>
      </w:pPr>
      <w:bookmarkStart w:name="8、现金及现金等价物的确定标准" w:id="177"/>
      <w:bookmarkEnd w:id="177"/>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1"/>
        <w:rPr>
          <w:rFonts w:ascii="宋体" w:hAnsi="宋体" w:cs="宋体" w:eastAsia="宋体" w:hint="default"/>
          <w:b/>
          <w:bCs/>
          <w:sz w:val="24"/>
          <w:szCs w:val="24"/>
        </w:rPr>
      </w:pPr>
    </w:p>
    <w:p>
      <w:pPr>
        <w:pStyle w:val="BodyText"/>
        <w:spacing w:line="321" w:lineRule="auto"/>
        <w:ind w:right="1121"/>
        <w:jc w:val="both"/>
      </w:pPr>
      <w:r>
        <w:rPr>
          <w:spacing w:val="-2"/>
        </w:rPr>
        <w:t>现金及现金等价物是指库存现金，可随时用于支付的存款，以及持有的期限短、流动性强、易于转换为已知金额现金、价值</w:t>
      </w:r>
      <w:r>
        <w:rPr>
          <w:spacing w:val="-57"/>
        </w:rPr>
        <w:t> </w:t>
      </w:r>
      <w:r>
        <w:rPr>
          <w:spacing w:val="-57"/>
        </w:rPr>
      </w:r>
      <w:r>
        <w:rPr/>
        <w:t>变动风险很小的投资。</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21" w:lineRule="auto"/>
        <w:ind w:right="1134"/>
        <w:jc w:val="both"/>
      </w:pPr>
      <w:r>
        <w:rPr>
          <w:spacing w:val="-2"/>
        </w:rPr>
        <w:t>在编制现金流量表时，将本集团库存现金以及可以随时用于支付的存款确认为现金。将同时具备期限短（从购买日起三个月</w:t>
      </w:r>
      <w:r>
        <w:rPr>
          <w:spacing w:val="-73"/>
        </w:rPr>
        <w:t> </w:t>
      </w:r>
      <w:r>
        <w:rPr>
          <w:spacing w:val="-73"/>
        </w:rPr>
      </w:r>
      <w:r>
        <w:rPr/>
        <w:t>内到期）、流动性强、易于转换为已知现金、价值变动风险很小四个条件的投资，确定为现金等价物。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Heading3"/>
        <w:spacing w:line="240" w:lineRule="auto"/>
        <w:ind w:right="0"/>
        <w:jc w:val="both"/>
        <w:rPr>
          <w:b w:val="0"/>
          <w:bCs w:val="0"/>
        </w:rPr>
      </w:pPr>
      <w:bookmarkStart w:name="9、外币业务和外币报表折算" w:id="178"/>
      <w:bookmarkEnd w:id="178"/>
      <w:r>
        <w:rPr>
          <w:b w:val="0"/>
          <w:bCs w:val="0"/>
        </w:rPr>
      </w:r>
      <w:r>
        <w:rPr>
          <w:rFonts w:ascii="Times New Roman" w:hAnsi="Times New Roman" w:cs="Times New Roman" w:eastAsia="Times New Roman" w:hint="default"/>
        </w:rPr>
        <w:t>9</w:t>
      </w:r>
      <w:r>
        <w:rPr/>
        <w:t>、外币业务和外币报表折算</w:t>
      </w:r>
      <w:r>
        <w:rPr>
          <w:b w:val="0"/>
          <w:bCs w:val="0"/>
        </w:rPr>
      </w:r>
    </w:p>
    <w:p>
      <w:pPr>
        <w:pStyle w:val="BodyText"/>
        <w:spacing w:line="630" w:lineRule="exact" w:before="36"/>
        <w:ind w:right="5169"/>
        <w:jc w:val="left"/>
      </w:pPr>
      <w:r>
        <w:rPr/>
        <w:t>外币交易 外币交易按交易发生日的即期汇率将外币金额折算为记账本位币入账。</w:t>
      </w:r>
    </w:p>
    <w:p>
      <w:pPr>
        <w:pStyle w:val="BodyText"/>
        <w:spacing w:line="214" w:lineRule="exact"/>
        <w:ind w:right="0"/>
        <w:jc w:val="both"/>
      </w:pPr>
      <w:r>
        <w:rPr/>
        <w:t>于资产负债表日，外币货币性项目采用资产负债表日的即期汇率折算为记账本位币。为购建符合借款费用资本化条件的资产</w:t>
      </w:r>
    </w:p>
    <w:p>
      <w:pPr>
        <w:pStyle w:val="BodyText"/>
        <w:spacing w:line="240" w:lineRule="auto" w:before="65"/>
        <w:ind w:right="0"/>
        <w:jc w:val="both"/>
      </w:pPr>
      <w:r>
        <w:rPr/>
        <w:t>而借入的外币专门借款产生的汇兑差额在资本化期间内予以资本化；其他汇兑差额直接计入当期损益。以历史成本计量的外</w:t>
      </w:r>
    </w:p>
    <w:p>
      <w:pPr>
        <w:spacing w:after="0" w:line="240"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left"/>
      </w:pPr>
      <w:r>
        <w:rPr/>
        <w:t>币非货币性项目，于资产负债表日采用交易发生日的即期汇率折算。汇率变动对现金的影响额，在现金流量表中单独列示。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3"/>
        <w:spacing w:line="240" w:lineRule="auto"/>
        <w:ind w:right="1105"/>
        <w:jc w:val="left"/>
        <w:rPr>
          <w:b w:val="0"/>
          <w:bCs w:val="0"/>
        </w:rPr>
      </w:pPr>
      <w:bookmarkStart w:name="10、金融工具" w:id="179"/>
      <w:bookmarkEnd w:id="179"/>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1"/>
        <w:rPr>
          <w:rFonts w:ascii="宋体" w:hAnsi="宋体" w:cs="宋体" w:eastAsia="宋体" w:hint="default"/>
          <w:b/>
          <w:bCs/>
          <w:sz w:val="24"/>
          <w:szCs w:val="24"/>
        </w:rPr>
      </w:pPr>
    </w:p>
    <w:p>
      <w:pPr>
        <w:pStyle w:val="BodyText"/>
        <w:spacing w:line="321" w:lineRule="auto"/>
        <w:ind w:right="1105"/>
        <w:jc w:val="left"/>
      </w:pPr>
      <w:r>
        <w:rPr>
          <w:spacing w:val="-2"/>
        </w:rPr>
        <w:t>金融工具，是指形成一方的金融资产并形成其他方的金融负债或权益工具的合同。当本集团成为金融工具合同的一方时，确</w:t>
      </w:r>
      <w:r>
        <w:rPr>
          <w:spacing w:val="-75"/>
        </w:rPr>
        <w:t> </w:t>
      </w:r>
      <w:r>
        <w:rPr>
          <w:spacing w:val="-75"/>
        </w:rPr>
      </w:r>
      <w:r>
        <w:rPr/>
        <w:t>认相关的金融资产或金融负债。</w:t>
      </w:r>
    </w:p>
    <w:p>
      <w:pPr>
        <w:spacing w:line="240" w:lineRule="auto" w:before="8"/>
        <w:rPr>
          <w:rFonts w:ascii="宋体" w:hAnsi="宋体" w:cs="宋体" w:eastAsia="宋体" w:hint="default"/>
          <w:sz w:val="26"/>
          <w:szCs w:val="26"/>
        </w:rPr>
      </w:pPr>
    </w:p>
    <w:p>
      <w:pPr>
        <w:pStyle w:val="BodyText"/>
        <w:tabs>
          <w:tab w:pos="561" w:val="left" w:leader="none"/>
        </w:tabs>
        <w:spacing w:line="240" w:lineRule="auto"/>
        <w:ind w:right="1105"/>
        <w:jc w:val="left"/>
      </w:pPr>
      <w:r>
        <w:rPr>
          <w:rFonts w:ascii="Times New Roman" w:hAnsi="Times New Roman" w:cs="Times New Roman" w:eastAsia="Times New Roman" w:hint="default"/>
          <w:spacing w:val="-2"/>
        </w:rPr>
        <w:t>(a)</w:t>
        <w:tab/>
      </w:r>
      <w:r>
        <w:rPr/>
        <w:t>金融资产</w:t>
      </w:r>
    </w:p>
    <w:p>
      <w:pPr>
        <w:spacing w:line="240" w:lineRule="auto" w:before="0"/>
        <w:rPr>
          <w:rFonts w:ascii="宋体" w:hAnsi="宋体" w:cs="宋体" w:eastAsia="宋体" w:hint="default"/>
          <w:sz w:val="18"/>
          <w:szCs w:val="18"/>
        </w:rPr>
      </w:pPr>
    </w:p>
    <w:p>
      <w:pPr>
        <w:pStyle w:val="BodyText"/>
        <w:tabs>
          <w:tab w:pos="561" w:val="left" w:leader="none"/>
        </w:tabs>
        <w:spacing w:line="240" w:lineRule="auto" w:before="131"/>
        <w:ind w:right="1105"/>
        <w:jc w:val="left"/>
      </w:pPr>
      <w:r>
        <w:rPr>
          <w:rFonts w:ascii="Times New Roman" w:hAnsi="Times New Roman" w:cs="Times New Roman" w:eastAsia="Times New Roman" w:hint="default"/>
          <w:spacing w:val="-2"/>
        </w:rPr>
        <w:t>(i)</w:t>
        <w:tab/>
      </w:r>
      <w:r>
        <w:rPr/>
        <w:t>分类和计量</w:t>
      </w:r>
    </w:p>
    <w:p>
      <w:pPr>
        <w:spacing w:line="240" w:lineRule="auto" w:before="0"/>
        <w:rPr>
          <w:rFonts w:ascii="宋体" w:hAnsi="宋体" w:cs="宋体" w:eastAsia="宋体" w:hint="default"/>
          <w:sz w:val="18"/>
          <w:szCs w:val="18"/>
        </w:rPr>
      </w:pPr>
    </w:p>
    <w:p>
      <w:pPr>
        <w:pStyle w:val="BodyText"/>
        <w:spacing w:line="304" w:lineRule="auto" w:before="145"/>
        <w:ind w:right="1113" w:firstLine="420"/>
        <w:jc w:val="both"/>
      </w:pPr>
      <w:r>
        <w:rPr/>
        <w:t>本集团根据管理金融资产的业务模式和金融资产的合同现金流量特征，将金融资产划分为：</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以摊余成本计量的金融 资产；</w:t>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以公允价值计量且其变动计入当期损益的金融资产。</w:t>
      </w:r>
    </w:p>
    <w:p>
      <w:pPr>
        <w:spacing w:line="240" w:lineRule="auto" w:before="10"/>
        <w:rPr>
          <w:rFonts w:ascii="宋体" w:hAnsi="宋体" w:cs="宋体" w:eastAsia="宋体" w:hint="default"/>
          <w:sz w:val="22"/>
          <w:szCs w:val="22"/>
        </w:rPr>
      </w:pPr>
    </w:p>
    <w:p>
      <w:pPr>
        <w:pStyle w:val="BodyText"/>
        <w:spacing w:line="321" w:lineRule="auto"/>
        <w:ind w:right="1106" w:firstLine="420"/>
        <w:jc w:val="both"/>
      </w:pPr>
      <w:r>
        <w:rPr/>
        <w:t>金融资产在初始确认时以公允价值计量。对于以公允价值计量且其变动计入当期损益的金融资产，相关交易费用直接 </w:t>
      </w:r>
      <w:r>
        <w:rPr>
          <w:spacing w:val="-2"/>
        </w:rPr>
        <w:t>计入当期损益；对于其他类别的金融资产，相关交易费用计入初始确认金额。因销售产品或提供劳务而产生的、未包含或不</w:t>
      </w:r>
      <w:r>
        <w:rPr>
          <w:spacing w:val="-42"/>
        </w:rPr>
        <w:t> </w:t>
      </w:r>
      <w:r>
        <w:rPr>
          <w:spacing w:val="-42"/>
        </w:rPr>
      </w:r>
      <w:r>
        <w:rPr/>
        <w:t>考虑重大融资成分的应收账款或应收票据，本集团按照预期有权收取的对价金额作为初始确认金额。</w:t>
      </w:r>
    </w:p>
    <w:p>
      <w:pPr>
        <w:spacing w:line="240" w:lineRule="auto" w:before="7"/>
        <w:rPr>
          <w:rFonts w:ascii="宋体" w:hAnsi="宋体" w:cs="宋体" w:eastAsia="宋体" w:hint="default"/>
          <w:sz w:val="25"/>
          <w:szCs w:val="25"/>
        </w:rPr>
      </w:pPr>
    </w:p>
    <w:p>
      <w:pPr>
        <w:pStyle w:val="BodyText"/>
        <w:spacing w:line="636" w:lineRule="auto"/>
        <w:ind w:left="561" w:right="1869"/>
        <w:jc w:val="left"/>
      </w:pPr>
      <w:r>
        <w:rPr/>
        <w:t>债务工具 本集团持有的债务工具是指从发行方角度分析符合金融负债定义的工具，分别采用以下两种方式进行计量： 以摊余成本计量：</w:t>
      </w:r>
    </w:p>
    <w:p>
      <w:pPr>
        <w:pStyle w:val="BodyText"/>
        <w:spacing w:line="321" w:lineRule="auto" w:before="83"/>
        <w:ind w:right="1136" w:firstLine="420"/>
        <w:jc w:val="both"/>
      </w:pPr>
      <w:r>
        <w:rPr/>
        <w:t>本集团管理此类金融资产的业务模式为以收取合同现金流量为目标，且此类金融资产的合同现金流量特征与基本借贷 </w:t>
      </w:r>
      <w:r>
        <w:rPr>
          <w:spacing w:val="-2"/>
        </w:rPr>
        <w:t>安排相一致，即在特定日期产生的现金流量，仅为对本金和以未偿付本金金额为基础的利息的支付。本集团对于此类金融资</w:t>
      </w:r>
      <w:r>
        <w:rPr>
          <w:spacing w:val="-75"/>
        </w:rPr>
        <w:t> </w:t>
      </w:r>
      <w:r>
        <w:rPr>
          <w:spacing w:val="-75"/>
        </w:rPr>
      </w:r>
      <w:r>
        <w:rPr/>
        <w:t>产按照实际利率法确认利息收入。此类金融资产主要包括货币资金、应收票据、应收账款、其他应收款等。</w:t>
      </w:r>
    </w:p>
    <w:p>
      <w:pPr>
        <w:pStyle w:val="BodyText"/>
        <w:spacing w:line="616" w:lineRule="exact" w:before="51"/>
        <w:ind w:left="561" w:right="1149"/>
        <w:jc w:val="left"/>
      </w:pPr>
      <w:r>
        <w:rPr/>
        <w:t>以公允价值计量且其变动计入当期损益： 本集团将持有的未划分为以摊余成本计量和以公允价值计量且其变动计入其他综合收益的债务工具，以公允价值计量</w:t>
      </w:r>
    </w:p>
    <w:p>
      <w:pPr>
        <w:pStyle w:val="BodyText"/>
        <w:spacing w:line="217" w:lineRule="exact"/>
        <w:ind w:right="0"/>
        <w:jc w:val="left"/>
      </w:pPr>
      <w:r>
        <w:rPr/>
        <w:t>且其变动计入当期损益，列示为交易性金融资产。在初始确认时，本集团为了消除或显著减少会计错配，将部分金融资产指</w:t>
      </w:r>
    </w:p>
    <w:p>
      <w:pPr>
        <w:pStyle w:val="BodyText"/>
        <w:spacing w:line="321" w:lineRule="auto" w:before="80"/>
        <w:ind w:right="1105"/>
        <w:jc w:val="left"/>
      </w:pPr>
      <w:r>
        <w:rPr>
          <w:spacing w:val="-2"/>
        </w:rPr>
        <w:t>定为以公允价值计量且其变动计入当期损益的金融资产。自资产负债表日起超过一年到期且预期持有超过一年的，列示为其</w:t>
      </w:r>
      <w:r>
        <w:rPr>
          <w:spacing w:val="-68"/>
        </w:rPr>
        <w:t> </w:t>
      </w:r>
      <w:r>
        <w:rPr>
          <w:spacing w:val="-68"/>
        </w:rPr>
      </w:r>
      <w:r>
        <w:rPr/>
        <w:t>他非流动金融资产。</w:t>
      </w:r>
    </w:p>
    <w:p>
      <w:pPr>
        <w:pStyle w:val="BodyText"/>
        <w:spacing w:line="630" w:lineRule="exact" w:before="25"/>
        <w:ind w:left="561" w:right="1149"/>
        <w:jc w:val="left"/>
      </w:pPr>
      <w:r>
        <w:rPr/>
        <w:t>权益工具 本集团将对其没有控制、共同控制和重大影响的权益工具投资按照公允价值计量且其变动计入当期损益，列示为交易</w:t>
      </w:r>
    </w:p>
    <w:p>
      <w:pPr>
        <w:pStyle w:val="BodyText"/>
        <w:spacing w:line="214" w:lineRule="exact"/>
        <w:ind w:right="1105"/>
        <w:jc w:val="left"/>
      </w:pPr>
      <w:r>
        <w:rPr/>
        <w:t>性金融资产；自资产负债表日起预期持有超过一年的，列示为其他非流动金融资产。</w:t>
      </w:r>
    </w:p>
    <w:p>
      <w:pPr>
        <w:pStyle w:val="ListParagraph"/>
        <w:numPr>
          <w:ilvl w:val="0"/>
          <w:numId w:val="1"/>
        </w:numPr>
        <w:tabs>
          <w:tab w:pos="562" w:val="left" w:leader="none"/>
        </w:tabs>
        <w:spacing w:line="592" w:lineRule="auto" w:before="80" w:after="0"/>
        <w:ind w:left="562" w:right="4047" w:hanging="421"/>
        <w:jc w:val="left"/>
        <w:rPr>
          <w:rFonts w:ascii="宋体" w:hAnsi="宋体" w:cs="宋体" w:eastAsia="宋体" w:hint="default"/>
          <w:sz w:val="18"/>
          <w:szCs w:val="18"/>
        </w:rPr>
      </w:pPr>
      <w:r>
        <w:rPr>
          <w:rFonts w:ascii="宋体" w:hAnsi="宋体" w:cs="宋体" w:eastAsia="宋体" w:hint="default"/>
          <w:sz w:val="18"/>
          <w:szCs w:val="18"/>
        </w:rPr>
        <w:t>减值</w:t>
      </w:r>
      <w:r>
        <w:rPr>
          <w:rFonts w:ascii="宋体" w:hAnsi="宋体" w:cs="宋体" w:eastAsia="宋体" w:hint="default"/>
          <w:w w:val="99"/>
          <w:sz w:val="18"/>
          <w:szCs w:val="18"/>
        </w:rPr>
        <w:t> </w:t>
      </w:r>
      <w:r>
        <w:rPr>
          <w:rFonts w:ascii="宋体" w:hAnsi="宋体" w:cs="宋体" w:eastAsia="宋体" w:hint="default"/>
          <w:sz w:val="18"/>
          <w:szCs w:val="18"/>
        </w:rPr>
        <w:t>本集团对于以摊余成本计量的金融资产，以预期信用损失为基础确认损失准备。</w:t>
      </w:r>
    </w:p>
    <w:p>
      <w:pPr>
        <w:spacing w:after="0" w:line="592"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1167" w:firstLine="420"/>
        <w:jc w:val="both"/>
      </w:pPr>
      <w:r>
        <w:rPr/>
        <w:t>本集团考虑有关过去事项、当前状况以及对未来经济状况的预测等合理且有依据的信息，以发生违约的风险为权重， 计算合同应收的现金流量与预期能收到的现金流量之间差额的现值的概率加权金额，确认预期信用损失。</w:t>
      </w:r>
    </w:p>
    <w:p>
      <w:pPr>
        <w:spacing w:line="240" w:lineRule="auto" w:before="5"/>
        <w:rPr>
          <w:rFonts w:ascii="宋体" w:hAnsi="宋体" w:cs="宋体" w:eastAsia="宋体" w:hint="default"/>
          <w:sz w:val="24"/>
          <w:szCs w:val="24"/>
        </w:rPr>
      </w:pPr>
    </w:p>
    <w:p>
      <w:pPr>
        <w:pStyle w:val="BodyText"/>
        <w:spacing w:line="312" w:lineRule="auto"/>
        <w:ind w:right="1131" w:firstLine="420"/>
        <w:jc w:val="both"/>
      </w:pPr>
      <w:r>
        <w:rPr/>
        <w:t>于每个资产负债表日，本集团对于处于不同阶段的金融工具的预期信用损失分别进行计量。金融工具自初始确认后信 </w:t>
      </w:r>
      <w:r>
        <w:rPr>
          <w:spacing w:val="-2"/>
        </w:rPr>
        <w:t>用风险未显著增加的，处于第一阶段，本集团按照未来</w:t>
      </w:r>
      <w:r>
        <w:rPr>
          <w:rFonts w:ascii="Times New Roman" w:hAnsi="Times New Roman" w:cs="Times New Roman" w:eastAsia="Times New Roman" w:hint="default"/>
          <w:spacing w:val="-2"/>
        </w:rPr>
        <w:t>12</w:t>
      </w:r>
      <w:r>
        <w:rPr>
          <w:spacing w:val="-2"/>
        </w:rPr>
        <w:t>个月内的预期信用损失计量损失准备；金融工具自初始确认后信用</w:t>
      </w:r>
      <w:r>
        <w:rPr>
          <w:spacing w:val="-68"/>
        </w:rPr>
        <w:t> </w:t>
      </w:r>
      <w:r>
        <w:rPr>
          <w:spacing w:val="-68"/>
        </w:rPr>
      </w:r>
      <w:r>
        <w:rPr>
          <w:spacing w:val="-2"/>
        </w:rPr>
        <w:t>风险已显著增加但尚未发生信用减值的，处于第二阶段，本集团按照该工具整个存续期的预期信用损失计量损失准备；金融</w:t>
      </w:r>
    </w:p>
    <w:p>
      <w:pPr>
        <w:pStyle w:val="BodyText"/>
        <w:spacing w:line="240" w:lineRule="auto" w:before="25"/>
        <w:ind w:right="1105"/>
        <w:jc w:val="left"/>
      </w:pPr>
      <w:r>
        <w:rPr/>
        <w:t>工具自初始确认后已经发生信用减值的，处于第三阶段，本集团按照该工具整个存续期的预期信用损失计量损失准备。</w:t>
      </w:r>
    </w:p>
    <w:p>
      <w:pPr>
        <w:spacing w:line="240" w:lineRule="auto" w:before="0"/>
        <w:rPr>
          <w:rFonts w:ascii="宋体" w:hAnsi="宋体" w:cs="宋体" w:eastAsia="宋体" w:hint="default"/>
          <w:sz w:val="18"/>
          <w:szCs w:val="18"/>
        </w:rPr>
      </w:pPr>
    </w:p>
    <w:p>
      <w:pPr>
        <w:pStyle w:val="BodyText"/>
        <w:spacing w:line="290" w:lineRule="auto" w:before="159"/>
        <w:ind w:right="1156" w:firstLine="420"/>
        <w:jc w:val="both"/>
      </w:pPr>
      <w:r>
        <w:rPr/>
        <w:t>对于在资产负债表日具有较低信用风险的金融工具，本集团假设其信用风险自初始确认后并未显著增加，按照未来</w:t>
      </w:r>
      <w:r>
        <w:rPr>
          <w:rFonts w:ascii="Times New Roman" w:hAnsi="Times New Roman" w:cs="Times New Roman" w:eastAsia="Times New Roman" w:hint="default"/>
        </w:rPr>
        <w:t>12 </w:t>
      </w:r>
      <w:r>
        <w:rPr/>
        <w:t>个月内的预期信用损失计量损失准备。</w:t>
      </w:r>
    </w:p>
    <w:p>
      <w:pPr>
        <w:spacing w:line="240" w:lineRule="auto" w:before="0"/>
        <w:rPr>
          <w:rFonts w:ascii="宋体" w:hAnsi="宋体" w:cs="宋体" w:eastAsia="宋体" w:hint="default"/>
          <w:sz w:val="18"/>
          <w:szCs w:val="18"/>
        </w:rPr>
      </w:pPr>
    </w:p>
    <w:p>
      <w:pPr>
        <w:pStyle w:val="BodyText"/>
        <w:spacing w:line="321" w:lineRule="auto" w:before="121"/>
        <w:ind w:right="1029" w:firstLine="420"/>
        <w:jc w:val="left"/>
      </w:pPr>
      <w:r>
        <w:rPr/>
        <w:t>本集团对于处于第一阶段和第二阶段、以及较低信用风险的金融工具，按照其未扣除减值准备的账面余额和实际利率 计算利息收入。对于处于第三阶段的金融工具，按照其账面余额减已计提减值准备后的摊余成本和实际利率计算利息收入。</w:t>
      </w:r>
    </w:p>
    <w:p>
      <w:pPr>
        <w:spacing w:line="240" w:lineRule="auto" w:before="5"/>
        <w:rPr>
          <w:rFonts w:ascii="宋体" w:hAnsi="宋体" w:cs="宋体" w:eastAsia="宋体" w:hint="default"/>
          <w:sz w:val="24"/>
          <w:szCs w:val="24"/>
        </w:rPr>
      </w:pPr>
    </w:p>
    <w:p>
      <w:pPr>
        <w:pStyle w:val="BodyText"/>
        <w:spacing w:line="321" w:lineRule="auto"/>
        <w:ind w:right="1167" w:firstLine="420"/>
        <w:jc w:val="both"/>
      </w:pPr>
      <w:r>
        <w:rPr/>
        <w:t>对于因销售商品、提供劳务等日常经营活动形成的应收票据、应收账款，无论是否存在重大融资成分，本集团均按照 整个存续期的预期信用损失计量损失准备。</w:t>
      </w:r>
    </w:p>
    <w:p>
      <w:pPr>
        <w:spacing w:line="240" w:lineRule="auto" w:before="7"/>
        <w:rPr>
          <w:rFonts w:ascii="宋体" w:hAnsi="宋体" w:cs="宋体" w:eastAsia="宋体" w:hint="default"/>
          <w:sz w:val="25"/>
          <w:szCs w:val="25"/>
        </w:rPr>
      </w:pPr>
    </w:p>
    <w:p>
      <w:pPr>
        <w:pStyle w:val="BodyText"/>
        <w:spacing w:line="307" w:lineRule="auto"/>
        <w:ind w:right="1165" w:firstLine="420"/>
        <w:jc w:val="both"/>
      </w:pPr>
      <w:r>
        <w:rPr/>
        <w:t>当单项金融资产无法以合理成本评估预期信用损失的信息时，本集团依据信用风险特征将应收款项划分为若干组合， 在组合基础上计算预期信用损失，确定组合的依据如下：</w:t>
      </w:r>
    </w:p>
    <w:p>
      <w:pPr>
        <w:spacing w:line="240" w:lineRule="auto" w:before="4"/>
        <w:rPr>
          <w:rFonts w:ascii="宋体" w:hAnsi="宋体" w:cs="宋体" w:eastAsia="宋体" w:hint="default"/>
          <w:sz w:val="26"/>
          <w:szCs w:val="26"/>
        </w:rPr>
      </w:pPr>
    </w:p>
    <w:tbl>
      <w:tblPr>
        <w:tblW w:w="0" w:type="auto"/>
        <w:jc w:val="left"/>
        <w:tblInd w:w="141" w:type="dxa"/>
        <w:tblLayout w:type="fixed"/>
        <w:tblCellMar>
          <w:top w:w="0" w:type="dxa"/>
          <w:left w:w="0" w:type="dxa"/>
          <w:bottom w:w="0" w:type="dxa"/>
          <w:right w:w="0" w:type="dxa"/>
        </w:tblCellMar>
        <w:tblLook w:val="01E0"/>
      </w:tblPr>
      <w:tblGrid>
        <w:gridCol w:w="2703"/>
        <w:gridCol w:w="7044"/>
      </w:tblGrid>
      <w:tr>
        <w:trPr>
          <w:trHeight w:val="345" w:hRule="exact"/>
        </w:trPr>
        <w:tc>
          <w:tcPr>
            <w:tcW w:w="2703" w:type="dxa"/>
            <w:tcBorders>
              <w:top w:val="single" w:sz="6" w:space="0" w:color="000000"/>
              <w:left w:val="nil" w:sz="6" w:space="0" w:color="auto"/>
              <w:bottom w:val="single" w:sz="6" w:space="0" w:color="000000"/>
              <w:right w:val="nil" w:sz="6" w:space="0" w:color="auto"/>
            </w:tcBorders>
          </w:tcPr>
          <w:p>
            <w:pPr>
              <w:pStyle w:val="TableParagraph"/>
              <w:spacing w:line="240" w:lineRule="auto" w:before="14"/>
              <w:ind w:left="721" w:right="0"/>
              <w:jc w:val="left"/>
              <w:rPr>
                <w:rFonts w:ascii="宋体" w:hAnsi="宋体" w:cs="宋体" w:eastAsia="宋体" w:hint="default"/>
                <w:sz w:val="18"/>
                <w:szCs w:val="18"/>
              </w:rPr>
            </w:pPr>
            <w:r>
              <w:rPr>
                <w:rFonts w:ascii="宋体" w:hAnsi="宋体" w:cs="宋体" w:eastAsia="宋体" w:hint="default"/>
                <w:sz w:val="18"/>
                <w:szCs w:val="18"/>
              </w:rPr>
              <w:t>应收票据组合</w:t>
            </w:r>
          </w:p>
        </w:tc>
        <w:tc>
          <w:tcPr>
            <w:tcW w:w="7044" w:type="dxa"/>
            <w:tcBorders>
              <w:top w:val="single" w:sz="6" w:space="0" w:color="000000"/>
              <w:left w:val="nil" w:sz="6" w:space="0" w:color="auto"/>
              <w:bottom w:val="single" w:sz="6" w:space="0" w:color="000000"/>
              <w:right w:val="nil" w:sz="6" w:space="0" w:color="auto"/>
            </w:tcBorders>
          </w:tcPr>
          <w:p>
            <w:pPr>
              <w:pStyle w:val="TableParagraph"/>
              <w:spacing w:line="240" w:lineRule="auto" w:before="14"/>
              <w:ind w:left="180" w:right="0"/>
              <w:jc w:val="left"/>
              <w:rPr>
                <w:rFonts w:ascii="宋体" w:hAnsi="宋体" w:cs="宋体" w:eastAsia="宋体" w:hint="default"/>
                <w:sz w:val="18"/>
                <w:szCs w:val="18"/>
              </w:rPr>
            </w:pPr>
            <w:r>
              <w:rPr>
                <w:rFonts w:ascii="宋体" w:hAnsi="宋体" w:cs="宋体" w:eastAsia="宋体" w:hint="default"/>
                <w:sz w:val="18"/>
                <w:szCs w:val="18"/>
              </w:rPr>
              <w:t>银行承兑汇票组合</w:t>
            </w:r>
          </w:p>
        </w:tc>
      </w:tr>
      <w:tr>
        <w:trPr>
          <w:trHeight w:val="345" w:hRule="exact"/>
        </w:trPr>
        <w:tc>
          <w:tcPr>
            <w:tcW w:w="2703" w:type="dxa"/>
            <w:tcBorders>
              <w:top w:val="single" w:sz="6" w:space="0" w:color="000000"/>
              <w:left w:val="nil" w:sz="6" w:space="0" w:color="auto"/>
              <w:bottom w:val="single" w:sz="6" w:space="0" w:color="000000"/>
              <w:right w:val="nil" w:sz="6" w:space="0" w:color="auto"/>
            </w:tcBorders>
          </w:tcPr>
          <w:p>
            <w:pPr>
              <w:pStyle w:val="TableParagraph"/>
              <w:spacing w:line="240" w:lineRule="auto" w:before="15"/>
              <w:ind w:left="721" w:right="0"/>
              <w:jc w:val="left"/>
              <w:rPr>
                <w:rFonts w:ascii="宋体" w:hAnsi="宋体" w:cs="宋体" w:eastAsia="宋体" w:hint="default"/>
                <w:sz w:val="18"/>
                <w:szCs w:val="18"/>
              </w:rPr>
            </w:pPr>
            <w:r>
              <w:rPr>
                <w:rFonts w:ascii="宋体" w:hAnsi="宋体" w:cs="宋体" w:eastAsia="宋体" w:hint="default"/>
                <w:sz w:val="18"/>
                <w:szCs w:val="18"/>
              </w:rPr>
              <w:t>一般软件服务用户组合</w:t>
            </w:r>
          </w:p>
        </w:tc>
        <w:tc>
          <w:tcPr>
            <w:tcW w:w="7044" w:type="dxa"/>
            <w:tcBorders>
              <w:top w:val="single" w:sz="6" w:space="0" w:color="000000"/>
              <w:left w:val="nil" w:sz="6" w:space="0" w:color="auto"/>
              <w:bottom w:val="single" w:sz="6" w:space="0" w:color="000000"/>
              <w:right w:val="nil" w:sz="6" w:space="0" w:color="auto"/>
            </w:tcBorders>
          </w:tcPr>
          <w:p>
            <w:pPr>
              <w:pStyle w:val="TableParagraph"/>
              <w:spacing w:line="240" w:lineRule="auto" w:before="15"/>
              <w:ind w:left="180" w:right="0"/>
              <w:jc w:val="left"/>
              <w:rPr>
                <w:rFonts w:ascii="宋体" w:hAnsi="宋体" w:cs="宋体" w:eastAsia="宋体" w:hint="default"/>
                <w:sz w:val="18"/>
                <w:szCs w:val="18"/>
              </w:rPr>
            </w:pPr>
            <w:r>
              <w:rPr>
                <w:rFonts w:ascii="宋体" w:hAnsi="宋体" w:cs="宋体" w:eastAsia="宋体" w:hint="default"/>
                <w:sz w:val="18"/>
                <w:szCs w:val="18"/>
              </w:rPr>
              <w:t>主要包括朗新科技提供定制软件开发用户组合</w:t>
            </w:r>
          </w:p>
        </w:tc>
      </w:tr>
      <w:tr>
        <w:trPr>
          <w:trHeight w:val="345" w:hRule="exact"/>
        </w:trPr>
        <w:tc>
          <w:tcPr>
            <w:tcW w:w="2703" w:type="dxa"/>
            <w:tcBorders>
              <w:top w:val="single" w:sz="6" w:space="0" w:color="000000"/>
              <w:left w:val="nil" w:sz="6" w:space="0" w:color="auto"/>
              <w:bottom w:val="single" w:sz="6" w:space="0" w:color="000000"/>
              <w:right w:val="nil" w:sz="6" w:space="0" w:color="auto"/>
            </w:tcBorders>
          </w:tcPr>
          <w:p>
            <w:pPr>
              <w:pStyle w:val="TableParagraph"/>
              <w:spacing w:line="240" w:lineRule="auto" w:before="14"/>
              <w:ind w:left="721" w:right="0"/>
              <w:jc w:val="left"/>
              <w:rPr>
                <w:rFonts w:ascii="宋体" w:hAnsi="宋体" w:cs="宋体" w:eastAsia="宋体" w:hint="default"/>
                <w:sz w:val="18"/>
                <w:szCs w:val="18"/>
              </w:rPr>
            </w:pPr>
            <w:r>
              <w:rPr>
                <w:rFonts w:ascii="宋体" w:hAnsi="宋体" w:cs="宋体" w:eastAsia="宋体" w:hint="default"/>
                <w:sz w:val="18"/>
                <w:szCs w:val="18"/>
              </w:rPr>
              <w:t>其他软件服务用户组合</w:t>
            </w:r>
          </w:p>
        </w:tc>
        <w:tc>
          <w:tcPr>
            <w:tcW w:w="7044" w:type="dxa"/>
            <w:tcBorders>
              <w:top w:val="single" w:sz="6" w:space="0" w:color="000000"/>
              <w:left w:val="nil" w:sz="6" w:space="0" w:color="auto"/>
              <w:bottom w:val="single" w:sz="6" w:space="0" w:color="000000"/>
              <w:right w:val="nil" w:sz="6" w:space="0" w:color="auto"/>
            </w:tcBorders>
          </w:tcPr>
          <w:p>
            <w:pPr>
              <w:pStyle w:val="TableParagraph"/>
              <w:spacing w:line="240" w:lineRule="auto" w:before="14"/>
              <w:ind w:left="180" w:right="0"/>
              <w:jc w:val="left"/>
              <w:rPr>
                <w:rFonts w:ascii="宋体" w:hAnsi="宋体" w:cs="宋体" w:eastAsia="宋体" w:hint="default"/>
                <w:sz w:val="18"/>
                <w:szCs w:val="18"/>
              </w:rPr>
            </w:pPr>
            <w:r>
              <w:rPr>
                <w:rFonts w:ascii="宋体" w:hAnsi="宋体" w:cs="宋体" w:eastAsia="宋体" w:hint="default"/>
                <w:sz w:val="18"/>
                <w:szCs w:val="18"/>
              </w:rPr>
              <w:t>主要为与一般软件服务用户信用风险不同的其他定制软件开发用户组合</w:t>
            </w:r>
          </w:p>
        </w:tc>
      </w:tr>
      <w:tr>
        <w:trPr>
          <w:trHeight w:val="661" w:hRule="exact"/>
        </w:trPr>
        <w:tc>
          <w:tcPr>
            <w:tcW w:w="2703" w:type="dxa"/>
            <w:tcBorders>
              <w:top w:val="single" w:sz="6" w:space="0" w:color="000000"/>
              <w:left w:val="nil" w:sz="6" w:space="0" w:color="auto"/>
              <w:bottom w:val="single" w:sz="6" w:space="0" w:color="000000"/>
              <w:right w:val="nil" w:sz="6" w:space="0" w:color="auto"/>
            </w:tcBorders>
          </w:tcPr>
          <w:p>
            <w:pPr>
              <w:pStyle w:val="TableParagraph"/>
              <w:spacing w:line="240" w:lineRule="auto" w:before="15"/>
              <w:ind w:left="721" w:right="0"/>
              <w:jc w:val="left"/>
              <w:rPr>
                <w:rFonts w:ascii="宋体" w:hAnsi="宋体" w:cs="宋体" w:eastAsia="宋体" w:hint="default"/>
                <w:sz w:val="18"/>
                <w:szCs w:val="18"/>
              </w:rPr>
            </w:pPr>
            <w:r>
              <w:rPr>
                <w:rFonts w:ascii="宋体" w:hAnsi="宋体" w:cs="宋体" w:eastAsia="宋体" w:hint="default"/>
                <w:sz w:val="18"/>
                <w:szCs w:val="18"/>
              </w:rPr>
              <w:t>运营服务用户组合</w:t>
            </w:r>
          </w:p>
        </w:tc>
        <w:tc>
          <w:tcPr>
            <w:tcW w:w="7044" w:type="dxa"/>
            <w:tcBorders>
              <w:top w:val="single" w:sz="6" w:space="0" w:color="000000"/>
              <w:left w:val="nil" w:sz="6" w:space="0" w:color="auto"/>
              <w:bottom w:val="single" w:sz="6" w:space="0" w:color="000000"/>
              <w:right w:val="nil" w:sz="6" w:space="0" w:color="auto"/>
            </w:tcBorders>
          </w:tcPr>
          <w:p>
            <w:pPr>
              <w:pStyle w:val="TableParagraph"/>
              <w:spacing w:line="321" w:lineRule="auto" w:before="15"/>
              <w:ind w:left="180" w:right="2361"/>
              <w:jc w:val="left"/>
              <w:rPr>
                <w:rFonts w:ascii="宋体" w:hAnsi="宋体" w:cs="宋体" w:eastAsia="宋体" w:hint="default"/>
                <w:sz w:val="18"/>
                <w:szCs w:val="18"/>
              </w:rPr>
            </w:pPr>
            <w:r>
              <w:rPr>
                <w:rFonts w:ascii="宋体" w:hAnsi="宋体" w:cs="宋体" w:eastAsia="宋体" w:hint="default"/>
                <w:sz w:val="18"/>
                <w:szCs w:val="18"/>
              </w:rPr>
              <w:t>主要包括易视腾科技提供互联网电视运营服务及邦道科技 提供生活缴费运营服务用户组合</w:t>
            </w:r>
          </w:p>
        </w:tc>
      </w:tr>
      <w:tr>
        <w:trPr>
          <w:trHeight w:val="345" w:hRule="exact"/>
        </w:trPr>
        <w:tc>
          <w:tcPr>
            <w:tcW w:w="2703" w:type="dxa"/>
            <w:tcBorders>
              <w:top w:val="single" w:sz="6" w:space="0" w:color="000000"/>
              <w:left w:val="nil" w:sz="6" w:space="0" w:color="auto"/>
              <w:bottom w:val="single" w:sz="6" w:space="0" w:color="000000"/>
              <w:right w:val="nil" w:sz="6" w:space="0" w:color="auto"/>
            </w:tcBorders>
          </w:tcPr>
          <w:p>
            <w:pPr>
              <w:pStyle w:val="TableParagraph"/>
              <w:spacing w:line="240" w:lineRule="auto" w:before="14"/>
              <w:ind w:left="721" w:right="0"/>
              <w:jc w:val="left"/>
              <w:rPr>
                <w:rFonts w:ascii="宋体" w:hAnsi="宋体" w:cs="宋体" w:eastAsia="宋体" w:hint="default"/>
                <w:sz w:val="18"/>
                <w:szCs w:val="18"/>
              </w:rPr>
            </w:pPr>
            <w:r>
              <w:rPr>
                <w:rFonts w:ascii="宋体" w:hAnsi="宋体" w:cs="宋体" w:eastAsia="宋体" w:hint="default"/>
                <w:sz w:val="18"/>
                <w:szCs w:val="18"/>
              </w:rPr>
              <w:t>智能终端用户组合</w:t>
            </w:r>
          </w:p>
        </w:tc>
        <w:tc>
          <w:tcPr>
            <w:tcW w:w="7044" w:type="dxa"/>
            <w:tcBorders>
              <w:top w:val="single" w:sz="6" w:space="0" w:color="000000"/>
              <w:left w:val="nil" w:sz="6" w:space="0" w:color="auto"/>
              <w:bottom w:val="single" w:sz="6" w:space="0" w:color="000000"/>
              <w:right w:val="nil" w:sz="6" w:space="0" w:color="auto"/>
            </w:tcBorders>
          </w:tcPr>
          <w:p>
            <w:pPr>
              <w:pStyle w:val="TableParagraph"/>
              <w:spacing w:line="240" w:lineRule="auto" w:before="14"/>
              <w:ind w:left="180" w:right="0"/>
              <w:jc w:val="left"/>
              <w:rPr>
                <w:rFonts w:ascii="宋体" w:hAnsi="宋体" w:cs="宋体" w:eastAsia="宋体" w:hint="default"/>
                <w:sz w:val="18"/>
                <w:szCs w:val="18"/>
              </w:rPr>
            </w:pPr>
            <w:r>
              <w:rPr>
                <w:rFonts w:ascii="宋体" w:hAnsi="宋体" w:cs="宋体" w:eastAsia="宋体" w:hint="default"/>
                <w:sz w:val="18"/>
                <w:szCs w:val="18"/>
              </w:rPr>
              <w:t>易视腾科技销售互联网电视终端用户组合</w:t>
            </w:r>
          </w:p>
        </w:tc>
      </w:tr>
      <w:tr>
        <w:trPr>
          <w:trHeight w:val="258" w:hRule="exact"/>
        </w:trPr>
        <w:tc>
          <w:tcPr>
            <w:tcW w:w="2703" w:type="dxa"/>
            <w:tcBorders>
              <w:top w:val="single" w:sz="6" w:space="0" w:color="000000"/>
              <w:left w:val="nil" w:sz="6" w:space="0" w:color="auto"/>
              <w:bottom w:val="nil" w:sz="6" w:space="0" w:color="auto"/>
              <w:right w:val="nil" w:sz="6" w:space="0" w:color="auto"/>
            </w:tcBorders>
          </w:tcPr>
          <w:p>
            <w:pPr>
              <w:pStyle w:val="TableParagraph"/>
              <w:spacing w:line="240" w:lineRule="auto" w:before="15"/>
              <w:ind w:left="721" w:right="0"/>
              <w:jc w:val="left"/>
              <w:rPr>
                <w:rFonts w:ascii="宋体" w:hAnsi="宋体" w:cs="宋体" w:eastAsia="宋体" w:hint="default"/>
                <w:sz w:val="18"/>
                <w:szCs w:val="18"/>
              </w:rPr>
            </w:pPr>
            <w:r>
              <w:rPr>
                <w:rFonts w:ascii="宋体" w:hAnsi="宋体" w:cs="宋体" w:eastAsia="宋体" w:hint="default"/>
                <w:sz w:val="18"/>
                <w:szCs w:val="18"/>
              </w:rPr>
              <w:t>其他低风险用户组合</w:t>
            </w:r>
          </w:p>
        </w:tc>
        <w:tc>
          <w:tcPr>
            <w:tcW w:w="7044" w:type="dxa"/>
            <w:tcBorders>
              <w:top w:val="single" w:sz="6" w:space="0" w:color="000000"/>
              <w:left w:val="nil" w:sz="6" w:space="0" w:color="auto"/>
              <w:bottom w:val="nil" w:sz="6" w:space="0" w:color="auto"/>
              <w:right w:val="nil" w:sz="6" w:space="0" w:color="auto"/>
            </w:tcBorders>
          </w:tcPr>
          <w:p>
            <w:pPr>
              <w:pStyle w:val="TableParagraph"/>
              <w:spacing w:line="240" w:lineRule="auto" w:before="15"/>
              <w:ind w:left="180" w:right="0"/>
              <w:jc w:val="left"/>
              <w:rPr>
                <w:rFonts w:ascii="宋体" w:hAnsi="宋体" w:cs="宋体" w:eastAsia="宋体" w:hint="default"/>
                <w:sz w:val="18"/>
                <w:szCs w:val="18"/>
              </w:rPr>
            </w:pPr>
            <w:r>
              <w:rPr>
                <w:rFonts w:ascii="宋体" w:hAnsi="宋体" w:cs="宋体" w:eastAsia="宋体" w:hint="default"/>
                <w:sz w:val="18"/>
                <w:szCs w:val="18"/>
              </w:rPr>
              <w:t>包括关联方押金和保证金、员工备用金以及其他低风险用户</w:t>
            </w:r>
          </w:p>
        </w:tc>
      </w:tr>
    </w:tbl>
    <w:p>
      <w:pPr>
        <w:spacing w:line="240" w:lineRule="auto" w:before="10"/>
        <w:rPr>
          <w:rFonts w:ascii="宋体" w:hAnsi="宋体" w:cs="宋体" w:eastAsia="宋体" w:hint="default"/>
          <w:sz w:val="26"/>
          <w:szCs w:val="26"/>
        </w:rPr>
      </w:pPr>
    </w:p>
    <w:p>
      <w:pPr>
        <w:pStyle w:val="BodyText"/>
        <w:spacing w:line="321" w:lineRule="auto" w:before="44"/>
        <w:ind w:right="1133" w:firstLine="360"/>
        <w:jc w:val="left"/>
      </w:pPr>
      <w:r>
        <w:rPr>
          <w:spacing w:val="-2"/>
        </w:rPr>
        <w:t>对于划分为组合的应收票据，本集团参考历史信用损失经验，结合当前状况以及对未来经济状况的预测，通过违约风险</w:t>
      </w:r>
      <w:r>
        <w:rPr/>
        <w:t> 敞口和整个存续期预期信用损失率，计算预期信用损失。</w:t>
      </w:r>
    </w:p>
    <w:p>
      <w:pPr>
        <w:spacing w:line="240" w:lineRule="auto" w:before="7"/>
        <w:rPr>
          <w:rFonts w:ascii="宋体" w:hAnsi="宋体" w:cs="宋体" w:eastAsia="宋体" w:hint="default"/>
          <w:sz w:val="25"/>
          <w:szCs w:val="25"/>
        </w:rPr>
      </w:pPr>
    </w:p>
    <w:p>
      <w:pPr>
        <w:pStyle w:val="BodyText"/>
        <w:spacing w:line="321" w:lineRule="auto"/>
        <w:ind w:right="1149" w:firstLine="420"/>
        <w:jc w:val="left"/>
      </w:pPr>
      <w:r>
        <w:rPr/>
        <w:t>对于划分为组合的应收账款，本集团参考历史信用损失经验，结合当前状况以及对未来经济状况的预测，编制应收账 款逾期天数与整个存续期预期信用损失率对照表，计算预期信用损失。</w:t>
      </w:r>
    </w:p>
    <w:p>
      <w:pPr>
        <w:spacing w:line="240" w:lineRule="auto" w:before="5"/>
        <w:rPr>
          <w:rFonts w:ascii="宋体" w:hAnsi="宋体" w:cs="宋体" w:eastAsia="宋体" w:hint="default"/>
          <w:sz w:val="24"/>
          <w:szCs w:val="24"/>
        </w:rPr>
      </w:pPr>
    </w:p>
    <w:p>
      <w:pPr>
        <w:pStyle w:val="BodyText"/>
        <w:spacing w:line="336" w:lineRule="auto"/>
        <w:ind w:right="1149" w:firstLine="420"/>
        <w:jc w:val="left"/>
      </w:pPr>
      <w:r>
        <w:rPr/>
        <w:t>对于划分为组合的其他应收款，本集团参考历史信用损失经验，结合当前状况以及对未来经济状况的预测，通过违约 风险敞口和未来</w:t>
      </w:r>
      <w:r>
        <w:rPr>
          <w:rFonts w:ascii="Times New Roman" w:hAnsi="Times New Roman" w:cs="Times New Roman" w:eastAsia="Times New Roman" w:hint="default"/>
        </w:rPr>
        <w:t>12</w:t>
      </w:r>
      <w:r>
        <w:rPr/>
        <w:t>个月内或整个存续期预期信用损失率，计算预期信用损失。</w:t>
      </w:r>
    </w:p>
    <w:p>
      <w:pPr>
        <w:spacing w:line="240" w:lineRule="auto" w:before="12"/>
        <w:rPr>
          <w:rFonts w:ascii="宋体" w:hAnsi="宋体" w:cs="宋体" w:eastAsia="宋体" w:hint="default"/>
          <w:sz w:val="21"/>
          <w:szCs w:val="21"/>
        </w:rPr>
      </w:pPr>
    </w:p>
    <w:p>
      <w:pPr>
        <w:pStyle w:val="BodyText"/>
        <w:spacing w:line="240" w:lineRule="auto"/>
        <w:ind w:left="561" w:right="1105"/>
        <w:jc w:val="left"/>
      </w:pPr>
      <w:r>
        <w:rPr/>
        <w:t>本集团将计提或转回的损失准备计入当期损益。</w:t>
      </w:r>
    </w:p>
    <w:p>
      <w:pPr>
        <w:spacing w:line="240" w:lineRule="auto" w:before="0"/>
        <w:rPr>
          <w:rFonts w:ascii="宋体" w:hAnsi="宋体" w:cs="宋体" w:eastAsia="宋体" w:hint="default"/>
          <w:sz w:val="18"/>
          <w:szCs w:val="18"/>
        </w:rPr>
      </w:pPr>
    </w:p>
    <w:p>
      <w:pPr>
        <w:pStyle w:val="ListParagraph"/>
        <w:numPr>
          <w:ilvl w:val="0"/>
          <w:numId w:val="1"/>
        </w:numPr>
        <w:tabs>
          <w:tab w:pos="562" w:val="left" w:leader="none"/>
        </w:tabs>
        <w:spacing w:line="240" w:lineRule="auto" w:before="159" w:after="0"/>
        <w:ind w:left="562" w:right="1105" w:hanging="421"/>
        <w:jc w:val="left"/>
        <w:rPr>
          <w:rFonts w:ascii="宋体" w:hAnsi="宋体" w:cs="宋体" w:eastAsia="宋体" w:hint="default"/>
          <w:sz w:val="18"/>
          <w:szCs w:val="18"/>
        </w:rPr>
      </w:pPr>
      <w:r>
        <w:rPr>
          <w:rFonts w:ascii="宋体" w:hAnsi="宋体" w:cs="宋体" w:eastAsia="宋体" w:hint="default"/>
          <w:sz w:val="18"/>
          <w:szCs w:val="18"/>
        </w:rPr>
        <w:t>终止确认</w:t>
      </w:r>
    </w:p>
    <w:p>
      <w:pPr>
        <w:spacing w:line="240" w:lineRule="auto" w:before="0"/>
        <w:rPr>
          <w:rFonts w:ascii="宋体" w:hAnsi="宋体" w:cs="宋体" w:eastAsia="宋体" w:hint="default"/>
          <w:sz w:val="18"/>
          <w:szCs w:val="18"/>
        </w:rPr>
      </w:pPr>
    </w:p>
    <w:p>
      <w:pPr>
        <w:pStyle w:val="BodyText"/>
        <w:spacing w:line="290" w:lineRule="auto" w:before="146"/>
        <w:ind w:right="1089" w:firstLine="420"/>
        <w:jc w:val="left"/>
      </w:pPr>
      <w:r>
        <w:rPr/>
        <w:t>金融资产满足下列条件之一的，予以终止确认：</w:t>
      </w:r>
      <w:r>
        <w:rPr>
          <w:rFonts w:ascii="Times New Roman" w:hAnsi="Times New Roman" w:cs="Times New Roman" w:eastAsia="Times New Roman" w:hint="default"/>
        </w:rPr>
        <w:t>(1)</w:t>
      </w:r>
      <w:r>
        <w:rPr/>
        <w:t>收取该金融资产现金流量的合同权利终止；</w:t>
      </w:r>
      <w:r>
        <w:rPr>
          <w:rFonts w:ascii="Times New Roman" w:hAnsi="Times New Roman" w:cs="Times New Roman" w:eastAsia="Times New Roman" w:hint="default"/>
        </w:rPr>
        <w:t>(2)</w:t>
      </w:r>
      <w:r>
        <w:rPr/>
        <w:t>该金融资产已转移， 且本集团将金融资产所有权上几乎所有的风险和报酬转移给转入方；</w:t>
      </w:r>
      <w:r>
        <w:rPr>
          <w:rFonts w:ascii="Times New Roman" w:hAnsi="Times New Roman" w:cs="Times New Roman" w:eastAsia="Times New Roman" w:hint="default"/>
        </w:rPr>
        <w:t>(3)</w:t>
      </w:r>
      <w:r>
        <w:rPr/>
        <w:t>该金融资产已转移，虽然本集团既没有转移也没有</w:t>
      </w:r>
      <w:r>
        <w:rPr>
          <w:spacing w:val="-84"/>
        </w:rPr>
        <w:t> </w:t>
      </w:r>
      <w:r>
        <w:rPr/>
        <w:t>保留金融资产所有权上几乎所有的风险和报酬，但是放弃了对该金融资产控制。</w:t>
      </w:r>
    </w:p>
    <w:p>
      <w:pPr>
        <w:spacing w:after="0" w:line="29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right="0"/>
        <w:jc w:val="both"/>
      </w:pPr>
      <w:r>
        <w:rPr>
          <w:rFonts w:ascii="Times New Roman" w:hAnsi="Times New Roman" w:cs="Times New Roman" w:eastAsia="Times New Roman" w:hint="default"/>
        </w:rPr>
        <w:t>(b)   </w:t>
      </w:r>
      <w:r>
        <w:rPr>
          <w:rFonts w:ascii="Times New Roman" w:hAnsi="Times New Roman" w:cs="Times New Roman" w:eastAsia="Times New Roman" w:hint="default"/>
          <w:spacing w:val="29"/>
        </w:rPr>
        <w:t> </w:t>
      </w:r>
      <w:r>
        <w:rPr/>
        <w:t>金融负债</w:t>
      </w:r>
    </w:p>
    <w:p>
      <w:pPr>
        <w:pStyle w:val="BodyText"/>
        <w:spacing w:line="630" w:lineRule="exact" w:before="58"/>
        <w:ind w:left="501" w:right="1105" w:firstLine="60"/>
        <w:jc w:val="left"/>
      </w:pPr>
      <w:r>
        <w:rPr/>
        <w:t>金融负债于初始确认时分类为以摊余成本计量的金融负债和以公允价值计量且其变动计入当期损益的金融负债。 </w:t>
      </w:r>
      <w:r>
        <w:rPr>
          <w:spacing w:val="-2"/>
        </w:rPr>
        <w:t>本集团的金融负债主要为以摊余成本计量的金融负债，包括应付票据、应付账款、其他应付款及借款等。该类金融负债</w:t>
      </w:r>
    </w:p>
    <w:p>
      <w:pPr>
        <w:pStyle w:val="BodyText"/>
        <w:spacing w:line="214" w:lineRule="exact"/>
        <w:ind w:right="0"/>
        <w:jc w:val="both"/>
      </w:pPr>
      <w:r>
        <w:rPr/>
        <w:t>按其公允价值扣除交易费用后的金额进行初始计量，并采用实际利率法进行后续计量。期限在一年以下（含一年）的，列示</w:t>
      </w:r>
    </w:p>
    <w:p>
      <w:pPr>
        <w:pStyle w:val="BodyText"/>
        <w:spacing w:line="304" w:lineRule="auto" w:before="80"/>
        <w:ind w:right="1105"/>
        <w:jc w:val="left"/>
      </w:pPr>
      <w:r>
        <w:rPr>
          <w:spacing w:val="-2"/>
        </w:rPr>
        <w:t>为流动负债；期限在一年以上但自资产负债表日起一年内（含一年）到期的，列示为一年内到期的非流动负债；其余列示为</w:t>
      </w:r>
      <w:r>
        <w:rPr>
          <w:spacing w:val="-57"/>
        </w:rPr>
        <w:t> </w:t>
      </w:r>
      <w:r>
        <w:rPr>
          <w:spacing w:val="-57"/>
        </w:rPr>
      </w:r>
      <w:r>
        <w:rPr/>
        <w:t>非流动负债。</w:t>
      </w:r>
    </w:p>
    <w:p>
      <w:pPr>
        <w:spacing w:line="240" w:lineRule="auto" w:before="6"/>
        <w:rPr>
          <w:rFonts w:ascii="宋体" w:hAnsi="宋体" w:cs="宋体" w:eastAsia="宋体" w:hint="default"/>
          <w:sz w:val="26"/>
          <w:szCs w:val="26"/>
        </w:rPr>
      </w:pPr>
    </w:p>
    <w:p>
      <w:pPr>
        <w:pStyle w:val="BodyText"/>
        <w:spacing w:line="321" w:lineRule="auto"/>
        <w:ind w:right="1149" w:firstLine="420"/>
        <w:jc w:val="left"/>
      </w:pPr>
      <w:r>
        <w:rPr/>
        <w:t>当金融负债的现时义务全部或部分已经解除时，本集团终止确认该金融负债或义务已解除的部分。终止确认部分的账 面价值与支付的对价之间的差额，计入当期损益。</w:t>
      </w:r>
    </w:p>
    <w:p>
      <w:pPr>
        <w:pStyle w:val="BodyText"/>
        <w:tabs>
          <w:tab w:pos="561" w:val="left" w:leader="none"/>
        </w:tabs>
        <w:spacing w:line="616" w:lineRule="exact" w:before="51"/>
        <w:ind w:left="561" w:right="1167" w:hanging="421"/>
        <w:jc w:val="left"/>
      </w:pPr>
      <w:r>
        <w:rPr>
          <w:rFonts w:ascii="Times New Roman" w:hAnsi="Times New Roman" w:cs="Times New Roman" w:eastAsia="Times New Roman" w:hint="default"/>
          <w:spacing w:val="-2"/>
        </w:rPr>
        <w:t>(c)</w:t>
        <w:tab/>
      </w:r>
      <w:r>
        <w:rPr/>
        <w:t>金融工具的公允价值确定</w:t>
      </w:r>
      <w:r>
        <w:rPr>
          <w:w w:val="99"/>
        </w:rPr>
        <w:t> </w:t>
      </w:r>
      <w:r>
        <w:rPr/>
        <w:t>存在活跃市场的金融工具，以活跃市场中的报价确定其公允价值。不存在活跃市场的金融工具，采用估值技术确定其</w:t>
      </w:r>
    </w:p>
    <w:p>
      <w:pPr>
        <w:pStyle w:val="BodyText"/>
        <w:spacing w:line="218" w:lineRule="exact"/>
        <w:ind w:right="0"/>
        <w:jc w:val="both"/>
      </w:pPr>
      <w:r>
        <w:rPr/>
        <w:t>公允价值。在估值时，本集团采用在当前情况下适用并且有足够可利用数据和其他信息支持的估值技术，选择与市场参与者</w:t>
      </w:r>
    </w:p>
    <w:p>
      <w:pPr>
        <w:pStyle w:val="BodyText"/>
        <w:spacing w:line="307" w:lineRule="auto" w:before="79"/>
        <w:ind w:right="1105"/>
        <w:jc w:val="left"/>
      </w:pPr>
      <w:r>
        <w:rPr>
          <w:spacing w:val="-2"/>
        </w:rPr>
        <w:t>在相关资产或负债的交易中所考虑的资产或负债特征相一致的输入值，并尽可能优先使用相关可观察输入值。在相关可观察</w:t>
      </w:r>
      <w:r>
        <w:rPr>
          <w:spacing w:val="-72"/>
        </w:rPr>
        <w:t> </w:t>
      </w:r>
      <w:r>
        <w:rPr>
          <w:spacing w:val="-72"/>
        </w:rPr>
      </w:r>
      <w:r>
        <w:rPr/>
        <w:t>输入值无法取得或取得不切实可行的情况下，使用不可观察输入值。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Heading3"/>
        <w:spacing w:line="240" w:lineRule="auto"/>
        <w:ind w:right="0"/>
        <w:jc w:val="both"/>
        <w:rPr>
          <w:b w:val="0"/>
          <w:bCs w:val="0"/>
        </w:rPr>
      </w:pPr>
      <w:bookmarkStart w:name="11、应收票据" w:id="180"/>
      <w:bookmarkEnd w:id="180"/>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both"/>
        <w:rPr>
          <w:b w:val="0"/>
          <w:bCs w:val="0"/>
        </w:rPr>
      </w:pPr>
      <w:bookmarkStart w:name="12、应收账款" w:id="181"/>
      <w:bookmarkEnd w:id="181"/>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both"/>
        <w:rPr>
          <w:b w:val="0"/>
          <w:bCs w:val="0"/>
        </w:rPr>
      </w:pPr>
      <w:bookmarkStart w:name="13、应收款项融资" w:id="182"/>
      <w:bookmarkEnd w:id="182"/>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both"/>
        <w:rPr>
          <w:b w:val="0"/>
          <w:bCs w:val="0"/>
        </w:rPr>
      </w:pPr>
      <w:bookmarkStart w:name="14、其他应收款" w:id="183"/>
      <w:bookmarkEnd w:id="183"/>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both"/>
      </w:pPr>
      <w:r>
        <w:rPr/>
        <w:t>其他应收款的预期信用损失的确定方法及会计处理方法</w:t>
      </w: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bookmarkStart w:name="15、存货" w:id="184"/>
      <w:bookmarkEnd w:id="184"/>
      <w:r>
        <w:rPr>
          <w:b w:val="0"/>
          <w:bCs w:val="0"/>
        </w:rPr>
      </w:r>
      <w:r>
        <w:rPr>
          <w:rFonts w:ascii="Times New Roman" w:hAnsi="Times New Roman" w:cs="Times New Roman" w:eastAsia="Times New Roman" w:hint="default"/>
        </w:rPr>
        <w:t>15</w:t>
      </w:r>
      <w:r>
        <w:rPr/>
        <w:t>、存货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16" w:right="0"/>
        <w:jc w:val="both"/>
      </w:pPr>
      <w:r>
        <w:rPr>
          <w:rFonts w:ascii="Times New Roman" w:hAnsi="Times New Roman" w:cs="Times New Roman" w:eastAsia="Times New Roman" w:hint="default"/>
        </w:rPr>
        <w:t>(a)</w:t>
      </w:r>
      <w:r>
        <w:rPr/>
        <w:t>分类</w:t>
      </w:r>
    </w:p>
    <w:p>
      <w:pPr>
        <w:spacing w:line="240" w:lineRule="auto" w:before="0"/>
        <w:rPr>
          <w:rFonts w:ascii="宋体" w:hAnsi="宋体" w:cs="宋体" w:eastAsia="宋体" w:hint="default"/>
          <w:sz w:val="18"/>
          <w:szCs w:val="18"/>
        </w:rPr>
      </w:pPr>
    </w:p>
    <w:p>
      <w:pPr>
        <w:pStyle w:val="BodyText"/>
        <w:spacing w:line="316" w:lineRule="auto" w:before="130"/>
        <w:ind w:right="1121"/>
        <w:jc w:val="both"/>
      </w:pPr>
      <w:r>
        <w:rPr>
          <w:spacing w:val="-2"/>
        </w:rPr>
        <w:t>本集团的存货分类为原材料、委托加工物资、库存商品、发出商品、软件开发成本、第三方软硬件及系统集成成本等，按成</w:t>
      </w:r>
      <w:r>
        <w:rPr>
          <w:spacing w:val="-72"/>
        </w:rPr>
        <w:t> </w:t>
      </w:r>
      <w:r>
        <w:rPr>
          <w:spacing w:val="-72"/>
        </w:rPr>
      </w:r>
      <w:r>
        <w:rPr>
          <w:spacing w:val="-2"/>
        </w:rPr>
        <w:t>本与可变现净值孰低计量。其中，软件开发成本主要核算已签合同定制软件开发项目在软件主要功能通过测试并且取得客户</w:t>
      </w:r>
      <w:r>
        <w:rPr>
          <w:spacing w:val="-72"/>
        </w:rPr>
        <w:t> </w:t>
      </w:r>
      <w:r>
        <w:rPr>
          <w:spacing w:val="-72"/>
        </w:rPr>
      </w:r>
      <w:r>
        <w:rPr>
          <w:spacing w:val="-2"/>
        </w:rPr>
        <w:t>确认的上线报告时点之前所发生的各项成本；第三方软硬件及系统集成成本主要核算第三方软硬件及系统集成项目在产品经</w:t>
      </w:r>
      <w:r>
        <w:rPr>
          <w:spacing w:val="-58"/>
        </w:rPr>
        <w:t> </w:t>
      </w:r>
      <w:r>
        <w:rPr>
          <w:spacing w:val="-58"/>
        </w:rPr>
      </w:r>
      <w:r>
        <w:rPr/>
        <w:t>客户最终验收前所发生的软硬件产品采购成本及其他各项成本。</w:t>
      </w:r>
    </w:p>
    <w:p>
      <w:pPr>
        <w:spacing w:line="240" w:lineRule="auto" w:before="12"/>
        <w:rPr>
          <w:rFonts w:ascii="宋体" w:hAnsi="宋体" w:cs="宋体" w:eastAsia="宋体" w:hint="default"/>
          <w:sz w:val="26"/>
          <w:szCs w:val="26"/>
        </w:rPr>
      </w:pPr>
    </w:p>
    <w:p>
      <w:pPr>
        <w:pStyle w:val="BodyText"/>
        <w:spacing w:line="240" w:lineRule="auto"/>
        <w:ind w:right="0"/>
        <w:jc w:val="both"/>
      </w:pPr>
      <w:r>
        <w:rPr>
          <w:rFonts w:ascii="Times New Roman" w:hAnsi="Times New Roman" w:cs="Times New Roman" w:eastAsia="Times New Roman" w:hint="default"/>
        </w:rPr>
        <w:t>(b)</w:t>
      </w:r>
      <w:r>
        <w:rPr/>
        <w:t>发出存货的计价方法</w:t>
      </w:r>
    </w:p>
    <w:p>
      <w:pPr>
        <w:spacing w:line="240" w:lineRule="auto" w:before="11"/>
        <w:rPr>
          <w:rFonts w:ascii="宋体" w:hAnsi="宋体" w:cs="宋体" w:eastAsia="宋体" w:hint="default"/>
          <w:sz w:val="26"/>
          <w:szCs w:val="26"/>
        </w:rPr>
      </w:pPr>
    </w:p>
    <w:p>
      <w:pPr>
        <w:pStyle w:val="BodyText"/>
        <w:spacing w:line="321" w:lineRule="auto"/>
        <w:ind w:right="1029"/>
        <w:jc w:val="left"/>
      </w:pPr>
      <w:r>
        <w:rPr/>
        <w:t>商品存货发出时的成本按移动加权平均法核算。软件开发、第三方软硬件及系统集成项目发出时的成本按个别计价法核算。 库存商品成本包括原材料及直接人工。</w:t>
      </w:r>
    </w:p>
    <w:p>
      <w:pPr>
        <w:spacing w:after="0" w:line="321"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before="44"/>
        <w:ind w:right="1105"/>
        <w:jc w:val="left"/>
      </w:pPr>
      <w:r>
        <w:rPr>
          <w:rFonts w:ascii="Times New Roman" w:hAnsi="Times New Roman" w:cs="Times New Roman" w:eastAsia="Times New Roman" w:hint="default"/>
        </w:rPr>
        <w:t>(c)</w:t>
      </w:r>
      <w:r>
        <w:rPr/>
        <w:t>存货可变现净值的确定依据及存货跌价准备的计提方法</w:t>
      </w:r>
    </w:p>
    <w:p>
      <w:pPr>
        <w:spacing w:line="240" w:lineRule="auto" w:before="0"/>
        <w:rPr>
          <w:rFonts w:ascii="宋体" w:hAnsi="宋体" w:cs="宋体" w:eastAsia="宋体" w:hint="default"/>
          <w:sz w:val="18"/>
          <w:szCs w:val="18"/>
        </w:rPr>
      </w:pPr>
    </w:p>
    <w:p>
      <w:pPr>
        <w:pStyle w:val="BodyText"/>
        <w:spacing w:line="321" w:lineRule="auto" w:before="130"/>
        <w:ind w:right="1136"/>
        <w:jc w:val="both"/>
      </w:pPr>
      <w:r>
        <w:rPr>
          <w:spacing w:val="-2"/>
        </w:rPr>
        <w:t>存货跌价准备按存货成本高于其可变现净值的差额计提。为执行已签署的定制软件开发劳务合同、第三方软硬件及系统集成</w:t>
      </w:r>
      <w:r>
        <w:rPr>
          <w:spacing w:val="-72"/>
        </w:rPr>
        <w:t> </w:t>
      </w:r>
      <w:r>
        <w:rPr>
          <w:spacing w:val="-72"/>
        </w:rPr>
      </w:r>
      <w:r>
        <w:rPr>
          <w:spacing w:val="-2"/>
        </w:rPr>
        <w:t>销售或者劳务合同而形成或持有的存货，以合同价格减去至完工时估计将要发生的成本、估计的销售费用以及相关税费后的</w:t>
      </w:r>
      <w:r>
        <w:rPr>
          <w:spacing w:val="-72"/>
        </w:rPr>
        <w:t> </w:t>
      </w:r>
      <w:r>
        <w:rPr>
          <w:spacing w:val="-72"/>
        </w:rPr>
      </w:r>
      <w:r>
        <w:rPr/>
        <w:t>金额确定可变现净值。若合同为亏损合同，亏损合同仍需确认相关预计负债（见附注五</w:t>
      </w:r>
      <w:r>
        <w:rPr>
          <w:rFonts w:ascii="Times New Roman" w:hAnsi="Times New Roman" w:cs="Times New Roman" w:eastAsia="Times New Roman" w:hint="default"/>
        </w:rPr>
        <w:t>(36)</w:t>
      </w:r>
      <w:r>
        <w:rPr/>
        <w:t>）。</w:t>
      </w:r>
    </w:p>
    <w:p>
      <w:pPr>
        <w:spacing w:line="240" w:lineRule="auto" w:before="13"/>
        <w:rPr>
          <w:rFonts w:ascii="宋体" w:hAnsi="宋体" w:cs="宋体" w:eastAsia="宋体" w:hint="default"/>
          <w:sz w:val="23"/>
          <w:szCs w:val="23"/>
        </w:rPr>
      </w:pPr>
    </w:p>
    <w:p>
      <w:pPr>
        <w:pStyle w:val="BodyText"/>
        <w:spacing w:line="592" w:lineRule="auto"/>
        <w:ind w:right="5349"/>
        <w:jc w:val="left"/>
      </w:pPr>
      <w:r>
        <w:rPr>
          <w:rFonts w:ascii="Times New Roman" w:hAnsi="Times New Roman" w:cs="Times New Roman" w:eastAsia="Times New Roman" w:hint="default"/>
        </w:rPr>
        <w:t>(d)</w:t>
      </w:r>
      <w:r>
        <w:rPr/>
        <w:t>本集团的存货盘存制度采用永续盘存制。</w:t>
      </w:r>
      <w:r>
        <w:rPr>
          <w:w w:val="99"/>
        </w:rPr>
        <w:t> </w:t>
      </w:r>
      <w:r>
        <w:rPr>
          <w:rFonts w:ascii="Times New Roman" w:hAnsi="Times New Roman" w:cs="Times New Roman" w:eastAsia="Times New Roman" w:hint="default"/>
        </w:rPr>
        <w:t>(e)</w:t>
      </w:r>
      <w:r>
        <w:rPr/>
        <w:t>低值易耗品的摊销方法</w:t>
      </w:r>
      <w:r>
        <w:rPr>
          <w:w w:val="99"/>
        </w:rPr>
        <w:t> </w:t>
      </w:r>
      <w:r>
        <w:rPr/>
        <w:t>低值易耗品（主要为办公用品）在领用时采用一次转销法进行摊销。</w:t>
      </w:r>
    </w:p>
    <w:p>
      <w:pPr>
        <w:pStyle w:val="Heading3"/>
        <w:spacing w:line="240" w:lineRule="auto" w:before="111"/>
        <w:ind w:right="1105"/>
        <w:jc w:val="left"/>
        <w:rPr>
          <w:b w:val="0"/>
          <w:bCs w:val="0"/>
        </w:rPr>
      </w:pPr>
      <w:bookmarkStart w:name="16、合同资产" w:id="185"/>
      <w:bookmarkEnd w:id="185"/>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17、合同成本" w:id="186"/>
      <w:bookmarkEnd w:id="186"/>
      <w:r>
        <w:rPr>
          <w:b w:val="0"/>
          <w:bCs w:val="0"/>
        </w:rPr>
      </w:r>
      <w:r>
        <w:rPr>
          <w:rFonts w:ascii="Times New Roman" w:hAnsi="Times New Roman" w:cs="Times New Roman" w:eastAsia="Times New Roman" w:hint="default"/>
        </w:rPr>
        <w:t>17</w:t>
      </w:r>
      <w:r>
        <w:rPr/>
        <w:t>、合同成本</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18、持有待售资产" w:id="187"/>
      <w:bookmarkEnd w:id="187"/>
      <w:r>
        <w:rPr>
          <w:b w:val="0"/>
          <w:bCs w:val="0"/>
        </w:rPr>
      </w:r>
      <w:r>
        <w:rPr>
          <w:rFonts w:ascii="Times New Roman" w:hAnsi="Times New Roman" w:cs="Times New Roman" w:eastAsia="Times New Roman" w:hint="default"/>
        </w:rPr>
        <w:t>18</w:t>
      </w:r>
      <w:r>
        <w:rPr/>
        <w:t>、持有待售资产</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1105"/>
        <w:jc w:val="left"/>
        <w:rPr>
          <w:b w:val="0"/>
          <w:bCs w:val="0"/>
        </w:rPr>
      </w:pPr>
      <w:bookmarkStart w:name="19、债权投资" w:id="188"/>
      <w:bookmarkEnd w:id="188"/>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20、其他债权投资" w:id="189"/>
      <w:bookmarkEnd w:id="189"/>
      <w:r>
        <w:rPr>
          <w:b w:val="0"/>
          <w:bCs w:val="0"/>
        </w:rPr>
      </w:r>
      <w:r>
        <w:rPr>
          <w:rFonts w:ascii="Times New Roman" w:hAnsi="Times New Roman" w:cs="Times New Roman" w:eastAsia="Times New Roman" w:hint="default"/>
        </w:rPr>
        <w:t>20</w:t>
      </w:r>
      <w:r>
        <w:rPr/>
        <w:t>、其他债权投资</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21、长期应收款" w:id="190"/>
      <w:bookmarkEnd w:id="190"/>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22、长期股权投资" w:id="191"/>
      <w:bookmarkEnd w:id="191"/>
      <w:r>
        <w:rPr>
          <w:b w:val="0"/>
          <w:bCs w:val="0"/>
        </w:rPr>
      </w:r>
      <w:r>
        <w:rPr>
          <w:rFonts w:ascii="Times New Roman" w:hAnsi="Times New Roman" w:cs="Times New Roman" w:eastAsia="Times New Roman" w:hint="default"/>
        </w:rPr>
        <w:t>22</w:t>
      </w:r>
      <w:r>
        <w:rPr/>
        <w:t>、长期股权投资</w:t>
      </w:r>
      <w:r>
        <w:rPr>
          <w:b w:val="0"/>
          <w:bCs w:val="0"/>
        </w:rPr>
      </w:r>
    </w:p>
    <w:p>
      <w:pPr>
        <w:pStyle w:val="BodyText"/>
        <w:spacing w:line="630" w:lineRule="exact" w:before="36"/>
        <w:ind w:left="561" w:right="0" w:hanging="421"/>
        <w:jc w:val="left"/>
      </w:pPr>
      <w:r>
        <w:rPr/>
        <w:t>长期股权投资包括：本公司对子公司的长期股权投资；本集团对合营企业和联营企业的长期股权投资。 </w:t>
      </w:r>
      <w:r>
        <w:rPr>
          <w:spacing w:val="-2"/>
        </w:rPr>
        <w:t>子公司为本公司能够对其实施控制的被投资单位。合营企业为本集团通过单独主体达成，能够与其他方实施共同控制，</w:t>
      </w:r>
    </w:p>
    <w:p>
      <w:pPr>
        <w:pStyle w:val="BodyText"/>
        <w:spacing w:line="200" w:lineRule="exact"/>
        <w:ind w:right="0"/>
        <w:jc w:val="left"/>
      </w:pPr>
      <w:r>
        <w:rPr/>
        <w:t>且基于法律形式、合同条款及其他事实与情况仅对其净资产享有权利的合营安排。联营企业为本集团能够对其财务和经营决</w:t>
      </w:r>
    </w:p>
    <w:p>
      <w:pPr>
        <w:pStyle w:val="BodyText"/>
        <w:spacing w:line="240" w:lineRule="auto" w:before="79"/>
        <w:ind w:right="1105"/>
        <w:jc w:val="left"/>
      </w:pPr>
      <w:r>
        <w:rPr/>
        <w:t>策具有重大影响的被投资单位。</w:t>
      </w:r>
    </w:p>
    <w:p>
      <w:pPr>
        <w:spacing w:line="240" w:lineRule="auto" w:before="0"/>
        <w:rPr>
          <w:rFonts w:ascii="宋体" w:hAnsi="宋体" w:cs="宋体" w:eastAsia="宋体" w:hint="default"/>
          <w:sz w:val="18"/>
          <w:szCs w:val="18"/>
        </w:rPr>
      </w:pPr>
    </w:p>
    <w:p>
      <w:pPr>
        <w:pStyle w:val="BodyText"/>
        <w:spacing w:line="321" w:lineRule="auto" w:before="159"/>
        <w:ind w:right="1149" w:firstLine="420"/>
        <w:jc w:val="left"/>
      </w:pPr>
      <w:r>
        <w:rPr/>
        <w:t>对子公司的投资，在公司财务报表中按照成本法确定的金额列示，在编制合并财务报表时按权益法调整后进行合并； 对合营企业和联营企业投资采用权益法核算。</w:t>
      </w:r>
    </w:p>
    <w:p>
      <w:pPr>
        <w:pStyle w:val="BodyText"/>
        <w:tabs>
          <w:tab w:pos="561" w:val="left" w:leader="none"/>
        </w:tabs>
        <w:spacing w:line="616" w:lineRule="exact" w:before="51"/>
        <w:ind w:left="561" w:right="1167" w:hanging="421"/>
        <w:jc w:val="left"/>
      </w:pPr>
      <w:r>
        <w:rPr>
          <w:rFonts w:ascii="Times New Roman" w:hAnsi="Times New Roman" w:cs="Times New Roman" w:eastAsia="Times New Roman" w:hint="default"/>
          <w:spacing w:val="-2"/>
        </w:rPr>
        <w:t>(a)</w:t>
        <w:tab/>
      </w:r>
      <w:r>
        <w:rPr/>
        <w:t>投资成本确定</w:t>
      </w:r>
      <w:r>
        <w:rPr>
          <w:w w:val="99"/>
        </w:rPr>
        <w:t> </w:t>
      </w:r>
      <w:r>
        <w:rPr/>
        <w:t>对于企业合并形成的长期股权投资：同一控制下企业合并取得的长期股权投资，在合并日按照被合并方所有者权益在</w:t>
      </w:r>
    </w:p>
    <w:p>
      <w:pPr>
        <w:pStyle w:val="BodyText"/>
        <w:spacing w:line="218" w:lineRule="exact"/>
        <w:ind w:right="0"/>
        <w:jc w:val="left"/>
      </w:pPr>
      <w:r>
        <w:rPr/>
        <w:t>最终控制方合并财务报表中的账面价值的份额作为投资成本；非同一控制下企业合并取得的长期股权投资，按照合并成本作</w:t>
      </w:r>
    </w:p>
    <w:p>
      <w:pPr>
        <w:pStyle w:val="BodyText"/>
        <w:spacing w:line="319" w:lineRule="auto" w:before="64"/>
        <w:ind w:right="1106"/>
        <w:jc w:val="both"/>
      </w:pPr>
      <w:r>
        <w:rPr>
          <w:spacing w:val="-2"/>
        </w:rPr>
        <w:t>为长期股权投资的投资成本。通过多次交易分步实现非同一控制下企业合并的，按照原持有的股权投资的账面价值加上新增</w:t>
      </w:r>
      <w:r>
        <w:rPr>
          <w:spacing w:val="-70"/>
        </w:rPr>
        <w:t> </w:t>
      </w:r>
      <w:r>
        <w:rPr>
          <w:spacing w:val="-70"/>
        </w:rPr>
      </w:r>
      <w:r>
        <w:rPr>
          <w:spacing w:val="-2"/>
        </w:rPr>
        <w:t>投资成本之和，作为改按成本法核算的初始投资成本。其中，购买日之前持有的原股权采用权益法核算的，相关其他综合收</w:t>
      </w:r>
      <w:r>
        <w:rPr>
          <w:spacing w:val="-42"/>
        </w:rPr>
        <w:t> </w:t>
      </w:r>
      <w:r>
        <w:rPr>
          <w:spacing w:val="-42"/>
        </w:rPr>
      </w:r>
      <w:r>
        <w:rPr>
          <w:spacing w:val="-2"/>
        </w:rPr>
        <w:t>益在处置该项投资时采用与被投资单位直接处置相关资产或负债相同的基础进行会计处理，因被投资方除净损益、其他综合</w:t>
      </w:r>
      <w:r>
        <w:rPr>
          <w:spacing w:val="-72"/>
        </w:rPr>
        <w:t> </w:t>
      </w:r>
      <w:r>
        <w:rPr>
          <w:spacing w:val="-72"/>
        </w:rPr>
      </w:r>
      <w:r>
        <w:rPr>
          <w:spacing w:val="-2"/>
        </w:rPr>
        <w:t>收益和利润分配以外的其他所有者权益变动而确认的所有者权益，在处置该项投资时相应转入处置期间的当期损益。购买日</w:t>
      </w:r>
      <w:r>
        <w:rPr>
          <w:spacing w:val="-72"/>
        </w:rPr>
        <w:t> </w:t>
      </w:r>
      <w:r>
        <w:rPr>
          <w:spacing w:val="-72"/>
        </w:rPr>
      </w:r>
      <w:r>
        <w:rPr>
          <w:spacing w:val="-2"/>
        </w:rPr>
        <w:t>之前持有的原股权投资，采用金融工具确认和计量准则进行会计处理的，将原持有股权投资的公允价值加上新增投资成本之</w:t>
      </w:r>
      <w:r>
        <w:rPr>
          <w:spacing w:val="-61"/>
        </w:rPr>
        <w:t> </w:t>
      </w:r>
      <w:r>
        <w:rPr>
          <w:spacing w:val="-61"/>
        </w:rPr>
      </w:r>
      <w:r>
        <w:rPr>
          <w:spacing w:val="-2"/>
        </w:rPr>
        <w:t>和，作为改按成本法核算的初始投资成本，原持有股权投资的公允价值与账面价值之间的差额以及原计入其他综合收益的累</w:t>
      </w:r>
    </w:p>
    <w:p>
      <w:pPr>
        <w:spacing w:after="0" w:line="319"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1105"/>
        <w:jc w:val="left"/>
      </w:pPr>
      <w:r>
        <w:rPr/>
        <w:t>计公允价值变动全部转入改按成本法核算的当期投资收益。</w:t>
      </w:r>
    </w:p>
    <w:p>
      <w:pPr>
        <w:spacing w:line="240" w:lineRule="auto" w:before="0"/>
        <w:rPr>
          <w:rFonts w:ascii="宋体" w:hAnsi="宋体" w:cs="宋体" w:eastAsia="宋体" w:hint="default"/>
          <w:sz w:val="18"/>
          <w:szCs w:val="18"/>
        </w:rPr>
      </w:pPr>
    </w:p>
    <w:p>
      <w:pPr>
        <w:pStyle w:val="BodyText"/>
        <w:spacing w:line="307" w:lineRule="auto" w:before="159"/>
        <w:ind w:right="1167" w:firstLine="420"/>
        <w:jc w:val="both"/>
      </w:pPr>
      <w:r>
        <w:rPr/>
        <w:t>对于以企业合并以外的其他方式取得的长期股权投资：支付现金取得的长期股权投资，按照实际支付的购买价款作为 初始投资成本；发行权益性证券取得的长期股权投资，以发行权益性证券的公允价值作为初始投资成本。</w:t>
      </w:r>
    </w:p>
    <w:p>
      <w:pPr>
        <w:pStyle w:val="BodyText"/>
        <w:tabs>
          <w:tab w:pos="561" w:val="left" w:leader="none"/>
        </w:tabs>
        <w:spacing w:line="600" w:lineRule="atLeast" w:before="9"/>
        <w:ind w:left="561" w:right="1156" w:hanging="421"/>
        <w:jc w:val="left"/>
      </w:pPr>
      <w:r>
        <w:rPr>
          <w:rFonts w:ascii="Times New Roman" w:hAnsi="Times New Roman" w:cs="Times New Roman" w:eastAsia="Times New Roman" w:hint="default"/>
        </w:rPr>
        <w:t>(b)</w:t>
        <w:tab/>
      </w:r>
      <w:r>
        <w:rPr/>
        <w:t>后续计量及损益确认方法</w:t>
      </w:r>
      <w:r>
        <w:rPr>
          <w:w w:val="99"/>
        </w:rPr>
        <w:t> </w:t>
      </w:r>
      <w:r>
        <w:rPr/>
        <w:t>采用成本法核算的长期股权投资，按照初始投资成本计量，被投资单位宣告分派的现金股利或利润，确认为投资收益</w:t>
      </w:r>
    </w:p>
    <w:p>
      <w:pPr>
        <w:pStyle w:val="BodyText"/>
        <w:spacing w:line="240" w:lineRule="auto" w:before="64"/>
        <w:ind w:right="1105"/>
        <w:jc w:val="left"/>
      </w:pPr>
      <w:r>
        <w:rPr/>
        <w:t>计入当期损益。</w:t>
      </w:r>
    </w:p>
    <w:p>
      <w:pPr>
        <w:spacing w:line="240" w:lineRule="auto" w:before="0"/>
        <w:rPr>
          <w:rFonts w:ascii="宋体" w:hAnsi="宋体" w:cs="宋体" w:eastAsia="宋体" w:hint="default"/>
          <w:sz w:val="18"/>
          <w:szCs w:val="18"/>
        </w:rPr>
      </w:pPr>
    </w:p>
    <w:p>
      <w:pPr>
        <w:pStyle w:val="BodyText"/>
        <w:spacing w:line="321" w:lineRule="auto" w:before="159"/>
        <w:ind w:right="1136" w:firstLine="420"/>
        <w:jc w:val="both"/>
      </w:pPr>
      <w:r>
        <w:rPr/>
        <w:t>采用权益法核算的长期股权投资，初始投资成本大于投资时应享有被投资单位可辨认净资产公允价值份额的，以初始 </w:t>
      </w:r>
      <w:r>
        <w:rPr>
          <w:spacing w:val="-2"/>
        </w:rPr>
        <w:t>投资成本作为长期股权投资成本；初始投资成本小于投资时应享有被投资单位可辨认净资产公允价值份额的，其差额计入当</w:t>
      </w:r>
      <w:r>
        <w:rPr>
          <w:spacing w:val="-72"/>
        </w:rPr>
        <w:t> </w:t>
      </w:r>
      <w:r>
        <w:rPr>
          <w:spacing w:val="-72"/>
        </w:rPr>
      </w:r>
      <w:r>
        <w:rPr/>
        <w:t>期损益，并相应调增长期股权投资成本。</w:t>
      </w:r>
    </w:p>
    <w:p>
      <w:pPr>
        <w:spacing w:line="240" w:lineRule="auto" w:before="5"/>
        <w:rPr>
          <w:rFonts w:ascii="宋体" w:hAnsi="宋体" w:cs="宋体" w:eastAsia="宋体" w:hint="default"/>
          <w:sz w:val="24"/>
          <w:szCs w:val="24"/>
        </w:rPr>
      </w:pPr>
    </w:p>
    <w:p>
      <w:pPr>
        <w:pStyle w:val="BodyText"/>
        <w:spacing w:line="319" w:lineRule="auto"/>
        <w:ind w:right="1133" w:firstLine="420"/>
        <w:jc w:val="both"/>
      </w:pPr>
      <w:r>
        <w:rPr/>
        <w:t>采用权益法核算的长期股权投资，本集团按应享有或应分担的被投资单位的净损益份额确认当期投资损益。确认被投 </w:t>
      </w:r>
      <w:r>
        <w:rPr>
          <w:spacing w:val="-2"/>
        </w:rPr>
        <w:t>资单位发生的净亏损，以长期股权投资的账面价值以及其他实质上构成对被投资单位净投资的长期权益减记至零为限，但本</w:t>
      </w:r>
      <w:r>
        <w:rPr>
          <w:spacing w:val="-72"/>
        </w:rPr>
        <w:t> </w:t>
      </w:r>
      <w:r>
        <w:rPr>
          <w:spacing w:val="-72"/>
        </w:rPr>
      </w:r>
      <w:r>
        <w:rPr>
          <w:spacing w:val="-2"/>
        </w:rPr>
        <w:t>集团负有承担额外损失义务且符合预计负债确认条件的，继续确认预计将承担的损失金额。被投资单位除净损益、其他综合</w:t>
      </w:r>
      <w:r>
        <w:rPr>
          <w:spacing w:val="-72"/>
        </w:rPr>
        <w:t> </w:t>
      </w:r>
      <w:r>
        <w:rPr>
          <w:spacing w:val="-72"/>
        </w:rPr>
      </w:r>
      <w:r>
        <w:rPr>
          <w:spacing w:val="-2"/>
        </w:rPr>
        <w:t>收益和利润分配以外所有者权益的其他变动，调整长期股权投资的账面价值并计入资本公积。被投资单位分派的利润或现金</w:t>
      </w:r>
      <w:r>
        <w:rPr>
          <w:spacing w:val="-72"/>
        </w:rPr>
        <w:t> </w:t>
      </w:r>
      <w:r>
        <w:rPr>
          <w:spacing w:val="-72"/>
        </w:rPr>
      </w:r>
      <w:r>
        <w:rPr>
          <w:spacing w:val="-2"/>
        </w:rPr>
        <w:t>股利于宣告分派时按照本集团应分得的部分，相应减少长期股权投资的账面价值。本集团与被投资单位之间未实现的内部交</w:t>
      </w:r>
      <w:r>
        <w:rPr>
          <w:spacing w:val="-72"/>
        </w:rPr>
        <w:t> </w:t>
      </w:r>
      <w:r>
        <w:rPr>
          <w:spacing w:val="-72"/>
        </w:rPr>
      </w:r>
      <w:r>
        <w:rPr>
          <w:spacing w:val="-2"/>
        </w:rPr>
        <w:t>易损益按照持股比例计算归属于本集团的部分，予以抵销，在此基础上确认投资损益。本集团与被投资单位发生的内部交易</w:t>
      </w:r>
      <w:r>
        <w:rPr>
          <w:spacing w:val="-75"/>
        </w:rPr>
        <w:t> </w:t>
      </w:r>
      <w:r>
        <w:rPr>
          <w:spacing w:val="-75"/>
        </w:rPr>
      </w:r>
      <w:r>
        <w:rPr/>
        <w:t>损失，其中属于资产减值损失的部分，相应的未实现损失不予抵销。</w:t>
      </w:r>
    </w:p>
    <w:p>
      <w:pPr>
        <w:pStyle w:val="BodyText"/>
        <w:tabs>
          <w:tab w:pos="561" w:val="left" w:leader="none"/>
        </w:tabs>
        <w:spacing w:line="580" w:lineRule="atLeast" w:before="19"/>
        <w:ind w:left="561" w:right="1167" w:hanging="421"/>
        <w:jc w:val="left"/>
      </w:pPr>
      <w:r>
        <w:rPr>
          <w:rFonts w:ascii="Times New Roman" w:hAnsi="Times New Roman" w:cs="Times New Roman" w:eastAsia="Times New Roman" w:hint="default"/>
          <w:spacing w:val="-2"/>
        </w:rPr>
        <w:t>(c)</w:t>
        <w:tab/>
      </w:r>
      <w:r>
        <w:rPr/>
        <w:t>确定对被投资单位具有控制、共同控制、重大影响的依据</w:t>
      </w:r>
      <w:r>
        <w:rPr>
          <w:spacing w:val="-87"/>
        </w:rPr>
        <w:t> </w:t>
      </w:r>
      <w:r>
        <w:rPr>
          <w:spacing w:val="-87"/>
        </w:rPr>
      </w:r>
      <w:r>
        <w:rPr/>
        <w:t>控制是指拥有对被投资单位的权力，通过参与被投资单位的相关活动而享有可变回报，并且有能力运用对被投资单位</w:t>
      </w:r>
    </w:p>
    <w:p>
      <w:pPr>
        <w:pStyle w:val="BodyText"/>
        <w:spacing w:line="240" w:lineRule="auto" w:before="80"/>
        <w:ind w:right="1105"/>
        <w:jc w:val="left"/>
      </w:pPr>
      <w:r>
        <w:rPr/>
        <w:t>的权力影响其回报金额。</w:t>
      </w:r>
    </w:p>
    <w:p>
      <w:pPr>
        <w:spacing w:line="240" w:lineRule="auto" w:before="0"/>
        <w:rPr>
          <w:rFonts w:ascii="宋体" w:hAnsi="宋体" w:cs="宋体" w:eastAsia="宋体" w:hint="default"/>
          <w:sz w:val="18"/>
          <w:szCs w:val="18"/>
        </w:rPr>
      </w:pPr>
    </w:p>
    <w:p>
      <w:pPr>
        <w:pStyle w:val="BodyText"/>
        <w:spacing w:line="304" w:lineRule="auto" w:before="159"/>
        <w:ind w:right="1167" w:firstLine="420"/>
        <w:jc w:val="both"/>
      </w:pPr>
      <w:r>
        <w:rPr/>
        <w:t>共同控制是指按照相关约定对某项安排所共有的控制，并且该安排的相关活动必须经过本集团及分享控制权的其他参 与方一致同意后才能决策。</w:t>
      </w:r>
    </w:p>
    <w:p>
      <w:pPr>
        <w:spacing w:line="240" w:lineRule="auto" w:before="6"/>
        <w:rPr>
          <w:rFonts w:ascii="宋体" w:hAnsi="宋体" w:cs="宋体" w:eastAsia="宋体" w:hint="default"/>
          <w:sz w:val="26"/>
          <w:szCs w:val="26"/>
        </w:rPr>
      </w:pPr>
    </w:p>
    <w:p>
      <w:pPr>
        <w:pStyle w:val="BodyText"/>
        <w:spacing w:line="321" w:lineRule="auto"/>
        <w:ind w:right="1167" w:firstLine="420"/>
        <w:jc w:val="both"/>
      </w:pPr>
      <w:r>
        <w:rPr/>
        <w:t>重大影响是指对被投资单位的财务和经营政策有参与决策的权力，但并不能够控制或者与其他方一起共同控制这些政 策的制定。</w:t>
      </w:r>
    </w:p>
    <w:p>
      <w:pPr>
        <w:pStyle w:val="BodyText"/>
        <w:tabs>
          <w:tab w:pos="561" w:val="left" w:leader="none"/>
        </w:tabs>
        <w:spacing w:line="616" w:lineRule="exact" w:before="51"/>
        <w:ind w:left="561" w:right="1128" w:hanging="421"/>
        <w:jc w:val="left"/>
      </w:pPr>
      <w:r>
        <w:rPr>
          <w:rFonts w:ascii="Times New Roman" w:hAnsi="Times New Roman" w:cs="Times New Roman" w:eastAsia="Times New Roman" w:hint="default"/>
        </w:rPr>
        <w:t>(d)</w:t>
        <w:tab/>
      </w:r>
      <w:r>
        <w:rPr/>
        <w:t>长期股权投资减值</w:t>
      </w:r>
      <w:r>
        <w:rPr>
          <w:w w:val="99"/>
        </w:rPr>
        <w:t> </w:t>
      </w:r>
      <w:r>
        <w:rPr>
          <w:spacing w:val="-3"/>
        </w:rPr>
        <w:t>对子公司、合营企业、联营企业的长期股权投资，当其可收回金额低于其账面价值时，账面价值减记至可收回金额（附</w:t>
      </w:r>
    </w:p>
    <w:p>
      <w:pPr>
        <w:pStyle w:val="BodyText"/>
        <w:spacing w:line="246" w:lineRule="exact"/>
        <w:ind w:right="1105"/>
        <w:jc w:val="left"/>
      </w:pPr>
      <w:r>
        <w:rPr/>
        <w:t>注五</w:t>
      </w:r>
      <w:r>
        <w:rPr>
          <w:rFonts w:ascii="Times New Roman" w:hAnsi="Times New Roman" w:cs="Times New Roman" w:eastAsia="Times New Roman" w:hint="default"/>
        </w:rPr>
        <w:t>(31)</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Heading3"/>
        <w:spacing w:line="240" w:lineRule="auto"/>
        <w:ind w:right="1105"/>
        <w:jc w:val="left"/>
        <w:rPr>
          <w:b w:val="0"/>
          <w:bCs w:val="0"/>
        </w:rPr>
      </w:pPr>
      <w:bookmarkStart w:name="23、投资性房地产" w:id="192"/>
      <w:bookmarkEnd w:id="192"/>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3"/>
        <w:rPr>
          <w:rFonts w:ascii="宋体" w:hAnsi="宋体" w:cs="宋体" w:eastAsia="宋体" w:hint="default"/>
          <w:b/>
          <w:bCs/>
          <w:sz w:val="25"/>
          <w:szCs w:val="25"/>
        </w:rPr>
      </w:pPr>
    </w:p>
    <w:p>
      <w:pPr>
        <w:pStyle w:val="BodyText"/>
        <w:spacing w:line="367" w:lineRule="auto"/>
        <w:ind w:right="8949"/>
        <w:jc w:val="left"/>
      </w:pPr>
      <w:r>
        <w:rPr/>
        <w:t>投资性房地产计量模式 不适用</w:t>
      </w:r>
    </w:p>
    <w:p>
      <w:pPr>
        <w:spacing w:after="0" w:line="367"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0"/>
        <w:jc w:val="both"/>
        <w:rPr>
          <w:b w:val="0"/>
          <w:bCs w:val="0"/>
        </w:rPr>
      </w:pPr>
      <w:bookmarkStart w:name="24、固定资产" w:id="193"/>
      <w:bookmarkEnd w:id="193"/>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both"/>
        <w:rPr>
          <w:b w:val="0"/>
          <w:bCs w:val="0"/>
        </w:rPr>
      </w:pPr>
      <w:bookmarkStart w:name="（1）确认条件" w:id="194"/>
      <w:bookmarkEnd w:id="19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3"/>
        <w:rPr>
          <w:rFonts w:ascii="宋体" w:hAnsi="宋体" w:cs="宋体" w:eastAsia="宋体" w:hint="default"/>
          <w:b/>
          <w:bCs/>
          <w:sz w:val="25"/>
          <w:szCs w:val="25"/>
        </w:rPr>
      </w:pPr>
    </w:p>
    <w:p>
      <w:pPr>
        <w:pStyle w:val="BodyText"/>
        <w:spacing w:line="316" w:lineRule="auto"/>
        <w:ind w:right="1106"/>
        <w:jc w:val="both"/>
      </w:pPr>
      <w:r>
        <w:rPr>
          <w:spacing w:val="-2"/>
        </w:rPr>
        <w:t>固定资产主要包括运输工具、服务器及电子设备、光伏发电设备、办公设备等。固定资产在与其有关的经济利益很可能流入</w:t>
      </w:r>
      <w:r>
        <w:rPr>
          <w:spacing w:val="-42"/>
        </w:rPr>
        <w:t> </w:t>
      </w:r>
      <w:r>
        <w:rPr>
          <w:spacing w:val="-42"/>
        </w:rPr>
      </w:r>
      <w:r>
        <w:rPr/>
        <w:t>本集团、且其成本能够可靠计量时予以确认。购置或新建的固定资产按取得时的成本进行初始计量。</w:t>
      </w:r>
      <w:r>
        <w:rPr>
          <w:spacing w:val="-20"/>
        </w:rPr>
        <w:t> </w:t>
      </w:r>
      <w:r>
        <w:rPr/>
        <w:t>与固定资产有关的后</w:t>
      </w:r>
      <w:r>
        <w:rPr/>
        <w:t> </w:t>
      </w:r>
      <w:r>
        <w:rPr>
          <w:spacing w:val="-2"/>
        </w:rPr>
        <w:t>续支出，在与其有关的经济利益很可能流入本集团且其成本能够可靠计量时，计入固定资产成本；对于被替换的部分，终止</w:t>
      </w:r>
      <w:r>
        <w:rPr>
          <w:spacing w:val="-42"/>
        </w:rPr>
        <w:t> </w:t>
      </w:r>
      <w:r>
        <w:rPr>
          <w:spacing w:val="-42"/>
        </w:rPr>
      </w:r>
      <w:r>
        <w:rPr/>
        <w:t>确认其账面价值；所有其他后续支出于发生时计入当期损益。</w:t>
      </w:r>
    </w:p>
    <w:p>
      <w:pPr>
        <w:spacing w:line="240" w:lineRule="auto" w:before="5"/>
        <w:rPr>
          <w:rFonts w:ascii="宋体" w:hAnsi="宋体" w:cs="宋体" w:eastAsia="宋体" w:hint="default"/>
          <w:sz w:val="25"/>
          <w:szCs w:val="25"/>
        </w:rPr>
      </w:pPr>
    </w:p>
    <w:p>
      <w:pPr>
        <w:pStyle w:val="Heading3"/>
        <w:spacing w:line="240" w:lineRule="auto"/>
        <w:ind w:right="0"/>
        <w:jc w:val="both"/>
        <w:rPr>
          <w:b w:val="0"/>
          <w:bCs w:val="0"/>
        </w:rPr>
      </w:pPr>
      <w:bookmarkStart w:name="（2）折旧方法" w:id="195"/>
      <w:bookmarkEnd w:id="19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9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年</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12.50%</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服务器及电子设备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 </w:t>
            </w:r>
            <w:r>
              <w:rPr>
                <w:rFonts w:ascii="宋体" w:hAnsi="宋体" w:cs="宋体" w:eastAsia="宋体" w:hint="default"/>
                <w:sz w:val="18"/>
                <w:szCs w:val="18"/>
              </w:rPr>
              <w:t>年</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0%-5%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19%-33.33%</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光伏发电设备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年</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 </w:t>
            </w:r>
            <w:r>
              <w:rPr>
                <w:rFonts w:ascii="宋体" w:hAnsi="宋体" w:cs="宋体" w:eastAsia="宋体" w:hint="default"/>
                <w:sz w:val="18"/>
                <w:szCs w:val="18"/>
              </w:rPr>
              <w:t>年</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0%-5%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19%-33.33%</w:t>
            </w:r>
          </w:p>
        </w:tc>
      </w:tr>
    </w:tbl>
    <w:p>
      <w:pPr>
        <w:pStyle w:val="BodyText"/>
        <w:spacing w:line="624" w:lineRule="auto"/>
        <w:ind w:right="3386"/>
        <w:jc w:val="both"/>
      </w:pPr>
      <w:r>
        <w:rPr/>
        <w:t>对固定资产的预计使用寿命、预计净残值和折旧方法于每年年度终了进行复核并作适当调整。 </w:t>
      </w:r>
      <w:r>
        <w:rPr>
          <w:rFonts w:ascii="Times New Roman" w:hAnsi="Times New Roman" w:cs="Times New Roman" w:eastAsia="Times New Roman" w:hint="default"/>
        </w:rPr>
        <w:t>(c)</w:t>
      </w:r>
      <w:r>
        <w:rPr/>
        <w:t>当固定资产的可收回金额低于其账面价值时，账面价值减记至可收回金额（附注五</w:t>
      </w:r>
      <w:r>
        <w:rPr>
          <w:rFonts w:ascii="Times New Roman" w:hAnsi="Times New Roman" w:cs="Times New Roman" w:eastAsia="Times New Roman" w:hint="default"/>
        </w:rPr>
        <w:t>(31)</w:t>
      </w:r>
      <w:r>
        <w:rPr/>
        <w:t>）。 </w:t>
      </w:r>
      <w:r>
        <w:rPr>
          <w:rFonts w:ascii="Times New Roman" w:hAnsi="Times New Roman" w:cs="Times New Roman" w:eastAsia="Times New Roman" w:hint="default"/>
        </w:rPr>
        <w:t>(d)</w:t>
      </w:r>
      <w:r>
        <w:rPr/>
        <w:t>固定资产的处置</w:t>
      </w:r>
    </w:p>
    <w:p>
      <w:pPr>
        <w:pStyle w:val="BodyText"/>
        <w:spacing w:line="321" w:lineRule="auto" w:before="32"/>
        <w:ind w:right="1121"/>
        <w:jc w:val="both"/>
      </w:pPr>
      <w:r>
        <w:rPr>
          <w:spacing w:val="-2"/>
        </w:rPr>
        <w:t>当固定资产被处置、或者预期通过使用或处置不能产生经济利益时，终止确认该固定资产。固定资产出售、转让、报废或毁</w:t>
      </w:r>
      <w:r>
        <w:rPr>
          <w:spacing w:val="-57"/>
        </w:rPr>
        <w:t> </w:t>
      </w:r>
      <w:r>
        <w:rPr>
          <w:spacing w:val="-57"/>
        </w:rPr>
      </w:r>
      <w:r>
        <w:rPr/>
        <w:t>损的处置收入扣除其账面价值和相关税费后的金额计入当期损益。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508" w:lineRule="auto" w:before="158"/>
        <w:ind w:right="5795"/>
        <w:jc w:val="left"/>
        <w:rPr>
          <w:b w:val="0"/>
          <w:bCs w:val="0"/>
        </w:rPr>
      </w:pPr>
      <w:bookmarkStart w:name="（3）融资租入固定资产的认定依据、计价和折旧方法" w:id="196"/>
      <w:bookmarkEnd w:id="196"/>
      <w:r>
        <w:rPr>
          <w:b w:val="0"/>
          <w:bCs w:val="0"/>
        </w:rPr>
      </w:r>
      <w:r>
        <w:rPr/>
        <w:t>（</w:t>
      </w:r>
      <w:r>
        <w:rPr>
          <w:rFonts w:ascii="Times New Roman" w:hAnsi="Times New Roman" w:cs="Times New Roman" w:eastAsia="Times New Roman" w:hint="default"/>
        </w:rPr>
        <w:t>3</w:t>
      </w:r>
      <w:r>
        <w:rPr/>
        <w:t>）融资租入固定资产的认定依据、计价和折旧方法</w:t>
      </w:r>
      <w:r>
        <w:rPr>
          <w:w w:val="99"/>
        </w:rPr>
        <w:t> </w:t>
      </w:r>
      <w:bookmarkStart w:name="25、在建工程" w:id="197"/>
      <w:bookmarkEnd w:id="197"/>
      <w:r>
        <w:rPr>
          <w:w w:val="99"/>
        </w:rPr>
      </w:r>
      <w:r>
        <w:rPr>
          <w:rFonts w:ascii="Times New Roman" w:hAnsi="Times New Roman" w:cs="Times New Roman" w:eastAsia="Times New Roman" w:hint="default"/>
        </w:rPr>
        <w:t>25</w:t>
      </w:r>
      <w:r>
        <w:rPr/>
        <w:t>、在建工程</w:t>
      </w:r>
      <w:r>
        <w:rPr>
          <w:b w:val="0"/>
          <w:bCs w:val="0"/>
        </w:rPr>
      </w:r>
    </w:p>
    <w:p>
      <w:pPr>
        <w:pStyle w:val="BodyText"/>
        <w:spacing w:line="328" w:lineRule="auto" w:before="54"/>
        <w:ind w:right="1136"/>
        <w:jc w:val="both"/>
      </w:pPr>
      <w:r>
        <w:rPr>
          <w:spacing w:val="-2"/>
        </w:rPr>
        <w:t>在建工程按实际发生的成本计量。实际成本包括建筑成本、安装成本、符合资本化条件的借款费用以及其他为使在建工程达</w:t>
      </w:r>
      <w:r>
        <w:rPr>
          <w:spacing w:val="-75"/>
        </w:rPr>
        <w:t> </w:t>
      </w:r>
      <w:r>
        <w:rPr>
          <w:spacing w:val="-75"/>
        </w:rPr>
      </w:r>
      <w:r>
        <w:rPr>
          <w:spacing w:val="-2"/>
        </w:rPr>
        <w:t>到预定可使用状态所发生的必要支出。在建工程在达到预定可使用状态时，转入固定资产并自次月起开始计提折旧。当在建</w:t>
      </w:r>
      <w:r>
        <w:rPr>
          <w:spacing w:val="-75"/>
        </w:rPr>
        <w:t> </w:t>
      </w:r>
      <w:r>
        <w:rPr>
          <w:spacing w:val="-75"/>
        </w:rPr>
      </w:r>
      <w:r>
        <w:rPr/>
        <w:t>工程的可收回金额低于其账面价值时，账面价值减记至可收回金额（附注五</w:t>
      </w:r>
      <w:r>
        <w:rPr>
          <w:rFonts w:ascii="Times New Roman" w:hAnsi="Times New Roman" w:cs="Times New Roman" w:eastAsia="Times New Roman" w:hint="default"/>
        </w:rPr>
        <w:t>(31)</w:t>
      </w:r>
      <w:r>
        <w:rPr/>
        <w:t>）。</w:t>
      </w:r>
    </w:p>
    <w:p>
      <w:pPr>
        <w:spacing w:after="0" w:line="328" w:lineRule="auto"/>
        <w:jc w:val="both"/>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1105"/>
        <w:jc w:val="left"/>
        <w:rPr>
          <w:b w:val="0"/>
          <w:bCs w:val="0"/>
        </w:rPr>
      </w:pPr>
      <w:bookmarkStart w:name="26、借款费用" w:id="198"/>
      <w:bookmarkEnd w:id="198"/>
      <w:r>
        <w:rPr>
          <w:b w:val="0"/>
          <w:bCs w:val="0"/>
        </w:rPr>
      </w:r>
      <w:r>
        <w:rPr>
          <w:rFonts w:ascii="Times New Roman" w:hAnsi="Times New Roman" w:cs="Times New Roman" w:eastAsia="Times New Roman" w:hint="default"/>
        </w:rPr>
        <w:t>26</w:t>
      </w:r>
      <w:r>
        <w:rPr/>
        <w:t>、借款费用</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27、生物资产" w:id="199"/>
      <w:bookmarkEnd w:id="199"/>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28、油气资产" w:id="200"/>
      <w:bookmarkEnd w:id="200"/>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29、使用权资产" w:id="201"/>
      <w:bookmarkEnd w:id="201"/>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30、无形资产" w:id="202"/>
      <w:bookmarkEnd w:id="202"/>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1105"/>
        <w:jc w:val="left"/>
        <w:rPr>
          <w:b w:val="0"/>
          <w:bCs w:val="0"/>
        </w:rPr>
      </w:pPr>
      <w:bookmarkStart w:name="（1）计价方法、使用寿命、减值测试" w:id="203"/>
      <w:bookmarkEnd w:id="203"/>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05"/>
        <w:jc w:val="left"/>
      </w:pPr>
      <w:r>
        <w:rPr>
          <w:spacing w:val="-2"/>
        </w:rPr>
        <w:t>无形资产主要包括客户关系、软件及软件著作权及土地使用权等。软件及土地使用权以成本计量，客户关系及软件著作权以</w:t>
      </w:r>
      <w:r>
        <w:rPr>
          <w:spacing w:val="-75"/>
        </w:rPr>
        <w:t> </w:t>
      </w:r>
      <w:r>
        <w:rPr>
          <w:spacing w:val="-75"/>
        </w:rPr>
      </w:r>
      <w:r>
        <w:rPr/>
        <w:t>收购第三方业务时所识别的客户关系、软件著作权之公允价值确认。</w:t>
      </w:r>
    </w:p>
    <w:p>
      <w:pPr>
        <w:spacing w:line="240" w:lineRule="auto" w:before="9"/>
        <w:rPr>
          <w:rFonts w:ascii="宋体" w:hAnsi="宋体" w:cs="宋体" w:eastAsia="宋体" w:hint="default"/>
          <w:sz w:val="26"/>
          <w:szCs w:val="26"/>
        </w:rPr>
      </w:pPr>
    </w:p>
    <w:p>
      <w:pPr>
        <w:pStyle w:val="BodyText"/>
        <w:spacing w:line="240" w:lineRule="auto"/>
        <w:ind w:right="1105"/>
        <w:jc w:val="left"/>
      </w:pPr>
      <w:r>
        <w:rPr>
          <w:rFonts w:ascii="Times New Roman" w:hAnsi="Times New Roman" w:cs="Times New Roman" w:eastAsia="Times New Roman" w:hint="default"/>
        </w:rPr>
        <w:t>(a)</w:t>
      </w:r>
      <w:r>
        <w:rPr/>
        <w:t>无形资产的摊销方法</w:t>
      </w:r>
    </w:p>
    <w:p>
      <w:pPr>
        <w:spacing w:line="240" w:lineRule="auto" w:before="11"/>
        <w:rPr>
          <w:rFonts w:ascii="宋体" w:hAnsi="宋体" w:cs="宋体" w:eastAsia="宋体" w:hint="default"/>
          <w:sz w:val="26"/>
          <w:szCs w:val="26"/>
        </w:rPr>
      </w:pPr>
    </w:p>
    <w:p>
      <w:pPr>
        <w:pStyle w:val="BodyText"/>
        <w:spacing w:line="321" w:lineRule="auto"/>
        <w:ind w:right="1105"/>
        <w:jc w:val="left"/>
      </w:pPr>
      <w:r>
        <w:rPr>
          <w:spacing w:val="-2"/>
        </w:rPr>
        <w:t>对于使用寿命有限的无形资产，本集团将无形资产的成本扣除累计摊销及减值后按直线法在预计使用寿命内摊销，除非该无</w:t>
      </w:r>
      <w:r>
        <w:rPr>
          <w:spacing w:val="-72"/>
        </w:rPr>
        <w:t> </w:t>
      </w:r>
      <w:r>
        <w:rPr>
          <w:spacing w:val="-72"/>
        </w:rPr>
      </w:r>
      <w:r>
        <w:rPr/>
        <w:t>形资产符合持有待售的条件。</w:t>
      </w:r>
    </w:p>
    <w:p>
      <w:pPr>
        <w:spacing w:line="240" w:lineRule="auto" w:before="6"/>
        <w:rPr>
          <w:rFonts w:ascii="宋体" w:hAnsi="宋体" w:cs="宋体" w:eastAsia="宋体" w:hint="default"/>
          <w:sz w:val="25"/>
          <w:szCs w:val="25"/>
        </w:rPr>
      </w:pPr>
    </w:p>
    <w:tbl>
      <w:tblPr>
        <w:tblW w:w="0" w:type="auto"/>
        <w:jc w:val="left"/>
        <w:tblInd w:w="126" w:type="dxa"/>
        <w:tblLayout w:type="fixed"/>
        <w:tblCellMar>
          <w:top w:w="0" w:type="dxa"/>
          <w:left w:w="0" w:type="dxa"/>
          <w:bottom w:w="0" w:type="dxa"/>
          <w:right w:w="0" w:type="dxa"/>
        </w:tblCellMar>
        <w:tblLook w:val="01E0"/>
      </w:tblPr>
      <w:tblGrid>
        <w:gridCol w:w="2177"/>
        <w:gridCol w:w="2433"/>
        <w:gridCol w:w="2178"/>
        <w:gridCol w:w="2193"/>
      </w:tblGrid>
      <w:tr>
        <w:trPr>
          <w:trHeight w:val="345" w:hRule="exact"/>
        </w:trPr>
        <w:tc>
          <w:tcPr>
            <w:tcW w:w="2177" w:type="dxa"/>
            <w:tcBorders>
              <w:top w:val="single" w:sz="6" w:space="0" w:color="000000"/>
              <w:left w:val="single" w:sz="6" w:space="0" w:color="000000"/>
              <w:bottom w:val="single" w:sz="6" w:space="0" w:color="000000"/>
              <w:right w:val="single" w:sz="6" w:space="0" w:color="000000"/>
            </w:tcBorders>
          </w:tcPr>
          <w:p>
            <w:pP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30"/>
              <w:jc w:val="right"/>
              <w:rPr>
                <w:rFonts w:ascii="宋体" w:hAnsi="宋体" w:cs="宋体" w:eastAsia="宋体" w:hint="default"/>
                <w:sz w:val="18"/>
                <w:szCs w:val="18"/>
              </w:rPr>
            </w:pPr>
            <w:r>
              <w:rPr>
                <w:rFonts w:ascii="宋体" w:hAnsi="宋体" w:cs="宋体" w:eastAsia="宋体" w:hint="default"/>
                <w:sz w:val="18"/>
                <w:szCs w:val="18"/>
              </w:rPr>
              <w:t>预计使用寿命</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hAnsi="宋体" w:cs="宋体" w:eastAsia="宋体" w:hint="default"/>
                <w:sz w:val="18"/>
                <w:szCs w:val="18"/>
              </w:rPr>
              <w:t>预计净残值率</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年摊销率</w:t>
            </w:r>
          </w:p>
        </w:tc>
      </w:tr>
      <w:tr>
        <w:trPr>
          <w:trHeight w:val="345"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年</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right"/>
              <w:rPr>
                <w:rFonts w:ascii="Times New Roman" w:hAnsi="Times New Roman" w:cs="Times New Roman" w:eastAsia="Times New Roman" w:hint="default"/>
                <w:sz w:val="18"/>
                <w:szCs w:val="18"/>
              </w:rPr>
            </w:pPr>
            <w:r>
              <w:rPr>
                <w:rFonts w:ascii="Times New Roman"/>
                <w:w w:val="95"/>
                <w:sz w:val="18"/>
              </w:rPr>
              <w:t>12.50%</w:t>
            </w:r>
            <w:r>
              <w:rPr>
                <w:rFonts w:ascii="Times New Roman"/>
                <w:sz w:val="18"/>
              </w:rPr>
            </w:r>
          </w:p>
        </w:tc>
      </w:tr>
      <w:tr>
        <w:trPr>
          <w:trHeight w:val="345"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3"/>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63"/>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441" w:right="0"/>
              <w:jc w:val="left"/>
              <w:rPr>
                <w:rFonts w:ascii="Times New Roman" w:hAnsi="Times New Roman" w:cs="Times New Roman" w:eastAsia="Times New Roman" w:hint="default"/>
                <w:sz w:val="18"/>
                <w:szCs w:val="18"/>
              </w:rPr>
            </w:pPr>
            <w:r>
              <w:rPr>
                <w:rFonts w:ascii="Times New Roman"/>
                <w:sz w:val="18"/>
              </w:rPr>
              <w:t>20.00%</w:t>
            </w:r>
          </w:p>
        </w:tc>
      </w:tr>
      <w:tr>
        <w:trPr>
          <w:trHeight w:val="346"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63"/>
              <w:jc w:val="right"/>
              <w:rPr>
                <w:rFonts w:ascii="宋体" w:hAnsi="宋体" w:cs="宋体" w:eastAsia="宋体" w:hint="default"/>
                <w:sz w:val="18"/>
                <w:szCs w:val="18"/>
              </w:rPr>
            </w:pPr>
            <w:r>
              <w:rPr>
                <w:rFonts w:ascii="Times New Roman" w:hAnsi="Times New Roman" w:cs="Times New Roman" w:eastAsia="Times New Roman" w:hint="default"/>
                <w:sz w:val="18"/>
                <w:szCs w:val="18"/>
              </w:rPr>
              <w:t>5-7</w:t>
            </w:r>
            <w:r>
              <w:rPr>
                <w:rFonts w:ascii="宋体" w:hAnsi="宋体" w:cs="宋体" w:eastAsia="宋体" w:hint="default"/>
                <w:sz w:val="18"/>
                <w:szCs w:val="18"/>
              </w:rPr>
              <w:t>年</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63"/>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826" w:right="0"/>
              <w:jc w:val="left"/>
              <w:rPr>
                <w:rFonts w:ascii="Times New Roman" w:hAnsi="Times New Roman" w:cs="Times New Roman" w:eastAsia="Times New Roman" w:hint="default"/>
                <w:sz w:val="18"/>
                <w:szCs w:val="18"/>
              </w:rPr>
            </w:pPr>
            <w:r>
              <w:rPr>
                <w:rFonts w:ascii="Times New Roman"/>
                <w:sz w:val="18"/>
              </w:rPr>
              <w:t>14.29%-20.00%</w:t>
            </w:r>
          </w:p>
        </w:tc>
      </w:tr>
      <w:tr>
        <w:trPr>
          <w:trHeight w:val="345"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9"/>
              <w:jc w:val="righ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43"/>
              <w:jc w:val="right"/>
              <w:rPr>
                <w:rFonts w:ascii="Times New Roman" w:hAnsi="Times New Roman" w:cs="Times New Roman" w:eastAsia="Times New Roman" w:hint="default"/>
                <w:sz w:val="18"/>
                <w:szCs w:val="18"/>
              </w:rPr>
            </w:pPr>
            <w:r>
              <w:rPr>
                <w:rFonts w:ascii="Times New Roman"/>
                <w:w w:val="95"/>
                <w:sz w:val="18"/>
              </w:rPr>
              <w:t>2%</w:t>
            </w:r>
            <w:r>
              <w:rPr>
                <w:rFonts w:ascii="Times New Roman"/>
                <w:sz w:val="18"/>
              </w:rPr>
            </w:r>
          </w:p>
        </w:tc>
      </w:tr>
    </w:tbl>
    <w:p>
      <w:pPr>
        <w:pStyle w:val="BodyText"/>
        <w:spacing w:line="592" w:lineRule="auto" w:before="15"/>
        <w:ind w:right="3189"/>
        <w:jc w:val="left"/>
      </w:pPr>
      <w:r>
        <w:rPr>
          <w:rFonts w:ascii="Times New Roman" w:hAnsi="Times New Roman" w:cs="Times New Roman" w:eastAsia="Times New Roman" w:hint="default"/>
        </w:rPr>
        <w:t>(b)</w:t>
      </w:r>
      <w:r>
        <w:rPr/>
        <w:t>定期复核使用寿命和摊销方法</w:t>
      </w:r>
      <w:r>
        <w:rPr>
          <w:w w:val="99"/>
        </w:rPr>
        <w:t> </w:t>
      </w:r>
      <w:r>
        <w:rPr/>
        <w:t>对使用寿命有限的无形资产的预计使用寿命及摊销方法于每年年度终了进行复核并作适当调整。</w:t>
      </w:r>
    </w:p>
    <w:p>
      <w:pPr>
        <w:pStyle w:val="BodyText"/>
        <w:spacing w:line="592" w:lineRule="auto" w:before="145"/>
        <w:ind w:right="3609"/>
        <w:jc w:val="left"/>
      </w:pPr>
      <w:r>
        <w:rPr>
          <w:rFonts w:ascii="Times New Roman" w:hAnsi="Times New Roman" w:cs="Times New Roman" w:eastAsia="Times New Roman" w:hint="default"/>
        </w:rPr>
        <w:t>(c)</w:t>
      </w:r>
      <w:r>
        <w:rPr/>
        <w:t>无形资产减值</w:t>
      </w:r>
      <w:r>
        <w:rPr>
          <w:w w:val="99"/>
        </w:rPr>
        <w:t> </w:t>
      </w:r>
      <w:r>
        <w:rPr/>
        <w:t>当无形资产的可收回金额低于其账面价值时，账面价值减记至可收回金额（附注五</w:t>
      </w:r>
      <w:r>
        <w:rPr>
          <w:rFonts w:ascii="Times New Roman" w:hAnsi="Times New Roman" w:cs="Times New Roman" w:eastAsia="Times New Roman" w:hint="default"/>
        </w:rPr>
        <w:t>(31)</w:t>
      </w:r>
      <w:r>
        <w:rPr/>
        <w:t>）。</w:t>
      </w:r>
    </w:p>
    <w:p>
      <w:pPr>
        <w:spacing w:line="240" w:lineRule="auto" w:before="0"/>
        <w:rPr>
          <w:rFonts w:ascii="宋体" w:hAnsi="宋体" w:cs="宋体" w:eastAsia="宋体" w:hint="default"/>
          <w:sz w:val="18"/>
          <w:szCs w:val="18"/>
        </w:rPr>
      </w:pPr>
    </w:p>
    <w:p>
      <w:pPr>
        <w:pStyle w:val="Heading3"/>
        <w:spacing w:line="240" w:lineRule="auto" w:before="133"/>
        <w:ind w:right="1105"/>
        <w:jc w:val="left"/>
        <w:rPr>
          <w:b w:val="0"/>
          <w:bCs w:val="0"/>
        </w:rPr>
      </w:pPr>
      <w:bookmarkStart w:name="（2）内部研究开发支出会计政策" w:id="204"/>
      <w:bookmarkEnd w:id="204"/>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3"/>
        <w:rPr>
          <w:rFonts w:ascii="宋体" w:hAnsi="宋体" w:cs="宋体" w:eastAsia="宋体" w:hint="default"/>
          <w:b/>
          <w:bCs/>
          <w:sz w:val="25"/>
          <w:szCs w:val="25"/>
        </w:rPr>
      </w:pPr>
    </w:p>
    <w:p>
      <w:pPr>
        <w:pStyle w:val="BodyText"/>
        <w:spacing w:line="304" w:lineRule="auto"/>
        <w:ind w:right="1105"/>
        <w:jc w:val="left"/>
      </w:pPr>
      <w:r>
        <w:rPr>
          <w:spacing w:val="-2"/>
        </w:rPr>
        <w:t>内部研究开发项目支出根据其性质以及研发活动最终形成无形资产是否具有较大不确定性，被分为研究阶段支出和开发阶段</w:t>
      </w:r>
      <w:r>
        <w:rPr>
          <w:spacing w:val="-51"/>
        </w:rPr>
        <w:t> </w:t>
      </w:r>
      <w:r>
        <w:rPr>
          <w:spacing w:val="-51"/>
        </w:rPr>
      </w:r>
      <w:r>
        <w:rPr/>
        <w:t>支出。</w:t>
      </w:r>
    </w:p>
    <w:p>
      <w:pPr>
        <w:spacing w:line="240" w:lineRule="auto" w:before="6"/>
        <w:rPr>
          <w:rFonts w:ascii="宋体" w:hAnsi="宋体" w:cs="宋体" w:eastAsia="宋体" w:hint="default"/>
          <w:sz w:val="26"/>
          <w:szCs w:val="26"/>
        </w:rPr>
      </w:pPr>
    </w:p>
    <w:p>
      <w:pPr>
        <w:pStyle w:val="BodyText"/>
        <w:spacing w:line="240" w:lineRule="auto"/>
        <w:ind w:left="561" w:right="1105"/>
        <w:jc w:val="left"/>
      </w:pPr>
      <w:r>
        <w:rPr/>
        <w:t>研究阶段的支出，于发生时计入当期损益；开发阶段的支出，同时满足下列条件的，予以资本化：</w:t>
      </w:r>
    </w:p>
    <w:p>
      <w:pPr>
        <w:pStyle w:val="BodyText"/>
        <w:tabs>
          <w:tab w:pos="561" w:val="left" w:leader="none"/>
        </w:tabs>
        <w:spacing w:line="240" w:lineRule="auto" w:before="94"/>
        <w:ind w:right="1105"/>
        <w:jc w:val="left"/>
      </w:pPr>
      <w:r>
        <w:rPr>
          <w:rFonts w:ascii="Times New Roman" w:hAnsi="Times New Roman" w:cs="Times New Roman" w:eastAsia="Times New Roman" w:hint="default"/>
        </w:rPr>
        <w:t>•</w:t>
        <w:tab/>
      </w:r>
      <w:r>
        <w:rPr/>
        <w:t>完成该无形资产以使其能够使用或出售在技术上具有可行性；</w:t>
      </w:r>
    </w:p>
    <w:p>
      <w:pPr>
        <w:pStyle w:val="BodyText"/>
        <w:tabs>
          <w:tab w:pos="561" w:val="left" w:leader="none"/>
        </w:tabs>
        <w:spacing w:line="240" w:lineRule="auto" w:before="66"/>
        <w:ind w:right="1105"/>
        <w:jc w:val="left"/>
      </w:pPr>
      <w:r>
        <w:rPr>
          <w:rFonts w:ascii="Times New Roman" w:hAnsi="Times New Roman" w:cs="Times New Roman" w:eastAsia="Times New Roman" w:hint="default"/>
        </w:rPr>
        <w:t>•</w:t>
        <w:tab/>
      </w:r>
      <w:r>
        <w:rPr/>
        <w:t>管理层具有完成该无形资产并使用或出售的意图；</w:t>
      </w:r>
    </w:p>
    <w:p>
      <w:pPr>
        <w:pStyle w:val="BodyText"/>
        <w:tabs>
          <w:tab w:pos="561" w:val="left" w:leader="none"/>
        </w:tabs>
        <w:spacing w:line="240" w:lineRule="auto" w:before="51"/>
        <w:ind w:right="1105"/>
        <w:jc w:val="left"/>
      </w:pPr>
      <w:r>
        <w:rPr>
          <w:rFonts w:ascii="Times New Roman" w:hAnsi="Times New Roman" w:cs="Times New Roman" w:eastAsia="Times New Roman" w:hint="default"/>
        </w:rPr>
        <w:t>•</w:t>
        <w:tab/>
      </w:r>
      <w:r>
        <w:rPr/>
        <w:t>能够证明该无形资产将如何产生经济利益；</w:t>
      </w:r>
    </w:p>
    <w:p>
      <w:pPr>
        <w:pStyle w:val="BodyText"/>
        <w:tabs>
          <w:tab w:pos="561" w:val="left" w:leader="none"/>
        </w:tabs>
        <w:spacing w:line="240" w:lineRule="auto" w:before="66"/>
        <w:ind w:right="1105"/>
        <w:jc w:val="left"/>
      </w:pPr>
      <w:r>
        <w:rPr>
          <w:rFonts w:ascii="Times New Roman" w:hAnsi="Times New Roman" w:cs="Times New Roman" w:eastAsia="Times New Roman" w:hint="default"/>
        </w:rPr>
        <w:t>•</w:t>
        <w:tab/>
      </w:r>
      <w:r>
        <w:rPr/>
        <w:t>有足够的技术、财务资源和其他资源支持，以完成该无形资产的开发，并有能力使用或出售该无形资产；以及</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before="44"/>
        <w:ind w:right="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42"/>
        </w:rPr>
        <w:t> </w:t>
      </w:r>
      <w:r>
        <w:rPr/>
        <w:t>归属于该无形资产开发阶段的支出能够可靠地计量。</w:t>
      </w:r>
    </w:p>
    <w:p>
      <w:pPr>
        <w:spacing w:line="240" w:lineRule="auto" w:before="0"/>
        <w:rPr>
          <w:rFonts w:ascii="宋体" w:hAnsi="宋体" w:cs="宋体" w:eastAsia="宋体" w:hint="default"/>
          <w:sz w:val="18"/>
          <w:szCs w:val="18"/>
        </w:rPr>
      </w:pPr>
    </w:p>
    <w:p>
      <w:pPr>
        <w:pStyle w:val="BodyText"/>
        <w:spacing w:line="314" w:lineRule="auto" w:before="130"/>
        <w:ind w:right="0"/>
        <w:jc w:val="left"/>
      </w:pPr>
      <w:r>
        <w:rPr>
          <w:spacing w:val="-4"/>
        </w:rPr>
        <w:t>不满足上述条件的开发阶段的支出，于发生时计入当期损益。以前期间已计入损益的开发支出不在以后期间重新确认为资产。</w:t>
      </w:r>
      <w:r>
        <w:rPr>
          <w:spacing w:val="-44"/>
        </w:rPr>
        <w:t> </w:t>
      </w:r>
      <w:r>
        <w:rPr>
          <w:spacing w:val="-44"/>
        </w:rPr>
      </w:r>
      <w:r>
        <w:rPr>
          <w:spacing w:val="-2"/>
        </w:rPr>
        <w:t>已资本化的开发阶段的支出在资产负债表上列示为开发支出，自该项目达到预定用途之日起转为无形资产并按照前述软件的</w:t>
      </w:r>
      <w:r>
        <w:rPr>
          <w:spacing w:val="-58"/>
        </w:rPr>
        <w:t> </w:t>
      </w:r>
      <w:r>
        <w:rPr>
          <w:spacing w:val="-58"/>
        </w:rPr>
      </w:r>
      <w:r>
        <w:rPr/>
        <w:t>预计使用寿命进行摊销。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3"/>
        <w:spacing w:line="240" w:lineRule="auto"/>
        <w:ind w:right="0"/>
        <w:jc w:val="both"/>
        <w:rPr>
          <w:b w:val="0"/>
          <w:bCs w:val="0"/>
        </w:rPr>
      </w:pPr>
      <w:bookmarkStart w:name="31、长期资产减值" w:id="205"/>
      <w:bookmarkEnd w:id="205"/>
      <w:r>
        <w:rPr>
          <w:b w:val="0"/>
          <w:bCs w:val="0"/>
        </w:rPr>
      </w:r>
      <w:r>
        <w:rPr>
          <w:rFonts w:ascii="Times New Roman" w:hAnsi="Times New Roman" w:cs="Times New Roman" w:eastAsia="Times New Roman" w:hint="default"/>
        </w:rPr>
        <w:t>31</w:t>
      </w:r>
      <w:r>
        <w:rPr/>
        <w:t>、长期资产减值</w:t>
      </w:r>
      <w:r>
        <w:rPr>
          <w:b w:val="0"/>
          <w:bCs w:val="0"/>
        </w:rPr>
      </w:r>
    </w:p>
    <w:p>
      <w:pPr>
        <w:spacing w:line="240" w:lineRule="auto" w:before="3"/>
        <w:rPr>
          <w:rFonts w:ascii="宋体" w:hAnsi="宋体" w:cs="宋体" w:eastAsia="宋体" w:hint="default"/>
          <w:b/>
          <w:bCs/>
          <w:sz w:val="25"/>
          <w:szCs w:val="25"/>
        </w:rPr>
      </w:pPr>
    </w:p>
    <w:p>
      <w:pPr>
        <w:pStyle w:val="BodyText"/>
        <w:spacing w:line="319" w:lineRule="auto"/>
        <w:ind w:right="1106"/>
        <w:jc w:val="both"/>
      </w:pPr>
      <w:r>
        <w:rPr>
          <w:spacing w:val="-2"/>
        </w:rPr>
        <w:t>固定资产、在建工程、使用寿命有限的无形资产及对子公司、合营企业、联营企业的长期股权投资等，于资产负债表日存在</w:t>
      </w:r>
      <w:r>
        <w:rPr>
          <w:spacing w:val="-57"/>
        </w:rPr>
        <w:t> </w:t>
      </w:r>
      <w:r>
        <w:rPr>
          <w:spacing w:val="-57"/>
        </w:rPr>
      </w:r>
      <w:r>
        <w:rPr>
          <w:spacing w:val="-2"/>
        </w:rPr>
        <w:t>减值迹象的，进行减值测试；尚未达到可使用状态的无形资产，无论是否存在减值迹象，至少每年进行减值测试。减值测试</w:t>
      </w:r>
      <w:r>
        <w:rPr>
          <w:spacing w:val="-57"/>
        </w:rPr>
        <w:t> </w:t>
      </w:r>
      <w:r>
        <w:rPr>
          <w:spacing w:val="-57"/>
        </w:rPr>
      </w:r>
      <w:r>
        <w:rPr>
          <w:spacing w:val="-2"/>
        </w:rPr>
        <w:t>结果表明资产的可收回金额低于其账面价值的，按其差额计提减值准备并计入减值损失。可收回金额为资产的公允价值减去</w:t>
      </w:r>
      <w:r>
        <w:rPr>
          <w:spacing w:val="-62"/>
        </w:rPr>
        <w:t> </w:t>
      </w:r>
      <w:r>
        <w:rPr>
          <w:spacing w:val="-62"/>
        </w:rPr>
      </w:r>
      <w:r>
        <w:rPr>
          <w:spacing w:val="-2"/>
        </w:rPr>
        <w:t>处置费用后的净额与资产预计未来现金流量的现值两者之间的较高者。资产减值准备按单项资产为基础计算并确认，如果难</w:t>
      </w:r>
      <w:r>
        <w:rPr>
          <w:spacing w:val="-72"/>
        </w:rPr>
        <w:t> </w:t>
      </w:r>
      <w:r>
        <w:rPr>
          <w:spacing w:val="-72"/>
        </w:rPr>
      </w:r>
      <w:r>
        <w:rPr>
          <w:spacing w:val="-2"/>
        </w:rPr>
        <w:t>以对单项资产的可收回金额进行估计的，以该资产所属的资产组确定资产组的可收回金额。资产组是能够独立产生现金流入</w:t>
      </w:r>
      <w:r>
        <w:rPr>
          <w:spacing w:val="-72"/>
        </w:rPr>
        <w:t> </w:t>
      </w:r>
      <w:r>
        <w:rPr>
          <w:spacing w:val="-72"/>
        </w:rPr>
      </w:r>
      <w:r>
        <w:rPr/>
        <w:t>的最小资产组合。</w:t>
      </w:r>
    </w:p>
    <w:p>
      <w:pPr>
        <w:spacing w:line="240" w:lineRule="auto" w:before="6"/>
        <w:rPr>
          <w:rFonts w:ascii="宋体" w:hAnsi="宋体" w:cs="宋体" w:eastAsia="宋体" w:hint="default"/>
          <w:sz w:val="24"/>
          <w:szCs w:val="24"/>
        </w:rPr>
      </w:pPr>
    </w:p>
    <w:p>
      <w:pPr>
        <w:pStyle w:val="BodyText"/>
        <w:spacing w:line="321" w:lineRule="auto"/>
        <w:ind w:right="1106"/>
        <w:jc w:val="both"/>
      </w:pPr>
      <w:r>
        <w:rPr>
          <w:spacing w:val="-2"/>
        </w:rPr>
        <w:t>在财务报表中单独列示的商誉，无论是否存在减值迹象，至少每年进行减值测试。减值测试时，商誉的账面价值分摊至预期</w:t>
      </w:r>
      <w:r>
        <w:rPr>
          <w:spacing w:val="-42"/>
        </w:rPr>
        <w:t> </w:t>
      </w:r>
      <w:r>
        <w:rPr>
          <w:spacing w:val="-42"/>
        </w:rPr>
      </w:r>
      <w:r>
        <w:rPr>
          <w:spacing w:val="-2"/>
        </w:rPr>
        <w:t>从企业合并的协同效应中受益的资产组或资产组组合。测试结果表明包含分摊的商誉的资产组或资产组组合的可收回金额低</w:t>
      </w:r>
      <w:r>
        <w:rPr>
          <w:spacing w:val="-58"/>
        </w:rPr>
        <w:t> </w:t>
      </w:r>
      <w:r>
        <w:rPr>
          <w:spacing w:val="-58"/>
        </w:rPr>
      </w:r>
      <w:r>
        <w:rPr>
          <w:spacing w:val="-2"/>
        </w:rPr>
        <w:t>于其账面价值的，确认相应的减值损失。减值损失金额先抵减分摊至该资产组或资产组组合的商誉的账面价值，再根据资产</w:t>
      </w:r>
      <w:r>
        <w:rPr>
          <w:spacing w:val="-71"/>
        </w:rPr>
        <w:t> </w:t>
      </w:r>
      <w:r>
        <w:rPr>
          <w:spacing w:val="-71"/>
        </w:rPr>
      </w:r>
      <w:r>
        <w:rPr/>
        <w:t>组或资产组组合中除商誉以外的其他各项资产的账面价值所占比重，按比例抵减其他各项资产的账面价值。</w:t>
      </w:r>
    </w:p>
    <w:p>
      <w:pPr>
        <w:spacing w:line="240" w:lineRule="auto" w:before="5"/>
        <w:rPr>
          <w:rFonts w:ascii="宋体" w:hAnsi="宋体" w:cs="宋体" w:eastAsia="宋体" w:hint="default"/>
          <w:sz w:val="24"/>
          <w:szCs w:val="24"/>
        </w:rPr>
      </w:pPr>
    </w:p>
    <w:p>
      <w:pPr>
        <w:pStyle w:val="BodyText"/>
        <w:spacing w:line="240" w:lineRule="auto"/>
        <w:ind w:right="0"/>
        <w:jc w:val="both"/>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3"/>
        <w:spacing w:line="240" w:lineRule="auto"/>
        <w:ind w:right="0"/>
        <w:jc w:val="both"/>
        <w:rPr>
          <w:b w:val="0"/>
          <w:bCs w:val="0"/>
        </w:rPr>
      </w:pPr>
      <w:bookmarkStart w:name="32、长期待摊费用" w:id="206"/>
      <w:bookmarkEnd w:id="206"/>
      <w:r>
        <w:rPr>
          <w:b w:val="0"/>
          <w:bCs w:val="0"/>
        </w:rPr>
      </w:r>
      <w:r>
        <w:rPr>
          <w:rFonts w:ascii="Times New Roman" w:hAnsi="Times New Roman" w:cs="Times New Roman" w:eastAsia="Times New Roman" w:hint="default"/>
        </w:rPr>
        <w:t>32</w:t>
      </w:r>
      <w:r>
        <w:rPr/>
        <w:t>、长期待摊费用</w:t>
      </w:r>
      <w:r>
        <w:rPr>
          <w:b w:val="0"/>
          <w:bCs w:val="0"/>
        </w:rPr>
      </w:r>
    </w:p>
    <w:p>
      <w:pPr>
        <w:spacing w:line="240" w:lineRule="auto" w:before="3"/>
        <w:rPr>
          <w:rFonts w:ascii="宋体" w:hAnsi="宋体" w:cs="宋体" w:eastAsia="宋体" w:hint="default"/>
          <w:b/>
          <w:bCs/>
          <w:sz w:val="25"/>
          <w:szCs w:val="25"/>
        </w:rPr>
      </w:pPr>
    </w:p>
    <w:p>
      <w:pPr>
        <w:pStyle w:val="BodyText"/>
        <w:spacing w:line="314" w:lineRule="auto"/>
        <w:ind w:right="1132"/>
        <w:jc w:val="both"/>
      </w:pPr>
      <w:r>
        <w:rPr>
          <w:spacing w:val="-2"/>
        </w:rPr>
        <w:t>长期待摊费用包括经营租入固定资产改良、售后维修终端及其他已经发生但应由本期和以后各期负担的、分摊期限在一年以</w:t>
      </w:r>
      <w:r>
        <w:rPr>
          <w:spacing w:val="-72"/>
        </w:rPr>
        <w:t> </w:t>
      </w:r>
      <w:r>
        <w:rPr>
          <w:spacing w:val="-72"/>
        </w:rPr>
      </w:r>
      <w:r>
        <w:rPr>
          <w:spacing w:val="-2"/>
        </w:rPr>
        <w:t>上的各项费用。其中，售后维修终端是终端售后维修中用于维修替换的互联网电视终端，即维修网点用维修终端替换无法当</w:t>
      </w:r>
      <w:r>
        <w:rPr>
          <w:spacing w:val="-75"/>
        </w:rPr>
        <w:t> </w:t>
      </w:r>
      <w:r>
        <w:rPr>
          <w:spacing w:val="-75"/>
        </w:rPr>
      </w:r>
      <w:r>
        <w:rPr>
          <w:spacing w:val="-2"/>
        </w:rPr>
        <w:t>场维修的互联网电视终端，并将其返厂维修，修好的互联网电视终端重新送至维修网点作为售后维修终端，售后维修终端按</w:t>
      </w:r>
    </w:p>
    <w:p>
      <w:pPr>
        <w:pStyle w:val="BodyText"/>
        <w:spacing w:line="288" w:lineRule="auto" w:before="39"/>
        <w:ind w:right="1136"/>
        <w:jc w:val="both"/>
      </w:pPr>
      <w:r>
        <w:rPr>
          <w:rFonts w:ascii="Times New Roman" w:hAnsi="Times New Roman" w:cs="Times New Roman" w:eastAsia="Times New Roman" w:hint="default"/>
        </w:rPr>
        <w:t>3</w:t>
      </w:r>
      <w:r>
        <w:rPr/>
        <w:t>年平均摊销，并以实际支出减去累计摊销后的净额列示。其他长期待摊费用按预计受益期间分期平均摊销，并以实际支出 减去累计摊销后的净额列示。</w:t>
      </w:r>
    </w:p>
    <w:p>
      <w:pPr>
        <w:spacing w:line="240" w:lineRule="auto" w:before="12"/>
        <w:rPr>
          <w:rFonts w:ascii="宋体" w:hAnsi="宋体" w:cs="宋体" w:eastAsia="宋体" w:hint="default"/>
          <w:sz w:val="25"/>
          <w:szCs w:val="25"/>
        </w:rPr>
      </w:pPr>
    </w:p>
    <w:p>
      <w:pPr>
        <w:pStyle w:val="Heading3"/>
        <w:spacing w:line="240" w:lineRule="auto"/>
        <w:ind w:right="0"/>
        <w:jc w:val="both"/>
        <w:rPr>
          <w:b w:val="0"/>
          <w:bCs w:val="0"/>
        </w:rPr>
      </w:pPr>
      <w:bookmarkStart w:name="33、合同负债" w:id="207"/>
      <w:bookmarkEnd w:id="207"/>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both"/>
        <w:rPr>
          <w:b w:val="0"/>
          <w:bCs w:val="0"/>
        </w:rPr>
      </w:pPr>
      <w:bookmarkStart w:name="34、职工薪酬" w:id="208"/>
      <w:bookmarkEnd w:id="208"/>
      <w:r>
        <w:rPr>
          <w:b w:val="0"/>
          <w:bCs w:val="0"/>
        </w:rPr>
      </w:r>
      <w:r>
        <w:rPr>
          <w:rFonts w:ascii="Times New Roman" w:hAnsi="Times New Roman" w:cs="Times New Roman" w:eastAsia="Times New Roman" w:hint="default"/>
        </w:rPr>
        <w:t>34</w:t>
      </w:r>
      <w:r>
        <w:rPr/>
        <w:t>、职工薪酬</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both"/>
        <w:rPr>
          <w:b w:val="0"/>
          <w:bCs w:val="0"/>
        </w:rPr>
      </w:pPr>
      <w:bookmarkStart w:name="（1）短期薪酬的会计处理方法" w:id="209"/>
      <w:bookmarkEnd w:id="209"/>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
        <w:rPr>
          <w:rFonts w:ascii="宋体" w:hAnsi="宋体" w:cs="宋体" w:eastAsia="宋体" w:hint="default"/>
          <w:b/>
          <w:bCs/>
          <w:sz w:val="24"/>
          <w:szCs w:val="24"/>
        </w:rPr>
      </w:pPr>
    </w:p>
    <w:p>
      <w:pPr>
        <w:pStyle w:val="BodyText"/>
        <w:spacing w:line="321" w:lineRule="auto"/>
        <w:ind w:right="1136"/>
        <w:jc w:val="both"/>
      </w:pPr>
      <w:r>
        <w:rPr>
          <w:spacing w:val="-2"/>
        </w:rPr>
        <w:t>职工薪酬是本集团为获得职工提供的服务或解除劳动关系而给予的各种形式的报酬或补偿，包括短期薪酬、离职后福利和辞</w:t>
      </w:r>
      <w:r>
        <w:rPr>
          <w:spacing w:val="-72"/>
        </w:rPr>
        <w:t> </w:t>
      </w:r>
      <w:r>
        <w:rPr>
          <w:spacing w:val="-72"/>
        </w:rPr>
      </w:r>
      <w:r>
        <w:rPr/>
        <w:t>退福利等。</w:t>
      </w:r>
    </w:p>
    <w:p>
      <w:pPr>
        <w:pStyle w:val="BodyText"/>
        <w:spacing w:line="240" w:lineRule="auto" w:before="33"/>
        <w:ind w:left="216" w:right="0"/>
        <w:jc w:val="both"/>
      </w:pPr>
      <w:r>
        <w:rPr>
          <w:rFonts w:ascii="Times New Roman" w:hAnsi="Times New Roman" w:cs="Times New Roman" w:eastAsia="Times New Roman" w:hint="default"/>
        </w:rPr>
        <w:t>(a)</w:t>
      </w:r>
      <w:r>
        <w:rPr/>
        <w:t>短期薪酬</w:t>
      </w:r>
    </w:p>
    <w:p>
      <w:pPr>
        <w:spacing w:line="240" w:lineRule="auto" w:before="0"/>
        <w:rPr>
          <w:rFonts w:ascii="宋体" w:hAnsi="宋体" w:cs="宋体" w:eastAsia="宋体" w:hint="default"/>
          <w:sz w:val="18"/>
          <w:szCs w:val="18"/>
        </w:rPr>
      </w:pPr>
    </w:p>
    <w:p>
      <w:pPr>
        <w:pStyle w:val="BodyText"/>
        <w:spacing w:line="314" w:lineRule="auto" w:before="131"/>
        <w:ind w:right="1106"/>
        <w:jc w:val="both"/>
      </w:pPr>
      <w:r>
        <w:rPr>
          <w:spacing w:val="-2"/>
        </w:rPr>
        <w:t>短期薪酬包括工资、奖金、津贴和补贴、职工福利费、医疗保险费、工伤保险费、生育保险费、住房公积金、工会和教育经</w:t>
      </w:r>
      <w:r>
        <w:rPr>
          <w:spacing w:val="-75"/>
        </w:rPr>
        <w:t> </w:t>
      </w:r>
      <w:r>
        <w:rPr>
          <w:spacing w:val="-75"/>
        </w:rPr>
      </w:r>
      <w:r>
        <w:rPr>
          <w:spacing w:val="-2"/>
        </w:rPr>
        <w:t>费、短期带薪缺勤等。本集团在职工提供服务的会计期间，将实际发生的短期薪酬确认为负债，并计入当期损益或相关资产</w:t>
      </w:r>
      <w:r>
        <w:rPr>
          <w:spacing w:val="-42"/>
        </w:rPr>
        <w:t> </w:t>
      </w:r>
      <w:r>
        <w:rPr>
          <w:spacing w:val="-42"/>
        </w:rPr>
      </w:r>
      <w:r>
        <w:rPr/>
        <w:t>成本。其中，非货币性福利按照公允价值计量。</w:t>
      </w:r>
    </w:p>
    <w:p>
      <w:pPr>
        <w:spacing w:after="0" w:line="314" w:lineRule="auto"/>
        <w:jc w:val="both"/>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both"/>
        <w:rPr>
          <w:b w:val="0"/>
          <w:bCs w:val="0"/>
        </w:rPr>
      </w:pPr>
      <w:bookmarkStart w:name="（2）离职后福利的会计处理方法" w:id="210"/>
      <w:bookmarkEnd w:id="210"/>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14" w:lineRule="auto"/>
        <w:ind w:right="1136"/>
        <w:jc w:val="both"/>
      </w:pPr>
      <w:r>
        <w:rPr>
          <w:spacing w:val="-2"/>
        </w:rPr>
        <w:t>本集团将离职后福利计划分类为设定提存计划和设定受益计划。设定提存计划是本集团向独立的基金缴存固定费用后，不再</w:t>
      </w:r>
      <w:r>
        <w:rPr>
          <w:spacing w:val="-72"/>
        </w:rPr>
        <w:t> </w:t>
      </w:r>
      <w:r>
        <w:rPr>
          <w:spacing w:val="-72"/>
        </w:rPr>
      </w:r>
      <w:r>
        <w:rPr>
          <w:spacing w:val="-2"/>
        </w:rPr>
        <w:t>承担进一步支付义务的离职后福利计划；设定受益计划是除设定提存计划以外的离职后福利计划。于报告期内，本集团的离</w:t>
      </w:r>
      <w:r>
        <w:rPr>
          <w:spacing w:val="-75"/>
        </w:rPr>
        <w:t> </w:t>
      </w:r>
      <w:r>
        <w:rPr>
          <w:spacing w:val="-75"/>
        </w:rPr>
      </w:r>
      <w:r>
        <w:rPr/>
        <w:t>职后福利主要是为员工缴纳的基本养老保险和失业保险，均属于设定提存计划。</w:t>
      </w:r>
    </w:p>
    <w:p>
      <w:pPr>
        <w:spacing w:line="240" w:lineRule="auto" w:before="12"/>
        <w:rPr>
          <w:rFonts w:ascii="宋体" w:hAnsi="宋体" w:cs="宋体" w:eastAsia="宋体" w:hint="default"/>
          <w:sz w:val="25"/>
          <w:szCs w:val="25"/>
        </w:rPr>
      </w:pPr>
    </w:p>
    <w:p>
      <w:pPr>
        <w:pStyle w:val="BodyText"/>
        <w:spacing w:line="240" w:lineRule="auto"/>
        <w:ind w:right="0"/>
        <w:jc w:val="both"/>
      </w:pPr>
      <w:r>
        <w:rPr/>
        <w:t>基本养老保险</w:t>
      </w:r>
    </w:p>
    <w:p>
      <w:pPr>
        <w:spacing w:line="240" w:lineRule="auto" w:before="0"/>
        <w:rPr>
          <w:rFonts w:ascii="宋体" w:hAnsi="宋体" w:cs="宋体" w:eastAsia="宋体" w:hint="default"/>
          <w:sz w:val="18"/>
          <w:szCs w:val="18"/>
        </w:rPr>
      </w:pPr>
    </w:p>
    <w:p>
      <w:pPr>
        <w:pStyle w:val="BodyText"/>
        <w:spacing w:line="316" w:lineRule="auto" w:before="159"/>
        <w:ind w:right="1119"/>
        <w:jc w:val="both"/>
      </w:pPr>
      <w:r>
        <w:rPr>
          <w:spacing w:val="-2"/>
        </w:rPr>
        <w:t>本集团职工参加了由当地劳动和社会保障部门组织实施的社会基本养老保险。本集团以当地规定的社会基本养老保险缴纳基</w:t>
      </w:r>
      <w:r>
        <w:rPr>
          <w:spacing w:val="-56"/>
        </w:rPr>
        <w:t> </w:t>
      </w:r>
      <w:r>
        <w:rPr>
          <w:spacing w:val="-56"/>
        </w:rPr>
      </w:r>
      <w:r>
        <w:rPr>
          <w:spacing w:val="-2"/>
        </w:rPr>
        <w:t>数和比例，按月向当地社会基本养老保险经办机构缴纳养老保险费。职工退休后，当地劳动及社会保障部门有责任向已退休</w:t>
      </w:r>
      <w:r>
        <w:rPr>
          <w:spacing w:val="-75"/>
        </w:rPr>
        <w:t> </w:t>
      </w:r>
      <w:r>
        <w:rPr>
          <w:spacing w:val="-75"/>
        </w:rPr>
      </w:r>
      <w:r>
        <w:rPr>
          <w:spacing w:val="-2"/>
        </w:rPr>
        <w:t>员工支付社会基本养老金。本集团在职工提供服务的会计期间，将根据上述社保规定计算应缴纳的金额确认为负债，并计入</w:t>
      </w:r>
      <w:r>
        <w:rPr>
          <w:spacing w:val="-75"/>
        </w:rPr>
        <w:t> </w:t>
      </w:r>
      <w:r>
        <w:rPr>
          <w:spacing w:val="-75"/>
        </w:rPr>
      </w:r>
      <w:r>
        <w:rPr/>
        <w:t>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62"/>
        <w:ind w:right="0"/>
        <w:jc w:val="both"/>
        <w:rPr>
          <w:b w:val="0"/>
          <w:bCs w:val="0"/>
        </w:rPr>
      </w:pPr>
      <w:bookmarkStart w:name="（3）辞退福利的会计处理方法" w:id="211"/>
      <w:bookmarkEnd w:id="211"/>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14" w:lineRule="auto"/>
        <w:ind w:right="1116"/>
        <w:jc w:val="both"/>
      </w:pPr>
      <w:r>
        <w:rPr>
          <w:spacing w:val="-2"/>
        </w:rPr>
        <w:t>本集团在职工劳动合同到期之前解除与职工的劳动关系、或者为鼓励职工自愿接受裁减而提出给予补偿，在本集团不能单方</w:t>
      </w:r>
      <w:r>
        <w:rPr>
          <w:spacing w:val="-72"/>
        </w:rPr>
        <w:t> </w:t>
      </w:r>
      <w:r>
        <w:rPr>
          <w:spacing w:val="-72"/>
        </w:rPr>
      </w:r>
      <w:r>
        <w:rPr>
          <w:spacing w:val="-2"/>
        </w:rPr>
        <w:t>面撤回解除劳动关系计划或裁减建议时和确认与涉及支付辞退福利的重组相关的成本费用时两者孰早日，确认因解除与职工</w:t>
      </w:r>
      <w:r>
        <w:rPr>
          <w:spacing w:val="-53"/>
        </w:rPr>
        <w:t> </w:t>
      </w:r>
      <w:r>
        <w:rPr>
          <w:spacing w:val="-53"/>
        </w:rPr>
      </w:r>
      <w:r>
        <w:rPr/>
        <w:t>的劳动关系给予补偿而产生的负债，同时计入当期损益。</w:t>
      </w:r>
    </w:p>
    <w:p>
      <w:pPr>
        <w:spacing w:line="240" w:lineRule="auto" w:before="12"/>
        <w:rPr>
          <w:rFonts w:ascii="宋体" w:hAnsi="宋体" w:cs="宋体" w:eastAsia="宋体" w:hint="default"/>
          <w:sz w:val="25"/>
          <w:szCs w:val="25"/>
        </w:rPr>
      </w:pPr>
    </w:p>
    <w:p>
      <w:pPr>
        <w:pStyle w:val="BodyText"/>
        <w:spacing w:line="240" w:lineRule="auto"/>
        <w:ind w:right="0"/>
        <w:jc w:val="both"/>
      </w:pPr>
      <w:r>
        <w:rPr/>
        <w:t>预期在资产负债表日起一年内需支付的辞退福利，列示为应付职工薪酬。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3"/>
        <w:spacing w:line="508" w:lineRule="auto"/>
        <w:ind w:right="7060"/>
        <w:jc w:val="left"/>
        <w:rPr>
          <w:b w:val="0"/>
          <w:bCs w:val="0"/>
        </w:rPr>
      </w:pPr>
      <w:bookmarkStart w:name="（4）其他长期职工福利的会计处理方法" w:id="212"/>
      <w:bookmarkEnd w:id="212"/>
      <w:r>
        <w:rPr>
          <w:b w:val="0"/>
          <w:bCs w:val="0"/>
        </w:rPr>
      </w:r>
      <w:r>
        <w:rPr/>
        <w:t>（</w:t>
      </w:r>
      <w:r>
        <w:rPr>
          <w:rFonts w:ascii="Times New Roman" w:hAnsi="Times New Roman" w:cs="Times New Roman" w:eastAsia="Times New Roman" w:hint="default"/>
        </w:rPr>
        <w:t>4</w:t>
      </w:r>
      <w:r>
        <w:rPr/>
        <w:t>）其他长期职工福利的会计处理方法</w:t>
      </w:r>
      <w:r>
        <w:rPr>
          <w:w w:val="99"/>
        </w:rPr>
        <w:t> </w:t>
      </w:r>
      <w:bookmarkStart w:name="35、租赁负债" w:id="213"/>
      <w:bookmarkEnd w:id="213"/>
      <w:r>
        <w:rPr>
          <w:w w:val="99"/>
        </w:rPr>
      </w:r>
      <w:r>
        <w:rPr>
          <w:rFonts w:ascii="Times New Roman" w:hAnsi="Times New Roman" w:cs="Times New Roman" w:eastAsia="Times New Roman" w:hint="default"/>
        </w:rPr>
        <w:t>35</w:t>
      </w:r>
      <w:r>
        <w:rPr/>
        <w:t>、租赁负债</w:t>
      </w:r>
      <w:r>
        <w:rPr>
          <w:b w:val="0"/>
          <w:bCs w:val="0"/>
        </w:rPr>
      </w:r>
    </w:p>
    <w:p>
      <w:pPr>
        <w:pStyle w:val="Heading3"/>
        <w:spacing w:line="240" w:lineRule="auto" w:before="64"/>
        <w:ind w:right="0"/>
        <w:jc w:val="both"/>
        <w:rPr>
          <w:b w:val="0"/>
          <w:bCs w:val="0"/>
        </w:rPr>
      </w:pPr>
      <w:bookmarkStart w:name="36、预计负债" w:id="214"/>
      <w:bookmarkEnd w:id="214"/>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06"/>
        <w:jc w:val="both"/>
      </w:pPr>
      <w:r>
        <w:rPr>
          <w:spacing w:val="-2"/>
        </w:rPr>
        <w:t>因预计维修义务、亏损合同、未决诉讼等形成的现时义务，当履行该义务很可能导致经济利益的流出，且其金额能够可靠计</w:t>
      </w:r>
      <w:r>
        <w:rPr>
          <w:spacing w:val="-42"/>
        </w:rPr>
        <w:t> </w:t>
      </w:r>
      <w:r>
        <w:rPr>
          <w:spacing w:val="-42"/>
        </w:rPr>
      </w:r>
      <w:r>
        <w:rPr/>
        <w:t>量时，确认为预计负债。</w:t>
      </w:r>
    </w:p>
    <w:p>
      <w:pPr>
        <w:spacing w:line="240" w:lineRule="auto" w:before="5"/>
        <w:rPr>
          <w:rFonts w:ascii="宋体" w:hAnsi="宋体" w:cs="宋体" w:eastAsia="宋体" w:hint="default"/>
          <w:sz w:val="24"/>
          <w:szCs w:val="24"/>
        </w:rPr>
      </w:pPr>
    </w:p>
    <w:p>
      <w:pPr>
        <w:pStyle w:val="BodyText"/>
        <w:spacing w:line="321" w:lineRule="auto"/>
        <w:ind w:right="1135"/>
        <w:jc w:val="both"/>
      </w:pPr>
      <w:r>
        <w:rPr>
          <w:spacing w:val="-2"/>
        </w:rPr>
        <w:t>预计负债按照履行相关现时义务所需支出的最佳估计数进行初始计量，并综合考虑与或有事项有关的风险、不确定性和货币</w:t>
      </w:r>
      <w:r>
        <w:rPr>
          <w:spacing w:val="-72"/>
        </w:rPr>
        <w:t> </w:t>
      </w:r>
      <w:r>
        <w:rPr>
          <w:spacing w:val="-72"/>
        </w:rPr>
      </w:r>
      <w:r>
        <w:rPr>
          <w:spacing w:val="-2"/>
        </w:rPr>
        <w:t>时间价值等因素。货币时间价值影响重大的，通过对相关未来现金流出进行折现后确定最佳估计数；因随着时间推移所进行</w:t>
      </w:r>
      <w:r>
        <w:rPr>
          <w:spacing w:val="-74"/>
        </w:rPr>
        <w:t> </w:t>
      </w:r>
      <w:r>
        <w:rPr>
          <w:spacing w:val="-74"/>
        </w:rPr>
      </w:r>
      <w:r>
        <w:rPr/>
        <w:t>的折现还原而导致的预计负债账面价值的增加金额，确认为利息费用。</w:t>
      </w:r>
    </w:p>
    <w:p>
      <w:pPr>
        <w:spacing w:line="240" w:lineRule="auto" w:before="7"/>
        <w:rPr>
          <w:rFonts w:ascii="宋体" w:hAnsi="宋体" w:cs="宋体" w:eastAsia="宋体" w:hint="default"/>
          <w:sz w:val="25"/>
          <w:szCs w:val="25"/>
        </w:rPr>
      </w:pPr>
    </w:p>
    <w:p>
      <w:pPr>
        <w:pStyle w:val="BodyText"/>
        <w:spacing w:line="626" w:lineRule="auto"/>
        <w:ind w:right="3369"/>
        <w:jc w:val="left"/>
      </w:pPr>
      <w:r>
        <w:rPr/>
        <w:t>于资产负债表日，对预计负债的账面价值进行复核并作适当调整，以反映当前的最佳估计数。 预期在资产负债表日起一年内需支付的预计负债，列示为流动负债。</w:t>
      </w:r>
    </w:p>
    <w:p>
      <w:pPr>
        <w:pStyle w:val="Heading3"/>
        <w:spacing w:line="240" w:lineRule="auto" w:before="85"/>
        <w:ind w:right="0"/>
        <w:jc w:val="both"/>
        <w:rPr>
          <w:b w:val="0"/>
          <w:bCs w:val="0"/>
        </w:rPr>
      </w:pPr>
      <w:bookmarkStart w:name="37、股份支付" w:id="215"/>
      <w:bookmarkEnd w:id="215"/>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both"/>
      </w:pPr>
      <w:r>
        <w:rPr/>
        <w:t>本集团的股份支付是为了获取高级管理人员及核心员工的服务而授予的权益工具的交易。</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right="0"/>
        <w:jc w:val="both"/>
      </w:pPr>
      <w:r>
        <w:rPr>
          <w:rFonts w:ascii="Times New Roman" w:hAnsi="Times New Roman" w:cs="Times New Roman" w:eastAsia="Times New Roman" w:hint="default"/>
        </w:rPr>
        <w:t>(a)</w:t>
      </w:r>
      <w:r>
        <w:rPr/>
        <w:t>朗新科技限制性股票</w:t>
      </w:r>
    </w:p>
    <w:p>
      <w:pPr>
        <w:spacing w:after="0" w:line="240" w:lineRule="auto"/>
        <w:jc w:val="both"/>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304" w:lineRule="auto"/>
        <w:ind w:right="1113"/>
        <w:jc w:val="both"/>
      </w:pPr>
      <w:r>
        <w:rPr>
          <w:spacing w:val="-1"/>
        </w:rPr>
        <w:t>就朗新科技为获取员工服务而定向发行的朗新科技限制性人民币普通股</w:t>
      </w:r>
      <w:r>
        <w:rPr>
          <w:rFonts w:ascii="Times New Roman" w:hAnsi="Times New Roman" w:cs="Times New Roman" w:eastAsia="Times New Roman" w:hint="default"/>
          <w:spacing w:val="-1"/>
        </w:rPr>
        <w:t>A</w:t>
      </w:r>
      <w:r>
        <w:rPr>
          <w:spacing w:val="-1"/>
        </w:rPr>
        <w:t>股，朗新科技在相关限制性股票按有关规定履行完</w:t>
      </w:r>
      <w:r>
        <w:rPr>
          <w:spacing w:val="-56"/>
        </w:rPr>
        <w:t> </w:t>
      </w:r>
      <w:r>
        <w:rPr>
          <w:spacing w:val="-56"/>
        </w:rPr>
      </w:r>
      <w:r>
        <w:rPr>
          <w:spacing w:val="-2"/>
        </w:rPr>
        <w:t>注册登记等增资手续时，根据收到员工缴纳的认股款确认股本和资本公积（股本溢价）；同时就回购义务确认负债（作收购</w:t>
      </w:r>
      <w:r>
        <w:rPr>
          <w:spacing w:val="-57"/>
        </w:rPr>
        <w:t> </w:t>
      </w:r>
      <w:r>
        <w:rPr>
          <w:spacing w:val="-57"/>
        </w:rPr>
      </w:r>
      <w:r>
        <w:rPr/>
        <w:t>库存股处理），按照发行限制性股票的数量以及相应的回购价格计算确定的金额借记</w:t>
      </w:r>
      <w:r>
        <w:rPr>
          <w:rFonts w:ascii="Times New Roman" w:hAnsi="Times New Roman" w:cs="Times New Roman" w:eastAsia="Times New Roman" w:hint="default"/>
        </w:rPr>
        <w:t>“</w:t>
      </w:r>
      <w:r>
        <w:rPr/>
        <w:t>库存股</w:t>
      </w:r>
      <w:r>
        <w:rPr>
          <w:rFonts w:ascii="Times New Roman" w:hAnsi="Times New Roman" w:cs="Times New Roman" w:eastAsia="Times New Roman" w:hint="default"/>
        </w:rPr>
        <w:t>”</w:t>
      </w:r>
      <w:r>
        <w:rPr/>
        <w:t>科目，贷记</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限</w:t>
      </w:r>
      <w:r>
        <w:rPr>
          <w:spacing w:val="-65"/>
        </w:rPr>
        <w:t> </w:t>
      </w:r>
      <w:r>
        <w:rPr/>
        <w:t>制性股票回购义务</w:t>
      </w:r>
      <w:r>
        <w:rPr>
          <w:rFonts w:ascii="Times New Roman" w:hAnsi="Times New Roman" w:cs="Times New Roman" w:eastAsia="Times New Roman" w:hint="default"/>
        </w:rPr>
        <w:t>”</w:t>
      </w:r>
      <w:r>
        <w:rPr/>
        <w:t>科目。</w:t>
      </w:r>
    </w:p>
    <w:p>
      <w:pPr>
        <w:spacing w:line="240" w:lineRule="auto" w:before="12"/>
        <w:rPr>
          <w:rFonts w:ascii="宋体" w:hAnsi="宋体" w:cs="宋体" w:eastAsia="宋体" w:hint="default"/>
          <w:sz w:val="23"/>
          <w:szCs w:val="23"/>
        </w:rPr>
      </w:pPr>
    </w:p>
    <w:p>
      <w:pPr>
        <w:pStyle w:val="BodyText"/>
        <w:spacing w:line="314" w:lineRule="auto"/>
        <w:ind w:right="1136"/>
        <w:jc w:val="both"/>
      </w:pPr>
      <w:r>
        <w:rPr>
          <w:spacing w:val="-2"/>
        </w:rPr>
        <w:t>朗新科技将该上述股份支付交易作为权益结算的股份支付处理，以授予日权益工具的公允价值计量。在等待期内的每个资产</w:t>
      </w:r>
      <w:r>
        <w:rPr>
          <w:spacing w:val="-72"/>
        </w:rPr>
        <w:t> </w:t>
      </w:r>
      <w:r>
        <w:rPr>
          <w:spacing w:val="-72"/>
        </w:rPr>
      </w:r>
      <w:r>
        <w:rPr>
          <w:spacing w:val="-2"/>
        </w:rPr>
        <w:t>负债表日，以对可达到解锁条件权益工具数量的最佳估计为基础，按照权益工具授予日的公允价值，将当期取得的朗新科技</w:t>
      </w:r>
      <w:r>
        <w:rPr>
          <w:spacing w:val="-75"/>
        </w:rPr>
        <w:t> </w:t>
      </w:r>
      <w:r>
        <w:rPr>
          <w:spacing w:val="-75"/>
        </w:rPr>
      </w:r>
      <w:r>
        <w:rPr/>
        <w:t>员工的服务计入相关成本和费用，相应增加资本公积。</w:t>
      </w:r>
    </w:p>
    <w:p>
      <w:pPr>
        <w:spacing w:line="240" w:lineRule="auto" w:before="12"/>
        <w:rPr>
          <w:rFonts w:ascii="宋体" w:hAnsi="宋体" w:cs="宋体" w:eastAsia="宋体" w:hint="default"/>
          <w:sz w:val="25"/>
          <w:szCs w:val="25"/>
        </w:rPr>
      </w:pPr>
    </w:p>
    <w:p>
      <w:pPr>
        <w:pStyle w:val="BodyText"/>
        <w:spacing w:line="316" w:lineRule="auto"/>
        <w:ind w:right="1121"/>
        <w:jc w:val="both"/>
      </w:pPr>
      <w:r>
        <w:rPr>
          <w:spacing w:val="-2"/>
        </w:rPr>
        <w:t>对于授予员工的股票的公允价值，应当按照朗新科技股票的市场价格计量，同时考虑授予股份所依据的条款和条件（不包括</w:t>
      </w:r>
      <w:r>
        <w:rPr>
          <w:spacing w:val="-75"/>
        </w:rPr>
        <w:t> </w:t>
      </w:r>
      <w:r>
        <w:rPr>
          <w:spacing w:val="-75"/>
        </w:rPr>
      </w:r>
      <w:r>
        <w:rPr>
          <w:spacing w:val="-2"/>
        </w:rPr>
        <w:t>市场条件之外的可行权条件）进行调整。授予条款和条件规定股份的转让在解锁日后受到限制，则在估计所授予股份的公允</w:t>
      </w:r>
      <w:r>
        <w:rPr>
          <w:spacing w:val="-75"/>
        </w:rPr>
        <w:t> </w:t>
      </w:r>
      <w:r>
        <w:rPr>
          <w:spacing w:val="-75"/>
        </w:rPr>
      </w:r>
      <w:r>
        <w:rPr>
          <w:spacing w:val="-2"/>
        </w:rPr>
        <w:t>价值时予以考虑。非市场条件的影响包括在对预计可行权数量的估计中，在资产负债表日，后续信息表明可行权权益工具的</w:t>
      </w:r>
      <w:r>
        <w:rPr>
          <w:spacing w:val="-75"/>
        </w:rPr>
        <w:t> </w:t>
      </w:r>
      <w:r>
        <w:rPr>
          <w:spacing w:val="-75"/>
        </w:rPr>
      </w:r>
      <w:r>
        <w:rPr>
          <w:spacing w:val="-2"/>
        </w:rPr>
        <w:t>数量与以前估计不同的，则对其进行调整，并在可行权日，调整至实际可行权的权益工具数量。在可行权日之后，不再对已</w:t>
      </w:r>
      <w:r>
        <w:rPr>
          <w:spacing w:val="-57"/>
        </w:rPr>
        <w:t> </w:t>
      </w:r>
      <w:r>
        <w:rPr>
          <w:spacing w:val="-57"/>
        </w:rPr>
      </w:r>
      <w:r>
        <w:rPr/>
        <w:t>确认的相关成本或费用和所有者权益总额进行调整。</w:t>
      </w:r>
    </w:p>
    <w:p>
      <w:pPr>
        <w:spacing w:line="240" w:lineRule="auto" w:before="12"/>
        <w:rPr>
          <w:rFonts w:ascii="宋体" w:hAnsi="宋体" w:cs="宋体" w:eastAsia="宋体" w:hint="default"/>
          <w:sz w:val="26"/>
          <w:szCs w:val="26"/>
        </w:rPr>
      </w:pPr>
    </w:p>
    <w:p>
      <w:pPr>
        <w:pStyle w:val="BodyText"/>
        <w:spacing w:line="240" w:lineRule="auto"/>
        <w:ind w:right="0"/>
        <w:jc w:val="both"/>
      </w:pPr>
      <w:r>
        <w:rPr>
          <w:rFonts w:ascii="Times New Roman" w:hAnsi="Times New Roman" w:cs="Times New Roman" w:eastAsia="Times New Roman" w:hint="default"/>
        </w:rPr>
        <w:t>(b)</w:t>
      </w:r>
      <w:r>
        <w:rPr/>
        <w:t>朗新科技股票期权</w:t>
      </w:r>
    </w:p>
    <w:p>
      <w:pPr>
        <w:spacing w:line="240" w:lineRule="auto" w:before="11"/>
        <w:rPr>
          <w:rFonts w:ascii="宋体" w:hAnsi="宋体" w:cs="宋体" w:eastAsia="宋体" w:hint="default"/>
          <w:sz w:val="26"/>
          <w:szCs w:val="26"/>
        </w:rPr>
      </w:pPr>
    </w:p>
    <w:p>
      <w:pPr>
        <w:pStyle w:val="BodyText"/>
        <w:spacing w:line="321" w:lineRule="auto"/>
        <w:ind w:right="1029"/>
        <w:jc w:val="left"/>
      </w:pPr>
      <w:r>
        <w:rPr/>
        <w:t>朗新科技的股票期权计划为换取职工提供的服务的权益结算的股份支付，以授予职工的权益工具在授予日的公允价值计量。 </w:t>
      </w:r>
      <w:r>
        <w:rPr>
          <w:spacing w:val="-2"/>
        </w:rPr>
        <w:t>在完成等待期内的服务或达到规定业绩条件才可行权，在等待期内以对可行权权益工具数量的最佳估计为基础，按照权益工</w:t>
      </w:r>
      <w:r>
        <w:rPr>
          <w:spacing w:val="-72"/>
        </w:rPr>
        <w:t> </w:t>
      </w:r>
      <w:r>
        <w:rPr>
          <w:spacing w:val="-72"/>
        </w:rPr>
      </w:r>
      <w:r>
        <w:rPr>
          <w:spacing w:val="-2"/>
        </w:rPr>
        <w:t>具授予日的公允价值，将当期取得的服务计入相关成本或费用，相应增加资本公积。后续信息表明可行权权益工具的数量与</w:t>
      </w:r>
      <w:r>
        <w:rPr>
          <w:spacing w:val="-75"/>
        </w:rPr>
        <w:t> </w:t>
      </w:r>
      <w:r>
        <w:rPr>
          <w:spacing w:val="-75"/>
        </w:rPr>
      </w:r>
      <w:r>
        <w:rPr>
          <w:spacing w:val="-4"/>
        </w:rPr>
        <w:t>以前估计不同的，将进行调整，并在可行权日调整至实际可行权的权益工具数量。在行权日，根据实际行权的权益工具数量，</w:t>
      </w:r>
      <w:r>
        <w:rPr>
          <w:spacing w:val="-50"/>
        </w:rPr>
        <w:t> </w:t>
      </w:r>
      <w:r>
        <w:rPr>
          <w:spacing w:val="-50"/>
        </w:rPr>
      </w:r>
      <w:r>
        <w:rPr/>
        <w:t>计算确定应转入股本的金额，将其转入股本。</w:t>
      </w:r>
    </w:p>
    <w:p>
      <w:pPr>
        <w:spacing w:line="240" w:lineRule="auto" w:before="7"/>
        <w:rPr>
          <w:rFonts w:ascii="宋体" w:hAnsi="宋体" w:cs="宋体" w:eastAsia="宋体" w:hint="default"/>
          <w:sz w:val="25"/>
          <w:szCs w:val="25"/>
        </w:rPr>
      </w:pPr>
    </w:p>
    <w:p>
      <w:pPr>
        <w:pStyle w:val="BodyText"/>
        <w:spacing w:line="309" w:lineRule="auto"/>
        <w:ind w:right="0"/>
        <w:jc w:val="left"/>
      </w:pPr>
      <w:r>
        <w:rPr/>
        <w:t>朗新科技采用期权定价模型确定股票期权的公允价值，以</w:t>
      </w:r>
      <w:r>
        <w:rPr>
          <w:rFonts w:ascii="Times New Roman" w:hAnsi="Times New Roman" w:cs="Times New Roman" w:eastAsia="Times New Roman" w:hint="default"/>
        </w:rPr>
        <w:t>Black-Scholes</w:t>
      </w:r>
      <w:r>
        <w:rPr/>
        <w:t>估价模型确定股票增值权的公允价值。于等待期的每 </w:t>
      </w:r>
      <w:r>
        <w:rPr>
          <w:spacing w:val="-4"/>
        </w:rPr>
        <w:t>个资产负债表日，朗新科技根据最新取的的可行权职工人数变动等后续信息作出最佳工具，修正预计可行权的权益工具数量。</w:t>
      </w:r>
      <w:r>
        <w:rPr>
          <w:spacing w:val="-50"/>
        </w:rPr>
        <w:t> </w:t>
      </w:r>
      <w:r>
        <w:rPr>
          <w:spacing w:val="-50"/>
        </w:rPr>
      </w:r>
      <w:r>
        <w:rPr>
          <w:spacing w:val="-2"/>
        </w:rPr>
        <w:t>在可行权日，最终预计可行权权益工具的数量与实际可行权数量一致。股票期权的行权日，朗新科技根据行权情况，确认股</w:t>
      </w:r>
      <w:r>
        <w:rPr>
          <w:spacing w:val="-42"/>
        </w:rPr>
        <w:t> </w:t>
      </w:r>
      <w:r>
        <w:rPr>
          <w:spacing w:val="-42"/>
        </w:rPr>
      </w:r>
      <w:r>
        <w:rPr/>
        <w:t>本和股本溢价，同时结转等待期内确认的资本公积。</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bookmarkStart w:name="38、优先股、永续债等其他金融工具" w:id="216"/>
      <w:bookmarkEnd w:id="216"/>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both"/>
        <w:rPr>
          <w:b w:val="0"/>
          <w:bCs w:val="0"/>
        </w:rPr>
      </w:pPr>
      <w:bookmarkStart w:name="39、收入" w:id="217"/>
      <w:bookmarkEnd w:id="217"/>
      <w:r>
        <w:rPr>
          <w:b w:val="0"/>
          <w:bCs w:val="0"/>
        </w:rPr>
      </w:r>
      <w:r>
        <w:rPr>
          <w:rFonts w:ascii="Times New Roman" w:hAnsi="Times New Roman" w:cs="Times New Roman" w:eastAsia="Times New Roman" w:hint="default"/>
        </w:rPr>
        <w:t>39</w:t>
      </w:r>
      <w:r>
        <w:rPr/>
        <w:t>、收入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p>
    <w:p>
      <w:pPr>
        <w:pStyle w:val="Heading3"/>
        <w:spacing w:line="240" w:lineRule="auto" w:before="125"/>
        <w:ind w:right="0"/>
        <w:jc w:val="both"/>
        <w:rPr>
          <w:b w:val="0"/>
          <w:bCs w:val="0"/>
        </w:rPr>
      </w:pPr>
      <w:bookmarkStart w:name="40、政府补助" w:id="218"/>
      <w:bookmarkEnd w:id="218"/>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both"/>
      </w:pPr>
      <w:r>
        <w:rPr/>
        <w:t>政府补助为本集团从政府无偿取得的货币性资产或非货币性资产，包括税费返还、财政补贴等。</w:t>
      </w:r>
    </w:p>
    <w:p>
      <w:pPr>
        <w:spacing w:line="240" w:lineRule="auto" w:before="0"/>
        <w:rPr>
          <w:rFonts w:ascii="宋体" w:hAnsi="宋体" w:cs="宋体" w:eastAsia="宋体" w:hint="default"/>
          <w:sz w:val="18"/>
          <w:szCs w:val="18"/>
        </w:rPr>
      </w:pPr>
    </w:p>
    <w:p>
      <w:pPr>
        <w:pStyle w:val="BodyText"/>
        <w:spacing w:line="321" w:lineRule="auto" w:before="144"/>
        <w:ind w:right="1105"/>
        <w:jc w:val="left"/>
      </w:pPr>
      <w:r>
        <w:rPr>
          <w:spacing w:val="-2"/>
        </w:rPr>
        <w:t>政府补助在本集团能够满足其所附的条件并且能够收到时，予以确认。政府补助为货币性资产的，按照收到或应收的金额计</w:t>
      </w:r>
      <w:r>
        <w:rPr>
          <w:spacing w:val="-75"/>
        </w:rPr>
        <w:t> </w:t>
      </w:r>
      <w:r>
        <w:rPr>
          <w:spacing w:val="-75"/>
        </w:rPr>
      </w:r>
      <w:r>
        <w:rPr/>
        <w:t>量。政府补助为非货币性资产的，按照公允价值计量；公允价值不能可靠取得的，按照名义金额计量。</w:t>
      </w:r>
    </w:p>
    <w:p>
      <w:pPr>
        <w:spacing w:line="240" w:lineRule="auto" w:before="7"/>
        <w:rPr>
          <w:rFonts w:ascii="宋体" w:hAnsi="宋体" w:cs="宋体" w:eastAsia="宋体" w:hint="default"/>
          <w:sz w:val="25"/>
          <w:szCs w:val="25"/>
        </w:rPr>
      </w:pPr>
    </w:p>
    <w:p>
      <w:pPr>
        <w:pStyle w:val="BodyText"/>
        <w:spacing w:line="321" w:lineRule="auto"/>
        <w:ind w:right="1105"/>
        <w:jc w:val="left"/>
      </w:pPr>
      <w:r>
        <w:rPr>
          <w:spacing w:val="-2"/>
        </w:rPr>
        <w:t>与资产相关的政府补助，是指本集团取得的、用于购建或以其他方式形成长期资产的政府补助。与收益相关的政府补助，是</w:t>
      </w:r>
      <w:r>
        <w:rPr>
          <w:spacing w:val="-42"/>
        </w:rPr>
        <w:t> </w:t>
      </w:r>
      <w:r>
        <w:rPr>
          <w:spacing w:val="-42"/>
        </w:rPr>
      </w:r>
      <w:r>
        <w:rPr/>
        <w:t>指除与资产相关的政府补助之外的政府补助。</w:t>
      </w:r>
    </w:p>
    <w:p>
      <w:pPr>
        <w:spacing w:after="0" w:line="321"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1105"/>
        <w:jc w:val="left"/>
      </w:pPr>
      <w:r>
        <w:rPr/>
        <w:t>本集团将与资产相关的政府补助，确认为递延收益并在相关资产使用寿命内按照合理、系统的方法分摊计入损益。</w:t>
      </w:r>
    </w:p>
    <w:p>
      <w:pPr>
        <w:spacing w:line="240" w:lineRule="auto" w:before="0"/>
        <w:rPr>
          <w:rFonts w:ascii="宋体" w:hAnsi="宋体" w:cs="宋体" w:eastAsia="宋体" w:hint="default"/>
          <w:sz w:val="18"/>
          <w:szCs w:val="18"/>
        </w:rPr>
      </w:pPr>
    </w:p>
    <w:p>
      <w:pPr>
        <w:pStyle w:val="BodyText"/>
        <w:spacing w:line="307" w:lineRule="auto" w:before="159"/>
        <w:ind w:right="1105"/>
        <w:jc w:val="left"/>
      </w:pPr>
      <w:r>
        <w:rPr>
          <w:spacing w:val="-2"/>
        </w:rPr>
        <w:t>对于与收益相关的政府补助，若用于补偿以后期间的相关成本费用或损失的，确认为递延收益，并在确认相关成本费用或损</w:t>
      </w:r>
      <w:r>
        <w:rPr>
          <w:spacing w:val="-75"/>
        </w:rPr>
        <w:t> </w:t>
      </w:r>
      <w:r>
        <w:rPr>
          <w:spacing w:val="-75"/>
        </w:rPr>
      </w:r>
      <w:r>
        <w:rPr/>
        <w:t>失的期间，计入当期损益；若用于补偿已发生的相关成本费用或损失的，直接计入当期损益。</w:t>
      </w:r>
    </w:p>
    <w:p>
      <w:pPr>
        <w:spacing w:line="240" w:lineRule="auto" w:before="4"/>
        <w:rPr>
          <w:rFonts w:ascii="宋体" w:hAnsi="宋体" w:cs="宋体" w:eastAsia="宋体" w:hint="default"/>
          <w:sz w:val="26"/>
          <w:szCs w:val="26"/>
        </w:rPr>
      </w:pPr>
    </w:p>
    <w:p>
      <w:pPr>
        <w:pStyle w:val="BodyText"/>
        <w:spacing w:line="240" w:lineRule="auto"/>
        <w:ind w:right="1105"/>
        <w:jc w:val="left"/>
      </w:pPr>
      <w:r>
        <w:rPr/>
        <w:t>本集团对同类政府补助采用相同的列报方式。</w:t>
      </w:r>
    </w:p>
    <w:p>
      <w:pPr>
        <w:spacing w:line="240" w:lineRule="auto" w:before="0"/>
        <w:rPr>
          <w:rFonts w:ascii="宋体" w:hAnsi="宋体" w:cs="宋体" w:eastAsia="宋体" w:hint="default"/>
          <w:sz w:val="18"/>
          <w:szCs w:val="18"/>
        </w:rPr>
      </w:pPr>
    </w:p>
    <w:p>
      <w:pPr>
        <w:pStyle w:val="BodyText"/>
        <w:spacing w:line="240" w:lineRule="auto" w:before="159"/>
        <w:ind w:right="1105"/>
        <w:jc w:val="left"/>
      </w:pPr>
      <w:r>
        <w:rPr/>
        <w:t>与日常活动相关的政府补助纳入营业利润，与日常活动无关的政府补助计入营业外收支。</w:t>
      </w:r>
    </w:p>
    <w:p>
      <w:pPr>
        <w:spacing w:line="240" w:lineRule="auto" w:before="0"/>
        <w:rPr>
          <w:rFonts w:ascii="宋体" w:hAnsi="宋体" w:cs="宋体" w:eastAsia="宋体" w:hint="default"/>
          <w:sz w:val="18"/>
          <w:szCs w:val="18"/>
        </w:rPr>
      </w:pPr>
    </w:p>
    <w:p>
      <w:pPr>
        <w:pStyle w:val="BodyText"/>
        <w:spacing w:line="321" w:lineRule="auto" w:before="144"/>
        <w:ind w:right="1105"/>
        <w:jc w:val="left"/>
      </w:pPr>
      <w:r>
        <w:rPr>
          <w:spacing w:val="-2"/>
        </w:rPr>
        <w:t>本集团收到的政策性优惠利率贷款，以实际收到的借款金额作为借款的入账价值，按照借款本金和该政策性优惠利率计算相</w:t>
      </w:r>
      <w:r>
        <w:rPr>
          <w:spacing w:val="-62"/>
        </w:rPr>
        <w:t> </w:t>
      </w:r>
      <w:r>
        <w:rPr>
          <w:spacing w:val="-62"/>
        </w:rPr>
      </w:r>
      <w:r>
        <w:rPr/>
        <w:t>关借款费用。本集团直接收取的财政贴息，冲减相关借款费用。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8"/>
        <w:ind w:right="1105"/>
        <w:jc w:val="left"/>
        <w:rPr>
          <w:b w:val="0"/>
          <w:bCs w:val="0"/>
        </w:rPr>
      </w:pPr>
      <w:bookmarkStart w:name="41、递延所得税资产/递延所得税负债" w:id="219"/>
      <w:bookmarkEnd w:id="219"/>
      <w:r>
        <w:rPr>
          <w:b w:val="0"/>
          <w:bCs w:val="0"/>
        </w:rPr>
      </w: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
        <w:rPr>
          <w:rFonts w:ascii="宋体" w:hAnsi="宋体" w:cs="宋体" w:eastAsia="宋体" w:hint="default"/>
          <w:b/>
          <w:bCs/>
          <w:sz w:val="24"/>
          <w:szCs w:val="24"/>
        </w:rPr>
      </w:pPr>
    </w:p>
    <w:p>
      <w:pPr>
        <w:pStyle w:val="BodyText"/>
        <w:spacing w:line="321" w:lineRule="auto"/>
        <w:ind w:right="0"/>
        <w:jc w:val="left"/>
      </w:pPr>
      <w:r>
        <w:rPr>
          <w:spacing w:val="-2"/>
        </w:rPr>
        <w:t>递延所得税资产和递延所得税负债根据资产和负债的计税基础与其账面价值的差额（暂时性差异）计算确认。对于按照税法</w:t>
      </w:r>
      <w:r>
        <w:rPr>
          <w:spacing w:val="-75"/>
        </w:rPr>
        <w:t> </w:t>
      </w:r>
      <w:r>
        <w:rPr>
          <w:spacing w:val="-75"/>
        </w:rPr>
      </w:r>
      <w:r>
        <w:rPr>
          <w:spacing w:val="-4"/>
        </w:rPr>
        <w:t>规定能够于以后年度抵减应纳税所得额的可抵扣亏损，确认相应的递延所得税资产。对于商誉的初始确认产生的暂时性差异，</w:t>
      </w:r>
      <w:r>
        <w:rPr>
          <w:spacing w:val="-50"/>
        </w:rPr>
        <w:t> </w:t>
      </w:r>
      <w:r>
        <w:rPr>
          <w:spacing w:val="-50"/>
        </w:rPr>
      </w:r>
      <w:r>
        <w:rPr>
          <w:spacing w:val="-2"/>
        </w:rPr>
        <w:t>不确认相应的递延所得税负债。对于既不影响会计利润也不影响应纳税所得额（或可抵扣亏损）的非企业合并的交易中产生</w:t>
      </w:r>
      <w:r>
        <w:rPr>
          <w:spacing w:val="-75"/>
        </w:rPr>
        <w:t> </w:t>
      </w:r>
      <w:r>
        <w:rPr>
          <w:spacing w:val="-75"/>
        </w:rPr>
      </w:r>
      <w:r>
        <w:rPr>
          <w:spacing w:val="-2"/>
        </w:rPr>
        <w:t>的资产或负债的初始确认形成的暂时性差异，不确认相应的递延所得税资产和递延所得税负债。于资产负债表日，递延所得</w:t>
      </w:r>
      <w:r>
        <w:rPr>
          <w:spacing w:val="-67"/>
        </w:rPr>
        <w:t> </w:t>
      </w:r>
      <w:r>
        <w:rPr>
          <w:spacing w:val="-67"/>
        </w:rPr>
      </w:r>
      <w:r>
        <w:rPr/>
        <w:t>税资产和递延所得税负债，按照预期收回该资产或清偿该负债期间的适用税率计量。</w:t>
      </w:r>
    </w:p>
    <w:p>
      <w:pPr>
        <w:spacing w:line="240" w:lineRule="auto" w:before="5"/>
        <w:rPr>
          <w:rFonts w:ascii="宋体" w:hAnsi="宋体" w:cs="宋体" w:eastAsia="宋体" w:hint="default"/>
          <w:sz w:val="24"/>
          <w:szCs w:val="24"/>
        </w:rPr>
      </w:pPr>
    </w:p>
    <w:p>
      <w:pPr>
        <w:pStyle w:val="BodyText"/>
        <w:spacing w:line="240" w:lineRule="auto"/>
        <w:ind w:right="1105"/>
        <w:jc w:val="left"/>
      </w:pPr>
      <w:r>
        <w:rPr/>
        <w:t>递延所得税资产的确认以很可能取得用来抵扣可抵扣暂时性差异、可抵扣亏损和税款抵减的应纳税所得额为限。</w:t>
      </w:r>
    </w:p>
    <w:p>
      <w:pPr>
        <w:spacing w:line="240" w:lineRule="auto" w:before="0"/>
        <w:rPr>
          <w:rFonts w:ascii="宋体" w:hAnsi="宋体" w:cs="宋体" w:eastAsia="宋体" w:hint="default"/>
          <w:sz w:val="18"/>
          <w:szCs w:val="18"/>
        </w:rPr>
      </w:pPr>
    </w:p>
    <w:p>
      <w:pPr>
        <w:pStyle w:val="BodyText"/>
        <w:spacing w:line="316" w:lineRule="auto" w:before="160"/>
        <w:ind w:right="1129"/>
        <w:jc w:val="both"/>
      </w:pPr>
      <w:r>
        <w:rPr>
          <w:spacing w:val="-2"/>
        </w:rPr>
        <w:t>对与子公司、联营企业及合营企业投资相关的应纳税暂时性差异，确认递延所得税负债，除非本集团能够控制该暂时性差异</w:t>
      </w:r>
      <w:r>
        <w:rPr>
          <w:spacing w:val="-75"/>
        </w:rPr>
        <w:t> </w:t>
      </w:r>
      <w:r>
        <w:rPr>
          <w:spacing w:val="-75"/>
        </w:rPr>
      </w:r>
      <w:r>
        <w:rPr>
          <w:spacing w:val="-2"/>
        </w:rPr>
        <w:t>转回的时间且该暂时性差异在可预见的未来很可能不会转回。对与子公司、联营企业及合营企业投资相关的可抵扣暂时性差</w:t>
      </w:r>
      <w:r>
        <w:rPr>
          <w:spacing w:val="-72"/>
        </w:rPr>
        <w:t> </w:t>
      </w:r>
      <w:r>
        <w:rPr>
          <w:spacing w:val="-72"/>
        </w:rPr>
      </w:r>
      <w:r>
        <w:rPr>
          <w:spacing w:val="-2"/>
        </w:rPr>
        <w:t>异，当该暂时性差异在可预见的未来很可能转回且未来很可能获得用来抵扣可抵扣暂时性差异的应纳税所得额时，确认递延</w:t>
      </w:r>
      <w:r>
        <w:rPr>
          <w:spacing w:val="-64"/>
        </w:rPr>
        <w:t> </w:t>
      </w:r>
      <w:r>
        <w:rPr>
          <w:spacing w:val="-64"/>
        </w:rPr>
      </w:r>
      <w:r>
        <w:rPr/>
        <w:t>所得税资产。</w:t>
      </w:r>
    </w:p>
    <w:p>
      <w:pPr>
        <w:spacing w:line="240" w:lineRule="auto" w:before="10"/>
        <w:rPr>
          <w:rFonts w:ascii="宋体" w:hAnsi="宋体" w:cs="宋体" w:eastAsia="宋体" w:hint="default"/>
          <w:sz w:val="25"/>
          <w:szCs w:val="25"/>
        </w:rPr>
      </w:pPr>
    </w:p>
    <w:p>
      <w:pPr>
        <w:pStyle w:val="BodyText"/>
        <w:spacing w:line="240" w:lineRule="auto"/>
        <w:ind w:right="1105"/>
        <w:jc w:val="left"/>
      </w:pPr>
      <w:r>
        <w:rPr/>
        <w:t>同时满足下列条件的递延所得税资产和递延所得税负债以抵销后的净额列示：</w:t>
      </w:r>
    </w:p>
    <w:p>
      <w:pPr>
        <w:spacing w:line="240" w:lineRule="auto" w:before="0"/>
        <w:rPr>
          <w:rFonts w:ascii="宋体" w:hAnsi="宋体" w:cs="宋体" w:eastAsia="宋体" w:hint="default"/>
          <w:sz w:val="18"/>
          <w:szCs w:val="18"/>
        </w:rPr>
      </w:pPr>
    </w:p>
    <w:p>
      <w:pPr>
        <w:pStyle w:val="BodyText"/>
        <w:spacing w:line="240" w:lineRule="auto" w:before="159"/>
        <w:ind w:right="1105"/>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递延所得税资产和递延所得税负债与同一税收征管部门对本集团内同一纳税主体征收的所得税相关；</w:t>
      </w:r>
    </w:p>
    <w:p>
      <w:pPr>
        <w:pStyle w:val="BodyText"/>
        <w:spacing w:line="240" w:lineRule="auto" w:before="66"/>
        <w:ind w:right="1105"/>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本集团内该纳税主体拥有以净额结算当期所得税资产及当期所得税负债的法定权利。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1105"/>
        <w:jc w:val="left"/>
        <w:rPr>
          <w:b w:val="0"/>
          <w:bCs w:val="0"/>
        </w:rPr>
      </w:pPr>
      <w:bookmarkStart w:name="42、租赁" w:id="220"/>
      <w:bookmarkEnd w:id="220"/>
      <w:r>
        <w:rPr>
          <w:b w:val="0"/>
          <w:bCs w:val="0"/>
        </w:rPr>
      </w:r>
      <w:r>
        <w:rPr>
          <w:rFonts w:ascii="Times New Roman" w:hAnsi="Times New Roman" w:cs="Times New Roman" w:eastAsia="Times New Roman" w:hint="default"/>
        </w:rPr>
        <w:t>42</w:t>
      </w:r>
      <w:r>
        <w:rPr/>
        <w:t>、租赁</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1）经营租赁的会计处理方法" w:id="221"/>
      <w:bookmarkEnd w:id="221"/>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14" w:lineRule="auto"/>
        <w:ind w:right="3189"/>
        <w:jc w:val="left"/>
      </w:pPr>
      <w:r>
        <w:rPr/>
        <w:t>实质上转移了与资产所有权有关的全部风险和报酬的租赁为融资租赁。其他的租赁为经营租赁。 经营租赁的租金支出在租赁期内按照直线法计入相关资产成本或当期损益。 经营租赁的租金收入在租赁期内按照直线法确认。</w:t>
      </w:r>
    </w:p>
    <w:p>
      <w:pPr>
        <w:spacing w:after="0" w:line="314"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508" w:lineRule="auto" w:before="35"/>
        <w:ind w:right="7376"/>
        <w:jc w:val="left"/>
        <w:rPr>
          <w:b w:val="0"/>
          <w:bCs w:val="0"/>
        </w:rPr>
      </w:pPr>
      <w:bookmarkStart w:name="（2）融资租赁的会计处理方法" w:id="222"/>
      <w:bookmarkEnd w:id="222"/>
      <w:r>
        <w:rPr>
          <w:b w:val="0"/>
          <w:bCs w:val="0"/>
        </w:rPr>
      </w:r>
      <w:r>
        <w:rPr/>
        <w:t>（</w:t>
      </w:r>
      <w:r>
        <w:rPr>
          <w:rFonts w:ascii="Times New Roman" w:hAnsi="Times New Roman" w:cs="Times New Roman" w:eastAsia="Times New Roman" w:hint="default"/>
        </w:rPr>
        <w:t>2</w:t>
      </w:r>
      <w:r>
        <w:rPr/>
        <w:t>）融资租赁的会计处理方法</w:t>
      </w:r>
      <w:r>
        <w:rPr>
          <w:spacing w:val="-102"/>
        </w:rPr>
        <w:t> </w:t>
      </w:r>
      <w:r>
        <w:rPr>
          <w:spacing w:val="-102"/>
        </w:rPr>
      </w:r>
      <w:bookmarkStart w:name="43、其他重要的会计政策和会计估计" w:id="223"/>
      <w:bookmarkEnd w:id="223"/>
      <w:r>
        <w:rPr>
          <w:spacing w:val="-102"/>
        </w:rPr>
      </w:r>
      <w:r>
        <w:rPr>
          <w:rFonts w:ascii="Times New Roman" w:hAnsi="Times New Roman" w:cs="Times New Roman" w:eastAsia="Times New Roman" w:hint="default"/>
        </w:rPr>
        <w:t>43</w:t>
      </w:r>
      <w:r>
        <w:rPr/>
        <w:t>、其他重要的会计政策和会计估计</w:t>
      </w:r>
      <w:r>
        <w:rPr>
          <w:b w:val="0"/>
          <w:bCs w:val="0"/>
        </w:rPr>
      </w:r>
    </w:p>
    <w:p>
      <w:pPr>
        <w:pStyle w:val="BodyText"/>
        <w:spacing w:line="626" w:lineRule="auto" w:before="69"/>
        <w:ind w:right="1389"/>
        <w:jc w:val="left"/>
      </w:pPr>
      <w:r>
        <w:rPr/>
        <w:t>本集团根据历史经验和其他因素，包括对未来事项的合理预期，对所采用的重要会计估计和关键判断进行持续的评价。 下列重要会计估计及关键假设存在会导致下一会计年度资产和负债的账面价值出现重大调整的重要风险：</w:t>
      </w:r>
    </w:p>
    <w:p>
      <w:pPr>
        <w:pStyle w:val="BodyText"/>
        <w:spacing w:line="290" w:lineRule="auto" w:before="120"/>
        <w:ind w:right="4269"/>
        <w:jc w:val="left"/>
      </w:pPr>
      <w:r>
        <w:rPr>
          <w:rFonts w:ascii="Times New Roman" w:hAnsi="Times New Roman" w:cs="Times New Roman" w:eastAsia="Times New Roman" w:hint="default"/>
        </w:rPr>
        <w:t>(a)</w:t>
      </w:r>
      <w:r>
        <w:rPr/>
        <w:t>商誉减值</w:t>
      </w:r>
      <w:r>
        <w:rPr>
          <w:w w:val="99"/>
        </w:rPr>
        <w:t> </w:t>
      </w:r>
      <w:r>
        <w:rPr/>
        <w:t>在资产负债表日商誉无论是否出现减值迹象，本集团每年均会估计其可收回金额。</w:t>
      </w:r>
    </w:p>
    <w:p>
      <w:pPr>
        <w:spacing w:line="240" w:lineRule="auto" w:before="2"/>
        <w:rPr>
          <w:rFonts w:ascii="宋体" w:hAnsi="宋体" w:cs="宋体" w:eastAsia="宋体" w:hint="default"/>
          <w:sz w:val="26"/>
          <w:szCs w:val="26"/>
        </w:rPr>
      </w:pPr>
    </w:p>
    <w:p>
      <w:pPr>
        <w:pStyle w:val="BodyText"/>
        <w:spacing w:line="321" w:lineRule="auto"/>
        <w:ind w:right="1106"/>
        <w:jc w:val="both"/>
      </w:pPr>
      <w:r>
        <w:rPr>
          <w:spacing w:val="-2"/>
        </w:rPr>
        <w:t>可收回金额是资产（或资产组）公允价值减去处置费用后的净额与资产（或资产组）预计未来现金流量现值两者之间的较高</w:t>
      </w:r>
      <w:r>
        <w:rPr>
          <w:spacing w:val="-42"/>
        </w:rPr>
        <w:t> </w:t>
      </w:r>
      <w:r>
        <w:rPr>
          <w:spacing w:val="-42"/>
        </w:rPr>
      </w:r>
      <w:r>
        <w:rPr>
          <w:spacing w:val="-2"/>
        </w:rPr>
        <w:t>者。由于本集团不能可靠获得资产（或资产组）的公开市价，因此不能可靠准确估计资产的公允价值。在预计未来现金流量</w:t>
      </w:r>
      <w:r>
        <w:rPr>
          <w:spacing w:val="-57"/>
        </w:rPr>
        <w:t> </w:t>
      </w:r>
      <w:r>
        <w:rPr>
          <w:spacing w:val="-57"/>
        </w:rPr>
      </w:r>
      <w:r>
        <w:rPr>
          <w:spacing w:val="-2"/>
        </w:rPr>
        <w:t>现值时，需要对该资产（或资产组）产品的销售增长、毛利以及计算现值时使用的折现率等作出重大判断。本集团在估计可</w:t>
      </w:r>
      <w:r>
        <w:rPr>
          <w:spacing w:val="-57"/>
        </w:rPr>
        <w:t> </w:t>
      </w:r>
      <w:r>
        <w:rPr>
          <w:spacing w:val="-57"/>
        </w:rPr>
      </w:r>
      <w:r>
        <w:rPr/>
        <w:t>收回金额时会采用所有能够获得的相关资料，包括根据合理和可支持的假设所作出有关销售增长和毛利等数据的预测。</w:t>
      </w:r>
    </w:p>
    <w:p>
      <w:pPr>
        <w:spacing w:line="240" w:lineRule="auto" w:before="5"/>
        <w:rPr>
          <w:rFonts w:ascii="宋体" w:hAnsi="宋体" w:cs="宋体" w:eastAsia="宋体" w:hint="default"/>
          <w:sz w:val="24"/>
          <w:szCs w:val="24"/>
        </w:rPr>
      </w:pPr>
    </w:p>
    <w:p>
      <w:pPr>
        <w:pStyle w:val="BodyText"/>
        <w:spacing w:line="321" w:lineRule="auto"/>
        <w:ind w:right="1128"/>
        <w:jc w:val="both"/>
      </w:pPr>
      <w:r>
        <w:rPr>
          <w:spacing w:val="-2"/>
        </w:rPr>
        <w:t>为进行商誉减值测试，商誉会分配至一组现金产生单位。这些现金产生单位组合亦即本集团为内部管理目的监察商誉的最低</w:t>
      </w:r>
      <w:r>
        <w:rPr>
          <w:spacing w:val="-72"/>
        </w:rPr>
        <w:t> </w:t>
      </w:r>
      <w:r>
        <w:rPr>
          <w:spacing w:val="-72"/>
        </w:rPr>
      </w:r>
      <w:r>
        <w:rPr>
          <w:spacing w:val="-2"/>
        </w:rPr>
        <w:t>层次。现金产生单位的可收回金额根据折现现金流量法厘定的使用价值确定。该方法考虑了现金产生单位最近可合理估计的</w:t>
      </w:r>
      <w:r>
        <w:rPr>
          <w:spacing w:val="-63"/>
        </w:rPr>
        <w:t> </w:t>
      </w:r>
      <w:r>
        <w:rPr>
          <w:spacing w:val="-63"/>
        </w:rPr>
      </w:r>
      <w:r>
        <w:rPr/>
        <w:t>未来现金流量以及合理的折现率，计算上述资产组的未来现金流量现值。</w:t>
      </w:r>
    </w:p>
    <w:p>
      <w:pPr>
        <w:spacing w:line="240" w:lineRule="auto" w:before="8"/>
        <w:rPr>
          <w:rFonts w:ascii="宋体" w:hAnsi="宋体" w:cs="宋体" w:eastAsia="宋体" w:hint="default"/>
          <w:sz w:val="26"/>
          <w:szCs w:val="26"/>
        </w:rPr>
      </w:pPr>
    </w:p>
    <w:p>
      <w:pPr>
        <w:pStyle w:val="BodyText"/>
        <w:spacing w:line="240" w:lineRule="auto"/>
        <w:ind w:right="0"/>
        <w:jc w:val="both"/>
      </w:pPr>
      <w:r>
        <w:rPr>
          <w:rFonts w:ascii="Times New Roman" w:hAnsi="Times New Roman" w:cs="Times New Roman" w:eastAsia="Times New Roman" w:hint="default"/>
        </w:rPr>
        <w:t>(b)</w:t>
      </w:r>
      <w:r>
        <w:rPr/>
        <w:t>所得税</w:t>
      </w:r>
    </w:p>
    <w:p>
      <w:pPr>
        <w:spacing w:line="240" w:lineRule="auto" w:before="11"/>
        <w:rPr>
          <w:rFonts w:ascii="宋体" w:hAnsi="宋体" w:cs="宋体" w:eastAsia="宋体" w:hint="default"/>
          <w:sz w:val="26"/>
          <w:szCs w:val="26"/>
        </w:rPr>
      </w:pPr>
    </w:p>
    <w:p>
      <w:pPr>
        <w:pStyle w:val="BodyText"/>
        <w:spacing w:line="321" w:lineRule="auto"/>
        <w:ind w:right="1136"/>
        <w:jc w:val="both"/>
      </w:pPr>
      <w:r>
        <w:rPr>
          <w:spacing w:val="-2"/>
        </w:rPr>
        <w:t>本集团在多个地区缴纳企业所得税。在正常的经营活动中，部分交易和事项的最终税务处理存在不确定性。在计提各个地区</w:t>
      </w:r>
      <w:r>
        <w:rPr>
          <w:spacing w:val="-75"/>
        </w:rPr>
        <w:t> </w:t>
      </w:r>
      <w:r>
        <w:rPr>
          <w:spacing w:val="-75"/>
        </w:rPr>
      </w:r>
      <w:r>
        <w:rPr>
          <w:spacing w:val="-2"/>
        </w:rPr>
        <w:t>的所得税费用时，本集团需要作出重大判断。如果这些税务事项的最终认定结果与最初入账的金额存在差异，该差异将对作</w:t>
      </w:r>
      <w:r>
        <w:rPr>
          <w:spacing w:val="-75"/>
        </w:rPr>
        <w:t> </w:t>
      </w:r>
      <w:r>
        <w:rPr>
          <w:spacing w:val="-75"/>
        </w:rPr>
      </w:r>
      <w:r>
        <w:rPr/>
        <w:t>出上述最终认定期间的所得税费用和递延所得税的金额产生影响。</w:t>
      </w:r>
    </w:p>
    <w:p>
      <w:pPr>
        <w:spacing w:line="240" w:lineRule="auto" w:before="7"/>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t>(c)</w:t>
      </w:r>
      <w:r>
        <w:rPr/>
        <w:t>完工百分比的计算</w:t>
      </w:r>
    </w:p>
    <w:p>
      <w:pPr>
        <w:spacing w:line="240" w:lineRule="auto" w:before="0"/>
        <w:rPr>
          <w:rFonts w:ascii="宋体" w:hAnsi="宋体" w:cs="宋体" w:eastAsia="宋体" w:hint="default"/>
          <w:sz w:val="18"/>
          <w:szCs w:val="18"/>
        </w:rPr>
      </w:pPr>
    </w:p>
    <w:p>
      <w:pPr>
        <w:pStyle w:val="BodyText"/>
        <w:spacing w:line="321" w:lineRule="auto" w:before="131"/>
        <w:ind w:right="1111"/>
        <w:jc w:val="both"/>
      </w:pPr>
      <w:r>
        <w:rPr>
          <w:spacing w:val="-2"/>
        </w:rPr>
        <w:t>本集团的定制软件开发收入及互联网运营服务收入按照完工百分比法确认收入，完工进度按已经发生的成本占预计总成本的</w:t>
      </w:r>
      <w:r>
        <w:rPr>
          <w:spacing w:val="-48"/>
        </w:rPr>
        <w:t> </w:t>
      </w:r>
      <w:r>
        <w:rPr>
          <w:spacing w:val="-48"/>
        </w:rPr>
      </w:r>
      <w:r>
        <w:rPr/>
        <w:t>比例确定。本集团基于过往经验及项目规划等因素制定预计总成本，并于合同执行过程中持续评估和修订。</w:t>
      </w:r>
    </w:p>
    <w:p>
      <w:pPr>
        <w:spacing w:line="240" w:lineRule="auto" w:before="7"/>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t>(d)</w:t>
      </w:r>
      <w:r>
        <w:rPr/>
        <w:t>于资产负债表日尚未获得客户结算确认单的用户服务收入的确认</w:t>
      </w:r>
    </w:p>
    <w:p>
      <w:pPr>
        <w:spacing w:line="240" w:lineRule="auto" w:before="0"/>
        <w:rPr>
          <w:rFonts w:ascii="宋体" w:hAnsi="宋体" w:cs="宋体" w:eastAsia="宋体" w:hint="default"/>
          <w:sz w:val="18"/>
          <w:szCs w:val="18"/>
        </w:rPr>
      </w:pPr>
    </w:p>
    <w:p>
      <w:pPr>
        <w:pStyle w:val="BodyText"/>
        <w:spacing w:line="304" w:lineRule="auto" w:before="146"/>
        <w:ind w:right="1116"/>
        <w:jc w:val="both"/>
      </w:pPr>
      <w:r>
        <w:rPr/>
        <w:t>截止本报告批准报出日，约占</w:t>
      </w:r>
      <w:r>
        <w:rPr>
          <w:rFonts w:ascii="Times New Roman" w:hAnsi="Times New Roman" w:cs="Times New Roman" w:eastAsia="Times New Roman" w:hint="default"/>
        </w:rPr>
        <w:t>2019</w:t>
      </w:r>
      <w:r>
        <w:rPr/>
        <w:t>年度营业收入</w:t>
      </w:r>
      <w:r>
        <w:rPr>
          <w:rFonts w:ascii="Times New Roman" w:hAnsi="Times New Roman" w:cs="Times New Roman" w:eastAsia="Times New Roman" w:hint="default"/>
        </w:rPr>
        <w:t>2.09%</w:t>
      </w:r>
      <w:r>
        <w:rPr/>
        <w:t>的用户服务已提供但尚未获得客户结算单，在预计该等收入时，易视</w:t>
      </w:r>
      <w:r>
        <w:rPr>
          <w:spacing w:val="-86"/>
        </w:rPr>
        <w:t> </w:t>
      </w:r>
      <w:r>
        <w:rPr>
          <w:spacing w:val="-2"/>
        </w:rPr>
        <w:t>腾科技根据播控平台中的激活用户数量和单价，对可能的用户数差异情况作出判断，按照扣除预计用户数结算差异后的金额</w:t>
      </w:r>
      <w:r>
        <w:rPr>
          <w:spacing w:val="-72"/>
        </w:rPr>
        <w:t> </w:t>
      </w:r>
      <w:r>
        <w:rPr>
          <w:spacing w:val="-72"/>
        </w:rPr>
      </w:r>
      <w:r>
        <w:rPr>
          <w:spacing w:val="-2"/>
        </w:rPr>
        <w:t>暂估上述销售收入。本集团在估计用户数差异率时会参考临近月度的实际差异情况，并检查播控平台系统中的激活用户数与</w:t>
      </w:r>
      <w:r>
        <w:rPr>
          <w:spacing w:val="-61"/>
        </w:rPr>
        <w:t> </w:t>
      </w:r>
      <w:r>
        <w:rPr>
          <w:spacing w:val="-61"/>
        </w:rPr>
      </w:r>
      <w:r>
        <w:rPr/>
        <w:t>销售协议的约定是否存在重大差异，以反映当前的最佳估计数。</w:t>
      </w:r>
    </w:p>
    <w:p>
      <w:pPr>
        <w:spacing w:line="240" w:lineRule="auto" w:before="0"/>
        <w:rPr>
          <w:rFonts w:ascii="宋体" w:hAnsi="宋体" w:cs="宋体" w:eastAsia="宋体" w:hint="default"/>
          <w:sz w:val="18"/>
          <w:szCs w:val="18"/>
        </w:rPr>
      </w:pPr>
    </w:p>
    <w:p>
      <w:pPr>
        <w:pStyle w:val="BodyText"/>
        <w:spacing w:line="240" w:lineRule="auto" w:before="125"/>
        <w:ind w:right="0"/>
        <w:jc w:val="both"/>
      </w:pPr>
      <w:r>
        <w:rPr>
          <w:rFonts w:ascii="Times New Roman" w:hAnsi="Times New Roman" w:cs="Times New Roman" w:eastAsia="Times New Roman" w:hint="default"/>
        </w:rPr>
        <w:t>(e)</w:t>
      </w:r>
      <w:r>
        <w:rPr/>
        <w:t>长期股权投资的减值</w:t>
      </w:r>
    </w:p>
    <w:p>
      <w:pPr>
        <w:spacing w:line="240" w:lineRule="auto" w:before="0"/>
        <w:rPr>
          <w:rFonts w:ascii="宋体" w:hAnsi="宋体" w:cs="宋体" w:eastAsia="宋体" w:hint="default"/>
          <w:sz w:val="18"/>
          <w:szCs w:val="18"/>
        </w:rPr>
      </w:pPr>
    </w:p>
    <w:p>
      <w:pPr>
        <w:pStyle w:val="BodyText"/>
        <w:spacing w:line="304" w:lineRule="auto" w:before="130"/>
        <w:ind w:right="1106"/>
        <w:jc w:val="both"/>
      </w:pPr>
      <w:r>
        <w:rPr>
          <w:spacing w:val="-2"/>
        </w:rPr>
        <w:t>对子公司、合营企业、联营企业的长期股权投资，于资产负债表日存在减值迹象的，进行减值测试；减值测试结果表明资产</w:t>
      </w:r>
      <w:r>
        <w:rPr>
          <w:spacing w:val="-57"/>
        </w:rPr>
        <w:t> </w:t>
      </w:r>
      <w:r>
        <w:rPr>
          <w:spacing w:val="-57"/>
        </w:rPr>
      </w:r>
      <w:r>
        <w:rPr/>
        <w:t>的可收回金额低于其账面价值的，按其差额计提减值准备并计入减值损失。</w:t>
      </w:r>
    </w:p>
    <w:p>
      <w:pPr>
        <w:spacing w:line="240" w:lineRule="auto" w:before="6"/>
        <w:rPr>
          <w:rFonts w:ascii="宋体" w:hAnsi="宋体" w:cs="宋体" w:eastAsia="宋体" w:hint="default"/>
          <w:sz w:val="26"/>
          <w:szCs w:val="26"/>
        </w:rPr>
      </w:pPr>
    </w:p>
    <w:p>
      <w:pPr>
        <w:pStyle w:val="BodyText"/>
        <w:spacing w:line="240" w:lineRule="auto"/>
        <w:ind w:right="0"/>
        <w:jc w:val="both"/>
      </w:pPr>
      <w:r>
        <w:rPr/>
        <w:t>可收回金额是资产（或资产组）的公允价值减去处置费用后的净额与资产（或资产组）预计未来现金流量的现值两者之间的</w:t>
      </w:r>
    </w:p>
    <w:p>
      <w:pPr>
        <w:spacing w:after="0" w:line="240"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16" w:lineRule="auto" w:before="44"/>
        <w:ind w:right="1119"/>
        <w:jc w:val="both"/>
      </w:pPr>
      <w:r>
        <w:rPr>
          <w:spacing w:val="-2"/>
        </w:rPr>
        <w:t>较高者。由于本集团不能可靠获得资产（或资产组）的公开市价，因此不能可靠准确估计资产的公允价值。在预计未来现金</w:t>
      </w:r>
      <w:r>
        <w:rPr>
          <w:spacing w:val="-57"/>
        </w:rPr>
        <w:t> </w:t>
      </w:r>
      <w:r>
        <w:rPr>
          <w:spacing w:val="-57"/>
        </w:rPr>
      </w:r>
      <w:r>
        <w:rPr>
          <w:spacing w:val="-2"/>
        </w:rPr>
        <w:t>流量现值时，需要对该资产（或资产组）生产产品的产量、售价、相关经营成本以及计算现值时使用的折现率等作出重大判</w:t>
      </w:r>
      <w:r>
        <w:rPr>
          <w:spacing w:val="-55"/>
        </w:rPr>
        <w:t> </w:t>
      </w:r>
      <w:r>
        <w:rPr>
          <w:spacing w:val="-55"/>
        </w:rPr>
      </w:r>
      <w:r>
        <w:rPr>
          <w:spacing w:val="-2"/>
        </w:rPr>
        <w:t>断。本集团在估计可收回金额时会采用所有能够获得的相关资料，包括根据合理和可支持的假设所作出有关产量、售价和相</w:t>
      </w:r>
      <w:r>
        <w:rPr>
          <w:spacing w:val="-75"/>
        </w:rPr>
        <w:t> </w:t>
      </w:r>
      <w:r>
        <w:rPr>
          <w:spacing w:val="-75"/>
        </w:rPr>
      </w:r>
      <w:r>
        <w:rPr/>
        <w:t>关经营成本的预测。</w:t>
      </w:r>
    </w:p>
    <w:p>
      <w:pPr>
        <w:spacing w:line="240" w:lineRule="auto" w:before="12"/>
        <w:rPr>
          <w:rFonts w:ascii="宋体" w:hAnsi="宋体" w:cs="宋体" w:eastAsia="宋体" w:hint="default"/>
          <w:sz w:val="26"/>
          <w:szCs w:val="26"/>
        </w:rPr>
      </w:pPr>
    </w:p>
    <w:p>
      <w:pPr>
        <w:pStyle w:val="BodyText"/>
        <w:spacing w:line="607" w:lineRule="auto"/>
        <w:ind w:right="9329"/>
        <w:jc w:val="left"/>
      </w:pPr>
      <w:r>
        <w:rPr>
          <w:rFonts w:ascii="Times New Roman" w:hAnsi="Times New Roman" w:cs="Times New Roman" w:eastAsia="Times New Roman" w:hint="default"/>
        </w:rPr>
        <w:t>(f)</w:t>
      </w:r>
      <w:r>
        <w:rPr/>
        <w:t>金融工具</w:t>
      </w:r>
      <w:r>
        <w:rPr>
          <w:w w:val="99"/>
        </w:rPr>
        <w:t> </w:t>
      </w:r>
      <w:r>
        <w:rPr>
          <w:rFonts w:ascii="Times New Roman" w:hAnsi="Times New Roman" w:cs="Times New Roman" w:eastAsia="Times New Roman" w:hint="default"/>
          <w:spacing w:val="-1"/>
        </w:rPr>
        <w:t>(i)</w:t>
      </w:r>
      <w:r>
        <w:rPr>
          <w:spacing w:val="-1"/>
        </w:rPr>
        <w:t>金融资产的分类</w:t>
      </w:r>
    </w:p>
    <w:p>
      <w:pPr>
        <w:pStyle w:val="BodyText"/>
        <w:spacing w:line="240" w:lineRule="auto" w:before="46"/>
        <w:ind w:right="0"/>
        <w:jc w:val="both"/>
      </w:pPr>
      <w:r>
        <w:rPr/>
        <w:t>本集团在确定金融资产的分类时涉及的重大判断包括业务模式及合同现金流量特征的分析等。</w:t>
      </w:r>
    </w:p>
    <w:p>
      <w:pPr>
        <w:spacing w:line="240" w:lineRule="auto" w:before="0"/>
        <w:rPr>
          <w:rFonts w:ascii="宋体" w:hAnsi="宋体" w:cs="宋体" w:eastAsia="宋体" w:hint="default"/>
          <w:sz w:val="18"/>
          <w:szCs w:val="18"/>
        </w:rPr>
      </w:pPr>
    </w:p>
    <w:p>
      <w:pPr>
        <w:pStyle w:val="BodyText"/>
        <w:spacing w:line="321" w:lineRule="auto" w:before="159"/>
        <w:ind w:right="1121"/>
        <w:jc w:val="both"/>
      </w:pPr>
      <w:r>
        <w:rPr>
          <w:spacing w:val="-2"/>
        </w:rPr>
        <w:t>本集团在金融资产组合的层次上确定管理金融资产的业务模式，考虑的因素包括评价和向关键管理人员报告金融资产业绩的</w:t>
      </w:r>
      <w:r>
        <w:rPr>
          <w:spacing w:val="-58"/>
        </w:rPr>
        <w:t> </w:t>
      </w:r>
      <w:r>
        <w:rPr>
          <w:spacing w:val="-58"/>
        </w:rPr>
      </w:r>
      <w:r>
        <w:rPr/>
        <w:t>方式、影响金融资产业绩的风险及其管理方式、以及相关业务管理人员获得报酬的方式等。</w:t>
      </w:r>
    </w:p>
    <w:p>
      <w:pPr>
        <w:spacing w:line="240" w:lineRule="auto" w:before="5"/>
        <w:rPr>
          <w:rFonts w:ascii="宋体" w:hAnsi="宋体" w:cs="宋体" w:eastAsia="宋体" w:hint="default"/>
          <w:sz w:val="24"/>
          <w:szCs w:val="24"/>
        </w:rPr>
      </w:pPr>
    </w:p>
    <w:p>
      <w:pPr>
        <w:pStyle w:val="BodyText"/>
        <w:spacing w:line="321" w:lineRule="auto"/>
        <w:ind w:right="1136"/>
        <w:jc w:val="both"/>
      </w:pPr>
      <w:r>
        <w:rPr>
          <w:spacing w:val="-2"/>
        </w:rPr>
        <w:t>本集团在评估金融资产的合同现金流量是否与基本借贷安排相一致时，存在以下主要判断：本金是否可能因提前还款等原因</w:t>
      </w:r>
      <w:r>
        <w:rPr>
          <w:spacing w:val="-72"/>
        </w:rPr>
        <w:t> </w:t>
      </w:r>
      <w:r>
        <w:rPr>
          <w:spacing w:val="-72"/>
        </w:rPr>
      </w:r>
      <w:r>
        <w:rPr>
          <w:spacing w:val="-2"/>
        </w:rPr>
        <w:t>导致在存续期内的时间分布或者金额发生变动；利息是否仅包括货币时间价值、信用风险、其他基本借贷风险以及与成本和</w:t>
      </w:r>
      <w:r>
        <w:rPr>
          <w:spacing w:val="-75"/>
        </w:rPr>
        <w:t> </w:t>
      </w:r>
      <w:r>
        <w:rPr>
          <w:spacing w:val="-75"/>
        </w:rPr>
      </w:r>
      <w:r>
        <w:rPr>
          <w:spacing w:val="-2"/>
        </w:rPr>
        <w:t>利润的对价。例如，提前偿付的金额是否仅反映了尚未支付的本金及以未偿付本金为基础的利息，以及因提前终止合同而支</w:t>
      </w:r>
      <w:r>
        <w:rPr>
          <w:spacing w:val="-75"/>
        </w:rPr>
        <w:t> </w:t>
      </w:r>
      <w:r>
        <w:rPr>
          <w:spacing w:val="-75"/>
        </w:rPr>
      </w:r>
      <w:r>
        <w:rPr/>
        <w:t>付的合理补偿。</w:t>
      </w:r>
    </w:p>
    <w:p>
      <w:pPr>
        <w:spacing w:line="240" w:lineRule="auto" w:before="7"/>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t>(ii)</w:t>
      </w:r>
      <w:r>
        <w:rPr/>
        <w:t>预期信用损失的计量</w:t>
      </w:r>
    </w:p>
    <w:p>
      <w:pPr>
        <w:spacing w:line="240" w:lineRule="auto" w:before="0"/>
        <w:rPr>
          <w:rFonts w:ascii="宋体" w:hAnsi="宋体" w:cs="宋体" w:eastAsia="宋体" w:hint="default"/>
          <w:sz w:val="18"/>
          <w:szCs w:val="18"/>
        </w:rPr>
      </w:pPr>
    </w:p>
    <w:p>
      <w:pPr>
        <w:pStyle w:val="BodyText"/>
        <w:spacing w:line="316" w:lineRule="auto" w:before="130"/>
        <w:ind w:right="1127"/>
        <w:jc w:val="both"/>
      </w:pPr>
      <w:r>
        <w:rPr>
          <w:spacing w:val="-2"/>
        </w:rPr>
        <w:t>本集团通过违约风险敞口和预期信用损失率计算预期信用损失，并基于违约概率和违约损失率确定预期信用损失率。在确定</w:t>
      </w:r>
      <w:r>
        <w:rPr>
          <w:spacing w:val="-62"/>
        </w:rPr>
        <w:t> </w:t>
      </w:r>
      <w:r>
        <w:rPr>
          <w:spacing w:val="-62"/>
        </w:rPr>
      </w:r>
      <w:r>
        <w:rPr>
          <w:spacing w:val="-2"/>
        </w:rPr>
        <w:t>预期信用损失率时，本集团使用内部历史信用损失经验等数据，并结合当前状况和前瞻性信息对历史数据进行调整。在考虑</w:t>
      </w:r>
      <w:r>
        <w:rPr>
          <w:spacing w:val="-75"/>
        </w:rPr>
        <w:t> </w:t>
      </w:r>
      <w:r>
        <w:rPr>
          <w:spacing w:val="-75"/>
        </w:rPr>
      </w:r>
      <w:r>
        <w:rPr>
          <w:spacing w:val="-2"/>
        </w:rPr>
        <w:t>前瞻性信息时，本集团使用的指标包括外部市场环境和客户情况的变化等。本集团定期监控并复核与预期信用损失计算相关</w:t>
      </w:r>
      <w:r>
        <w:rPr>
          <w:spacing w:val="-72"/>
        </w:rPr>
        <w:t> </w:t>
      </w:r>
      <w:r>
        <w:rPr>
          <w:spacing w:val="-72"/>
        </w:rPr>
      </w:r>
      <w:r>
        <w:rPr/>
        <w:t>的假设。</w:t>
      </w:r>
    </w:p>
    <w:p>
      <w:pPr>
        <w:spacing w:line="240" w:lineRule="auto" w:before="12"/>
        <w:rPr>
          <w:rFonts w:ascii="宋体" w:hAnsi="宋体" w:cs="宋体" w:eastAsia="宋体" w:hint="default"/>
          <w:sz w:val="26"/>
          <w:szCs w:val="26"/>
        </w:rPr>
      </w:pPr>
    </w:p>
    <w:p>
      <w:pPr>
        <w:pStyle w:val="BodyText"/>
        <w:spacing w:line="240" w:lineRule="auto"/>
        <w:ind w:right="0"/>
        <w:jc w:val="both"/>
      </w:pPr>
      <w:r>
        <w:rPr>
          <w:rFonts w:ascii="Times New Roman" w:hAnsi="Times New Roman" w:cs="Times New Roman" w:eastAsia="Times New Roman" w:hint="default"/>
        </w:rPr>
        <w:t>(iii)</w:t>
      </w:r>
      <w:r>
        <w:rPr/>
        <w:t>信用风险显著增加的判断</w:t>
      </w:r>
    </w:p>
    <w:p>
      <w:pPr>
        <w:spacing w:line="240" w:lineRule="auto" w:before="11"/>
        <w:rPr>
          <w:rFonts w:ascii="宋体" w:hAnsi="宋体" w:cs="宋体" w:eastAsia="宋体" w:hint="default"/>
          <w:sz w:val="26"/>
          <w:szCs w:val="26"/>
        </w:rPr>
      </w:pPr>
    </w:p>
    <w:p>
      <w:pPr>
        <w:pStyle w:val="BodyText"/>
        <w:spacing w:line="321" w:lineRule="auto"/>
        <w:ind w:right="1043"/>
        <w:jc w:val="both"/>
      </w:pPr>
      <w:r>
        <w:rPr>
          <w:spacing w:val="-2"/>
        </w:rPr>
        <w:t>本集团判断信用风险显著增加的主要标准为逾期或以下一个或多个指标发生显著变化：债务人所处的经营环境、内外部信用</w:t>
      </w:r>
      <w:r>
        <w:rPr>
          <w:spacing w:val="-72"/>
        </w:rPr>
        <w:t> </w:t>
      </w:r>
      <w:r>
        <w:rPr>
          <w:spacing w:val="-72"/>
        </w:rPr>
      </w:r>
      <w:r>
        <w:rPr/>
        <w:t>评级、实际或预期经营成果的显著变化、担保物价值或担保方信用评级的显著下降等。</w:t>
      </w:r>
    </w:p>
    <w:p>
      <w:pPr>
        <w:spacing w:line="240" w:lineRule="auto" w:before="7"/>
        <w:rPr>
          <w:rFonts w:ascii="宋体" w:hAnsi="宋体" w:cs="宋体" w:eastAsia="宋体" w:hint="default"/>
          <w:sz w:val="25"/>
          <w:szCs w:val="25"/>
        </w:rPr>
      </w:pPr>
    </w:p>
    <w:p>
      <w:pPr>
        <w:pStyle w:val="BodyText"/>
        <w:spacing w:line="321" w:lineRule="auto"/>
        <w:ind w:right="1043"/>
        <w:jc w:val="both"/>
      </w:pPr>
      <w:r>
        <w:rPr>
          <w:spacing w:val="-4"/>
        </w:rPr>
        <w:t>本集团判断已发生信用减值的主要标准为债务人违反合同、逾期偿付或符合以下一个或多个条件：债务人发生重大财务困难，</w:t>
      </w:r>
      <w:r>
        <w:rPr>
          <w:spacing w:val="-46"/>
        </w:rPr>
        <w:t> </w:t>
      </w:r>
      <w:r>
        <w:rPr>
          <w:spacing w:val="-46"/>
        </w:rPr>
      </w:r>
      <w:r>
        <w:rPr/>
        <w:t>进行其他债务重组或很可能破产等。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2"/>
        <w:ind w:right="0"/>
        <w:jc w:val="both"/>
        <w:rPr>
          <w:b w:val="0"/>
          <w:bCs w:val="0"/>
        </w:rPr>
      </w:pPr>
      <w:bookmarkStart w:name="44、重要会计政策和会计估计变更" w:id="224"/>
      <w:bookmarkEnd w:id="224"/>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both"/>
        <w:rPr>
          <w:b w:val="0"/>
          <w:bCs w:val="0"/>
        </w:rPr>
      </w:pPr>
      <w:bookmarkStart w:name="（1）重要会计政策变更" w:id="225"/>
      <w:bookmarkEnd w:id="225"/>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830"/>
        <w:gridCol w:w="3409"/>
        <w:gridCol w:w="2343"/>
      </w:tblGrid>
      <w:tr>
        <w:trPr>
          <w:trHeight w:val="405" w:hRule="exact"/>
        </w:trPr>
        <w:tc>
          <w:tcPr>
            <w:tcW w:w="3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11"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审批程序</w:t>
            </w:r>
            <w:r>
              <w:rPr>
                <w:rFonts w:ascii="宋体" w:hAnsi="宋体" w:cs="宋体" w:eastAsia="宋体" w:hint="default"/>
                <w:sz w:val="18"/>
                <w:szCs w:val="18"/>
              </w:rPr>
            </w:r>
          </w:p>
        </w:tc>
        <w:tc>
          <w:tcPr>
            <w:tcW w:w="23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830"/>
        <w:gridCol w:w="3409"/>
        <w:gridCol w:w="2343"/>
      </w:tblGrid>
      <w:tr>
        <w:trPr>
          <w:trHeight w:val="4143" w:hRule="exact"/>
        </w:trPr>
        <w:tc>
          <w:tcPr>
            <w:tcW w:w="3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年颁布了修订后的《企业会计准</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金融工具确认和计量</w:t>
            </w:r>
            <w:r>
              <w:rPr>
                <w:rFonts w:ascii="宋体" w:hAnsi="宋体" w:cs="宋体" w:eastAsia="宋体" w:hint="default"/>
                <w:spacing w:val="-90"/>
                <w:sz w:val="18"/>
                <w:szCs w:val="18"/>
              </w:rPr>
              <w:t>》、</w:t>
            </w:r>
            <w:r>
              <w:rPr>
                <w:rFonts w:ascii="宋体" w:hAnsi="宋体" w:cs="宋体" w:eastAsia="宋体" w:hint="default"/>
                <w:sz w:val="18"/>
                <w:szCs w:val="18"/>
              </w:rPr>
              <w:t>《企业会</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金融资产转移</w:t>
            </w:r>
            <w:r>
              <w:rPr>
                <w:rFonts w:ascii="宋体" w:hAnsi="宋体" w:cs="宋体" w:eastAsia="宋体" w:hint="default"/>
                <w:spacing w:val="-90"/>
                <w:sz w:val="18"/>
                <w:szCs w:val="18"/>
              </w:rPr>
              <w:t>》、</w:t>
            </w:r>
            <w:r>
              <w:rPr>
                <w:rFonts w:ascii="宋体" w:hAnsi="宋体" w:cs="宋体" w:eastAsia="宋体" w:hint="default"/>
                <w:sz w:val="18"/>
                <w:szCs w:val="18"/>
              </w:rPr>
              <w:t>《企业会计</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套期保值》及《企业会计准则</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金融工具列报》等（以下合称</w:t>
            </w:r>
            <w:r>
              <w:rPr>
                <w:rFonts w:ascii="Times New Roman" w:hAnsi="Times New Roman" w:cs="Times New Roman" w:eastAsia="Times New Roman" w:hint="default"/>
                <w:sz w:val="18"/>
                <w:szCs w:val="18"/>
              </w:rPr>
              <w:t>“</w:t>
            </w:r>
            <w:r>
              <w:rPr>
                <w:rFonts w:ascii="宋体" w:hAnsi="宋体" w:cs="宋体" w:eastAsia="宋体" w:hint="default"/>
                <w:sz w:val="18"/>
                <w:szCs w:val="18"/>
              </w:rPr>
              <w:t>新金</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融工具准则</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并于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年颁布</w:t>
            </w:r>
            <w:r>
              <w:rPr>
                <w:rFonts w:ascii="宋体" w:hAnsi="宋体" w:cs="宋体" w:eastAsia="宋体" w:hint="default"/>
                <w:spacing w:val="-45"/>
                <w:sz w:val="18"/>
                <w:szCs w:val="18"/>
              </w:rPr>
              <w:t>了</w:t>
            </w:r>
            <w:r>
              <w:rPr>
                <w:rFonts w:ascii="宋体" w:hAnsi="宋体" w:cs="宋体" w:eastAsia="宋体" w:hint="default"/>
                <w:sz w:val="18"/>
                <w:szCs w:val="18"/>
              </w:rPr>
              <w:t>《关于修订印</w:t>
            </w:r>
          </w:p>
          <w:p>
            <w:pPr>
              <w:pStyle w:val="TableParagraph"/>
              <w:spacing w:line="297" w:lineRule="auto" w:before="66"/>
              <w:ind w:left="15" w:right="30"/>
              <w:jc w:val="left"/>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年度一般企业财务报表格式的通知》（财</w:t>
            </w:r>
            <w:r>
              <w:rPr>
                <w:rFonts w:ascii="宋体" w:hAnsi="宋体" w:cs="宋体" w:eastAsia="宋体" w:hint="default"/>
                <w:sz w:val="18"/>
                <w:szCs w:val="18"/>
              </w:rPr>
              <w:t> 会</w:t>
            </w:r>
            <w:r>
              <w:rPr>
                <w:rFonts w:ascii="Times New Roman" w:hAnsi="Times New Roman" w:cs="Times New Roman" w:eastAsia="Times New Roman" w:hint="default"/>
                <w:sz w:val="18"/>
                <w:szCs w:val="18"/>
              </w:rPr>
              <w:t>[2019]6 </w:t>
            </w:r>
            <w:r>
              <w:rPr>
                <w:rFonts w:ascii="宋体" w:hAnsi="宋体" w:cs="宋体" w:eastAsia="宋体" w:hint="default"/>
                <w:spacing w:val="-6"/>
                <w:sz w:val="18"/>
                <w:szCs w:val="18"/>
              </w:rPr>
              <w:t>号）和《关于修订引发合并财务报表格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r>
              <w:rPr>
                <w:rFonts w:ascii="Times New Roman" w:hAnsi="Times New Roman" w:cs="Times New Roman" w:eastAsia="Times New Roman" w:hint="default"/>
                <w:sz w:val="18"/>
                <w:szCs w:val="18"/>
              </w:rPr>
              <w:t>2019 </w:t>
            </w:r>
            <w:r>
              <w:rPr>
                <w:rFonts w:ascii="宋体" w:hAnsi="宋体" w:cs="宋体" w:eastAsia="宋体" w:hint="default"/>
                <w:spacing w:val="-5"/>
                <w:sz w:val="18"/>
                <w:szCs w:val="18"/>
              </w:rPr>
              <w:t>版）的通知》（财会）</w:t>
            </w:r>
            <w:r>
              <w:rPr>
                <w:rFonts w:ascii="Times New Roman" w:hAnsi="Times New Roman" w:cs="Times New Roman" w:eastAsia="Times New Roman" w:hint="default"/>
                <w:spacing w:val="-5"/>
                <w:sz w:val="18"/>
                <w:szCs w:val="18"/>
              </w:rPr>
              <w:t>[2019]16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号，本 集团已采用上述准则和通知编制</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年度财务 </w:t>
            </w:r>
            <w:r>
              <w:rPr>
                <w:rFonts w:ascii="宋体" w:hAnsi="宋体" w:cs="宋体" w:eastAsia="宋体" w:hint="default"/>
                <w:spacing w:val="-1"/>
                <w:sz w:val="18"/>
                <w:szCs w:val="18"/>
              </w:rPr>
              <w:t>报表。修订后非货币性资产交换准则及债务重组</w:t>
            </w:r>
          </w:p>
          <w:p>
            <w:pPr>
              <w:pStyle w:val="TableParagraph"/>
              <w:spacing w:line="321" w:lineRule="auto" w:before="36"/>
              <w:ind w:left="15" w:right="32"/>
              <w:jc w:val="left"/>
              <w:rPr>
                <w:rFonts w:ascii="宋体" w:hAnsi="宋体" w:cs="宋体" w:eastAsia="宋体" w:hint="default"/>
                <w:sz w:val="18"/>
                <w:szCs w:val="18"/>
              </w:rPr>
            </w:pPr>
            <w:r>
              <w:rPr>
                <w:rFonts w:ascii="宋体" w:hAnsi="宋体" w:cs="宋体" w:eastAsia="宋体" w:hint="default"/>
                <w:spacing w:val="-1"/>
                <w:sz w:val="18"/>
                <w:szCs w:val="18"/>
              </w:rPr>
              <w:t>准则对本集团及本公司无显著影响，其他修订对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本集团及本公司报表的影响列示如下：</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97"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日召开第二届董事会第三十 </w:t>
            </w:r>
            <w:r>
              <w:rPr>
                <w:rFonts w:ascii="宋体" w:hAnsi="宋体" w:cs="宋体" w:eastAsia="宋体" w:hint="default"/>
                <w:spacing w:val="-4"/>
                <w:sz w:val="18"/>
                <w:szCs w:val="18"/>
              </w:rPr>
              <w:t>次会议及第二届监事会第二十次会议、</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日召开第二届董事会第三十五次 </w:t>
            </w:r>
            <w:r>
              <w:rPr>
                <w:rFonts w:ascii="宋体" w:hAnsi="宋体" w:cs="宋体" w:eastAsia="宋体" w:hint="default"/>
                <w:spacing w:val="-3"/>
                <w:sz w:val="18"/>
                <w:szCs w:val="18"/>
              </w:rPr>
              <w:t>会议、第二届监事会第二十三次会议、</w:t>
            </w:r>
            <w:r>
              <w:rPr>
                <w:rFonts w:ascii="Times New Roman" w:hAnsi="Times New Roman" w:cs="Times New Roman" w:eastAsia="Times New Roman" w:hint="default"/>
                <w:spacing w:val="-3"/>
                <w:sz w:val="18"/>
                <w:szCs w:val="18"/>
              </w:rPr>
              <w:t>2020</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日召开第三届董事会第四次会议 </w:t>
            </w:r>
            <w:r>
              <w:rPr>
                <w:rFonts w:ascii="宋体" w:hAnsi="宋体" w:cs="宋体" w:eastAsia="宋体" w:hint="default"/>
                <w:spacing w:val="-4"/>
                <w:sz w:val="18"/>
                <w:szCs w:val="18"/>
              </w:rPr>
              <w:t>第三届监事会第二次会议，分批审议通过了</w:t>
            </w:r>
          </w:p>
          <w:p>
            <w:pPr>
              <w:pStyle w:val="TableParagraph"/>
              <w:spacing w:line="240" w:lineRule="auto" w:before="37"/>
              <w:ind w:left="30" w:right="0"/>
              <w:jc w:val="left"/>
              <w:rPr>
                <w:rFonts w:ascii="宋体" w:hAnsi="宋体" w:cs="宋体" w:eastAsia="宋体" w:hint="default"/>
                <w:sz w:val="18"/>
                <w:szCs w:val="18"/>
              </w:rPr>
            </w:pPr>
            <w:r>
              <w:rPr>
                <w:rFonts w:ascii="宋体" w:hAnsi="宋体" w:cs="宋体" w:eastAsia="宋体" w:hint="default"/>
                <w:sz w:val="18"/>
                <w:szCs w:val="18"/>
              </w:rPr>
              <w:t>《关于会计政策变更的议案》</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具体内容详见以下说明</w:t>
            </w:r>
          </w:p>
          <w:p>
            <w:pPr>
              <w:pStyle w:val="TableParagraph"/>
              <w:spacing w:line="240" w:lineRule="auto" w:before="95"/>
              <w:ind w:left="-139" w:right="0"/>
              <w:jc w:val="left"/>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before="14"/>
        <w:ind w:left="216" w:right="1105"/>
        <w:jc w:val="left"/>
      </w:pPr>
      <w:r>
        <w:rPr/>
        <w:pict>
          <v:group style="position:absolute;margin-left:419.019989pt;margin-top:-93.863281pt;width:116.4pt;height:93.1pt;mso-position-horizontal-relative:page;mso-position-vertical-relative:paragraph;z-index:-1325296" coordorigin="8380,-1877" coordsize="2328,1862">
            <v:shape style="position:absolute;left:8380;top:-1877;width:2328;height:1862" coordorigin="8380,-1877" coordsize="2328,1862" path="m8380,-16l10708,-16,10708,-1877,8380,-1877,8380,-16xe" filled="true" fillcolor="#ffffff" stroked="false">
              <v:path arrowok="t"/>
              <v:fill type="solid"/>
            </v:shape>
            <w10:wrap type="none"/>
          </v:group>
        </w:pict>
      </w:r>
      <w:r>
        <w:rPr>
          <w:rFonts w:ascii="Times New Roman" w:hAnsi="Times New Roman" w:cs="Times New Roman" w:eastAsia="Times New Roman" w:hint="default"/>
        </w:rPr>
        <w:t>(a)  </w:t>
      </w:r>
      <w:r>
        <w:rPr>
          <w:rFonts w:ascii="Times New Roman" w:hAnsi="Times New Roman" w:cs="Times New Roman" w:eastAsia="Times New Roman" w:hint="default"/>
          <w:spacing w:val="9"/>
        </w:rPr>
        <w:t> </w:t>
      </w:r>
      <w:r>
        <w:rPr/>
        <w:t>一般企业报表格式的修改</w:t>
      </w:r>
    </w:p>
    <w:p>
      <w:pPr>
        <w:spacing w:line="240" w:lineRule="auto" w:before="0"/>
        <w:rPr>
          <w:rFonts w:ascii="宋体" w:hAnsi="宋体" w:cs="宋体" w:eastAsia="宋体" w:hint="default"/>
          <w:sz w:val="18"/>
          <w:szCs w:val="18"/>
        </w:rPr>
      </w:pPr>
    </w:p>
    <w:p>
      <w:pPr>
        <w:pStyle w:val="BodyText"/>
        <w:tabs>
          <w:tab w:pos="561" w:val="left" w:leader="none"/>
        </w:tabs>
        <w:spacing w:line="240" w:lineRule="auto" w:before="146"/>
        <w:ind w:right="1105"/>
        <w:jc w:val="left"/>
      </w:pPr>
      <w:r>
        <w:rPr>
          <w:rFonts w:ascii="Times New Roman" w:hAnsi="Times New Roman" w:cs="Times New Roman" w:eastAsia="Times New Roman" w:hint="default"/>
          <w:spacing w:val="-2"/>
        </w:rPr>
        <w:t>(i)</w:t>
        <w:tab/>
      </w:r>
      <w:r>
        <w:rPr/>
        <w:t>对合并资产负债表的影响列示如下：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26" w:type="dxa"/>
        <w:tblLayout w:type="fixed"/>
        <w:tblCellMar>
          <w:top w:w="0" w:type="dxa"/>
          <w:left w:w="0" w:type="dxa"/>
          <w:bottom w:w="0" w:type="dxa"/>
          <w:right w:w="0" w:type="dxa"/>
        </w:tblCellMar>
        <w:tblLook w:val="01E0"/>
      </w:tblPr>
      <w:tblGrid>
        <w:gridCol w:w="3680"/>
        <w:gridCol w:w="2253"/>
        <w:gridCol w:w="2598"/>
      </w:tblGrid>
      <w:tr>
        <w:trPr>
          <w:trHeight w:val="345" w:hRule="exact"/>
        </w:trPr>
        <w:tc>
          <w:tcPr>
            <w:tcW w:w="3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日影响金额</w:t>
            </w:r>
          </w:p>
        </w:tc>
      </w:tr>
      <w:tr>
        <w:trPr>
          <w:trHeight w:val="435" w:hRule="exact"/>
        </w:trPr>
        <w:tc>
          <w:tcPr>
            <w:tcW w:w="3680" w:type="dxa"/>
            <w:vMerge w:val="restart"/>
            <w:tcBorders>
              <w:top w:val="single" w:sz="6" w:space="0" w:color="000000"/>
              <w:left w:val="single" w:sz="6" w:space="0" w:color="000000"/>
              <w:right w:val="single" w:sz="6" w:space="0" w:color="000000"/>
            </w:tcBorders>
          </w:tcPr>
          <w:p>
            <w:pPr>
              <w:pStyle w:val="TableParagraph"/>
              <w:spacing w:line="321" w:lineRule="auto" w:before="15"/>
              <w:ind w:right="18"/>
              <w:jc w:val="left"/>
              <w:rPr>
                <w:rFonts w:ascii="宋体" w:hAnsi="宋体" w:cs="宋体" w:eastAsia="宋体" w:hint="default"/>
                <w:sz w:val="18"/>
                <w:szCs w:val="18"/>
              </w:rPr>
            </w:pPr>
            <w:r>
              <w:rPr>
                <w:rFonts w:ascii="宋体" w:hAnsi="宋体" w:cs="宋体" w:eastAsia="宋体" w:hint="default"/>
                <w:spacing w:val="2"/>
                <w:sz w:val="18"/>
                <w:szCs w:val="18"/>
              </w:rPr>
              <w:t>本集团将应收票据及应收账款项目分拆为应收</w:t>
            </w:r>
            <w:r>
              <w:rPr>
                <w:rFonts w:ascii="宋体" w:hAnsi="宋体" w:cs="宋体" w:eastAsia="宋体" w:hint="default"/>
                <w:sz w:val="18"/>
                <w:szCs w:val="18"/>
              </w:rPr>
              <w:t> 账款项目和应收票据项目。</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1,422,555,177.11</w:t>
            </w:r>
          </w:p>
        </w:tc>
      </w:tr>
      <w:tr>
        <w:trPr>
          <w:trHeight w:val="420" w:hRule="exact"/>
        </w:trPr>
        <w:tc>
          <w:tcPr>
            <w:tcW w:w="3680" w:type="dxa"/>
            <w:vMerge/>
            <w:tcBorders>
              <w:left w:val="single" w:sz="6" w:space="0" w:color="000000"/>
              <w:right w:val="single" w:sz="6" w:space="0" w:color="000000"/>
            </w:tcBorders>
          </w:tcPr>
          <w:p>
            <w:pP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108,303,954.53</w:t>
            </w:r>
          </w:p>
        </w:tc>
      </w:tr>
      <w:tr>
        <w:trPr>
          <w:trHeight w:val="435" w:hRule="exact"/>
        </w:trPr>
        <w:tc>
          <w:tcPr>
            <w:tcW w:w="3680" w:type="dxa"/>
            <w:vMerge/>
            <w:tcBorders>
              <w:left w:val="single" w:sz="6" w:space="0" w:color="000000"/>
              <w:bottom w:val="single" w:sz="6" w:space="0" w:color="000000"/>
              <w:right w:val="single" w:sz="6" w:space="0" w:color="000000"/>
            </w:tcBorders>
          </w:tcPr>
          <w:p>
            <w:pP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w w:val="95"/>
                <w:sz w:val="18"/>
              </w:rPr>
              <w:t>-1,530,859,131.64</w:t>
            </w:r>
            <w:r>
              <w:rPr>
                <w:rFonts w:ascii="Times New Roman"/>
                <w:sz w:val="18"/>
              </w:rPr>
            </w:r>
          </w:p>
        </w:tc>
      </w:tr>
      <w:tr>
        <w:trPr>
          <w:trHeight w:val="420" w:hRule="exact"/>
        </w:trPr>
        <w:tc>
          <w:tcPr>
            <w:tcW w:w="3680" w:type="dxa"/>
            <w:vMerge w:val="restart"/>
            <w:tcBorders>
              <w:top w:val="single" w:sz="6" w:space="0" w:color="000000"/>
              <w:left w:val="single" w:sz="6" w:space="0" w:color="000000"/>
              <w:right w:val="single" w:sz="6" w:space="0" w:color="000000"/>
            </w:tcBorders>
          </w:tcPr>
          <w:p>
            <w:pPr>
              <w:pStyle w:val="TableParagraph"/>
              <w:spacing w:line="321" w:lineRule="auto"/>
              <w:ind w:right="18"/>
              <w:jc w:val="left"/>
              <w:rPr>
                <w:rFonts w:ascii="宋体" w:hAnsi="宋体" w:cs="宋体" w:eastAsia="宋体" w:hint="default"/>
                <w:sz w:val="18"/>
                <w:szCs w:val="18"/>
              </w:rPr>
            </w:pPr>
            <w:r>
              <w:rPr>
                <w:rFonts w:ascii="宋体" w:hAnsi="宋体" w:cs="宋体" w:eastAsia="宋体" w:hint="default"/>
                <w:spacing w:val="2"/>
                <w:sz w:val="18"/>
                <w:szCs w:val="18"/>
              </w:rPr>
              <w:t>本集团将应付票据及应付账款项目分拆为应付</w:t>
            </w:r>
            <w:r>
              <w:rPr>
                <w:rFonts w:ascii="宋体" w:hAnsi="宋体" w:cs="宋体" w:eastAsia="宋体" w:hint="default"/>
                <w:sz w:val="18"/>
                <w:szCs w:val="18"/>
              </w:rPr>
              <w:t> 账款项目和应付票据项目。</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437,160,478.14</w:t>
            </w:r>
          </w:p>
        </w:tc>
      </w:tr>
      <w:tr>
        <w:trPr>
          <w:trHeight w:val="436" w:hRule="exact"/>
        </w:trPr>
        <w:tc>
          <w:tcPr>
            <w:tcW w:w="3680" w:type="dxa"/>
            <w:vMerge/>
            <w:tcBorders>
              <w:left w:val="single" w:sz="6" w:space="0" w:color="000000"/>
              <w:right w:val="single" w:sz="6" w:space="0" w:color="000000"/>
            </w:tcBorders>
          </w:tcPr>
          <w:p>
            <w:pP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4,700,000.00</w:t>
            </w:r>
          </w:p>
        </w:tc>
      </w:tr>
      <w:tr>
        <w:trPr>
          <w:trHeight w:val="420" w:hRule="exact"/>
        </w:trPr>
        <w:tc>
          <w:tcPr>
            <w:tcW w:w="3680" w:type="dxa"/>
            <w:vMerge/>
            <w:tcBorders>
              <w:left w:val="single" w:sz="6" w:space="0" w:color="000000"/>
              <w:bottom w:val="single" w:sz="6" w:space="0" w:color="000000"/>
              <w:right w:val="single" w:sz="6" w:space="0" w:color="000000"/>
            </w:tcBorders>
          </w:tcPr>
          <w:p>
            <w:pP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w w:val="95"/>
                <w:sz w:val="18"/>
              </w:rPr>
              <w:t>-441,860,478.14</w:t>
            </w:r>
            <w:r>
              <w:rPr>
                <w:rFonts w:ascii="Times New Roman"/>
                <w:sz w:val="18"/>
              </w:rPr>
            </w:r>
          </w:p>
        </w:tc>
      </w:tr>
    </w:tbl>
    <w:p>
      <w:pPr>
        <w:pStyle w:val="BodyText"/>
        <w:tabs>
          <w:tab w:pos="561" w:val="left" w:leader="none"/>
        </w:tabs>
        <w:spacing w:line="240" w:lineRule="auto" w:before="14"/>
        <w:ind w:right="1105"/>
        <w:jc w:val="left"/>
      </w:pPr>
      <w:r>
        <w:rPr>
          <w:rFonts w:ascii="Times New Roman" w:hAnsi="Times New Roman" w:cs="Times New Roman" w:eastAsia="Times New Roman" w:hint="default"/>
          <w:spacing w:val="-3"/>
        </w:rPr>
        <w:t>(ii)</w:t>
        <w:tab/>
      </w:r>
      <w:r>
        <w:rPr/>
        <w:t>对公司资产负债表的影响列示如下：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tbl>
      <w:tblPr>
        <w:tblW w:w="0" w:type="auto"/>
        <w:jc w:val="left"/>
        <w:tblInd w:w="126" w:type="dxa"/>
        <w:tblLayout w:type="fixed"/>
        <w:tblCellMar>
          <w:top w:w="0" w:type="dxa"/>
          <w:left w:w="0" w:type="dxa"/>
          <w:bottom w:w="0" w:type="dxa"/>
          <w:right w:w="0" w:type="dxa"/>
        </w:tblCellMar>
        <w:tblLook w:val="01E0"/>
      </w:tblPr>
      <w:tblGrid>
        <w:gridCol w:w="3680"/>
        <w:gridCol w:w="2253"/>
        <w:gridCol w:w="2598"/>
      </w:tblGrid>
      <w:tr>
        <w:trPr>
          <w:trHeight w:val="360" w:hRule="exact"/>
        </w:trPr>
        <w:tc>
          <w:tcPr>
            <w:tcW w:w="3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日影响金额</w:t>
            </w:r>
          </w:p>
        </w:tc>
      </w:tr>
      <w:tr>
        <w:trPr>
          <w:trHeight w:val="421" w:hRule="exact"/>
        </w:trPr>
        <w:tc>
          <w:tcPr>
            <w:tcW w:w="3680" w:type="dxa"/>
            <w:vMerge w:val="restart"/>
            <w:tcBorders>
              <w:top w:val="single" w:sz="6" w:space="0" w:color="000000"/>
              <w:left w:val="single" w:sz="6" w:space="0" w:color="000000"/>
              <w:right w:val="single" w:sz="6" w:space="0" w:color="000000"/>
            </w:tcBorders>
          </w:tcPr>
          <w:p>
            <w:pPr>
              <w:pStyle w:val="TableParagraph"/>
              <w:spacing w:line="321" w:lineRule="auto"/>
              <w:ind w:right="18"/>
              <w:jc w:val="left"/>
              <w:rPr>
                <w:rFonts w:ascii="宋体" w:hAnsi="宋体" w:cs="宋体" w:eastAsia="宋体" w:hint="default"/>
                <w:sz w:val="18"/>
                <w:szCs w:val="18"/>
              </w:rPr>
            </w:pPr>
            <w:r>
              <w:rPr>
                <w:rFonts w:ascii="宋体" w:hAnsi="宋体" w:cs="宋体" w:eastAsia="宋体" w:hint="default"/>
                <w:spacing w:val="2"/>
                <w:sz w:val="18"/>
                <w:szCs w:val="18"/>
              </w:rPr>
              <w:t>本公司将应收票据及应收账款项目分拆为应收</w:t>
            </w:r>
            <w:r>
              <w:rPr>
                <w:rFonts w:ascii="宋体" w:hAnsi="宋体" w:cs="宋体" w:eastAsia="宋体" w:hint="default"/>
                <w:sz w:val="18"/>
                <w:szCs w:val="18"/>
              </w:rPr>
              <w:t> 账款项目和应收款项票据项目。</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832,820,119.95</w:t>
            </w:r>
          </w:p>
        </w:tc>
      </w:tr>
      <w:tr>
        <w:trPr>
          <w:trHeight w:val="420" w:hRule="exact"/>
        </w:trPr>
        <w:tc>
          <w:tcPr>
            <w:tcW w:w="3680" w:type="dxa"/>
            <w:vMerge/>
            <w:tcBorders>
              <w:left w:val="single" w:sz="6" w:space="0" w:color="000000"/>
              <w:right w:val="single" w:sz="6" w:space="0" w:color="000000"/>
            </w:tcBorders>
          </w:tcPr>
          <w:p>
            <w:pP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42,249,473.53</w:t>
            </w:r>
          </w:p>
        </w:tc>
      </w:tr>
      <w:tr>
        <w:trPr>
          <w:trHeight w:val="435" w:hRule="exact"/>
        </w:trPr>
        <w:tc>
          <w:tcPr>
            <w:tcW w:w="3680" w:type="dxa"/>
            <w:vMerge/>
            <w:tcBorders>
              <w:left w:val="single" w:sz="6" w:space="0" w:color="000000"/>
              <w:bottom w:val="single" w:sz="6" w:space="0" w:color="000000"/>
              <w:right w:val="single" w:sz="6" w:space="0" w:color="000000"/>
            </w:tcBorders>
          </w:tcPr>
          <w:p>
            <w:pP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w w:val="95"/>
                <w:sz w:val="18"/>
              </w:rPr>
              <w:t>-875,069,593.48</w:t>
            </w:r>
            <w:r>
              <w:rPr>
                <w:rFonts w:ascii="Times New Roman"/>
                <w:sz w:val="18"/>
              </w:rPr>
            </w:r>
          </w:p>
        </w:tc>
      </w:tr>
      <w:tr>
        <w:trPr>
          <w:trHeight w:val="421" w:hRule="exact"/>
        </w:trPr>
        <w:tc>
          <w:tcPr>
            <w:tcW w:w="3680" w:type="dxa"/>
            <w:vMerge w:val="restart"/>
            <w:tcBorders>
              <w:top w:val="single" w:sz="6" w:space="0" w:color="000000"/>
              <w:left w:val="single" w:sz="6" w:space="0" w:color="000000"/>
              <w:right w:val="single" w:sz="6" w:space="0" w:color="000000"/>
            </w:tcBorders>
          </w:tcPr>
          <w:p>
            <w:pPr>
              <w:pStyle w:val="TableParagraph"/>
              <w:spacing w:line="304" w:lineRule="auto" w:before="15"/>
              <w:ind w:right="18"/>
              <w:jc w:val="left"/>
              <w:rPr>
                <w:rFonts w:ascii="宋体" w:hAnsi="宋体" w:cs="宋体" w:eastAsia="宋体" w:hint="default"/>
                <w:sz w:val="18"/>
                <w:szCs w:val="18"/>
              </w:rPr>
            </w:pPr>
            <w:r>
              <w:rPr>
                <w:rFonts w:ascii="宋体" w:hAnsi="宋体" w:cs="宋体" w:eastAsia="宋体" w:hint="default"/>
                <w:spacing w:val="2"/>
                <w:sz w:val="18"/>
                <w:szCs w:val="18"/>
              </w:rPr>
              <w:t>本公司将应付票据及应付账款项目分拆为应付</w:t>
            </w:r>
            <w:r>
              <w:rPr>
                <w:rFonts w:ascii="宋体" w:hAnsi="宋体" w:cs="宋体" w:eastAsia="宋体" w:hint="default"/>
                <w:sz w:val="18"/>
                <w:szCs w:val="18"/>
              </w:rPr>
              <w:t> 账款项目和应付票据项目。</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214,572,721.10</w:t>
            </w:r>
          </w:p>
        </w:tc>
      </w:tr>
      <w:tr>
        <w:trPr>
          <w:trHeight w:val="435" w:hRule="exact"/>
        </w:trPr>
        <w:tc>
          <w:tcPr>
            <w:tcW w:w="3680" w:type="dxa"/>
            <w:vMerge/>
            <w:tcBorders>
              <w:left w:val="single" w:sz="6" w:space="0" w:color="000000"/>
              <w:right w:val="single" w:sz="6" w:space="0" w:color="000000"/>
            </w:tcBorders>
          </w:tcPr>
          <w:p>
            <w:pP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98" w:type="dxa"/>
            <w:tcBorders>
              <w:top w:val="single" w:sz="6" w:space="0" w:color="000000"/>
              <w:left w:val="single" w:sz="6" w:space="0" w:color="000000"/>
              <w:bottom w:val="single" w:sz="6" w:space="0" w:color="000000"/>
              <w:right w:val="single" w:sz="6" w:space="0" w:color="000000"/>
            </w:tcBorders>
          </w:tcPr>
          <w:p>
            <w:pPr/>
          </w:p>
        </w:tc>
      </w:tr>
      <w:tr>
        <w:trPr>
          <w:trHeight w:val="420" w:hRule="exact"/>
        </w:trPr>
        <w:tc>
          <w:tcPr>
            <w:tcW w:w="3680" w:type="dxa"/>
            <w:vMerge/>
            <w:tcBorders>
              <w:left w:val="single" w:sz="6" w:space="0" w:color="000000"/>
              <w:bottom w:val="single" w:sz="6" w:space="0" w:color="000000"/>
              <w:right w:val="single" w:sz="6" w:space="0" w:color="000000"/>
            </w:tcBorders>
          </w:tcPr>
          <w:p>
            <w:pP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w w:val="95"/>
                <w:sz w:val="18"/>
              </w:rPr>
              <w:t>-214,572,721.10</w:t>
            </w:r>
            <w:r>
              <w:rPr>
                <w:rFonts w:ascii="Times New Roman"/>
                <w:sz w:val="18"/>
              </w:rPr>
            </w:r>
          </w:p>
        </w:tc>
      </w:tr>
    </w:tbl>
    <w:p>
      <w:pPr>
        <w:spacing w:line="240" w:lineRule="auto" w:before="11"/>
        <w:rPr>
          <w:rFonts w:ascii="宋体" w:hAnsi="宋体" w:cs="宋体" w:eastAsia="宋体" w:hint="default"/>
          <w:sz w:val="21"/>
          <w:szCs w:val="21"/>
        </w:rPr>
      </w:pPr>
    </w:p>
    <w:p>
      <w:pPr>
        <w:pStyle w:val="BodyText"/>
        <w:spacing w:line="607" w:lineRule="auto" w:before="44"/>
        <w:ind w:right="1105"/>
        <w:jc w:val="left"/>
      </w:pPr>
      <w:r>
        <w:rPr>
          <w:rFonts w:ascii="Times New Roman" w:hAnsi="Times New Roman" w:cs="Times New Roman" w:eastAsia="Times New Roman" w:hint="default"/>
        </w:rPr>
        <w:t>(b)</w:t>
      </w:r>
      <w:r>
        <w:rPr/>
        <w:t>金融工具</w:t>
      </w:r>
      <w:r>
        <w:rPr>
          <w:w w:val="99"/>
        </w:rPr>
        <w:t> </w:t>
      </w:r>
      <w:r>
        <w:rPr>
          <w:rFonts w:ascii="Times New Roman" w:hAnsi="Times New Roman" w:cs="Times New Roman" w:eastAsia="Times New Roman" w:hint="default"/>
          <w:spacing w:val="-2"/>
          <w:w w:val="99"/>
        </w:rPr>
        <w:t>(i)</w:t>
      </w:r>
      <w:r>
        <w:rPr>
          <w:spacing w:val="-2"/>
          <w:w w:val="99"/>
        </w:rPr>
        <w:t>于</w:t>
      </w:r>
      <w:r>
        <w:rPr>
          <w:rFonts w:ascii="Times New Roman" w:hAnsi="Times New Roman" w:cs="Times New Roman" w:eastAsia="Times New Roman" w:hint="default"/>
          <w:spacing w:val="-2"/>
          <w:w w:val="99"/>
        </w:rPr>
        <w:t>2019</w:t>
      </w:r>
      <w:r>
        <w:rPr>
          <w:spacing w:val="-2"/>
          <w:w w:val="99"/>
        </w:rPr>
        <w:t>年</w:t>
      </w:r>
      <w:r>
        <w:rPr>
          <w:rFonts w:ascii="Times New Roman" w:hAnsi="Times New Roman" w:cs="Times New Roman" w:eastAsia="Times New Roman" w:hint="default"/>
          <w:spacing w:val="-2"/>
          <w:w w:val="99"/>
        </w:rPr>
        <w:t>1</w:t>
      </w:r>
      <w:r>
        <w:rPr>
          <w:spacing w:val="-2"/>
          <w:w w:val="99"/>
        </w:rPr>
        <w:t>月</w:t>
      </w:r>
      <w:r>
        <w:rPr>
          <w:rFonts w:ascii="Times New Roman" w:hAnsi="Times New Roman" w:cs="Times New Roman" w:eastAsia="Times New Roman" w:hint="default"/>
          <w:spacing w:val="-2"/>
          <w:w w:val="99"/>
        </w:rPr>
        <w:t>1</w:t>
      </w:r>
      <w:r>
        <w:rPr>
          <w:spacing w:val="-2"/>
          <w:w w:val="99"/>
        </w:rPr>
        <w:t>日，本集团合并财务报表中金融资产按照原金融工具准则和新金融工具准则的规定进行分类和计量的结果对</w:t>
      </w:r>
      <w:r>
        <w:rPr>
          <w:spacing w:val="-2"/>
        </w:rPr>
      </w:r>
    </w:p>
    <w:p>
      <w:pPr>
        <w:spacing w:after="0" w:line="607"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1105"/>
        <w:jc w:val="left"/>
      </w:pPr>
      <w:r>
        <w:rPr/>
        <w:t>比表：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26" w:type="dxa"/>
        <w:tblLayout w:type="fixed"/>
        <w:tblCellMar>
          <w:top w:w="0" w:type="dxa"/>
          <w:left w:w="0" w:type="dxa"/>
          <w:bottom w:w="0" w:type="dxa"/>
          <w:right w:w="0" w:type="dxa"/>
        </w:tblCellMar>
        <w:tblLook w:val="01E0"/>
      </w:tblPr>
      <w:tblGrid>
        <w:gridCol w:w="1217"/>
        <w:gridCol w:w="1277"/>
        <w:gridCol w:w="1472"/>
        <w:gridCol w:w="1396"/>
        <w:gridCol w:w="1697"/>
        <w:gridCol w:w="1472"/>
      </w:tblGrid>
      <w:tr>
        <w:trPr>
          <w:trHeight w:val="345" w:hRule="exact"/>
        </w:trPr>
        <w:tc>
          <w:tcPr>
            <w:tcW w:w="3965" w:type="dxa"/>
            <w:gridSpan w:val="3"/>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4565" w:type="dxa"/>
            <w:gridSpan w:val="3"/>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73"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45"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21"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1,302,866,699.75</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1,302,866,699.75</w:t>
            </w:r>
          </w:p>
        </w:tc>
      </w:tr>
      <w:tr>
        <w:trPr>
          <w:trHeight w:val="1606"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
              <w:ind w:right="14"/>
              <w:jc w:val="both"/>
              <w:rPr>
                <w:rFonts w:ascii="宋体" w:hAnsi="宋体" w:cs="宋体" w:eastAsia="宋体" w:hint="default"/>
                <w:sz w:val="18"/>
                <w:szCs w:val="18"/>
              </w:rPr>
            </w:pPr>
            <w:r>
              <w:rPr>
                <w:rFonts w:ascii="宋体" w:hAnsi="宋体" w:cs="宋体" w:eastAsia="宋体" w:hint="default"/>
                <w:spacing w:val="9"/>
                <w:sz w:val="18"/>
                <w:szCs w:val="18"/>
              </w:rPr>
              <w:t>以公允</w:t>
            </w:r>
            <w:r>
              <w:rPr>
                <w:rFonts w:ascii="宋体" w:hAnsi="宋体" w:cs="宋体" w:eastAsia="宋体" w:hint="default"/>
                <w:spacing w:val="-60"/>
                <w:sz w:val="18"/>
                <w:szCs w:val="18"/>
              </w:rPr>
              <w:t> </w:t>
            </w:r>
            <w:r>
              <w:rPr>
                <w:rFonts w:ascii="宋体" w:hAnsi="宋体" w:cs="宋体" w:eastAsia="宋体" w:hint="default"/>
                <w:spacing w:val="9"/>
                <w:sz w:val="18"/>
                <w:szCs w:val="18"/>
              </w:rPr>
              <w:t>价值计</w:t>
            </w:r>
            <w:r>
              <w:rPr>
                <w:rFonts w:ascii="宋体" w:hAnsi="宋体" w:cs="宋体" w:eastAsia="宋体" w:hint="default"/>
                <w:sz w:val="18"/>
                <w:szCs w:val="18"/>
              </w:rPr>
              <w:t> </w:t>
            </w:r>
            <w:r>
              <w:rPr>
                <w:rFonts w:ascii="宋体" w:hAnsi="宋体" w:cs="宋体" w:eastAsia="宋体" w:hint="default"/>
                <w:spacing w:val="9"/>
                <w:sz w:val="18"/>
                <w:szCs w:val="18"/>
              </w:rPr>
              <w:t>量且其</w:t>
            </w:r>
            <w:r>
              <w:rPr>
                <w:rFonts w:ascii="宋体" w:hAnsi="宋体" w:cs="宋体" w:eastAsia="宋体" w:hint="default"/>
                <w:spacing w:val="-60"/>
                <w:sz w:val="18"/>
                <w:szCs w:val="18"/>
              </w:rPr>
              <w:t> </w:t>
            </w:r>
            <w:r>
              <w:rPr>
                <w:rFonts w:ascii="宋体" w:hAnsi="宋体" w:cs="宋体" w:eastAsia="宋体" w:hint="default"/>
                <w:spacing w:val="9"/>
                <w:sz w:val="18"/>
                <w:szCs w:val="18"/>
              </w:rPr>
              <w:t>变动计</w:t>
            </w:r>
            <w:r>
              <w:rPr>
                <w:rFonts w:ascii="宋体" w:hAnsi="宋体" w:cs="宋体" w:eastAsia="宋体" w:hint="default"/>
                <w:sz w:val="18"/>
                <w:szCs w:val="18"/>
              </w:rPr>
              <w:t> </w:t>
            </w:r>
            <w:r>
              <w:rPr>
                <w:rFonts w:ascii="宋体" w:hAnsi="宋体" w:cs="宋体" w:eastAsia="宋体" w:hint="default"/>
                <w:spacing w:val="9"/>
                <w:sz w:val="18"/>
                <w:szCs w:val="18"/>
              </w:rPr>
              <w:t>入当期</w:t>
            </w:r>
            <w:r>
              <w:rPr>
                <w:rFonts w:ascii="宋体" w:hAnsi="宋体" w:cs="宋体" w:eastAsia="宋体" w:hint="default"/>
                <w:spacing w:val="-60"/>
                <w:sz w:val="18"/>
                <w:szCs w:val="18"/>
              </w:rPr>
              <w:t> </w:t>
            </w:r>
            <w:r>
              <w:rPr>
                <w:rFonts w:ascii="宋体" w:hAnsi="宋体" w:cs="宋体" w:eastAsia="宋体" w:hint="default"/>
                <w:spacing w:val="9"/>
                <w:sz w:val="18"/>
                <w:szCs w:val="18"/>
              </w:rPr>
              <w:t>损益的</w:t>
            </w:r>
            <w:r>
              <w:rPr>
                <w:rFonts w:ascii="宋体" w:hAnsi="宋体" w:cs="宋体" w:eastAsia="宋体" w:hint="default"/>
                <w:sz w:val="18"/>
                <w:szCs w:val="18"/>
              </w:rPr>
              <w:t> </w:t>
            </w:r>
            <w:r>
              <w:rPr>
                <w:rFonts w:ascii="宋体" w:hAnsi="宋体" w:cs="宋体" w:eastAsia="宋体" w:hint="default"/>
                <w:spacing w:val="-11"/>
                <w:sz w:val="18"/>
                <w:szCs w:val="18"/>
              </w:rPr>
              <w:t>金融资产（含其</w:t>
            </w:r>
            <w:r>
              <w:rPr>
                <w:rFonts w:ascii="宋体" w:hAnsi="宋体" w:cs="宋体" w:eastAsia="宋体" w:hint="default"/>
                <w:sz w:val="18"/>
                <w:szCs w:val="18"/>
              </w:rPr>
              <w:t> 他非流动资产</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1"/>
              <w:jc w:val="both"/>
              <w:rPr>
                <w:rFonts w:ascii="宋体" w:hAnsi="宋体" w:cs="宋体" w:eastAsia="宋体" w:hint="default"/>
                <w:sz w:val="18"/>
                <w:szCs w:val="18"/>
              </w:rPr>
            </w:pPr>
            <w:r>
              <w:rPr>
                <w:rFonts w:ascii="宋体" w:hAnsi="宋体" w:cs="宋体" w:eastAsia="宋体" w:hint="default"/>
                <w:sz w:val="18"/>
                <w:szCs w:val="18"/>
              </w:rPr>
              <w:t>以公允价值计量 且其变动计入当 期损益</w:t>
            </w: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90,007,207.97</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left="14" w:right="0"/>
              <w:jc w:val="left"/>
              <w:rPr>
                <w:rFonts w:ascii="宋体" w:hAnsi="宋体" w:cs="宋体" w:eastAsia="宋体" w:hint="default"/>
                <w:sz w:val="18"/>
                <w:szCs w:val="18"/>
              </w:rPr>
            </w:pPr>
            <w:r>
              <w:rPr>
                <w:rFonts w:ascii="宋体" w:hAnsi="宋体" w:cs="宋体" w:eastAsia="宋体" w:hint="default"/>
                <w:spacing w:val="15"/>
                <w:sz w:val="18"/>
                <w:szCs w:val="18"/>
              </w:rPr>
              <w:t>其他非流动金融 </w:t>
            </w:r>
            <w:r>
              <w:rPr>
                <w:rFonts w:ascii="宋体" w:hAnsi="宋体" w:cs="宋体" w:eastAsia="宋体" w:hint="default"/>
                <w:sz w:val="18"/>
                <w:szCs w:val="18"/>
              </w:rPr>
              <w:t>资产</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15"/>
              <w:jc w:val="left"/>
              <w:rPr>
                <w:rFonts w:ascii="宋体" w:hAnsi="宋体" w:cs="宋体" w:eastAsia="宋体" w:hint="default"/>
                <w:sz w:val="18"/>
                <w:szCs w:val="18"/>
              </w:rPr>
            </w:pPr>
            <w:r>
              <w:rPr>
                <w:rFonts w:ascii="宋体" w:hAnsi="宋体" w:cs="宋体" w:eastAsia="宋体" w:hint="default"/>
                <w:spacing w:val="4"/>
                <w:sz w:val="18"/>
                <w:szCs w:val="18"/>
              </w:rPr>
              <w:t>以公允价值计量且其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变动计入当期损益</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90,007,207.97</w:t>
            </w:r>
          </w:p>
        </w:tc>
      </w:tr>
      <w:tr>
        <w:trPr>
          <w:trHeight w:val="420"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108,303,954.53</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108,303,954.53</w:t>
            </w:r>
          </w:p>
        </w:tc>
      </w:tr>
      <w:tr>
        <w:trPr>
          <w:trHeight w:val="436"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1,422,555,177.11</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1,422,555,177.11</w:t>
            </w:r>
          </w:p>
        </w:tc>
      </w:tr>
      <w:tr>
        <w:trPr>
          <w:trHeight w:val="421"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51,954,289.91</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51,954,289.91</w:t>
            </w:r>
          </w:p>
        </w:tc>
      </w:tr>
      <w:tr>
        <w:trPr>
          <w:trHeight w:val="1291"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30"/>
              <w:jc w:val="left"/>
              <w:rPr>
                <w:rFonts w:ascii="宋体" w:hAnsi="宋体" w:cs="宋体" w:eastAsia="宋体" w:hint="default"/>
                <w:sz w:val="18"/>
                <w:szCs w:val="18"/>
              </w:rPr>
            </w:pPr>
            <w:r>
              <w:rPr>
                <w:rFonts w:ascii="宋体" w:hAnsi="宋体" w:cs="宋体" w:eastAsia="宋体" w:hint="default"/>
                <w:spacing w:val="9"/>
                <w:sz w:val="18"/>
                <w:szCs w:val="18"/>
              </w:rPr>
              <w:t>可供出</w:t>
            </w:r>
            <w:r>
              <w:rPr>
                <w:rFonts w:ascii="宋体" w:hAnsi="宋体" w:cs="宋体" w:eastAsia="宋体" w:hint="default"/>
                <w:spacing w:val="-59"/>
                <w:sz w:val="18"/>
                <w:szCs w:val="18"/>
              </w:rPr>
              <w:t> </w:t>
            </w:r>
            <w:r>
              <w:rPr>
                <w:rFonts w:ascii="宋体" w:hAnsi="宋体" w:cs="宋体" w:eastAsia="宋体" w:hint="default"/>
                <w:spacing w:val="9"/>
                <w:sz w:val="18"/>
                <w:szCs w:val="18"/>
              </w:rPr>
              <w:t>售金融</w:t>
            </w:r>
            <w:r>
              <w:rPr>
                <w:rFonts w:ascii="宋体" w:hAnsi="宋体" w:cs="宋体" w:eastAsia="宋体" w:hint="default"/>
                <w:sz w:val="18"/>
                <w:szCs w:val="18"/>
              </w:rPr>
              <w:t> 资产</w:t>
            </w:r>
          </w:p>
          <w:p>
            <w:pPr>
              <w:pStyle w:val="TableParagraph"/>
              <w:spacing w:line="321" w:lineRule="auto" w:before="3"/>
              <w:ind w:right="30"/>
              <w:jc w:val="left"/>
              <w:rPr>
                <w:rFonts w:ascii="宋体" w:hAnsi="宋体" w:cs="宋体" w:eastAsia="宋体" w:hint="default"/>
                <w:sz w:val="18"/>
                <w:szCs w:val="18"/>
              </w:rPr>
            </w:pPr>
            <w:r>
              <w:rPr>
                <w:rFonts w:ascii="宋体" w:hAnsi="宋体" w:cs="宋体" w:eastAsia="宋体" w:hint="default"/>
                <w:spacing w:val="9"/>
                <w:sz w:val="18"/>
                <w:szCs w:val="18"/>
              </w:rPr>
              <w:t>（含其</w:t>
            </w:r>
            <w:r>
              <w:rPr>
                <w:rFonts w:ascii="宋体" w:hAnsi="宋体" w:cs="宋体" w:eastAsia="宋体" w:hint="default"/>
                <w:spacing w:val="-59"/>
                <w:sz w:val="18"/>
                <w:szCs w:val="18"/>
              </w:rPr>
              <w:t> </w:t>
            </w:r>
            <w:r>
              <w:rPr>
                <w:rFonts w:ascii="宋体" w:hAnsi="宋体" w:cs="宋体" w:eastAsia="宋体" w:hint="default"/>
                <w:spacing w:val="9"/>
                <w:sz w:val="18"/>
                <w:szCs w:val="18"/>
              </w:rPr>
              <w:t>他流动</w:t>
            </w:r>
            <w:r>
              <w:rPr>
                <w:rFonts w:ascii="宋体" w:hAnsi="宋体" w:cs="宋体" w:eastAsia="宋体" w:hint="default"/>
                <w:sz w:val="18"/>
                <w:szCs w:val="18"/>
              </w:rPr>
              <w:t> 资产）</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4"/>
              <w:ind w:right="1"/>
              <w:jc w:val="both"/>
              <w:rPr>
                <w:rFonts w:ascii="宋体" w:hAnsi="宋体" w:cs="宋体" w:eastAsia="宋体" w:hint="default"/>
                <w:sz w:val="18"/>
                <w:szCs w:val="18"/>
              </w:rPr>
            </w:pPr>
            <w:r>
              <w:rPr>
                <w:rFonts w:ascii="宋体" w:hAnsi="宋体" w:cs="宋体" w:eastAsia="宋体" w:hint="default"/>
                <w:sz w:val="18"/>
                <w:szCs w:val="18"/>
              </w:rPr>
              <w:t>以公允价值计量 且其变动计入其 他综合收益</w:t>
            </w:r>
          </w:p>
          <w:p>
            <w:pPr>
              <w:pStyle w:val="TableParagraph"/>
              <w:spacing w:line="240" w:lineRule="auto" w:before="24"/>
              <w:ind w:right="0"/>
              <w:jc w:val="both"/>
              <w:rPr>
                <w:rFonts w:ascii="宋体" w:hAnsi="宋体" w:cs="宋体" w:eastAsia="宋体" w:hint="default"/>
                <w:sz w:val="18"/>
                <w:szCs w:val="18"/>
              </w:rPr>
            </w:pPr>
            <w:r>
              <w:rPr>
                <w:rFonts w:ascii="宋体" w:hAnsi="宋体" w:cs="宋体" w:eastAsia="宋体" w:hint="default"/>
                <w:sz w:val="18"/>
                <w:szCs w:val="18"/>
              </w:rPr>
              <w:t>（权益工具）</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201,509,166.66</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15"/>
              <w:jc w:val="left"/>
              <w:rPr>
                <w:rFonts w:ascii="宋体" w:hAnsi="宋体" w:cs="宋体" w:eastAsia="宋体" w:hint="default"/>
                <w:sz w:val="18"/>
                <w:szCs w:val="18"/>
              </w:rPr>
            </w:pPr>
            <w:r>
              <w:rPr>
                <w:rFonts w:ascii="宋体" w:hAnsi="宋体" w:cs="宋体" w:eastAsia="宋体" w:hint="default"/>
                <w:spacing w:val="4"/>
                <w:sz w:val="18"/>
                <w:szCs w:val="18"/>
              </w:rPr>
              <w:t>以公允价值计量且其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变动计入当期损益</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201,509,166.66</w:t>
            </w:r>
          </w:p>
        </w:tc>
      </w:tr>
    </w:tbl>
    <w:p>
      <w:pPr>
        <w:pStyle w:val="BodyText"/>
        <w:spacing w:line="240" w:lineRule="auto" w:before="14"/>
        <w:ind w:right="1105"/>
        <w:jc w:val="left"/>
      </w:pPr>
      <w:r>
        <w:rPr>
          <w:rFonts w:ascii="Times New Roman" w:hAnsi="Times New Roman" w:cs="Times New Roman" w:eastAsia="Times New Roman" w:hint="default"/>
        </w:rPr>
        <w:t>(i)</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日，本公司财务报表执行新金融工具准则调整执行当年年初财务报表相关项目情况：</w:t>
      </w:r>
    </w:p>
    <w:p>
      <w:pPr>
        <w:spacing w:line="240" w:lineRule="auto" w:before="11"/>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1217"/>
        <w:gridCol w:w="961"/>
        <w:gridCol w:w="1788"/>
        <w:gridCol w:w="1396"/>
        <w:gridCol w:w="1232"/>
        <w:gridCol w:w="1937"/>
      </w:tblGrid>
      <w:tr>
        <w:trPr>
          <w:trHeight w:val="345" w:hRule="exact"/>
        </w:trPr>
        <w:tc>
          <w:tcPr>
            <w:tcW w:w="396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456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3"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45"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36"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800,643,359.22</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800,643,359.22</w:t>
            </w:r>
          </w:p>
        </w:tc>
      </w:tr>
      <w:tr>
        <w:trPr>
          <w:trHeight w:val="421"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832,820,119.95</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832,820,119.95</w:t>
            </w:r>
          </w:p>
        </w:tc>
      </w:tr>
      <w:tr>
        <w:trPr>
          <w:trHeight w:val="435"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1"/>
              <w:jc w:val="right"/>
              <w:rPr>
                <w:rFonts w:ascii="Times New Roman" w:hAnsi="Times New Roman" w:cs="Times New Roman" w:eastAsia="Times New Roman" w:hint="default"/>
                <w:sz w:val="18"/>
                <w:szCs w:val="18"/>
              </w:rPr>
            </w:pPr>
            <w:r>
              <w:rPr>
                <w:rFonts w:ascii="Times New Roman"/>
                <w:sz w:val="18"/>
              </w:rPr>
              <w:t>117,904,450.72</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1"/>
              <w:jc w:val="right"/>
              <w:rPr>
                <w:rFonts w:ascii="Times New Roman" w:hAnsi="Times New Roman" w:cs="Times New Roman" w:eastAsia="Times New Roman" w:hint="default"/>
                <w:sz w:val="18"/>
                <w:szCs w:val="18"/>
              </w:rPr>
            </w:pPr>
            <w:r>
              <w:rPr>
                <w:rFonts w:ascii="Times New Roman"/>
                <w:sz w:val="18"/>
              </w:rPr>
              <w:t>117,904,450.72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90" w:lineRule="auto" w:before="44"/>
        <w:ind w:right="1105"/>
        <w:jc w:val="left"/>
      </w:pPr>
      <w:r>
        <w:rPr>
          <w:rFonts w:ascii="Times New Roman" w:hAnsi="Times New Roman" w:cs="Times New Roman" w:eastAsia="Times New Roman" w:hint="default"/>
        </w:rPr>
        <w:t>(i)</w:t>
      </w:r>
      <w:r>
        <w:rPr>
          <w:rFonts w:ascii="Times New Roman" w:hAnsi="Times New Roman" w:cs="Times New Roman" w:eastAsia="Times New Roman" w:hint="default"/>
          <w:spacing w:val="7"/>
        </w:rPr>
        <w:t> </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日，本集团根据新金融工具准则下的计量类别，将原金融资产账面价值调整为新金融工具准则下的账面价</w:t>
      </w:r>
      <w:r>
        <w:rPr>
          <w:w w:val="99"/>
        </w:rPr>
        <w:t> </w:t>
      </w:r>
      <w:r>
        <w:rPr/>
        <w:t>值的调节表：</w:t>
      </w:r>
    </w:p>
    <w:p>
      <w:pPr>
        <w:spacing w:line="240" w:lineRule="auto" w:before="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7510"/>
        <w:gridCol w:w="1021"/>
      </w:tblGrid>
      <w:tr>
        <w:trPr>
          <w:trHeight w:val="345" w:hRule="exact"/>
        </w:trPr>
        <w:tc>
          <w:tcPr>
            <w:tcW w:w="7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新金融工具准则下的计量类别</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15" w:right="0"/>
              <w:jc w:val="left"/>
              <w:rPr>
                <w:rFonts w:ascii="宋体" w:hAnsi="宋体" w:cs="宋体" w:eastAsia="宋体" w:hint="default"/>
                <w:sz w:val="18"/>
                <w:szCs w:val="18"/>
              </w:rPr>
            </w:pPr>
            <w:r>
              <w:rPr>
                <w:rFonts w:ascii="宋体" w:hAnsi="宋体" w:cs="宋体" w:eastAsia="宋体" w:hint="default"/>
                <w:sz w:val="18"/>
                <w:szCs w:val="18"/>
              </w:rPr>
              <w:t>注释</w:t>
            </w:r>
          </w:p>
        </w:tc>
      </w:tr>
      <w:tr>
        <w:trPr>
          <w:trHeight w:val="346" w:hRule="exact"/>
        </w:trPr>
        <w:tc>
          <w:tcPr>
            <w:tcW w:w="7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表</w:t>
            </w:r>
            <w:r>
              <w:rPr>
                <w:rFonts w:ascii="Times New Roman" w:hAnsi="Times New Roman" w:cs="Times New Roman" w:eastAsia="Times New Roman" w:hint="default"/>
                <w:sz w:val="18"/>
                <w:szCs w:val="18"/>
              </w:rPr>
              <w:t>1</w:t>
            </w:r>
          </w:p>
        </w:tc>
      </w:tr>
      <w:tr>
        <w:trPr>
          <w:trHeight w:val="345" w:hRule="exact"/>
        </w:trPr>
        <w:tc>
          <w:tcPr>
            <w:tcW w:w="7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表</w:t>
            </w:r>
            <w:r>
              <w:rPr>
                <w:rFonts w:ascii="Times New Roman" w:hAnsi="Times New Roman" w:cs="Times New Roman" w:eastAsia="Times New Roman" w:hint="default"/>
                <w:sz w:val="18"/>
                <w:szCs w:val="18"/>
              </w:rPr>
              <w:t>2</w:t>
            </w:r>
          </w:p>
        </w:tc>
      </w:tr>
    </w:tbl>
    <w:p>
      <w:pPr>
        <w:spacing w:line="240" w:lineRule="auto" w:before="11"/>
        <w:rPr>
          <w:rFonts w:ascii="宋体" w:hAnsi="宋体" w:cs="宋体" w:eastAsia="宋体" w:hint="default"/>
          <w:sz w:val="21"/>
          <w:szCs w:val="21"/>
        </w:rPr>
      </w:pPr>
    </w:p>
    <w:p>
      <w:pPr>
        <w:pStyle w:val="BodyText"/>
        <w:spacing w:line="240" w:lineRule="auto" w:before="44"/>
        <w:ind w:right="1105"/>
        <w:jc w:val="left"/>
      </w:pPr>
      <w:r>
        <w:rPr/>
        <w:t>表</w:t>
      </w:r>
      <w:r>
        <w:rPr>
          <w:rFonts w:ascii="Times New Roman" w:hAnsi="Times New Roman" w:cs="Times New Roman" w:eastAsia="Times New Roman" w:hint="default"/>
        </w:rPr>
        <w:t>1</w:t>
      </w:r>
      <w:r>
        <w:rPr/>
        <w:t>：新金融工具准则下以摊余成本计量的金融资产</w:t>
      </w:r>
    </w:p>
    <w:p>
      <w:pPr>
        <w:spacing w:line="240" w:lineRule="auto" w:before="12"/>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5347"/>
        <w:gridCol w:w="736"/>
        <w:gridCol w:w="2448"/>
      </w:tblGrid>
      <w:tr>
        <w:trPr>
          <w:trHeight w:val="345" w:hRule="exact"/>
        </w:trPr>
        <w:tc>
          <w:tcPr>
            <w:tcW w:w="5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80" w:right="0"/>
              <w:jc w:val="left"/>
              <w:rPr>
                <w:rFonts w:ascii="宋体" w:hAnsi="宋体" w:cs="宋体" w:eastAsia="宋体" w:hint="default"/>
                <w:sz w:val="18"/>
                <w:szCs w:val="18"/>
              </w:rPr>
            </w:pPr>
            <w:r>
              <w:rPr>
                <w:rFonts w:ascii="宋体" w:hAnsi="宋体" w:cs="宋体" w:eastAsia="宋体" w:hint="default"/>
                <w:sz w:val="18"/>
                <w:szCs w:val="18"/>
              </w:rPr>
              <w:t>注释</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35" w:hRule="exact"/>
        </w:trPr>
        <w:tc>
          <w:tcPr>
            <w:tcW w:w="5347"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r>
      <w:tr>
        <w:trPr>
          <w:trHeight w:val="420" w:hRule="exact"/>
        </w:trPr>
        <w:tc>
          <w:tcPr>
            <w:tcW w:w="5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1,302,866,699.75</w:t>
            </w:r>
          </w:p>
        </w:tc>
      </w:tr>
      <w:tr>
        <w:trPr>
          <w:trHeight w:val="436" w:hRule="exact"/>
        </w:trPr>
        <w:tc>
          <w:tcPr>
            <w:tcW w:w="5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1,302,866,699.75</w:t>
            </w:r>
          </w:p>
        </w:tc>
      </w:tr>
      <w:tr>
        <w:trPr>
          <w:trHeight w:val="420" w:hRule="exact"/>
        </w:trPr>
        <w:tc>
          <w:tcPr>
            <w:tcW w:w="5347"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r>
      <w:tr>
        <w:trPr>
          <w:trHeight w:val="435" w:hRule="exact"/>
        </w:trPr>
        <w:tc>
          <w:tcPr>
            <w:tcW w:w="5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应收款项</w:t>
            </w:r>
            <w:r>
              <w:rPr>
                <w:rFonts w:ascii="Times New Roman" w:hAnsi="Times New Roman" w:cs="Times New Roman" w:eastAsia="Times New Roman" w:hint="default"/>
                <w:sz w:val="18"/>
                <w:szCs w:val="18"/>
              </w:rPr>
              <w:t>(</w:t>
            </w:r>
            <w:r>
              <w:rPr>
                <w:rFonts w:ascii="宋体" w:hAnsi="宋体" w:cs="宋体" w:eastAsia="宋体" w:hint="default"/>
                <w:sz w:val="18"/>
                <w:szCs w:val="18"/>
              </w:rPr>
              <w:t>注释</w:t>
            </w:r>
            <w:r>
              <w:rPr>
                <w:rFonts w:ascii="Times New Roman" w:hAnsi="Times New Roman" w:cs="Times New Roman" w:eastAsia="Times New Roman" w:hint="default"/>
                <w:sz w:val="18"/>
                <w:szCs w:val="18"/>
              </w:rPr>
              <w:t>1)</w:t>
            </w:r>
          </w:p>
        </w:tc>
        <w:tc>
          <w:tcPr>
            <w:tcW w:w="736"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5347"/>
        <w:gridCol w:w="736"/>
        <w:gridCol w:w="2448"/>
      </w:tblGrid>
      <w:tr>
        <w:trPr>
          <w:trHeight w:val="420" w:hRule="exact"/>
        </w:trPr>
        <w:tc>
          <w:tcPr>
            <w:tcW w:w="5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1,582,813,421.55</w:t>
            </w:r>
          </w:p>
        </w:tc>
      </w:tr>
      <w:tr>
        <w:trPr>
          <w:trHeight w:val="435" w:hRule="exact"/>
        </w:trPr>
        <w:tc>
          <w:tcPr>
            <w:tcW w:w="5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重新计量：预期信用损失合计</w:t>
            </w:r>
          </w:p>
        </w:tc>
        <w:tc>
          <w:tcPr>
            <w:tcW w:w="736"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0" w:hRule="exact"/>
        </w:trPr>
        <w:tc>
          <w:tcPr>
            <w:tcW w:w="5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1,582,813,421.55</w:t>
            </w:r>
          </w:p>
        </w:tc>
      </w:tr>
      <w:tr>
        <w:trPr>
          <w:trHeight w:val="436" w:hRule="exact"/>
        </w:trPr>
        <w:tc>
          <w:tcPr>
            <w:tcW w:w="5347"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r>
      <w:tr>
        <w:trPr>
          <w:trHeight w:val="420" w:hRule="exact"/>
        </w:trPr>
        <w:tc>
          <w:tcPr>
            <w:tcW w:w="5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以摊余成本计量的金融资产合计（新金融工具准则）</w:t>
            </w:r>
          </w:p>
        </w:tc>
        <w:tc>
          <w:tcPr>
            <w:tcW w:w="736"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2,885,680,121.30</w:t>
            </w:r>
          </w:p>
        </w:tc>
      </w:tr>
    </w:tbl>
    <w:p>
      <w:pPr>
        <w:pStyle w:val="BodyText"/>
        <w:spacing w:line="607" w:lineRule="auto" w:before="15"/>
        <w:ind w:right="2019"/>
        <w:jc w:val="left"/>
      </w:pPr>
      <w:r>
        <w:rPr/>
        <w:pict>
          <v:shape style="position:absolute;margin-left:56.325001pt;margin-top:47.291737pt;width:427.65pt;height:126.8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32"/>
                    <w:gridCol w:w="736"/>
                    <w:gridCol w:w="2463"/>
                  </w:tblGrid>
                  <w:tr>
                    <w:trPr>
                      <w:trHeight w:val="345" w:hRule="exact"/>
                    </w:trPr>
                    <w:tc>
                      <w:tcPr>
                        <w:tcW w:w="5332"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0" w:right="0"/>
                          <w:jc w:val="left"/>
                          <w:rPr>
                            <w:rFonts w:ascii="宋体" w:hAnsi="宋体" w:cs="宋体" w:eastAsia="宋体" w:hint="default"/>
                            <w:sz w:val="18"/>
                            <w:szCs w:val="18"/>
                          </w:rPr>
                        </w:pPr>
                        <w:r>
                          <w:rPr>
                            <w:rFonts w:ascii="宋体" w:hAnsi="宋体" w:cs="宋体" w:eastAsia="宋体" w:hint="default"/>
                            <w:sz w:val="18"/>
                            <w:szCs w:val="18"/>
                          </w:rPr>
                          <w:t>注释</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661" w:hRule="exact"/>
                    </w:trPr>
                    <w:tc>
                      <w:tcPr>
                        <w:tcW w:w="5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95" w:right="0"/>
                          <w:jc w:val="left"/>
                          <w:rPr>
                            <w:rFonts w:ascii="宋体" w:hAnsi="宋体" w:cs="宋体" w:eastAsia="宋体" w:hint="default"/>
                            <w:sz w:val="18"/>
                            <w:szCs w:val="18"/>
                          </w:rPr>
                        </w:pPr>
                        <w:r>
                          <w:rPr>
                            <w:rFonts w:ascii="宋体" w:hAnsi="宋体" w:cs="宋体" w:eastAsia="宋体" w:hint="default"/>
                            <w:sz w:val="18"/>
                            <w:szCs w:val="18"/>
                          </w:rPr>
                          <w:t>其他非流动资产</w:t>
                        </w:r>
                      </w:p>
                      <w:p>
                        <w:pPr>
                          <w:pStyle w:val="TableParagraph"/>
                          <w:spacing w:line="240" w:lineRule="auto" w:before="8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8"/>
                          <w:jc w:val="center"/>
                          <w:rPr>
                            <w:rFonts w:ascii="Times New Roman" w:hAnsi="Times New Roman" w:cs="Times New Roman" w:eastAsia="Times New Roman" w:hint="default"/>
                            <w:sz w:val="18"/>
                            <w:szCs w:val="18"/>
                          </w:rPr>
                        </w:pPr>
                        <w:r>
                          <w:rPr>
                            <w:rFonts w:ascii="Times New Roman"/>
                            <w:spacing w:val="-6"/>
                            <w:sz w:val="18"/>
                          </w:rPr>
                          <w:t>i)</w:t>
                        </w:r>
                        <w:r>
                          <w:rPr>
                            <w:rFonts w:ascii="Times New Roman"/>
                            <w:sz w:val="18"/>
                          </w:rPr>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90,007,207.97</w:t>
                        </w:r>
                      </w:p>
                    </w:tc>
                  </w:tr>
                  <w:tr>
                    <w:trPr>
                      <w:trHeight w:val="420" w:hRule="exact"/>
                    </w:trPr>
                    <w:tc>
                      <w:tcPr>
                        <w:tcW w:w="53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0" w:right="0"/>
                          <w:jc w:val="left"/>
                          <w:rPr>
                            <w:rFonts w:ascii="宋体" w:hAnsi="宋体" w:cs="宋体" w:eastAsia="宋体" w:hint="default"/>
                            <w:sz w:val="18"/>
                            <w:szCs w:val="18"/>
                          </w:rPr>
                        </w:pPr>
                        <w:r>
                          <w:rPr>
                            <w:rFonts w:ascii="宋体" w:hAnsi="宋体" w:cs="宋体" w:eastAsia="宋体" w:hint="default"/>
                            <w:sz w:val="18"/>
                            <w:szCs w:val="18"/>
                          </w:rPr>
                          <w:t>加：自可供出售金融资产转入（原金融工具准则）</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80" w:right="0"/>
                          <w:jc w:val="left"/>
                          <w:rPr>
                            <w:rFonts w:ascii="Times New Roman" w:hAnsi="Times New Roman" w:cs="Times New Roman" w:eastAsia="Times New Roman" w:hint="default"/>
                            <w:sz w:val="18"/>
                            <w:szCs w:val="18"/>
                          </w:rPr>
                        </w:pPr>
                        <w:r>
                          <w:rPr>
                            <w:rFonts w:ascii="Times New Roman"/>
                            <w:spacing w:val="-6"/>
                            <w:sz w:val="18"/>
                          </w:rPr>
                          <w:t>ii)</w:t>
                        </w:r>
                        <w:r>
                          <w:rPr>
                            <w:rFonts w:ascii="Times New Roman"/>
                            <w:sz w:val="18"/>
                          </w:rPr>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201,509,166.66</w:t>
                        </w:r>
                      </w:p>
                    </w:tc>
                  </w:tr>
                  <w:tr>
                    <w:trPr>
                      <w:trHeight w:val="435" w:hRule="exact"/>
                    </w:trPr>
                    <w:tc>
                      <w:tcPr>
                        <w:tcW w:w="5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291,516,374.63</w:t>
                        </w:r>
                      </w:p>
                    </w:tc>
                  </w:tr>
                  <w:tr>
                    <w:trPr>
                      <w:trHeight w:val="660" w:hRule="exact"/>
                    </w:trPr>
                    <w:tc>
                      <w:tcPr>
                        <w:tcW w:w="533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95" w:right="35"/>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以公允价值计量且其变动计入当期损益的金融资产合计（新金融</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工具准则）</w:t>
                        </w:r>
                      </w:p>
                    </w:tc>
                    <w:tc>
                      <w:tcPr>
                        <w:tcW w:w="736"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291,516,374.63</w:t>
                        </w:r>
                      </w:p>
                    </w:tc>
                  </w:tr>
                </w:tbl>
                <w:p>
                  <w:pPr/>
                </w:p>
              </w:txbxContent>
            </v:textbox>
            <w10:wrap type="none"/>
          </v:shape>
        </w:pict>
      </w:r>
      <w:r>
        <w:rPr/>
        <w:t>注释</w:t>
      </w:r>
      <w:r>
        <w:rPr>
          <w:rFonts w:ascii="Times New Roman" w:hAnsi="Times New Roman" w:cs="Times New Roman" w:eastAsia="Times New Roman" w:hint="default"/>
        </w:rPr>
        <w:t>1</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日，应收款项余额包括应收票据、应收账款和其他应收款等报表项目。 表</w:t>
      </w:r>
      <w:r>
        <w:rPr>
          <w:rFonts w:ascii="Times New Roman" w:hAnsi="Times New Roman" w:cs="Times New Roman" w:eastAsia="Times New Roman" w:hint="default"/>
        </w:rPr>
        <w:t>2</w:t>
      </w:r>
      <w:r>
        <w:rPr/>
        <w:t>：新金融工具准则下以公允价值计量且其变动计入当期损益的金融资产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90" w:lineRule="auto" w:before="44"/>
        <w:ind w:right="1121"/>
        <w:jc w:val="both"/>
      </w:pPr>
      <w:r>
        <w:rPr>
          <w:rFonts w:ascii="Times New Roman" w:hAnsi="Times New Roman" w:cs="Times New Roman" w:eastAsia="Times New Roman" w:hint="default"/>
          <w:spacing w:val="-1"/>
        </w:rPr>
        <w:t>i)</w:t>
      </w:r>
      <w:r>
        <w:rPr>
          <w:spacing w:val="-1"/>
        </w:rPr>
        <w:t>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日，本集团所持有的对基金的投资、可转债投资以及包含回售权的股权投资划分为以公允价值计量且变动计</w:t>
      </w:r>
      <w:r>
        <w:rPr>
          <w:spacing w:val="-40"/>
        </w:rPr>
        <w:t> </w:t>
      </w:r>
      <w:r>
        <w:rPr/>
        <w:t>入当期损益的金融资产，且自资产负债表日起预期持有超过一年，列示为其他非流动金融资产。</w:t>
      </w:r>
    </w:p>
    <w:p>
      <w:pPr>
        <w:spacing w:line="240" w:lineRule="auto" w:before="0"/>
        <w:rPr>
          <w:rFonts w:ascii="宋体" w:hAnsi="宋体" w:cs="宋体" w:eastAsia="宋体" w:hint="default"/>
          <w:sz w:val="18"/>
          <w:szCs w:val="18"/>
        </w:rPr>
      </w:pPr>
    </w:p>
    <w:p>
      <w:pPr>
        <w:pStyle w:val="BodyText"/>
        <w:spacing w:line="290" w:lineRule="auto" w:before="136"/>
        <w:ind w:right="1127"/>
        <w:jc w:val="both"/>
      </w:pPr>
      <w:r>
        <w:rPr>
          <w:rFonts w:ascii="Times New Roman" w:hAnsi="Times New Roman" w:cs="Times New Roman" w:eastAsia="Times New Roman" w:hint="default"/>
        </w:rPr>
        <w:t>ii)</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日，本集团持有非保本浮动收益的短期理财产品账面价值为</w:t>
      </w:r>
      <w:r>
        <w:rPr>
          <w:rFonts w:ascii="Times New Roman" w:hAnsi="Times New Roman" w:cs="Times New Roman" w:eastAsia="Times New Roman" w:hint="default"/>
        </w:rPr>
        <w:t>201,509,166.66</w:t>
      </w:r>
      <w:r>
        <w:rPr/>
        <w:t>元。本集团执行新金融工具准</w:t>
      </w:r>
      <w:r>
        <w:rPr>
          <w:spacing w:val="-26"/>
        </w:rPr>
        <w:t> </w:t>
      </w:r>
      <w:r>
        <w:rPr>
          <w:spacing w:val="-26"/>
        </w:rPr>
      </w:r>
      <w:r>
        <w:rPr>
          <w:spacing w:val="-2"/>
        </w:rPr>
        <w:t>则后，由于该理财产品的合同现金流量特征不符合基本借贷安排。故于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日，本集团将此银行理财产品从可供出售</w:t>
      </w:r>
      <w:r>
        <w:rPr>
          <w:spacing w:val="-63"/>
        </w:rPr>
        <w:t> </w:t>
      </w:r>
      <w:r>
        <w:rPr>
          <w:spacing w:val="-63"/>
        </w:rPr>
      </w:r>
      <w:r>
        <w:rPr>
          <w:spacing w:val="-2"/>
        </w:rPr>
        <w:t>金融资产重分类为以公允价值计量且其变动计入当期损益的金融资产，列示为交易性金融资产。相应地，本集团将累计计入</w:t>
      </w:r>
    </w:p>
    <w:p>
      <w:pPr>
        <w:pStyle w:val="BodyText"/>
        <w:spacing w:line="302" w:lineRule="auto" w:before="57"/>
        <w:ind w:right="2779"/>
        <w:jc w:val="left"/>
        <w:rPr>
          <w:rFonts w:ascii="Times New Roman" w:hAnsi="Times New Roman" w:cs="Times New Roman" w:eastAsia="Times New Roman" w:hint="default"/>
        </w:rPr>
      </w:pPr>
      <w:r>
        <w:rPr/>
        <w:t>其他综合收益的金额</w:t>
      </w:r>
      <w:r>
        <w:rPr>
          <w:rFonts w:ascii="Times New Roman" w:hAnsi="Times New Roman" w:cs="Times New Roman" w:eastAsia="Times New Roman" w:hint="default"/>
        </w:rPr>
        <w:t>308,057.49</w:t>
      </w:r>
      <w:r>
        <w:rPr/>
        <w:t>元转出至期初留存收益。</w:t>
      </w:r>
      <w:r>
        <w:rPr>
          <w:spacing w:val="-87"/>
        </w:rPr>
        <w:t> </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日，本集团将原金融资产减值准备调整为按照新金融工具准则规定的损失准备的调节表</w:t>
      </w:r>
      <w:r>
        <w:rPr>
          <w:rFonts w:ascii="Times New Roman" w:hAnsi="Times New Roman" w:cs="Times New Roman" w:eastAsia="Times New Roman" w:hint="default"/>
        </w:rPr>
        <w:t>:</w:t>
      </w:r>
    </w:p>
    <w:tbl>
      <w:tblPr>
        <w:tblW w:w="0" w:type="auto"/>
        <w:jc w:val="left"/>
        <w:tblInd w:w="126" w:type="dxa"/>
        <w:tblLayout w:type="fixed"/>
        <w:tblCellMar>
          <w:top w:w="0" w:type="dxa"/>
          <w:left w:w="0" w:type="dxa"/>
          <w:bottom w:w="0" w:type="dxa"/>
          <w:right w:w="0" w:type="dxa"/>
        </w:tblCellMar>
        <w:tblLook w:val="01E0"/>
      </w:tblPr>
      <w:tblGrid>
        <w:gridCol w:w="2779"/>
        <w:gridCol w:w="1877"/>
        <w:gridCol w:w="1277"/>
        <w:gridCol w:w="2073"/>
      </w:tblGrid>
      <w:tr>
        <w:trPr>
          <w:trHeight w:val="661" w:hRule="exact"/>
        </w:trPr>
        <w:tc>
          <w:tcPr>
            <w:tcW w:w="2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0" w:right="0"/>
              <w:jc w:val="left"/>
              <w:rPr>
                <w:rFonts w:ascii="宋体" w:hAnsi="宋体" w:cs="宋体" w:eastAsia="宋体" w:hint="default"/>
                <w:sz w:val="18"/>
                <w:szCs w:val="18"/>
              </w:rPr>
            </w:pPr>
            <w:r>
              <w:rPr>
                <w:rFonts w:ascii="宋体" w:hAnsi="宋体" w:cs="宋体" w:eastAsia="宋体" w:hint="default"/>
                <w:sz w:val="18"/>
                <w:szCs w:val="18"/>
              </w:rPr>
              <w:t>按原金融工具准则计提</w:t>
            </w:r>
          </w:p>
          <w:p>
            <w:pPr>
              <w:pStyle w:val="TableParagraph"/>
              <w:spacing w:line="240" w:lineRule="auto" w:before="64"/>
              <w:ind w:left="961" w:right="0"/>
              <w:jc w:val="left"/>
              <w:rPr>
                <w:rFonts w:ascii="宋体" w:hAnsi="宋体" w:cs="宋体" w:eastAsia="宋体" w:hint="default"/>
                <w:sz w:val="18"/>
                <w:szCs w:val="18"/>
              </w:rPr>
            </w:pPr>
            <w:r>
              <w:rPr>
                <w:rFonts w:ascii="宋体" w:hAnsi="宋体" w:cs="宋体" w:eastAsia="宋体" w:hint="default"/>
                <w:sz w:val="18"/>
                <w:szCs w:val="18"/>
              </w:rPr>
              <w:t>的损失准备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70"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0" w:right="-13"/>
              <w:jc w:val="left"/>
              <w:rPr>
                <w:rFonts w:ascii="宋体" w:hAnsi="宋体" w:cs="宋体" w:eastAsia="宋体" w:hint="default"/>
                <w:sz w:val="18"/>
                <w:szCs w:val="18"/>
              </w:rPr>
            </w:pPr>
            <w:r>
              <w:rPr>
                <w:rFonts w:ascii="宋体" w:hAnsi="宋体" w:cs="宋体" w:eastAsia="宋体" w:hint="default"/>
                <w:sz w:val="18"/>
                <w:szCs w:val="18"/>
              </w:rPr>
              <w:t>按照新金融工具准则计提</w:t>
            </w:r>
          </w:p>
          <w:p>
            <w:pPr>
              <w:pStyle w:val="TableParagraph"/>
              <w:spacing w:line="240" w:lineRule="auto" w:before="64"/>
              <w:ind w:left="1171" w:right="-14"/>
              <w:jc w:val="left"/>
              <w:rPr>
                <w:rFonts w:ascii="宋体" w:hAnsi="宋体" w:cs="宋体" w:eastAsia="宋体" w:hint="default"/>
                <w:sz w:val="18"/>
                <w:szCs w:val="18"/>
              </w:rPr>
            </w:pPr>
            <w:r>
              <w:rPr>
                <w:rFonts w:ascii="宋体" w:hAnsi="宋体" w:cs="宋体" w:eastAsia="宋体" w:hint="default"/>
                <w:sz w:val="18"/>
                <w:szCs w:val="18"/>
              </w:rPr>
              <w:t>的损失准备</w:t>
            </w:r>
          </w:p>
        </w:tc>
      </w:tr>
      <w:tr>
        <w:trPr>
          <w:trHeight w:val="420" w:hRule="exact"/>
        </w:trPr>
        <w:tc>
          <w:tcPr>
            <w:tcW w:w="2779"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2073" w:type="dxa"/>
            <w:tcBorders>
              <w:top w:val="single" w:sz="6" w:space="0" w:color="000000"/>
              <w:left w:val="single" w:sz="6" w:space="0" w:color="000000"/>
              <w:bottom w:val="single" w:sz="6" w:space="0" w:color="000000"/>
              <w:right w:val="single" w:sz="6" w:space="0" w:color="000000"/>
            </w:tcBorders>
          </w:tcPr>
          <w:p>
            <w:pPr/>
          </w:p>
        </w:tc>
      </w:tr>
      <w:tr>
        <w:trPr>
          <w:trHeight w:val="435" w:hRule="exact"/>
        </w:trPr>
        <w:tc>
          <w:tcPr>
            <w:tcW w:w="2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以摊余成本计量的金融资产</w:t>
            </w:r>
            <w:r>
              <w:rPr>
                <w:rFonts w:ascii="Times New Roman" w:hAnsi="Times New Roman" w:cs="Times New Roman" w:eastAsia="Times New Roman" w:hint="default"/>
                <w:sz w:val="18"/>
                <w:szCs w:val="18"/>
              </w:rPr>
              <w:t>—</w:t>
            </w:r>
          </w:p>
        </w:tc>
        <w:tc>
          <w:tcPr>
            <w:tcW w:w="18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2073" w:type="dxa"/>
            <w:tcBorders>
              <w:top w:val="single" w:sz="6" w:space="0" w:color="000000"/>
              <w:left w:val="single" w:sz="6" w:space="0" w:color="000000"/>
              <w:bottom w:val="single" w:sz="6" w:space="0" w:color="000000"/>
              <w:right w:val="single" w:sz="6" w:space="0" w:color="000000"/>
            </w:tcBorders>
          </w:tcPr>
          <w:p>
            <w:pPr/>
          </w:p>
        </w:tc>
      </w:tr>
      <w:tr>
        <w:trPr>
          <w:trHeight w:val="421" w:hRule="exact"/>
        </w:trPr>
        <w:tc>
          <w:tcPr>
            <w:tcW w:w="277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15" w:right="0"/>
              <w:jc w:val="left"/>
              <w:rPr>
                <w:rFonts w:ascii="宋体" w:hAnsi="宋体" w:cs="宋体" w:eastAsia="宋体" w:hint="default"/>
                <w:sz w:val="18"/>
                <w:szCs w:val="18"/>
              </w:rPr>
            </w:pPr>
            <w:r>
              <w:rPr>
                <w:rFonts w:ascii="宋体" w:hAnsi="宋体" w:cs="宋体" w:eastAsia="宋体" w:hint="default"/>
                <w:sz w:val="18"/>
                <w:szCs w:val="18"/>
              </w:rPr>
              <w:t>应收票据减值准备</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5" w:hRule="exact"/>
        </w:trPr>
        <w:tc>
          <w:tcPr>
            <w:tcW w:w="2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15"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53,038,490.88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4"/>
              <w:jc w:val="right"/>
              <w:rPr>
                <w:rFonts w:ascii="Times New Roman" w:hAnsi="Times New Roman" w:cs="Times New Roman" w:eastAsia="Times New Roman" w:hint="default"/>
                <w:sz w:val="18"/>
                <w:szCs w:val="18"/>
              </w:rPr>
            </w:pPr>
            <w:r>
              <w:rPr>
                <w:rFonts w:ascii="Times New Roman"/>
                <w:sz w:val="18"/>
              </w:rPr>
              <w:t>53,038,490.88</w:t>
            </w:r>
          </w:p>
        </w:tc>
      </w:tr>
      <w:tr>
        <w:trPr>
          <w:trHeight w:val="420" w:hRule="exact"/>
        </w:trPr>
        <w:tc>
          <w:tcPr>
            <w:tcW w:w="277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15"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432,978.08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432,978.08</w:t>
            </w:r>
          </w:p>
        </w:tc>
      </w:tr>
      <w:tr>
        <w:trPr>
          <w:trHeight w:val="436" w:hRule="exact"/>
        </w:trPr>
        <w:tc>
          <w:tcPr>
            <w:tcW w:w="2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53,471,468.96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4"/>
              <w:jc w:val="right"/>
              <w:rPr>
                <w:rFonts w:ascii="Times New Roman" w:hAnsi="Times New Roman" w:cs="Times New Roman" w:eastAsia="Times New Roman" w:hint="default"/>
                <w:sz w:val="18"/>
                <w:szCs w:val="18"/>
              </w:rPr>
            </w:pPr>
            <w:r>
              <w:rPr>
                <w:rFonts w:ascii="Times New Roman"/>
                <w:sz w:val="18"/>
              </w:rPr>
              <w:t>53,471,468.96</w:t>
            </w:r>
          </w:p>
        </w:tc>
      </w:tr>
    </w:tbl>
    <w:p>
      <w:pPr>
        <w:pStyle w:val="BodyText"/>
        <w:spacing w:line="240" w:lineRule="auto" w:before="14"/>
        <w:ind w:right="1105"/>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日，本公司将原金融资产减值准备调整为按照新金融工具准则规定的损失准备的调节表：</w:t>
      </w:r>
    </w:p>
    <w:p>
      <w:pPr>
        <w:spacing w:line="240" w:lineRule="auto" w:before="11"/>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2779"/>
        <w:gridCol w:w="1877"/>
        <w:gridCol w:w="1277"/>
        <w:gridCol w:w="2073"/>
      </w:tblGrid>
      <w:tr>
        <w:trPr>
          <w:trHeight w:val="661" w:hRule="exact"/>
        </w:trPr>
        <w:tc>
          <w:tcPr>
            <w:tcW w:w="2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0" w:right="0"/>
              <w:jc w:val="left"/>
              <w:rPr>
                <w:rFonts w:ascii="宋体" w:hAnsi="宋体" w:cs="宋体" w:eastAsia="宋体" w:hint="default"/>
                <w:sz w:val="18"/>
                <w:szCs w:val="18"/>
              </w:rPr>
            </w:pPr>
            <w:r>
              <w:rPr>
                <w:rFonts w:ascii="宋体" w:hAnsi="宋体" w:cs="宋体" w:eastAsia="宋体" w:hint="default"/>
                <w:sz w:val="18"/>
                <w:szCs w:val="18"/>
              </w:rPr>
              <w:t>按原金融工具准则计提</w:t>
            </w:r>
          </w:p>
          <w:p>
            <w:pPr>
              <w:pStyle w:val="TableParagraph"/>
              <w:spacing w:line="240" w:lineRule="auto" w:before="79"/>
              <w:ind w:left="961" w:right="0"/>
              <w:jc w:val="left"/>
              <w:rPr>
                <w:rFonts w:ascii="宋体" w:hAnsi="宋体" w:cs="宋体" w:eastAsia="宋体" w:hint="default"/>
                <w:sz w:val="18"/>
                <w:szCs w:val="18"/>
              </w:rPr>
            </w:pPr>
            <w:r>
              <w:rPr>
                <w:rFonts w:ascii="宋体" w:hAnsi="宋体" w:cs="宋体" w:eastAsia="宋体" w:hint="default"/>
                <w:sz w:val="18"/>
                <w:szCs w:val="18"/>
              </w:rPr>
              <w:t>的损失准备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70"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0" w:right="-13"/>
              <w:jc w:val="left"/>
              <w:rPr>
                <w:rFonts w:ascii="宋体" w:hAnsi="宋体" w:cs="宋体" w:eastAsia="宋体" w:hint="default"/>
                <w:sz w:val="18"/>
                <w:szCs w:val="18"/>
              </w:rPr>
            </w:pPr>
            <w:r>
              <w:rPr>
                <w:rFonts w:ascii="宋体" w:hAnsi="宋体" w:cs="宋体" w:eastAsia="宋体" w:hint="default"/>
                <w:sz w:val="18"/>
                <w:szCs w:val="18"/>
              </w:rPr>
              <w:t>按照新金融工具准则计提</w:t>
            </w:r>
          </w:p>
          <w:p>
            <w:pPr>
              <w:pStyle w:val="TableParagraph"/>
              <w:spacing w:line="240" w:lineRule="auto" w:before="79"/>
              <w:ind w:left="1171" w:right="-14"/>
              <w:jc w:val="left"/>
              <w:rPr>
                <w:rFonts w:ascii="宋体" w:hAnsi="宋体" w:cs="宋体" w:eastAsia="宋体" w:hint="default"/>
                <w:sz w:val="18"/>
                <w:szCs w:val="18"/>
              </w:rPr>
            </w:pPr>
            <w:r>
              <w:rPr>
                <w:rFonts w:ascii="宋体" w:hAnsi="宋体" w:cs="宋体" w:eastAsia="宋体" w:hint="default"/>
                <w:sz w:val="18"/>
                <w:szCs w:val="18"/>
              </w:rPr>
              <w:t>的损失准备</w:t>
            </w:r>
          </w:p>
        </w:tc>
      </w:tr>
      <w:tr>
        <w:trPr>
          <w:trHeight w:val="345" w:hRule="exact"/>
        </w:trPr>
        <w:tc>
          <w:tcPr>
            <w:tcW w:w="2779"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2073"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以摊余成本计量的金融资产</w:t>
            </w:r>
            <w:r>
              <w:rPr>
                <w:rFonts w:ascii="Times New Roman" w:hAnsi="Times New Roman" w:cs="Times New Roman" w:eastAsia="Times New Roman" w:hint="default"/>
                <w:sz w:val="18"/>
                <w:szCs w:val="18"/>
              </w:rPr>
              <w:t>—</w:t>
            </w:r>
          </w:p>
        </w:tc>
        <w:tc>
          <w:tcPr>
            <w:tcW w:w="18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207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779"/>
        <w:gridCol w:w="1877"/>
        <w:gridCol w:w="1277"/>
        <w:gridCol w:w="2073"/>
      </w:tblGrid>
      <w:tr>
        <w:trPr>
          <w:trHeight w:val="345" w:hRule="exact"/>
        </w:trPr>
        <w:tc>
          <w:tcPr>
            <w:tcW w:w="2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15" w:right="0"/>
              <w:jc w:val="left"/>
              <w:rPr>
                <w:rFonts w:ascii="宋体" w:hAnsi="宋体" w:cs="宋体" w:eastAsia="宋体" w:hint="default"/>
                <w:sz w:val="18"/>
                <w:szCs w:val="18"/>
              </w:rPr>
            </w:pPr>
            <w:r>
              <w:rPr>
                <w:rFonts w:ascii="宋体" w:hAnsi="宋体" w:cs="宋体" w:eastAsia="宋体" w:hint="default"/>
                <w:sz w:val="18"/>
                <w:szCs w:val="18"/>
              </w:rPr>
              <w:t>应收票据减值准备</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5" w:hRule="exact"/>
        </w:trPr>
        <w:tc>
          <w:tcPr>
            <w:tcW w:w="2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15"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36,996,719.93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4"/>
              <w:jc w:val="right"/>
              <w:rPr>
                <w:rFonts w:ascii="Times New Roman" w:hAnsi="Times New Roman" w:cs="Times New Roman" w:eastAsia="Times New Roman" w:hint="default"/>
                <w:sz w:val="18"/>
                <w:szCs w:val="18"/>
              </w:rPr>
            </w:pPr>
            <w:r>
              <w:rPr>
                <w:rFonts w:ascii="Times New Roman"/>
                <w:sz w:val="18"/>
              </w:rPr>
              <w:t>36,996,719.93</w:t>
            </w:r>
          </w:p>
        </w:tc>
      </w:tr>
      <w:tr>
        <w:trPr>
          <w:trHeight w:val="420" w:hRule="exact"/>
        </w:trPr>
        <w:tc>
          <w:tcPr>
            <w:tcW w:w="277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15"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427,954.74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427,954.74</w:t>
            </w:r>
          </w:p>
        </w:tc>
      </w:tr>
      <w:tr>
        <w:trPr>
          <w:trHeight w:val="435" w:hRule="exact"/>
        </w:trPr>
        <w:tc>
          <w:tcPr>
            <w:tcW w:w="2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37,424,674.67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4"/>
              <w:jc w:val="right"/>
              <w:rPr>
                <w:rFonts w:ascii="Times New Roman" w:hAnsi="Times New Roman" w:cs="Times New Roman" w:eastAsia="Times New Roman" w:hint="default"/>
                <w:sz w:val="18"/>
                <w:szCs w:val="18"/>
              </w:rPr>
            </w:pPr>
            <w:r>
              <w:rPr>
                <w:rFonts w:ascii="Times New Roman"/>
                <w:sz w:val="18"/>
              </w:rPr>
              <w:t>37,424,674.67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3"/>
        <w:spacing w:line="240" w:lineRule="auto" w:before="35"/>
        <w:ind w:right="1105"/>
        <w:jc w:val="left"/>
        <w:rPr>
          <w:b w:val="0"/>
          <w:bCs w:val="0"/>
        </w:rPr>
      </w:pPr>
      <w:bookmarkStart w:name="（2）重要会计估计变更" w:id="226"/>
      <w:bookmarkEnd w:id="226"/>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bookmarkStart w:name="（3）2019年起执行新金融工具准则、新收入准则或新租赁准则调整执行当年年初财务" w:id="227"/>
      <w:bookmarkEnd w:id="227"/>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年起执行新金融工具准则、新收入准则或新租赁准则调整执行当年年初财务报表相关项目情况</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731" w:footer="981" w:top="1040" w:bottom="1180" w:left="1000" w:right="0"/>
        </w:sectPr>
      </w:pPr>
    </w:p>
    <w:p>
      <w:pPr>
        <w:pStyle w:val="BodyText"/>
        <w:spacing w:line="319"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50"/>
          <w:pgMar w:top="1040" w:bottom="1180" w:left="1000" w:right="0"/>
          <w:cols w:num="2" w:equalWidth="0">
            <w:col w:w="1538" w:space="7398"/>
            <w:col w:w="1974"/>
          </w:cols>
        </w:sectPr>
      </w:pP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1,302,866,699.75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1,302,866,699.75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201,509,166.66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06" w:right="0"/>
              <w:jc w:val="left"/>
              <w:rPr>
                <w:rFonts w:ascii="Times New Roman" w:hAnsi="Times New Roman" w:cs="Times New Roman" w:eastAsia="Times New Roman" w:hint="default"/>
                <w:sz w:val="18"/>
                <w:szCs w:val="18"/>
              </w:rPr>
            </w:pPr>
            <w:r>
              <w:rPr>
                <w:rFonts w:ascii="Times New Roman"/>
                <w:sz w:val="18"/>
              </w:rPr>
              <w:t>201,509,166.66</w:t>
            </w:r>
          </w:p>
        </w:tc>
      </w:tr>
      <w:tr>
        <w:trPr>
          <w:trHeight w:val="103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108,303,954.53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108,303,954.53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1,422,555,177.11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1,422,555,177.11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27,127,680.42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27,127,680.42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51,954,289.91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51,954,289.91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1,229,180.56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1,229,180.56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89"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389,489,985.78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389,489,985.78</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50"/>
          <w:pgMar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367,047,006.71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165,537,840.05</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-201,509,166.66</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3,669,344,794.21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3,669,344,794.21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189,154,889.61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189,154,889.61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90,007,207.97</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90,007,207.97</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37,140,169.13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37,140,169.13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2,443,276.04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2,443,276.04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7,161,663.39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7,161,663.39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10,054,348.67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10,054,348.67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31,404,852.49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31,404,852.49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16,401,518.85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16,401,518.85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14,497,324.91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14,497,324.91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170,007,207.97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80,000,000.00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-90,007,207.97</w:t>
            </w:r>
            <w:r>
              <w:rPr>
                <w:rFonts w:ascii="Times New Roman"/>
                <w:sz w:val="18"/>
              </w:rPr>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478,265,251.06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478,265,251.06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4,147,610,045.27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4,147,610,045.27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280,451,648.00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280,451,648.00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4,700,000.00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4,700,000.00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437,160,478.14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437,160,478.14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65,313,821.91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65,313,821.91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87"/>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87"/>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159,381,072.10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159,381,072.10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64,857,249.46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64,857,249.46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255,432,270.50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255,432,270.50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447,357.70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447,357.70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89"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99,000,000.00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99,000,000.00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19,404,866.52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19,404,866.52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1,385,701,406.63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1,385,701,406.63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58,000,000.00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58,000,000.00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6,720,777.60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6,720,777.60</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17,779,409.26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17,779,409.26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232,500.00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232,500.00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82,732,686.86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82,732,686.86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1,468,434,093.49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1,468,434,093.49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429,220,300.00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429,220,300.00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858,899,809.69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858,899,809.69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224,603,670.16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224,603,670.16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308,057.49</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-308,057.49</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77,272,995.53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77,272,995.53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537,096,360.41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537,404,417.90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308,057.49</w:t>
            </w:r>
          </w:p>
        </w:tc>
      </w:tr>
      <w:tr>
        <w:trPr>
          <w:trHeight w:val="7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8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1,678,193,852.96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1,678,193,852.96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1,000,982,098.82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1,000,982,098.82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2,679,175,951.78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6"/>
              <w:jc w:val="right"/>
              <w:rPr>
                <w:rFonts w:ascii="Times New Roman" w:hAnsi="Times New Roman" w:cs="Times New Roman" w:eastAsia="Times New Roman" w:hint="default"/>
                <w:sz w:val="18"/>
                <w:szCs w:val="18"/>
              </w:rPr>
            </w:pPr>
            <w:r>
              <w:rPr>
                <w:rFonts w:ascii="Times New Roman"/>
                <w:sz w:val="18"/>
              </w:rPr>
              <w:t>2,679,175,951.78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4,147,610,045.27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4,147,610,045.27</w:t>
            </w:r>
          </w:p>
        </w:tc>
        <w:tc>
          <w:tcPr>
            <w:tcW w:w="246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52" w:lineRule="auto" w:before="44"/>
        <w:ind w:right="9309"/>
        <w:jc w:val="left"/>
      </w:pPr>
      <w:r>
        <w:rPr/>
        <w:t>调整情况说明 母公司资产负债表</w:t>
      </w:r>
    </w:p>
    <w:p>
      <w:pPr>
        <w:pStyle w:val="BodyText"/>
        <w:spacing w:line="240" w:lineRule="auto" w:before="40"/>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800,643,359.22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800,643,359.22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29"/>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42,249,473.53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42,249,473.53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832,820,119.95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832,820,119.95</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21,702,048.27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21,702,048.27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117,904,450.72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117,904,450.72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1,124,733.73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1,124,733.73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75,148,001.02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75,148,001.02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1,890,467,452.71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1,890,467,452.71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283,782,446.36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283,782,446.36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7,645,470.34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7,645,470.34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6,978,922.19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6,978,922.19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23,528,884.61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23,528,884.61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4,325,401.00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4,325,401.00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9,274,303.48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9,274,303.48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335,535,427.98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335,535,427.98</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2,226,002,880.69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2,226,002,880.69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110,050,000.00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110,050,000.00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214,572,721.10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214,572,721.10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56,360,706.02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56,360,706.02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100,864,681.10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100,864,681.10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27,514,273.19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27,514,273.19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235,604,822.17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235,604,822.17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67"/>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170,453.59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170,453.59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66"/>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17,006,310.53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17,006,310.53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761,973,514.11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761,973,514.11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67"/>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12,960,000.00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12,960,000.00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232,500.00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232,500.00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13,192,500.00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13,192,500.00</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775,166,014.11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775,166,014.11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429,220,300.00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429,220,300.00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602,386,046.83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602,386,046.83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224,603,670.16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224,603,670.16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77,272,995.53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77,272,995.53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566,561,194.38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566,561,194.38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1,450,836,866.58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1,450,836,866.58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2,226,002,880.69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2,226,002,880.69</w:t>
            </w:r>
          </w:p>
        </w:tc>
        <w:tc>
          <w:tcPr>
            <w:tcW w:w="246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1105"/>
        <w:jc w:val="left"/>
      </w:pPr>
      <w:r>
        <w:rPr/>
        <w:t>调整情况说明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4）2019年起执行新金融工具准则或新租赁准则追溯调整前期比较数据说明" w:id="228"/>
      <w:bookmarkEnd w:id="228"/>
      <w:r>
        <w:rPr>
          <w:b w:val="0"/>
          <w:bCs w:val="0"/>
        </w:rPr>
      </w: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18"/>
        </w:rPr>
        <w:t> </w:t>
      </w:r>
      <w:r>
        <w:rPr/>
        <w:t>年起执行新金融工具准则或新租赁准则追溯调整前期比较数据说明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482" w:lineRule="auto" w:before="126"/>
        <w:ind w:left="141" w:right="8977" w:firstLine="0"/>
        <w:jc w:val="left"/>
        <w:rPr>
          <w:rFonts w:ascii="宋体" w:hAnsi="宋体" w:cs="宋体" w:eastAsia="宋体" w:hint="default"/>
          <w:sz w:val="21"/>
          <w:szCs w:val="21"/>
        </w:rPr>
      </w:pPr>
      <w:bookmarkStart w:name="45、其他" w:id="229"/>
      <w:bookmarkEnd w:id="229"/>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30"/>
      <w:bookmarkEnd w:id="230"/>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31"/>
      <w:bookmarkEnd w:id="231"/>
      <w:r>
        <w:rPr>
          <w:rFonts w:ascii="宋体" w:hAnsi="宋体" w:cs="宋体" w:eastAsia="宋体" w:hint="default"/>
          <w:b/>
          <w:bCs/>
          <w:w w:val="99"/>
          <w:sz w:val="24"/>
          <w:szCs w:val="24"/>
        </w:rPr>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、主要税种及税率</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33" w:type="dxa"/>
        <w:tblLayout w:type="fixed"/>
        <w:tblCellMar>
          <w:top w:w="0" w:type="dxa"/>
          <w:left w:w="0" w:type="dxa"/>
          <w:bottom w:w="0" w:type="dxa"/>
          <w:right w:w="0" w:type="dxa"/>
        </w:tblCellMar>
        <w:tblLook w:val="01E0"/>
      </w:tblPr>
      <w:tblGrid>
        <w:gridCol w:w="3192"/>
        <w:gridCol w:w="3184"/>
        <w:gridCol w:w="3199"/>
      </w:tblGrid>
      <w:tr>
        <w:trPr>
          <w:trHeight w:val="390"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6"/>
              <w:jc w:val="center"/>
              <w:rPr>
                <w:rFonts w:ascii="宋体" w:hAnsi="宋体" w:cs="宋体" w:eastAsia="宋体" w:hint="default"/>
                <w:sz w:val="18"/>
                <w:szCs w:val="18"/>
              </w:rPr>
            </w:pPr>
            <w:r>
              <w:rPr>
                <w:rFonts w:ascii="宋体" w:hAnsi="宋体" w:cs="宋体" w:eastAsia="宋体" w:hint="default"/>
                <w:sz w:val="18"/>
                <w:szCs w:val="18"/>
              </w:rPr>
              <w:t>税种</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23" w:hRule="exact"/>
        </w:trPr>
        <w:tc>
          <w:tcPr>
            <w:tcW w:w="319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vMerge w:val="restart"/>
            <w:tcBorders>
              <w:top w:val="single" w:sz="6" w:space="0" w:color="000000"/>
              <w:left w:val="single" w:sz="12" w:space="0" w:color="D2D2D2"/>
              <w:right w:val="single" w:sz="6" w:space="0" w:color="000000"/>
            </w:tcBorders>
          </w:tcPr>
          <w:p>
            <w:pPr>
              <w:pStyle w:val="TableParagraph"/>
              <w:spacing w:line="314" w:lineRule="auto" w:before="44"/>
              <w:ind w:left="7" w:right="90"/>
              <w:jc w:val="both"/>
              <w:rPr>
                <w:rFonts w:ascii="宋体" w:hAnsi="宋体" w:cs="宋体" w:eastAsia="宋体" w:hint="default"/>
                <w:sz w:val="18"/>
                <w:szCs w:val="18"/>
              </w:rPr>
            </w:pPr>
            <w:r>
              <w:rPr>
                <w:rFonts w:ascii="宋体" w:hAnsi="宋体" w:cs="宋体" w:eastAsia="宋体" w:hint="default"/>
                <w:sz w:val="18"/>
                <w:szCs w:val="18"/>
              </w:rPr>
              <w:t>应纳税增值额（应纳税额按应纳税销售 额乘以适用税率扣除当期允许抵扣进项 税后的余额计算）</w:t>
            </w:r>
          </w:p>
        </w:tc>
        <w:tc>
          <w:tcPr>
            <w:tcW w:w="319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r>
      <w:tr>
        <w:trPr>
          <w:trHeight w:val="391" w:hRule="exact"/>
        </w:trPr>
        <w:tc>
          <w:tcPr>
            <w:tcW w:w="319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84" w:type="dxa"/>
            <w:vMerge/>
            <w:tcBorders>
              <w:left w:val="single" w:sz="12" w:space="0" w:color="D2D2D2"/>
              <w:right w:val="single" w:sz="6" w:space="0" w:color="000000"/>
            </w:tcBorders>
          </w:tcPr>
          <w:p>
            <w:pPr/>
          </w:p>
        </w:tc>
        <w:tc>
          <w:tcPr>
            <w:tcW w:w="3199" w:type="dxa"/>
            <w:vMerge/>
            <w:tcBorders>
              <w:left w:val="single" w:sz="6" w:space="0" w:color="000000"/>
              <w:right w:val="single" w:sz="6" w:space="0" w:color="000000"/>
            </w:tcBorders>
          </w:tcPr>
          <w:p>
            <w:pPr/>
          </w:p>
        </w:tc>
      </w:tr>
      <w:tr>
        <w:trPr>
          <w:trHeight w:val="323" w:hRule="exact"/>
        </w:trPr>
        <w:tc>
          <w:tcPr>
            <w:tcW w:w="3192"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12" w:space="0" w:color="D2D2D2"/>
              <w:bottom w:val="single" w:sz="6" w:space="0" w:color="000000"/>
              <w:right w:val="single" w:sz="6" w:space="0" w:color="000000"/>
            </w:tcBorders>
          </w:tcPr>
          <w:p>
            <w:pPr/>
          </w:p>
        </w:tc>
        <w:tc>
          <w:tcPr>
            <w:tcW w:w="3199" w:type="dxa"/>
            <w:vMerge/>
            <w:tcBorders>
              <w:left w:val="single" w:sz="6" w:space="0" w:color="000000"/>
              <w:bottom w:val="single" w:sz="6" w:space="0" w:color="000000"/>
              <w:right w:val="single" w:sz="6" w:space="0" w:color="000000"/>
            </w:tcBorders>
          </w:tcPr>
          <w:p>
            <w:pP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 w:right="0"/>
              <w:jc w:val="left"/>
              <w:rPr>
                <w:rFonts w:ascii="宋体" w:hAnsi="宋体" w:cs="宋体" w:eastAsia="宋体" w:hint="default"/>
                <w:sz w:val="18"/>
                <w:szCs w:val="18"/>
              </w:rPr>
            </w:pPr>
            <w:r>
              <w:rPr>
                <w:rFonts w:ascii="宋体" w:hAnsi="宋体" w:cs="宋体" w:eastAsia="宋体" w:hint="default"/>
                <w:sz w:val="18"/>
                <w:szCs w:val="18"/>
              </w:rPr>
              <w:t>应缴纳的增值税等税额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7%</w:t>
            </w:r>
          </w:p>
        </w:tc>
      </w:tr>
      <w:tr>
        <w:trPr>
          <w:trHeight w:val="391"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left="-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应缴纳的增值税等税额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w:t>
            </w: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应缴纳的增值税等税额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5"/>
        <w:ind w:right="1105"/>
        <w:jc w:val="left"/>
      </w:pPr>
      <w:r>
        <w:rPr/>
        <w:t>存在不同企业所得税税率纳税主体的，披露情况说明</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朗新科技集团股份有限公司</w:t>
            </w:r>
            <w:r>
              <w:rPr>
                <w:rFonts w:ascii="Times New Roman" w:hAnsi="Times New Roman" w:cs="Times New Roman" w:eastAsia="Times New Roman" w:hint="default"/>
                <w:sz w:val="18"/>
                <w:szCs w:val="18"/>
              </w:rPr>
              <w:t>(a)</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10%</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邦道科技有限公司</w:t>
            </w:r>
            <w:r>
              <w:rPr>
                <w:rFonts w:ascii="Times New Roman" w:hAnsi="Times New Roman" w:cs="Times New Roman" w:eastAsia="Times New Roman" w:hint="default"/>
                <w:sz w:val="18"/>
                <w:szCs w:val="18"/>
              </w:rPr>
              <w:t>(a)</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10%</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易视腾科技股份有限公司</w:t>
            </w:r>
            <w:r>
              <w:rPr>
                <w:rFonts w:ascii="Times New Roman" w:hAnsi="Times New Roman" w:cs="Times New Roman" w:eastAsia="Times New Roman" w:hint="default"/>
                <w:sz w:val="18"/>
                <w:szCs w:val="18"/>
              </w:rPr>
              <w:t>(b)</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15%</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深圳市云之尚网络科技有限公司</w:t>
            </w:r>
            <w:r>
              <w:rPr>
                <w:rFonts w:ascii="Times New Roman" w:hAnsi="Times New Roman" w:cs="Times New Roman" w:eastAsia="Times New Roman" w:hint="default"/>
                <w:sz w:val="18"/>
                <w:szCs w:val="18"/>
              </w:rPr>
              <w:t>(c)</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北京数联领航网络科技有限公司</w:t>
            </w:r>
            <w:r>
              <w:rPr>
                <w:rFonts w:ascii="Times New Roman" w:hAnsi="Times New Roman" w:cs="Times New Roman" w:eastAsia="Times New Roman" w:hint="default"/>
                <w:sz w:val="18"/>
                <w:szCs w:val="18"/>
              </w:rPr>
              <w:t>(c)</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15%</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其他子公司</w:t>
            </w:r>
            <w:r>
              <w:rPr>
                <w:rFonts w:ascii="Times New Roman" w:hAnsi="Times New Roman" w:cs="Times New Roman" w:eastAsia="Times New Roman" w:hint="default"/>
                <w:sz w:val="18"/>
                <w:szCs w:val="18"/>
              </w:rPr>
              <w:t>(d)</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5%</w:t>
            </w:r>
          </w:p>
        </w:tc>
      </w:tr>
    </w:tbl>
    <w:p>
      <w:pPr>
        <w:spacing w:line="240" w:lineRule="auto" w:before="11"/>
        <w:rPr>
          <w:rFonts w:ascii="宋体" w:hAnsi="宋体" w:cs="宋体" w:eastAsia="宋体" w:hint="default"/>
          <w:sz w:val="19"/>
          <w:szCs w:val="19"/>
        </w:rPr>
      </w:pPr>
    </w:p>
    <w:p>
      <w:pPr>
        <w:pStyle w:val="Heading3"/>
        <w:spacing w:line="240" w:lineRule="auto" w:before="35"/>
        <w:ind w:right="0"/>
        <w:jc w:val="both"/>
        <w:rPr>
          <w:b w:val="0"/>
          <w:bCs w:val="0"/>
        </w:rPr>
      </w:pPr>
      <w:bookmarkStart w:name="2、税收优惠" w:id="232"/>
      <w:bookmarkEnd w:id="232"/>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5"/>
        <w:rPr>
          <w:rFonts w:ascii="宋体" w:hAnsi="宋体" w:cs="宋体" w:eastAsia="宋体" w:hint="default"/>
          <w:b/>
          <w:bCs/>
          <w:sz w:val="26"/>
          <w:szCs w:val="26"/>
        </w:rPr>
      </w:pPr>
    </w:p>
    <w:p>
      <w:pPr>
        <w:pStyle w:val="BodyText"/>
        <w:spacing w:line="295" w:lineRule="auto"/>
        <w:ind w:right="1049"/>
        <w:jc w:val="left"/>
      </w:pPr>
      <w:r>
        <w:rPr>
          <w:rFonts w:ascii="Times New Roman" w:hAnsi="Times New Roman" w:cs="Times New Roman" w:eastAsia="Times New Roman" w:hint="default"/>
          <w:spacing w:val="-5"/>
          <w:w w:val="99"/>
        </w:rPr>
        <w:t>(a)</w:t>
      </w:r>
      <w:r>
        <w:rPr>
          <w:spacing w:val="-5"/>
          <w:w w:val="99"/>
        </w:rPr>
        <w:t>根据财政部《关于软件和集成电路产业企业所得税优惠政策有关问题的通知》（财税</w:t>
      </w:r>
      <w:r>
        <w:rPr>
          <w:rFonts w:ascii="Times New Roman" w:hAnsi="Times New Roman" w:cs="Times New Roman" w:eastAsia="Times New Roman" w:hint="default"/>
          <w:spacing w:val="-5"/>
          <w:w w:val="99"/>
        </w:rPr>
        <w:t>[2016]49</w:t>
      </w:r>
      <w:r>
        <w:rPr>
          <w:spacing w:val="-5"/>
          <w:w w:val="99"/>
        </w:rPr>
        <w:t>号）（以下简称</w:t>
      </w:r>
      <w:r>
        <w:rPr>
          <w:rFonts w:ascii="Times New Roman" w:hAnsi="Times New Roman" w:cs="Times New Roman" w:eastAsia="Times New Roman" w:hint="default"/>
          <w:spacing w:val="-5"/>
          <w:w w:val="99"/>
        </w:rPr>
        <w:t>“49</w:t>
      </w:r>
      <w:r>
        <w:rPr>
          <w:spacing w:val="-5"/>
          <w:w w:val="99"/>
        </w:rPr>
        <w:t>号通知</w:t>
      </w:r>
      <w:r>
        <w:rPr>
          <w:rFonts w:ascii="Times New Roman" w:hAnsi="Times New Roman" w:cs="Times New Roman" w:eastAsia="Times New Roman" w:hint="default"/>
          <w:spacing w:val="-5"/>
          <w:w w:val="99"/>
        </w:rPr>
        <w:t>”</w:t>
      </w:r>
      <w:r>
        <w:rPr>
          <w:spacing w:val="-5"/>
          <w:w w:val="99"/>
        </w:rPr>
        <w:t>），</w:t>
      </w:r>
      <w:r>
        <w:rPr>
          <w:spacing w:val="-78"/>
          <w:w w:val="99"/>
        </w:rPr>
        <w:t> </w:t>
      </w:r>
      <w:r>
        <w:rPr/>
        <w:t>原享受财税</w:t>
      </w:r>
      <w:r>
        <w:rPr>
          <w:rFonts w:ascii="Times New Roman" w:hAnsi="Times New Roman" w:cs="Times New Roman" w:eastAsia="Times New Roman" w:hint="default"/>
        </w:rPr>
        <w:t>[2012]27</w:t>
      </w:r>
      <w:r>
        <w:rPr/>
        <w:t>号文件规定的税收优惠政策的软件、集成电路企业如继续享受原税收优惠政策可按照《国家税务总局关 </w:t>
      </w:r>
      <w:r>
        <w:rPr>
          <w:spacing w:val="-2"/>
        </w:rPr>
        <w:t>于发布〈企业所得税优惠政策事项办理办法〉的公告》（国家税务总局公告</w:t>
      </w:r>
      <w:r>
        <w:rPr>
          <w:rFonts w:ascii="Times New Roman" w:hAnsi="Times New Roman" w:cs="Times New Roman" w:eastAsia="Times New Roman" w:hint="default"/>
          <w:spacing w:val="-2"/>
        </w:rPr>
        <w:t>2015</w:t>
      </w:r>
      <w:r>
        <w:rPr>
          <w:spacing w:val="-2"/>
        </w:rPr>
        <w:t>年第</w:t>
      </w:r>
      <w:r>
        <w:rPr>
          <w:rFonts w:ascii="Times New Roman" w:hAnsi="Times New Roman" w:cs="Times New Roman" w:eastAsia="Times New Roman" w:hint="default"/>
          <w:spacing w:val="-2"/>
        </w:rPr>
        <w:t>76</w:t>
      </w:r>
      <w:r>
        <w:rPr>
          <w:spacing w:val="-2"/>
        </w:rPr>
        <w:t>号）的规定在每年所得税汇算清缴时</w:t>
      </w:r>
      <w:r>
        <w:rPr>
          <w:spacing w:val="-45"/>
        </w:rPr>
        <w:t> </w:t>
      </w:r>
      <w:r>
        <w:rPr>
          <w:spacing w:val="-45"/>
        </w:rPr>
      </w:r>
      <w:r>
        <w:rPr>
          <w:spacing w:val="-2"/>
        </w:rPr>
        <w:t>向税务机关备案并同时提交《享受企业所得税优惠政策的软件和集成电路企业备案资料明细表》等备案资料以便后期税务机</w:t>
      </w:r>
    </w:p>
    <w:p>
      <w:pPr>
        <w:pStyle w:val="BodyText"/>
        <w:spacing w:line="300" w:lineRule="auto" w:before="53"/>
        <w:ind w:right="1109"/>
        <w:jc w:val="left"/>
      </w:pPr>
      <w:r>
        <w:rPr>
          <w:spacing w:val="-2"/>
        </w:rPr>
        <w:t>关核查。于</w:t>
      </w:r>
      <w:r>
        <w:rPr>
          <w:rFonts w:ascii="Times New Roman" w:hAnsi="Times New Roman" w:cs="Times New Roman" w:eastAsia="Times New Roman" w:hint="default"/>
          <w:spacing w:val="-2"/>
        </w:rPr>
        <w:t>2019</w:t>
      </w:r>
      <w:r>
        <w:rPr>
          <w:spacing w:val="-2"/>
        </w:rPr>
        <w:t>年度，朗新科技及邦道科技经评估判断自身符合上述</w:t>
      </w:r>
      <w:r>
        <w:rPr>
          <w:rFonts w:ascii="Times New Roman" w:hAnsi="Times New Roman" w:cs="Times New Roman" w:eastAsia="Times New Roman" w:hint="default"/>
          <w:spacing w:val="-2"/>
        </w:rPr>
        <w:t>49</w:t>
      </w:r>
      <w:r>
        <w:rPr>
          <w:spacing w:val="-2"/>
        </w:rPr>
        <w:t>号通知列明的相关条件并将按照规定于汇算清缴时向</w:t>
      </w:r>
      <w:r>
        <w:rPr>
          <w:spacing w:val="-60"/>
        </w:rPr>
        <w:t> </w:t>
      </w:r>
      <w:r>
        <w:rPr/>
        <w:t>税务机关进行备案，故采用</w:t>
      </w:r>
      <w:r>
        <w:rPr>
          <w:rFonts w:ascii="Times New Roman" w:hAnsi="Times New Roman" w:cs="Times New Roman" w:eastAsia="Times New Roman" w:hint="default"/>
        </w:rPr>
        <w:t>10%</w:t>
      </w:r>
      <w:r>
        <w:rPr/>
        <w:t>的所得税优惠税率计算</w:t>
      </w:r>
      <w:r>
        <w:rPr>
          <w:rFonts w:ascii="Times New Roman" w:hAnsi="Times New Roman" w:cs="Times New Roman" w:eastAsia="Times New Roman" w:hint="default"/>
        </w:rPr>
        <w:t>2019</w:t>
      </w:r>
      <w:r>
        <w:rPr/>
        <w:t>年度应缴纳的所得税。</w:t>
      </w:r>
      <w:r>
        <w:rPr>
          <w:spacing w:val="-86"/>
        </w:rPr>
        <w:t> </w:t>
      </w:r>
      <w:r>
        <w:rPr>
          <w:rFonts w:ascii="Times New Roman" w:hAnsi="Times New Roman" w:cs="Times New Roman" w:eastAsia="Times New Roman" w:hint="default"/>
        </w:rPr>
        <w:t>(b)2016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日，易视腾科技取得《高新技术企业证书》（证书编号为</w:t>
      </w:r>
      <w:r>
        <w:rPr>
          <w:rFonts w:ascii="Times New Roman" w:hAnsi="Times New Roman" w:cs="Times New Roman" w:eastAsia="Times New Roman" w:hint="default"/>
        </w:rPr>
        <w:t>GR201632002222</w:t>
      </w:r>
      <w:r>
        <w:rPr/>
        <w:t>），该证书有效期三年。于</w:t>
      </w:r>
      <w:r>
        <w:rPr>
          <w:rFonts w:ascii="Times New Roman" w:hAnsi="Times New Roman" w:cs="Times New Roman" w:eastAsia="Times New Roman" w:hint="default"/>
        </w:rPr>
        <w:t>2019</w:t>
      </w:r>
      <w:r>
        <w:rPr>
          <w:rFonts w:ascii="Times New Roman" w:hAnsi="Times New Roman" w:cs="Times New Roman" w:eastAsia="Times New Roman" w:hint="default"/>
          <w:spacing w:val="-34"/>
        </w:rPr>
        <w:t>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5</w:t>
      </w:r>
      <w:r>
        <w:rPr>
          <w:spacing w:val="-2"/>
        </w:rPr>
        <w:t>日，易视腾科技更新备案并取得《高新技术企业证书》（证书编号为</w:t>
      </w:r>
      <w:r>
        <w:rPr>
          <w:rFonts w:ascii="Times New Roman" w:hAnsi="Times New Roman" w:cs="Times New Roman" w:eastAsia="Times New Roman" w:hint="default"/>
          <w:spacing w:val="-2"/>
        </w:rPr>
        <w:t>GR201932004971</w:t>
      </w:r>
      <w:r>
        <w:rPr>
          <w:spacing w:val="-2"/>
        </w:rPr>
        <w:t>），该证书有效期三年。根据</w:t>
      </w:r>
    </w:p>
    <w:p>
      <w:pPr>
        <w:pStyle w:val="BodyText"/>
        <w:spacing w:line="240" w:lineRule="auto" w:before="16"/>
        <w:ind w:right="0"/>
        <w:jc w:val="both"/>
      </w:pPr>
      <w:r>
        <w:rPr/>
        <w:t>《中华人民共和国企业所得税法》第二十八条的有关规定，</w:t>
      </w:r>
      <w:r>
        <w:rPr>
          <w:rFonts w:ascii="Times New Roman" w:hAnsi="Times New Roman" w:cs="Times New Roman" w:eastAsia="Times New Roman" w:hint="default"/>
        </w:rPr>
        <w:t>2019</w:t>
      </w:r>
      <w:r>
        <w:rPr/>
        <w:t>年度，易视腾科技适用的企业所得税税率为</w:t>
      </w:r>
      <w:r>
        <w:rPr>
          <w:rFonts w:ascii="Times New Roman" w:hAnsi="Times New Roman" w:cs="Times New Roman" w:eastAsia="Times New Roman" w:hint="default"/>
        </w:rPr>
        <w:t>15%</w:t>
      </w:r>
      <w:r>
        <w:rPr/>
        <w:t>。</w:t>
      </w:r>
    </w:p>
    <w:p>
      <w:pPr>
        <w:spacing w:line="240" w:lineRule="auto" w:before="0"/>
        <w:rPr>
          <w:rFonts w:ascii="宋体" w:hAnsi="宋体" w:cs="宋体" w:eastAsia="宋体" w:hint="default"/>
          <w:sz w:val="18"/>
          <w:szCs w:val="18"/>
        </w:rPr>
      </w:pPr>
    </w:p>
    <w:p>
      <w:pPr>
        <w:pStyle w:val="BodyText"/>
        <w:spacing w:line="297" w:lineRule="auto" w:before="146"/>
        <w:ind w:right="1106"/>
        <w:jc w:val="both"/>
      </w:pPr>
      <w:r>
        <w:rPr>
          <w:rFonts w:ascii="Times New Roman" w:hAnsi="Times New Roman" w:cs="Times New Roman" w:eastAsia="Times New Roman" w:hint="default"/>
          <w:spacing w:val="-2"/>
        </w:rPr>
        <w:t>(c)</w:t>
      </w:r>
      <w:r>
        <w:rPr>
          <w:spacing w:val="-2"/>
        </w:rPr>
        <w:t>易视腾科技之子公司深圳云之尚网络科技有限公司（以下简称</w:t>
      </w:r>
      <w:r>
        <w:rPr>
          <w:rFonts w:ascii="Times New Roman" w:hAnsi="Times New Roman" w:cs="Times New Roman" w:eastAsia="Times New Roman" w:hint="default"/>
          <w:spacing w:val="-2"/>
        </w:rPr>
        <w:t>“</w:t>
      </w:r>
      <w:r>
        <w:rPr>
          <w:spacing w:val="-2"/>
        </w:rPr>
        <w:t>深圳云之尚</w:t>
      </w:r>
      <w:r>
        <w:rPr>
          <w:rFonts w:ascii="Times New Roman" w:hAnsi="Times New Roman" w:cs="Times New Roman" w:eastAsia="Times New Roman" w:hint="default"/>
          <w:spacing w:val="-2"/>
        </w:rPr>
        <w:t>”</w:t>
      </w:r>
      <w:r>
        <w:rPr>
          <w:spacing w:val="-2"/>
        </w:rPr>
        <w:t>）及北京数联领航网络科技有限公司（以下简</w:t>
      </w:r>
      <w:r>
        <w:rPr>
          <w:spacing w:val="-63"/>
        </w:rPr>
        <w:t> </w:t>
      </w:r>
      <w:r>
        <w:rPr>
          <w:spacing w:val="-63"/>
        </w:rPr>
      </w:r>
      <w:r>
        <w:rPr>
          <w:spacing w:val="7"/>
        </w:rPr>
        <w:t>称</w:t>
      </w:r>
      <w:r>
        <w:rPr>
          <w:rFonts w:ascii="Times New Roman" w:hAnsi="Times New Roman" w:cs="Times New Roman" w:eastAsia="Times New Roman" w:hint="default"/>
          <w:spacing w:val="7"/>
        </w:rPr>
        <w:t>“</w:t>
      </w:r>
      <w:r>
        <w:rPr>
          <w:rFonts w:ascii="Times New Roman" w:hAnsi="Times New Roman" w:cs="Times New Roman" w:eastAsia="Times New Roman" w:hint="default"/>
          <w:spacing w:val="-3"/>
        </w:rPr>
        <w:t> </w:t>
      </w:r>
      <w:r>
        <w:rPr>
          <w:spacing w:val="9"/>
        </w:rPr>
        <w:t>数联领航</w:t>
      </w:r>
      <w:r>
        <w:rPr>
          <w:rFonts w:ascii="Times New Roman" w:hAnsi="Times New Roman" w:cs="Times New Roman" w:eastAsia="Times New Roman" w:hint="default"/>
          <w:spacing w:val="9"/>
        </w:rPr>
        <w:t>”</w:t>
      </w:r>
      <w:r>
        <w:rPr>
          <w:spacing w:val="9"/>
        </w:rPr>
        <w:t>）分别于</w:t>
      </w:r>
      <w:r>
        <w:rPr>
          <w:spacing w:val="-63"/>
        </w:rPr>
        <w:t> </w:t>
      </w:r>
      <w:r>
        <w:rPr>
          <w:rFonts w:ascii="Times New Roman" w:hAnsi="Times New Roman" w:cs="Times New Roman" w:eastAsia="Times New Roman" w:hint="default"/>
          <w:spacing w:val="8"/>
        </w:rPr>
        <w:t>2018</w:t>
      </w:r>
      <w:r>
        <w:rPr>
          <w:spacing w:val="8"/>
        </w:rPr>
        <w:t>年</w:t>
      </w:r>
      <w:r>
        <w:rPr>
          <w:rFonts w:ascii="Times New Roman" w:hAnsi="Times New Roman" w:cs="Times New Roman" w:eastAsia="Times New Roman" w:hint="default"/>
          <w:spacing w:val="8"/>
        </w:rPr>
        <w:t>11</w:t>
      </w:r>
      <w:r>
        <w:rPr>
          <w:spacing w:val="8"/>
        </w:rPr>
        <w:t>月</w:t>
      </w:r>
      <w:r>
        <w:rPr>
          <w:rFonts w:ascii="Times New Roman" w:hAnsi="Times New Roman" w:cs="Times New Roman" w:eastAsia="Times New Roman" w:hint="default"/>
          <w:spacing w:val="8"/>
        </w:rPr>
        <w:t>9</w:t>
      </w:r>
      <w:r>
        <w:rPr>
          <w:spacing w:val="8"/>
        </w:rPr>
        <w:t>日及</w:t>
      </w:r>
      <w:r>
        <w:rPr>
          <w:rFonts w:ascii="Times New Roman" w:hAnsi="Times New Roman" w:cs="Times New Roman" w:eastAsia="Times New Roman" w:hint="default"/>
          <w:spacing w:val="8"/>
        </w:rPr>
        <w:t>2018</w:t>
      </w:r>
      <w:r>
        <w:rPr>
          <w:spacing w:val="8"/>
        </w:rPr>
        <w:t>年</w:t>
      </w:r>
      <w:r>
        <w:rPr>
          <w:rFonts w:ascii="Times New Roman" w:hAnsi="Times New Roman" w:cs="Times New Roman" w:eastAsia="Times New Roman" w:hint="default"/>
          <w:spacing w:val="8"/>
        </w:rPr>
        <w:t>11</w:t>
      </w:r>
      <w:r>
        <w:rPr>
          <w:spacing w:val="8"/>
        </w:rPr>
        <w:t>月</w:t>
      </w:r>
      <w:r>
        <w:rPr>
          <w:rFonts w:ascii="Times New Roman" w:hAnsi="Times New Roman" w:cs="Times New Roman" w:eastAsia="Times New Roman" w:hint="default"/>
          <w:spacing w:val="8"/>
        </w:rPr>
        <w:t>30</w:t>
      </w:r>
      <w:r>
        <w:rPr>
          <w:spacing w:val="8"/>
        </w:rPr>
        <w:t>日取得《高新技术企业证书》，证书有效期三年，证书编号为</w:t>
      </w:r>
      <w:r>
        <w:rPr>
          <w:spacing w:val="-72"/>
        </w:rPr>
        <w:t> </w:t>
      </w:r>
      <w:r>
        <w:rPr>
          <w:spacing w:val="-72"/>
        </w:rPr>
      </w:r>
      <w:r>
        <w:rPr>
          <w:rFonts w:ascii="Times New Roman" w:hAnsi="Times New Roman" w:cs="Times New Roman" w:eastAsia="Times New Roman" w:hint="default"/>
          <w:spacing w:val="-1"/>
        </w:rPr>
        <w:t>GR201844203136</w:t>
      </w:r>
      <w:r>
        <w:rPr>
          <w:spacing w:val="-1"/>
        </w:rPr>
        <w:t>及</w:t>
      </w:r>
      <w:r>
        <w:rPr>
          <w:rFonts w:ascii="Times New Roman" w:hAnsi="Times New Roman" w:cs="Times New Roman" w:eastAsia="Times New Roman" w:hint="default"/>
          <w:spacing w:val="-1"/>
        </w:rPr>
        <w:t>GR201811009070</w:t>
      </w:r>
      <w:r>
        <w:rPr>
          <w:spacing w:val="-1"/>
        </w:rPr>
        <w:t>。根据《中华人民共和国企业所得税法》第二十八条的有关规定，</w:t>
      </w:r>
      <w:r>
        <w:rPr>
          <w:rFonts w:ascii="Times New Roman" w:hAnsi="Times New Roman" w:cs="Times New Roman" w:eastAsia="Times New Roman" w:hint="default"/>
          <w:spacing w:val="-1"/>
        </w:rPr>
        <w:t>2019</w:t>
      </w:r>
      <w:r>
        <w:rPr>
          <w:spacing w:val="-1"/>
        </w:rPr>
        <w:t>年度，深圳云之</w:t>
      </w:r>
      <w:r>
        <w:rPr>
          <w:spacing w:val="-67"/>
        </w:rPr>
        <w:t> </w:t>
      </w:r>
      <w:r>
        <w:rPr>
          <w:spacing w:val="-67"/>
        </w:rPr>
      </w:r>
      <w:r>
        <w:rPr/>
        <w:t>尚及数联领航适用的企业所得税税率为</w:t>
      </w:r>
      <w:r>
        <w:rPr>
          <w:rFonts w:ascii="Times New Roman" w:hAnsi="Times New Roman" w:cs="Times New Roman" w:eastAsia="Times New Roman" w:hint="default"/>
        </w:rPr>
        <w:t>15%</w:t>
      </w:r>
      <w:r>
        <w:rPr/>
        <w:t>。</w:t>
      </w:r>
    </w:p>
    <w:p>
      <w:pPr>
        <w:spacing w:line="240" w:lineRule="auto" w:before="6"/>
        <w:rPr>
          <w:rFonts w:ascii="宋体" w:hAnsi="宋体" w:cs="宋体" w:eastAsia="宋体" w:hint="default"/>
          <w:sz w:val="25"/>
          <w:szCs w:val="25"/>
        </w:rPr>
      </w:pPr>
    </w:p>
    <w:p>
      <w:pPr>
        <w:pStyle w:val="BodyText"/>
        <w:spacing w:line="300" w:lineRule="auto"/>
        <w:ind w:right="1095"/>
        <w:jc w:val="both"/>
      </w:pPr>
      <w:r>
        <w:rPr>
          <w:rFonts w:ascii="Times New Roman" w:hAnsi="Times New Roman" w:cs="Times New Roman" w:eastAsia="Times New Roman" w:hint="default"/>
        </w:rPr>
        <w:t>(d)</w:t>
      </w:r>
      <w:r>
        <w:rPr/>
        <w:t>根据财政部、税务总局《关于实施小微企业普惠性税收减免政策的通知》（财税</w:t>
      </w:r>
      <w:r>
        <w:rPr>
          <w:rFonts w:ascii="Times New Roman" w:hAnsi="Times New Roman" w:cs="Times New Roman" w:eastAsia="Times New Roman" w:hint="default"/>
        </w:rPr>
        <w:t>[2019]13</w:t>
      </w:r>
      <w:r>
        <w:rPr/>
        <w:t>号），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spacing w:val="-55"/>
        </w:rPr>
        <w:t> </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日，对符合年度应纳税所得额不超过</w:t>
      </w:r>
      <w:r>
        <w:rPr>
          <w:rFonts w:ascii="Times New Roman" w:hAnsi="Times New Roman" w:cs="Times New Roman" w:eastAsia="Times New Roman" w:hint="default"/>
          <w:spacing w:val="-2"/>
        </w:rPr>
        <w:t>300</w:t>
      </w:r>
      <w:r>
        <w:rPr>
          <w:spacing w:val="-2"/>
        </w:rPr>
        <w:t>万元、从业人数不超过</w:t>
      </w:r>
      <w:r>
        <w:rPr>
          <w:rFonts w:ascii="Times New Roman" w:hAnsi="Times New Roman" w:cs="Times New Roman" w:eastAsia="Times New Roman" w:hint="default"/>
          <w:spacing w:val="-2"/>
        </w:rPr>
        <w:t>300</w:t>
      </w:r>
      <w:r>
        <w:rPr>
          <w:spacing w:val="-2"/>
        </w:rPr>
        <w:t>人、资产总额不超过</w:t>
      </w:r>
      <w:r>
        <w:rPr>
          <w:rFonts w:ascii="Times New Roman" w:hAnsi="Times New Roman" w:cs="Times New Roman" w:eastAsia="Times New Roman" w:hint="default"/>
          <w:spacing w:val="-2"/>
        </w:rPr>
        <w:t>5000</w:t>
      </w:r>
      <w:r>
        <w:rPr>
          <w:spacing w:val="-2"/>
        </w:rPr>
        <w:t>万元等三个条件的小型微</w:t>
      </w:r>
      <w:r>
        <w:rPr>
          <w:spacing w:val="-55"/>
        </w:rPr>
        <w:t> </w:t>
      </w:r>
      <w:r>
        <w:rPr/>
        <w:t>利企业年应纳税所得额不超过</w:t>
      </w:r>
      <w:r>
        <w:rPr>
          <w:rFonts w:ascii="Times New Roman" w:hAnsi="Times New Roman" w:cs="Times New Roman" w:eastAsia="Times New Roman" w:hint="default"/>
        </w:rPr>
        <w:t>100</w:t>
      </w:r>
      <w:r>
        <w:rPr/>
        <w:t>万元的部分，减按</w:t>
      </w:r>
      <w:r>
        <w:rPr>
          <w:rFonts w:ascii="Times New Roman" w:hAnsi="Times New Roman" w:cs="Times New Roman" w:eastAsia="Times New Roman" w:hint="default"/>
        </w:rPr>
        <w:t>25%</w:t>
      </w:r>
      <w:r>
        <w:rPr/>
        <w:t>计入应纳税所得额，按</w:t>
      </w:r>
      <w:r>
        <w:rPr>
          <w:rFonts w:ascii="Times New Roman" w:hAnsi="Times New Roman" w:cs="Times New Roman" w:eastAsia="Times New Roman" w:hint="default"/>
        </w:rPr>
        <w:t>20%</w:t>
      </w:r>
      <w:r>
        <w:rPr/>
        <w:t>的税率缴纳企业所得税；对年应纳税所</w:t>
      </w:r>
      <w:r>
        <w:rPr>
          <w:spacing w:val="-28"/>
        </w:rPr>
        <w:t> </w:t>
      </w:r>
      <w:r>
        <w:rPr>
          <w:spacing w:val="-28"/>
        </w:rPr>
      </w:r>
      <w:r>
        <w:rPr/>
        <w:t>得额超过</w:t>
      </w:r>
      <w:r>
        <w:rPr>
          <w:rFonts w:ascii="Times New Roman" w:hAnsi="Times New Roman" w:cs="Times New Roman" w:eastAsia="Times New Roman" w:hint="default"/>
        </w:rPr>
        <w:t>100</w:t>
      </w:r>
      <w:r>
        <w:rPr/>
        <w:t>万元但不超过</w:t>
      </w:r>
      <w:r>
        <w:rPr>
          <w:rFonts w:ascii="Times New Roman" w:hAnsi="Times New Roman" w:cs="Times New Roman" w:eastAsia="Times New Roman" w:hint="default"/>
        </w:rPr>
        <w:t>300</w:t>
      </w:r>
      <w:r>
        <w:rPr/>
        <w:t>万元的部分，减按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的税率缴纳企业所得税。本集团之子公司合</w:t>
      </w:r>
      <w:r>
        <w:rPr>
          <w:spacing w:val="-87"/>
        </w:rPr>
        <w:t> </w:t>
      </w:r>
      <w:r>
        <w:rPr>
          <w:spacing w:val="-4"/>
        </w:rPr>
        <w:t>肥新耀能源科技有限公司（</w:t>
      </w:r>
      <w:r>
        <w:rPr>
          <w:rFonts w:ascii="Times New Roman" w:hAnsi="Times New Roman" w:cs="Times New Roman" w:eastAsia="Times New Roman" w:hint="default"/>
          <w:spacing w:val="-4"/>
        </w:rPr>
        <w:t>“</w:t>
      </w:r>
      <w:r>
        <w:rPr>
          <w:spacing w:val="-4"/>
        </w:rPr>
        <w:t>合肥新耀</w:t>
      </w:r>
      <w:r>
        <w:rPr>
          <w:rFonts w:ascii="Times New Roman" w:hAnsi="Times New Roman" w:cs="Times New Roman" w:eastAsia="Times New Roman" w:hint="default"/>
          <w:spacing w:val="-4"/>
        </w:rPr>
        <w:t>”</w:t>
      </w:r>
      <w:r>
        <w:rPr>
          <w:spacing w:val="-4"/>
        </w:rPr>
        <w:t>）、杭州朗新智能技术有限公司（以下简称</w:t>
      </w:r>
      <w:r>
        <w:rPr>
          <w:rFonts w:ascii="Times New Roman" w:hAnsi="Times New Roman" w:cs="Times New Roman" w:eastAsia="Times New Roman" w:hint="default"/>
          <w:spacing w:val="-4"/>
        </w:rPr>
        <w:t>“</w:t>
      </w:r>
      <w:r>
        <w:rPr>
          <w:spacing w:val="-4"/>
        </w:rPr>
        <w:t>杭州智能</w:t>
      </w:r>
      <w:r>
        <w:rPr>
          <w:rFonts w:ascii="Times New Roman" w:hAnsi="Times New Roman" w:cs="Times New Roman" w:eastAsia="Times New Roman" w:hint="default"/>
          <w:spacing w:val="-4"/>
        </w:rPr>
        <w:t>”</w:t>
      </w:r>
      <w:r>
        <w:rPr>
          <w:spacing w:val="-4"/>
        </w:rPr>
        <w:t>）、云筑智联科技有限公司（以</w:t>
      </w:r>
      <w:r>
        <w:rPr>
          <w:spacing w:val="-62"/>
        </w:rPr>
        <w:t> </w:t>
      </w:r>
      <w:r>
        <w:rPr>
          <w:spacing w:val="-62"/>
        </w:rPr>
      </w:r>
      <w:r>
        <w:rPr/>
        <w:t>下简称</w:t>
      </w:r>
      <w:r>
        <w:rPr>
          <w:rFonts w:ascii="Times New Roman" w:hAnsi="Times New Roman" w:cs="Times New Roman" w:eastAsia="Times New Roman" w:hint="default"/>
        </w:rPr>
        <w:t>“</w:t>
      </w:r>
      <w:r>
        <w:rPr/>
        <w:t>云筑智联</w:t>
      </w:r>
      <w:r>
        <w:rPr>
          <w:rFonts w:ascii="Times New Roman" w:hAnsi="Times New Roman" w:cs="Times New Roman" w:eastAsia="Times New Roman" w:hint="default"/>
        </w:rPr>
        <w:t>”</w:t>
      </w:r>
      <w:r>
        <w:rPr/>
        <w:t>）、朗新智元科技有限公司（以下简称</w:t>
      </w:r>
      <w:r>
        <w:rPr>
          <w:rFonts w:ascii="Times New Roman" w:hAnsi="Times New Roman" w:cs="Times New Roman" w:eastAsia="Times New Roman" w:hint="default"/>
        </w:rPr>
        <w:t>“</w:t>
      </w:r>
      <w:r>
        <w:rPr/>
        <w:t>朗新智元</w:t>
      </w:r>
      <w:r>
        <w:rPr>
          <w:rFonts w:ascii="Times New Roman" w:hAnsi="Times New Roman" w:cs="Times New Roman" w:eastAsia="Times New Roman" w:hint="default"/>
        </w:rPr>
        <w:t>”</w:t>
      </w:r>
      <w:r>
        <w:rPr/>
        <w:t>）、涵谷科技有限公司（以下简称</w:t>
      </w:r>
      <w:r>
        <w:rPr>
          <w:rFonts w:ascii="Times New Roman" w:hAnsi="Times New Roman" w:cs="Times New Roman" w:eastAsia="Times New Roman" w:hint="default"/>
        </w:rPr>
        <w:t>“</w:t>
      </w:r>
      <w:r>
        <w:rPr/>
        <w:t>涵谷科技</w:t>
      </w:r>
      <w:r>
        <w:rPr>
          <w:rFonts w:ascii="Times New Roman" w:hAnsi="Times New Roman" w:cs="Times New Roman" w:eastAsia="Times New Roman" w:hint="default"/>
        </w:rPr>
        <w:t>”</w:t>
      </w:r>
      <w:r>
        <w:rPr/>
        <w:t>）、易天</w:t>
      </w:r>
      <w:r>
        <w:rPr>
          <w:spacing w:val="-80"/>
        </w:rPr>
        <w:t> </w:t>
      </w:r>
      <w:r>
        <w:rPr>
          <w:spacing w:val="-1"/>
        </w:rPr>
        <w:t>气（北京）科技有限公司（以下简称</w:t>
      </w:r>
      <w:r>
        <w:rPr>
          <w:rFonts w:ascii="Times New Roman" w:hAnsi="Times New Roman" w:cs="Times New Roman" w:eastAsia="Times New Roman" w:hint="default"/>
          <w:spacing w:val="-1"/>
        </w:rPr>
        <w:t>“</w:t>
      </w:r>
      <w:r>
        <w:rPr>
          <w:spacing w:val="-1"/>
        </w:rPr>
        <w:t>易天气科技</w:t>
      </w:r>
      <w:r>
        <w:rPr>
          <w:rFonts w:ascii="Times New Roman" w:hAnsi="Times New Roman" w:cs="Times New Roman" w:eastAsia="Times New Roman" w:hint="default"/>
          <w:spacing w:val="-1"/>
        </w:rPr>
        <w:t>”</w:t>
      </w:r>
      <w:r>
        <w:rPr>
          <w:spacing w:val="-1"/>
        </w:rPr>
        <w:t>）、清大朗新（厦门）科技有限公司（以下简称</w:t>
      </w:r>
      <w:r>
        <w:rPr>
          <w:rFonts w:ascii="Times New Roman" w:hAnsi="Times New Roman" w:cs="Times New Roman" w:eastAsia="Times New Roman" w:hint="default"/>
          <w:spacing w:val="-1"/>
        </w:rPr>
        <w:t>“</w:t>
      </w:r>
      <w:r>
        <w:rPr>
          <w:spacing w:val="-1"/>
        </w:rPr>
        <w:t>清大朗新</w:t>
      </w:r>
      <w:r>
        <w:rPr>
          <w:rFonts w:ascii="Times New Roman" w:hAnsi="Times New Roman" w:cs="Times New Roman" w:eastAsia="Times New Roman" w:hint="default"/>
          <w:spacing w:val="-1"/>
        </w:rPr>
        <w:t>”</w:t>
      </w:r>
      <w:r>
        <w:rPr>
          <w:spacing w:val="-1"/>
        </w:rPr>
        <w:t>）、无锡朗易</w:t>
      </w:r>
      <w:r>
        <w:rPr>
          <w:spacing w:val="-45"/>
        </w:rPr>
        <w:t> </w:t>
      </w:r>
      <w:r>
        <w:rPr>
          <w:spacing w:val="-1"/>
        </w:rPr>
        <w:t>软件产业发展有限公司（以下简称</w:t>
      </w:r>
      <w:r>
        <w:rPr>
          <w:rFonts w:ascii="Times New Roman" w:hAnsi="Times New Roman" w:cs="Times New Roman" w:eastAsia="Times New Roman" w:hint="default"/>
          <w:spacing w:val="-1"/>
        </w:rPr>
        <w:t>“</w:t>
      </w:r>
      <w:r>
        <w:rPr>
          <w:spacing w:val="-1"/>
        </w:rPr>
        <w:t>无锡朗易</w:t>
      </w:r>
      <w:r>
        <w:rPr>
          <w:rFonts w:ascii="Times New Roman" w:hAnsi="Times New Roman" w:cs="Times New Roman" w:eastAsia="Times New Roman" w:hint="default"/>
          <w:spacing w:val="-1"/>
        </w:rPr>
        <w:t>”</w:t>
      </w:r>
      <w:r>
        <w:rPr>
          <w:spacing w:val="-1"/>
        </w:rPr>
        <w:t>）、河北邦道科技有限公司（以下简称</w:t>
      </w:r>
      <w:r>
        <w:rPr>
          <w:rFonts w:ascii="Times New Roman" w:hAnsi="Times New Roman" w:cs="Times New Roman" w:eastAsia="Times New Roman" w:hint="default"/>
          <w:spacing w:val="-1"/>
        </w:rPr>
        <w:t>“</w:t>
      </w:r>
      <w:r>
        <w:rPr>
          <w:spacing w:val="-1"/>
        </w:rPr>
        <w:t>河北邦道</w:t>
      </w:r>
      <w:r>
        <w:rPr>
          <w:rFonts w:ascii="Times New Roman" w:hAnsi="Times New Roman" w:cs="Times New Roman" w:eastAsia="Times New Roman" w:hint="default"/>
          <w:spacing w:val="-1"/>
        </w:rPr>
        <w:t>”</w:t>
      </w:r>
      <w:r>
        <w:rPr>
          <w:spacing w:val="-1"/>
        </w:rPr>
        <w:t>）、众畅科技有限公司（以</w:t>
      </w:r>
      <w:r>
        <w:rPr>
          <w:spacing w:val="-47"/>
        </w:rPr>
        <w:t> </w:t>
      </w:r>
      <w:r>
        <w:rPr>
          <w:spacing w:val="-47"/>
        </w:rPr>
      </w:r>
      <w:r>
        <w:rPr>
          <w:spacing w:val="-1"/>
        </w:rPr>
        <w:t>下简称</w:t>
      </w:r>
      <w:r>
        <w:rPr>
          <w:rFonts w:ascii="Times New Roman" w:hAnsi="Times New Roman" w:cs="Times New Roman" w:eastAsia="Times New Roman" w:hint="default"/>
          <w:spacing w:val="-1"/>
        </w:rPr>
        <w:t>“</w:t>
      </w:r>
      <w:r>
        <w:rPr>
          <w:spacing w:val="-1"/>
        </w:rPr>
        <w:t>众畅科技</w:t>
      </w:r>
      <w:r>
        <w:rPr>
          <w:rFonts w:ascii="Times New Roman" w:hAnsi="Times New Roman" w:cs="Times New Roman" w:eastAsia="Times New Roman" w:hint="default"/>
          <w:spacing w:val="-1"/>
        </w:rPr>
        <w:t>”</w:t>
      </w:r>
      <w:r>
        <w:rPr>
          <w:spacing w:val="-1"/>
        </w:rPr>
        <w:t>）及朗新投资管理无锡有限公司（以下简称</w:t>
      </w:r>
      <w:r>
        <w:rPr>
          <w:rFonts w:ascii="Times New Roman" w:hAnsi="Times New Roman" w:cs="Times New Roman" w:eastAsia="Times New Roman" w:hint="default"/>
          <w:spacing w:val="-1"/>
        </w:rPr>
        <w:t>“</w:t>
      </w:r>
      <w:r>
        <w:rPr>
          <w:spacing w:val="-1"/>
        </w:rPr>
        <w:t>朗新投资</w:t>
      </w:r>
      <w:r>
        <w:rPr>
          <w:rFonts w:ascii="Times New Roman" w:hAnsi="Times New Roman" w:cs="Times New Roman" w:eastAsia="Times New Roman" w:hint="default"/>
          <w:spacing w:val="-1"/>
        </w:rPr>
        <w:t>”</w:t>
      </w:r>
      <w:r>
        <w:rPr>
          <w:spacing w:val="-1"/>
        </w:rPr>
        <w:t>）经过评估判断自身符合上述规定，年应纳税所得</w:t>
      </w:r>
      <w:r>
        <w:rPr>
          <w:spacing w:val="-79"/>
        </w:rPr>
        <w:t> </w:t>
      </w:r>
      <w:r>
        <w:rPr>
          <w:spacing w:val="-79"/>
        </w:rPr>
      </w:r>
      <w:r>
        <w:rPr/>
        <w:t>额均小于</w:t>
      </w:r>
      <w:r>
        <w:rPr>
          <w:rFonts w:ascii="Times New Roman" w:hAnsi="Times New Roman" w:cs="Times New Roman" w:eastAsia="Times New Roman" w:hint="default"/>
        </w:rPr>
        <w:t>100</w:t>
      </w:r>
      <w:r>
        <w:rPr/>
        <w:t>万元，</w:t>
      </w:r>
      <w:r>
        <w:rPr>
          <w:rFonts w:ascii="Times New Roman" w:hAnsi="Times New Roman" w:cs="Times New Roman" w:eastAsia="Times New Roman" w:hint="default"/>
        </w:rPr>
        <w:t>2019</w:t>
      </w:r>
      <w:r>
        <w:rPr/>
        <w:t>年度，其所得减按</w:t>
      </w:r>
      <w:r>
        <w:rPr>
          <w:rFonts w:ascii="Times New Roman" w:hAnsi="Times New Roman" w:cs="Times New Roman" w:eastAsia="Times New Roman" w:hint="default"/>
        </w:rPr>
        <w:t>25%</w:t>
      </w:r>
      <w:r>
        <w:rPr/>
        <w:t>计入应纳税所得额，按</w:t>
      </w:r>
      <w:r>
        <w:rPr>
          <w:rFonts w:ascii="Times New Roman" w:hAnsi="Times New Roman" w:cs="Times New Roman" w:eastAsia="Times New Roman" w:hint="default"/>
        </w:rPr>
        <w:t>20%</w:t>
      </w:r>
      <w:r>
        <w:rPr/>
        <w:t>的税率缴纳企业所得税。</w:t>
      </w:r>
    </w:p>
    <w:p>
      <w:pPr>
        <w:spacing w:line="240" w:lineRule="auto" w:before="2"/>
        <w:rPr>
          <w:rFonts w:ascii="宋体" w:hAnsi="宋体" w:cs="宋体" w:eastAsia="宋体" w:hint="default"/>
          <w:sz w:val="24"/>
          <w:szCs w:val="24"/>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(e)</w:t>
      </w:r>
      <w:r>
        <w:rPr/>
        <w:t>朗新科技归属于技术开发、技术咨询服务的销售按</w:t>
      </w:r>
      <w:r>
        <w:rPr>
          <w:rFonts w:ascii="Times New Roman" w:hAnsi="Times New Roman" w:cs="Times New Roman" w:eastAsia="Times New Roman" w:hint="default"/>
        </w:rPr>
        <w:t>6%</w:t>
      </w:r>
      <w:r>
        <w:rPr/>
        <w:t>的销项税税率计算缴纳增值税，归属于自行开发软件的销售按</w:t>
      </w:r>
      <w:r>
        <w:rPr>
          <w:rFonts w:ascii="Times New Roman" w:hAnsi="Times New Roman" w:cs="Times New Roman" w:eastAsia="Times New Roman" w:hint="default"/>
        </w:rPr>
        <w:t>16%</w:t>
      </w:r>
    </w:p>
    <w:p>
      <w:pPr>
        <w:pStyle w:val="BodyText"/>
        <w:spacing w:line="240" w:lineRule="auto" w:before="66"/>
        <w:ind w:right="0"/>
        <w:jc w:val="both"/>
      </w:pPr>
      <w:r>
        <w:rPr>
          <w:spacing w:val="-3"/>
        </w:rPr>
        <w:t>或</w:t>
      </w:r>
      <w:r>
        <w:rPr>
          <w:rFonts w:ascii="Times New Roman" w:hAnsi="Times New Roman" w:cs="Times New Roman" w:eastAsia="Times New Roman" w:hint="default"/>
          <w:spacing w:val="-3"/>
        </w:rPr>
        <w:t>13%</w:t>
      </w:r>
      <w:r>
        <w:rPr>
          <w:spacing w:val="-3"/>
        </w:rPr>
        <w:t>的销项税税率计算缴纳增值税。根据财政部、国家税务总局、海关总署颁布的《关于深化增值税改革有关政策的公告》</w:t>
      </w:r>
    </w:p>
    <w:p>
      <w:pPr>
        <w:pStyle w:val="BodyText"/>
        <w:spacing w:line="304" w:lineRule="auto" w:before="66"/>
        <w:ind w:right="1095"/>
        <w:jc w:val="both"/>
      </w:pPr>
      <w:r>
        <w:rPr>
          <w:spacing w:val="-2"/>
        </w:rPr>
        <w:t>（财政部税务总局海关总署公告</w:t>
      </w:r>
      <w:r>
        <w:rPr>
          <w:rFonts w:ascii="Times New Roman" w:hAnsi="Times New Roman" w:cs="Times New Roman" w:eastAsia="Times New Roman" w:hint="default"/>
          <w:spacing w:val="-2"/>
        </w:rPr>
        <w:t>2019</w:t>
      </w:r>
      <w:r>
        <w:rPr>
          <w:spacing w:val="-2"/>
        </w:rPr>
        <w:t>年第</w:t>
      </w:r>
      <w:r>
        <w:rPr>
          <w:rFonts w:ascii="Times New Roman" w:hAnsi="Times New Roman" w:cs="Times New Roman" w:eastAsia="Times New Roman" w:hint="default"/>
          <w:spacing w:val="-2"/>
        </w:rPr>
        <w:t>39</w:t>
      </w:r>
      <w:r>
        <w:rPr>
          <w:spacing w:val="-2"/>
        </w:rPr>
        <w:t>号）及相关规定，自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日起，朗新科技销售的经认证的自行开发软件在</w:t>
      </w:r>
      <w:r>
        <w:rPr>
          <w:spacing w:val="-58"/>
        </w:rPr>
        <w:t> </w:t>
      </w:r>
      <w:r>
        <w:rPr>
          <w:spacing w:val="-58"/>
        </w:rPr>
      </w:r>
      <w:r>
        <w:rPr/>
        <w:t>获得主管税务机关审批并按</w:t>
      </w:r>
      <w:r>
        <w:rPr>
          <w:rFonts w:ascii="Times New Roman" w:hAnsi="Times New Roman" w:cs="Times New Roman" w:eastAsia="Times New Roman" w:hint="default"/>
        </w:rPr>
        <w:t>13%</w:t>
      </w:r>
      <w:r>
        <w:rPr/>
        <w:t>税率征收增值税后，对增值税实际税负超过</w:t>
      </w:r>
      <w:r>
        <w:rPr>
          <w:rFonts w:ascii="Times New Roman" w:hAnsi="Times New Roman" w:cs="Times New Roman" w:eastAsia="Times New Roman" w:hint="default"/>
        </w:rPr>
        <w:t>3%</w:t>
      </w:r>
      <w:r>
        <w:rPr/>
        <w:t>的部分实行即征即退政策。</w:t>
      </w:r>
    </w:p>
    <w:p>
      <w:pPr>
        <w:spacing w:line="240" w:lineRule="auto" w:before="11"/>
        <w:rPr>
          <w:rFonts w:ascii="宋体" w:hAnsi="宋体" w:cs="宋体" w:eastAsia="宋体" w:hint="default"/>
          <w:sz w:val="23"/>
          <w:szCs w:val="23"/>
        </w:rPr>
      </w:pPr>
    </w:p>
    <w:p>
      <w:pPr>
        <w:pStyle w:val="BodyText"/>
        <w:spacing w:line="304" w:lineRule="auto"/>
        <w:ind w:right="1095"/>
        <w:jc w:val="both"/>
      </w:pPr>
      <w:r>
        <w:rPr>
          <w:rFonts w:ascii="Times New Roman" w:hAnsi="Times New Roman" w:cs="Times New Roman" w:eastAsia="Times New Roman" w:hint="default"/>
        </w:rPr>
        <w:t>(f)</w:t>
      </w:r>
      <w:r>
        <w:rPr/>
        <w:t>根据财政部、税务总局及海关总署颁布的《关于深化增值税改革有关政策的公告》（财政部税务总局海关总署公告</w:t>
      </w:r>
      <w:r>
        <w:rPr>
          <w:rFonts w:ascii="Times New Roman" w:hAnsi="Times New Roman" w:cs="Times New Roman" w:eastAsia="Times New Roman" w:hint="default"/>
        </w:rPr>
        <w:t>[2019]</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1"/>
        </w:rPr>
        <w:t>39</w:t>
      </w:r>
      <w:r>
        <w:rPr>
          <w:spacing w:val="-1"/>
        </w:rPr>
        <w:t>号）的相关规定，朗新科技及朗新集团的部分子公司作为现代服务类企业，自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日，按照当期</w:t>
      </w:r>
      <w:r>
        <w:rPr>
          <w:spacing w:val="-82"/>
        </w:rPr>
        <w:t> </w:t>
      </w:r>
      <w:r>
        <w:rPr>
          <w:spacing w:val="-82"/>
        </w:rPr>
      </w:r>
      <w:r>
        <w:rPr/>
        <w:t>可抵扣进项税额加计</w:t>
      </w:r>
      <w:r>
        <w:rPr>
          <w:rFonts w:ascii="Times New Roman" w:hAnsi="Times New Roman" w:cs="Times New Roman" w:eastAsia="Times New Roman" w:hint="default"/>
        </w:rPr>
        <w:t>10%</w:t>
      </w:r>
      <w:r>
        <w:rPr/>
        <w:t>，抵减增值税应纳税额。</w:t>
      </w:r>
    </w:p>
    <w:p>
      <w:pPr>
        <w:spacing w:after="0" w:line="304" w:lineRule="auto"/>
        <w:jc w:val="both"/>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04" w:lineRule="auto" w:before="44"/>
        <w:ind w:right="0"/>
        <w:jc w:val="left"/>
      </w:pPr>
      <w:r>
        <w:rPr>
          <w:rFonts w:ascii="Times New Roman" w:hAnsi="Times New Roman" w:cs="Times New Roman" w:eastAsia="Times New Roman" w:hint="default"/>
          <w:spacing w:val="-3"/>
          <w:w w:val="99"/>
        </w:rPr>
        <w:t>(g)</w:t>
      </w:r>
      <w:r>
        <w:rPr>
          <w:spacing w:val="-3"/>
          <w:w w:val="99"/>
        </w:rPr>
        <w:t>根据《关于实施小微企业普惠性税收减免政策的通知》（财税</w:t>
      </w:r>
      <w:r>
        <w:rPr>
          <w:rFonts w:ascii="Times New Roman" w:hAnsi="Times New Roman" w:cs="Times New Roman" w:eastAsia="Times New Roman" w:hint="default"/>
          <w:spacing w:val="-3"/>
          <w:w w:val="99"/>
        </w:rPr>
        <w:t>[2019]13</w:t>
      </w:r>
      <w:r>
        <w:rPr>
          <w:spacing w:val="-3"/>
          <w:w w:val="99"/>
        </w:rPr>
        <w:t>号）规定，自</w:t>
      </w:r>
      <w:r>
        <w:rPr>
          <w:rFonts w:ascii="Times New Roman" w:hAnsi="Times New Roman" w:cs="Times New Roman" w:eastAsia="Times New Roman" w:hint="default"/>
          <w:spacing w:val="-3"/>
          <w:w w:val="99"/>
        </w:rPr>
        <w:t>2019</w:t>
      </w:r>
      <w:r>
        <w:rPr>
          <w:spacing w:val="-3"/>
          <w:w w:val="99"/>
        </w:rPr>
        <w:t>年</w:t>
      </w:r>
      <w:r>
        <w:rPr>
          <w:rFonts w:ascii="Times New Roman" w:hAnsi="Times New Roman" w:cs="Times New Roman" w:eastAsia="Times New Roman" w:hint="default"/>
          <w:spacing w:val="-3"/>
          <w:w w:val="99"/>
        </w:rPr>
        <w:t>1</w:t>
      </w:r>
      <w:r>
        <w:rPr>
          <w:spacing w:val="-3"/>
          <w:w w:val="99"/>
        </w:rPr>
        <w:t>月</w:t>
      </w:r>
      <w:r>
        <w:rPr>
          <w:rFonts w:ascii="Times New Roman" w:hAnsi="Times New Roman" w:cs="Times New Roman" w:eastAsia="Times New Roman" w:hint="default"/>
          <w:spacing w:val="-3"/>
          <w:w w:val="99"/>
        </w:rPr>
        <w:t>1</w:t>
      </w:r>
      <w:r>
        <w:rPr>
          <w:spacing w:val="-3"/>
          <w:w w:val="99"/>
        </w:rPr>
        <w:t>日至</w:t>
      </w:r>
      <w:r>
        <w:rPr>
          <w:rFonts w:ascii="Times New Roman" w:hAnsi="Times New Roman" w:cs="Times New Roman" w:eastAsia="Times New Roman" w:hint="default"/>
          <w:spacing w:val="-3"/>
          <w:w w:val="99"/>
        </w:rPr>
        <w:t>2021</w:t>
      </w:r>
      <w:r>
        <w:rPr>
          <w:spacing w:val="-3"/>
          <w:w w:val="99"/>
        </w:rPr>
        <w:t>年</w:t>
      </w:r>
      <w:r>
        <w:rPr>
          <w:rFonts w:ascii="Times New Roman" w:hAnsi="Times New Roman" w:cs="Times New Roman" w:eastAsia="Times New Roman" w:hint="default"/>
          <w:spacing w:val="-3"/>
          <w:w w:val="99"/>
        </w:rPr>
        <w:t>12</w:t>
      </w:r>
      <w:r>
        <w:rPr>
          <w:spacing w:val="-3"/>
          <w:w w:val="99"/>
        </w:rPr>
        <w:t>月</w:t>
      </w:r>
      <w:r>
        <w:rPr>
          <w:rFonts w:ascii="Times New Roman" w:hAnsi="Times New Roman" w:cs="Times New Roman" w:eastAsia="Times New Roman" w:hint="default"/>
          <w:spacing w:val="-3"/>
          <w:w w:val="99"/>
        </w:rPr>
        <w:t>31</w:t>
      </w:r>
      <w:r>
        <w:rPr>
          <w:spacing w:val="-3"/>
          <w:w w:val="99"/>
        </w:rPr>
        <w:t>日期间，</w:t>
      </w:r>
      <w:r>
        <w:rPr>
          <w:spacing w:val="-32"/>
          <w:w w:val="99"/>
        </w:rPr>
        <w:t> </w:t>
      </w:r>
      <w:r>
        <w:rPr/>
        <w:t>对增值税小规模纳税人，可以在</w:t>
      </w:r>
      <w:r>
        <w:rPr>
          <w:rFonts w:ascii="Times New Roman" w:hAnsi="Times New Roman" w:cs="Times New Roman" w:eastAsia="Times New Roman" w:hint="default"/>
        </w:rPr>
        <w:t>50%</w:t>
      </w:r>
      <w:r>
        <w:rPr/>
        <w:t>的税额幅度内减征资源税、城市维护建设税、房产税、城镇土地使用税、印花税（不含</w:t>
      </w:r>
      <w:r>
        <w:rPr>
          <w:w w:val="99"/>
        </w:rPr>
        <w:t> </w:t>
      </w:r>
      <w:r>
        <w:rPr>
          <w:spacing w:val="-2"/>
        </w:rPr>
        <w:t>证券交易印花税）、耕地占用税和教育费附加、地方教育附加。易视腾科技的子公司无锡派瑞新媒体投资合伙企业（有限合</w:t>
      </w:r>
      <w:r>
        <w:rPr>
          <w:spacing w:val="-58"/>
        </w:rPr>
        <w:t> </w:t>
      </w:r>
      <w:r>
        <w:rPr>
          <w:spacing w:val="-58"/>
        </w:rPr>
      </w:r>
      <w:r>
        <w:rPr/>
        <w:t>伙）（以下简称</w:t>
      </w:r>
      <w:r>
        <w:rPr>
          <w:rFonts w:ascii="Times New Roman" w:hAnsi="Times New Roman" w:cs="Times New Roman" w:eastAsia="Times New Roman" w:hint="default"/>
        </w:rPr>
        <w:t>“</w:t>
      </w:r>
      <w:r>
        <w:rPr/>
        <w:t>无锡派瑞新媒体</w:t>
      </w:r>
      <w:r>
        <w:rPr>
          <w:rFonts w:ascii="Times New Roman" w:hAnsi="Times New Roman" w:cs="Times New Roman" w:eastAsia="Times New Roman" w:hint="default"/>
        </w:rPr>
        <w:t>”</w:t>
      </w:r>
      <w:r>
        <w:rPr/>
        <w:t>）及派瑞无锡产业投资中心（有限合伙）（以下简称</w:t>
      </w:r>
      <w:r>
        <w:rPr>
          <w:rFonts w:ascii="Times New Roman" w:hAnsi="Times New Roman" w:cs="Times New Roman" w:eastAsia="Times New Roman" w:hint="default"/>
        </w:rPr>
        <w:t>“</w:t>
      </w:r>
      <w:r>
        <w:rPr/>
        <w:t>派瑞无锡产业</w:t>
      </w:r>
      <w:r>
        <w:rPr>
          <w:rFonts w:ascii="Times New Roman" w:hAnsi="Times New Roman" w:cs="Times New Roman" w:eastAsia="Times New Roman" w:hint="default"/>
        </w:rPr>
        <w:t>”</w:t>
      </w:r>
      <w:r>
        <w:rPr/>
        <w:t>）经过评估判断自身 符合上述规定，于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日起城市维护建设税、印花税和教育费附加、地方教育费附加减半征收。</w:t>
      </w:r>
    </w:p>
    <w:p>
      <w:pPr>
        <w:pStyle w:val="BodyText"/>
        <w:spacing w:line="240" w:lineRule="auto" w:before="57"/>
        <w:ind w:right="1105"/>
        <w:jc w:val="left"/>
      </w:pPr>
      <w:r>
        <w:rPr/>
        <w:t>公司需遵守《深圳证券交易所行业信息披露指引第</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6"/>
        <w:rPr>
          <w:rFonts w:ascii="宋体" w:hAnsi="宋体" w:cs="宋体" w:eastAsia="宋体" w:hint="default"/>
          <w:sz w:val="26"/>
          <w:szCs w:val="26"/>
        </w:rPr>
      </w:pPr>
    </w:p>
    <w:p>
      <w:pPr>
        <w:spacing w:line="482" w:lineRule="auto" w:before="0"/>
        <w:ind w:left="141" w:right="7857" w:firstLine="0"/>
        <w:jc w:val="left"/>
        <w:rPr>
          <w:rFonts w:ascii="宋体" w:hAnsi="宋体" w:cs="宋体" w:eastAsia="宋体" w:hint="default"/>
          <w:sz w:val="21"/>
          <w:szCs w:val="21"/>
        </w:rPr>
      </w:pPr>
      <w:bookmarkStart w:name="3、其他" w:id="233"/>
      <w:bookmarkEnd w:id="23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七、合并财务报表项目注释" w:id="234"/>
      <w:bookmarkEnd w:id="234"/>
      <w:r>
        <w:rPr>
          <w:rFonts w:ascii="宋体" w:hAnsi="宋体" w:cs="宋体" w:eastAsia="宋体" w:hint="default"/>
          <w:b/>
          <w:bCs/>
          <w:w w:val="99"/>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spacing w:val="-118"/>
          <w:sz w:val="24"/>
          <w:szCs w:val="24"/>
        </w:rPr>
        <w:t> </w:t>
      </w:r>
      <w:r>
        <w:rPr>
          <w:rFonts w:ascii="宋体" w:hAnsi="宋体" w:cs="宋体" w:eastAsia="宋体" w:hint="default"/>
          <w:b/>
          <w:bCs/>
          <w:spacing w:val="-118"/>
          <w:sz w:val="24"/>
          <w:szCs w:val="24"/>
        </w:rPr>
      </w:r>
      <w:bookmarkStart w:name="1、货币资金" w:id="235"/>
      <w:bookmarkEnd w:id="235"/>
      <w:r>
        <w:rPr>
          <w:rFonts w:ascii="宋体" w:hAnsi="宋体" w:cs="宋体" w:eastAsia="宋体" w:hint="default"/>
          <w:b/>
          <w:bCs/>
          <w:spacing w:val="-118"/>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95"/>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180,346.59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78,085.88</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1,848,912,077.17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1,298,826,455.47</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4,527,166.38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3,962,158.40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1,853,619,590.14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1,302,866,699.75</w:t>
            </w:r>
          </w:p>
        </w:tc>
      </w:tr>
      <w:tr>
        <w:trPr>
          <w:trHeight w:val="7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91" w:firstLine="721"/>
              <w:jc w:val="left"/>
              <w:rPr>
                <w:rFonts w:ascii="宋体" w:hAnsi="宋体" w:cs="宋体" w:eastAsia="宋体" w:hint="default"/>
                <w:sz w:val="18"/>
                <w:szCs w:val="18"/>
              </w:rPr>
            </w:pPr>
            <w:r>
              <w:rPr>
                <w:rFonts w:ascii="宋体" w:hAnsi="宋体" w:cs="宋体" w:eastAsia="宋体" w:hint="default"/>
                <w:sz w:val="18"/>
                <w:szCs w:val="18"/>
              </w:rPr>
              <w:t>因抵押、质押或冻结等对使用 有限制的款项总额</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4,527,166.38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3,962,158.40</w:t>
            </w:r>
          </w:p>
        </w:tc>
      </w:tr>
    </w:tbl>
    <w:p>
      <w:pPr>
        <w:pStyle w:val="BodyText"/>
        <w:spacing w:line="240" w:lineRule="auto" w:before="45"/>
        <w:ind w:right="1105"/>
        <w:jc w:val="left"/>
      </w:pPr>
      <w:r>
        <w:rPr/>
        <w:t>其他说明</w:t>
      </w:r>
    </w:p>
    <w:p>
      <w:pPr>
        <w:pStyle w:val="BodyText"/>
        <w:spacing w:line="290" w:lineRule="auto" w:before="124"/>
        <w:ind w:right="1164"/>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w:t>
      </w:r>
      <w:r>
        <w:rPr>
          <w:rFonts w:ascii="Times New Roman" w:hAnsi="Times New Roman" w:cs="Times New Roman" w:eastAsia="Times New Roman" w:hint="default"/>
        </w:rPr>
        <w:t>4,527,166.38</w:t>
      </w:r>
      <w:r>
        <w:rPr/>
        <w:t>元为本集团向银行申请开具无条件、不可撤销的履约保函所存入的保证金存 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Heading3"/>
        <w:spacing w:line="240" w:lineRule="auto"/>
        <w:ind w:right="1105"/>
        <w:jc w:val="left"/>
        <w:rPr>
          <w:b w:val="0"/>
          <w:bCs w:val="0"/>
        </w:rPr>
      </w:pPr>
      <w:bookmarkStart w:name="2、交易性金融资产" w:id="236"/>
      <w:bookmarkEnd w:id="236"/>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07"/>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84"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201,509,166.66</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债务工具投资</w:t>
            </w:r>
            <w:r>
              <w:rPr>
                <w:rFonts w:ascii="Times New Roman" w:hAnsi="Times New Roman" w:cs="Times New Roman" w:eastAsia="Times New Roman" w:hint="default"/>
                <w:sz w:val="18"/>
                <w:szCs w:val="18"/>
              </w:rPr>
              <w:t>-</w:t>
            </w:r>
            <w:r>
              <w:rPr>
                <w:rFonts w:ascii="宋体" w:hAnsi="宋体" w:cs="宋体" w:eastAsia="宋体" w:hint="default"/>
                <w:sz w:val="18"/>
                <w:szCs w:val="18"/>
              </w:rPr>
              <w:t>银行理财产品</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201,509,166.66</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201,509,166.66</w:t>
            </w:r>
          </w:p>
        </w:tc>
      </w:tr>
    </w:tbl>
    <w:p>
      <w:pPr>
        <w:pStyle w:val="BodyText"/>
        <w:spacing w:line="240" w:lineRule="auto" w:before="45"/>
        <w:ind w:right="1105"/>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1105"/>
        <w:jc w:val="left"/>
        <w:rPr>
          <w:b w:val="0"/>
          <w:bCs w:val="0"/>
        </w:rPr>
      </w:pPr>
      <w:bookmarkStart w:name="3、衍生金融资产" w:id="237"/>
      <w:bookmarkEnd w:id="237"/>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1105"/>
        <w:jc w:val="left"/>
        <w:rPr>
          <w:b w:val="0"/>
          <w:bCs w:val="0"/>
        </w:rPr>
      </w:pPr>
      <w:bookmarkStart w:name="4、应收票据" w:id="238"/>
      <w:bookmarkEnd w:id="238"/>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1105"/>
        <w:jc w:val="left"/>
        <w:rPr>
          <w:b w:val="0"/>
          <w:bCs w:val="0"/>
        </w:rPr>
      </w:pPr>
      <w:bookmarkStart w:name="（1）应收票据分类列示" w:id="239"/>
      <w:bookmarkEnd w:id="239"/>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43,927,716.32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108,303,954.53</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43,927,716.32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108,303,954.53</w:t>
            </w:r>
          </w:p>
        </w:tc>
      </w:tr>
    </w:tbl>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932"/>
        <w:gridCol w:w="796"/>
        <w:gridCol w:w="796"/>
      </w:tblGrid>
      <w:tr>
        <w:trPr>
          <w:trHeight w:val="405" w:hRule="exact"/>
        </w:trPr>
        <w:tc>
          <w:tcPr>
            <w:tcW w:w="16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1637"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7" w:hRule="exact"/>
        </w:trPr>
        <w:tc>
          <w:tcPr>
            <w:tcW w:w="1637"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7"/>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2"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r>
      <w:tr>
        <w:trPr>
          <w:trHeight w:val="195" w:hRule="exact"/>
        </w:trPr>
        <w:tc>
          <w:tcPr>
            <w:tcW w:w="1637"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6" w:type="dxa"/>
            <w:vMerge/>
            <w:tcBorders>
              <w:left w:val="single" w:sz="6" w:space="0" w:color="000000"/>
              <w:right w:val="single" w:sz="6" w:space="0" w:color="000000"/>
            </w:tcBorders>
            <w:shd w:val="clear" w:color="auto" w:fill="D2D2D2"/>
          </w:tcPr>
          <w:p>
            <w:pPr/>
          </w:p>
        </w:tc>
      </w:tr>
      <w:tr>
        <w:trPr>
          <w:trHeight w:val="210" w:hRule="exact"/>
        </w:trPr>
        <w:tc>
          <w:tcPr>
            <w:tcW w:w="1637"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932"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r>
      <w:tr>
        <w:trPr>
          <w:trHeight w:val="158"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932"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65"/>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82" w:right="0"/>
              <w:jc w:val="left"/>
              <w:rPr>
                <w:rFonts w:ascii="Times New Roman" w:hAnsi="Times New Roman" w:cs="Times New Roman" w:eastAsia="Times New Roman" w:hint="default"/>
                <w:sz w:val="18"/>
                <w:szCs w:val="18"/>
              </w:rPr>
            </w:pPr>
            <w:r>
              <w:rPr>
                <w:rFonts w:ascii="Times New Roman"/>
                <w:sz w:val="18"/>
              </w:rPr>
              <w:t>43,927,7</w:t>
            </w:r>
          </w:p>
          <w:p>
            <w:pPr>
              <w:pStyle w:val="TableParagraph"/>
              <w:spacing w:line="240" w:lineRule="auto" w:before="108"/>
              <w:ind w:left="307" w:right="0"/>
              <w:jc w:val="left"/>
              <w:rPr>
                <w:rFonts w:ascii="Times New Roman" w:hAnsi="Times New Roman" w:cs="Times New Roman" w:eastAsia="Times New Roman" w:hint="default"/>
                <w:sz w:val="18"/>
                <w:szCs w:val="18"/>
              </w:rPr>
            </w:pPr>
            <w:r>
              <w:rPr>
                <w:rFonts w:ascii="Times New Roman"/>
                <w:sz w:val="18"/>
              </w:rPr>
              <w:t>16.32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43,927,71</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6.32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108,303,9</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54.53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32"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108,303,9</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54.53</w:t>
            </w:r>
          </w:p>
        </w:tc>
      </w:tr>
      <w:tr>
        <w:trPr>
          <w:trHeight w:val="4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0"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银行承兑汇票组合</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43,927,7</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16.32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43,927,71</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6.32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108,303,9</w:t>
            </w:r>
          </w:p>
          <w:p>
            <w:pPr>
              <w:pStyle w:val="TableParagraph"/>
              <w:spacing w:line="240" w:lineRule="auto" w:before="93"/>
              <w:ind w:left="329" w:right="0"/>
              <w:jc w:val="left"/>
              <w:rPr>
                <w:rFonts w:ascii="Times New Roman" w:hAnsi="Times New Roman" w:cs="Times New Roman" w:eastAsia="Times New Roman" w:hint="default"/>
                <w:sz w:val="18"/>
                <w:szCs w:val="18"/>
              </w:rPr>
            </w:pPr>
            <w:r>
              <w:rPr>
                <w:rFonts w:ascii="Times New Roman"/>
                <w:sz w:val="18"/>
              </w:rPr>
              <w:t>54.53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32"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108,303,9</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54.53</w:t>
            </w:r>
          </w:p>
        </w:tc>
      </w:tr>
      <w:tr>
        <w:trPr>
          <w:trHeight w:val="7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43,927,7</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16.32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43,927,71</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6.32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108,303,9</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54.53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32"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108,303,9</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54.53</w:t>
            </w:r>
          </w:p>
        </w:tc>
      </w:tr>
    </w:tbl>
    <w:p>
      <w:pPr>
        <w:pStyle w:val="BodyText"/>
        <w:spacing w:line="240" w:lineRule="auto" w:before="44"/>
        <w:ind w:right="1105"/>
        <w:jc w:val="left"/>
      </w:pPr>
      <w:r>
        <w:rPr/>
        <w:t>按单项计提坏账准备：</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90"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5"/>
        <w:ind w:right="1105"/>
        <w:jc w:val="left"/>
      </w:pPr>
      <w:r>
        <w:rPr/>
        <w:t>按组合计提坏账准备：</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银行承兑汇票组合</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43,927,716.32</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43,927,716.32</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1105"/>
        <w:jc w:val="left"/>
      </w:pPr>
      <w:r>
        <w:rPr/>
        <w:t>确定该组合依据的说明：</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1136"/>
        <w:jc w:val="both"/>
      </w:pPr>
      <w:r>
        <w:rPr>
          <w:spacing w:val="-2"/>
        </w:rPr>
        <w:t>对于划分为组合的应收票据，本集团参考历史信用损失经验，结合当前状况以及对未来经济状况的预测，通过违约风险敞口</w:t>
      </w:r>
      <w:r>
        <w:rPr>
          <w:spacing w:val="-75"/>
        </w:rPr>
        <w:t> </w:t>
      </w:r>
      <w:r>
        <w:rPr>
          <w:spacing w:val="-75"/>
        </w:rPr>
      </w:r>
      <w:r>
        <w:rPr>
          <w:spacing w:val="-2"/>
        </w:rPr>
        <w:t>和整个存续期预期信用损失率，计算预期信用损失。本集团认为所持有的银行承兑汇票不存在重大的信用风险，不会因银行</w:t>
      </w:r>
      <w:r>
        <w:rPr>
          <w:spacing w:val="-75"/>
        </w:rPr>
        <w:t> </w:t>
      </w:r>
      <w:r>
        <w:rPr>
          <w:spacing w:val="-75"/>
        </w:rPr>
      </w:r>
      <w:r>
        <w:rPr/>
        <w:t>违约而产生重大损失。</w:t>
      </w:r>
    </w:p>
    <w:p>
      <w:pPr>
        <w:spacing w:line="240" w:lineRule="auto" w:before="5"/>
        <w:rPr>
          <w:rFonts w:ascii="宋体" w:hAnsi="宋体" w:cs="宋体" w:eastAsia="宋体" w:hint="default"/>
          <w:sz w:val="24"/>
          <w:szCs w:val="24"/>
        </w:rPr>
      </w:pPr>
    </w:p>
    <w:p>
      <w:pPr>
        <w:pStyle w:val="BodyText"/>
        <w:spacing w:line="240" w:lineRule="auto" w:before="44"/>
        <w:ind w:right="1105"/>
        <w:jc w:val="left"/>
      </w:pPr>
      <w:r>
        <w:rPr/>
        <w:t>按组合计提坏账准备：</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7"/>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8"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2" w:lineRule="auto" w:before="45"/>
        <w:ind w:right="1749"/>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55"/>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05"/>
        <w:jc w:val="left"/>
        <w:rPr>
          <w:b w:val="0"/>
          <w:bCs w:val="0"/>
        </w:rPr>
      </w:pPr>
      <w:bookmarkStart w:name="（2）本期计提、收回或转回的坏账准备情况" w:id="240"/>
      <w:bookmarkEnd w:id="24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1105"/>
        <w:jc w:val="left"/>
      </w:pPr>
      <w:r>
        <w:rPr/>
        <w:t>本期计提坏账准备情况：</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44"/>
        <w:ind w:right="1105"/>
        <w:jc w:val="left"/>
      </w:pPr>
      <w:r>
        <w:rPr/>
        <w:t>其中本期坏账准备收回或转回金额重要的：</w:t>
      </w:r>
    </w:p>
    <w:p>
      <w:pPr>
        <w:pStyle w:val="BodyText"/>
        <w:spacing w:line="240" w:lineRule="auto" w:before="125"/>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05"/>
        <w:jc w:val="left"/>
        <w:rPr>
          <w:b w:val="0"/>
          <w:bCs w:val="0"/>
        </w:rPr>
      </w:pPr>
      <w:bookmarkStart w:name="（3）期末公司已质押的应收票据" w:id="241"/>
      <w:bookmarkEnd w:id="241"/>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4）期末公司已背书或贴现且在资产负债表日尚未到期的应收票据" w:id="242"/>
      <w:bookmarkEnd w:id="242"/>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5）期末公司因出票人未履约而将其转应收账款的票据" w:id="243"/>
      <w:bookmarkEnd w:id="243"/>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62"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4"/>
        <w:ind w:right="0"/>
        <w:jc w:val="both"/>
      </w:pPr>
      <w:r>
        <w:rPr/>
        <w:t>其他说明</w:t>
      </w:r>
    </w:p>
    <w:p>
      <w:pPr>
        <w:pStyle w:val="BodyText"/>
        <w:spacing w:line="297" w:lineRule="auto" w:before="125"/>
        <w:ind w:right="1126"/>
        <w:jc w:val="both"/>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本集团无已质押、已背书或已贴现但尚未到期的应收票据。（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日：本集团应收票据包括已贴</w:t>
      </w:r>
      <w:r>
        <w:rPr>
          <w:spacing w:val="-85"/>
        </w:rPr>
        <w:t> </w:t>
      </w:r>
      <w:r>
        <w:rPr/>
        <w:t>现未到期且附带追索权的易视腾科技应收中移物联网有限公司银行承兑汇票</w:t>
      </w:r>
      <w:r>
        <w:rPr>
          <w:rFonts w:ascii="Times New Roman" w:hAnsi="Times New Roman" w:cs="Times New Roman" w:eastAsia="Times New Roman" w:hint="default"/>
        </w:rPr>
        <w:t>40,401,648.00</w:t>
      </w:r>
      <w:r>
        <w:rPr/>
        <w:t>元，收到的贴现款</w:t>
      </w:r>
      <w:r>
        <w:rPr>
          <w:rFonts w:ascii="Times New Roman" w:hAnsi="Times New Roman" w:cs="Times New Roman" w:eastAsia="Times New Roman" w:hint="default"/>
        </w:rPr>
        <w:t>40,401,648.00</w:t>
      </w:r>
      <w:r>
        <w:rPr/>
        <w:t>元</w:t>
      </w:r>
      <w:r>
        <w:rPr>
          <w:spacing w:val="-80"/>
        </w:rPr>
        <w:t> </w:t>
      </w:r>
      <w:r>
        <w:rPr/>
        <w:t>确认为短期借款）。</w:t>
      </w:r>
    </w:p>
    <w:p>
      <w:pPr>
        <w:spacing w:after="0" w:line="297" w:lineRule="auto"/>
        <w:jc w:val="both"/>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1105"/>
        <w:jc w:val="left"/>
        <w:rPr>
          <w:b w:val="0"/>
          <w:bCs w:val="0"/>
        </w:rPr>
      </w:pPr>
      <w:bookmarkStart w:name="（6）本期实际核销的应收票据情况" w:id="244"/>
      <w:bookmarkEnd w:id="244"/>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4"/>
        <w:ind w:right="1105"/>
        <w:jc w:val="left"/>
      </w:pPr>
      <w:r>
        <w:rPr/>
        <w:t>其中重要的应收票据核销情况：</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2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525"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4"/>
        <w:ind w:right="1105"/>
        <w:jc w:val="left"/>
      </w:pPr>
      <w:r>
        <w:rPr/>
        <w:t>应收票据核销说明：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5、应收账款" w:id="245"/>
      <w:bookmarkEnd w:id="245"/>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1105"/>
        <w:jc w:val="left"/>
        <w:rPr>
          <w:b w:val="0"/>
          <w:bCs w:val="0"/>
        </w:rPr>
      </w:pPr>
      <w:bookmarkStart w:name="（1）应收账款分类披露" w:id="246"/>
      <w:bookmarkEnd w:id="24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45"/>
        <w:gridCol w:w="759"/>
        <w:gridCol w:w="766"/>
        <w:gridCol w:w="751"/>
        <w:gridCol w:w="766"/>
        <w:gridCol w:w="796"/>
        <w:gridCol w:w="781"/>
        <w:gridCol w:w="796"/>
        <w:gridCol w:w="796"/>
        <w:gridCol w:w="796"/>
        <w:gridCol w:w="931"/>
      </w:tblGrid>
      <w:tr>
        <w:trPr>
          <w:trHeight w:val="405" w:hRule="exact"/>
        </w:trPr>
        <w:tc>
          <w:tcPr>
            <w:tcW w:w="164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6"/>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45" w:type="dxa"/>
            <w:vMerge/>
            <w:tcBorders>
              <w:left w:val="single" w:sz="6" w:space="0" w:color="000000"/>
              <w:right w:val="single" w:sz="6" w:space="0" w:color="000000"/>
            </w:tcBorders>
            <w:shd w:val="clear" w:color="auto" w:fill="D2D2D2"/>
          </w:tcPr>
          <w:p>
            <w:pPr/>
          </w:p>
        </w:tc>
        <w:tc>
          <w:tcPr>
            <w:tcW w:w="152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8" w:hRule="exact"/>
        </w:trPr>
        <w:tc>
          <w:tcPr>
            <w:tcW w:w="1645" w:type="dxa"/>
            <w:vMerge/>
            <w:tcBorders>
              <w:left w:val="single" w:sz="6" w:space="0" w:color="000000"/>
              <w:right w:val="single" w:sz="6" w:space="0" w:color="000000"/>
            </w:tcBorders>
            <w:shd w:val="clear" w:color="auto" w:fill="D2D2D2"/>
          </w:tcPr>
          <w:p>
            <w:pPr/>
          </w:p>
        </w:tc>
        <w:tc>
          <w:tcPr>
            <w:tcW w:w="759"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7"/>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95" w:hRule="exact"/>
        </w:trPr>
        <w:tc>
          <w:tcPr>
            <w:tcW w:w="1645" w:type="dxa"/>
            <w:vMerge/>
            <w:tcBorders>
              <w:left w:val="single" w:sz="6" w:space="0" w:color="000000"/>
              <w:right w:val="single" w:sz="6" w:space="0" w:color="000000"/>
            </w:tcBorders>
            <w:shd w:val="clear" w:color="auto" w:fill="D2D2D2"/>
          </w:tcPr>
          <w:p>
            <w:pPr/>
          </w:p>
        </w:tc>
        <w:tc>
          <w:tcPr>
            <w:tcW w:w="75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right w:val="single" w:sz="6" w:space="0" w:color="000000"/>
            </w:tcBorders>
            <w:shd w:val="clear" w:color="auto" w:fill="D2D2D2"/>
          </w:tcPr>
          <w:p>
            <w:pPr/>
          </w:p>
        </w:tc>
      </w:tr>
      <w:tr>
        <w:trPr>
          <w:trHeight w:val="195" w:hRule="exact"/>
        </w:trPr>
        <w:tc>
          <w:tcPr>
            <w:tcW w:w="1645" w:type="dxa"/>
            <w:vMerge/>
            <w:tcBorders>
              <w:left w:val="single" w:sz="6" w:space="0" w:color="000000"/>
              <w:right w:val="single" w:sz="6" w:space="0" w:color="000000"/>
            </w:tcBorders>
            <w:shd w:val="clear" w:color="auto" w:fill="D2D2D2"/>
          </w:tcPr>
          <w:p>
            <w:pPr/>
          </w:p>
        </w:tc>
        <w:tc>
          <w:tcPr>
            <w:tcW w:w="759"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73" w:hRule="exact"/>
        </w:trPr>
        <w:tc>
          <w:tcPr>
            <w:tcW w:w="1645" w:type="dxa"/>
            <w:vMerge/>
            <w:tcBorders>
              <w:left w:val="single" w:sz="6" w:space="0" w:color="000000"/>
              <w:bottom w:val="single" w:sz="6" w:space="0" w:color="000000"/>
              <w:right w:val="single" w:sz="6" w:space="0" w:color="000000"/>
            </w:tcBorders>
            <w:shd w:val="clear" w:color="auto" w:fill="D2D2D2"/>
          </w:tcPr>
          <w:p>
            <w:pPr/>
          </w:p>
        </w:tc>
        <w:tc>
          <w:tcPr>
            <w:tcW w:w="759"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6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5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1" w:hRule="exact"/>
        </w:trPr>
        <w:tc>
          <w:tcPr>
            <w:tcW w:w="16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172"/>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5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2,022,08</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0,660.32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68,281,6</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02.04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3.38%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1,953,799</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,058.28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1,475,593</w:t>
            </w:r>
          </w:p>
          <w:p>
            <w:pPr>
              <w:pStyle w:val="TableParagraph"/>
              <w:spacing w:line="240" w:lineRule="auto" w:before="108"/>
              <w:ind w:left="164" w:right="0"/>
              <w:jc w:val="center"/>
              <w:rPr>
                <w:rFonts w:ascii="Times New Roman" w:hAnsi="Times New Roman" w:cs="Times New Roman" w:eastAsia="Times New Roman" w:hint="default"/>
                <w:sz w:val="18"/>
                <w:szCs w:val="18"/>
              </w:rPr>
            </w:pPr>
            <w:r>
              <w:rPr>
                <w:rFonts w:ascii="Times New Roman"/>
                <w:sz w:val="18"/>
              </w:rPr>
              <w:t>,667.99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53,038,49</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0.88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3.59%</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1,422,555,1</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77.11</w:t>
            </w:r>
          </w:p>
        </w:tc>
      </w:tr>
      <w:tr>
        <w:trPr>
          <w:trHeight w:val="406" w:hRule="exact"/>
        </w:trPr>
        <w:tc>
          <w:tcPr>
            <w:tcW w:w="16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5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5" w:hRule="exact"/>
        </w:trPr>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软件服务用户组合</w:t>
            </w:r>
          </w:p>
        </w:tc>
        <w:tc>
          <w:tcPr>
            <w:tcW w:w="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82" w:right="0"/>
              <w:jc w:val="left"/>
              <w:rPr>
                <w:rFonts w:ascii="Times New Roman" w:hAnsi="Times New Roman" w:cs="Times New Roman" w:eastAsia="Times New Roman" w:hint="default"/>
                <w:sz w:val="18"/>
                <w:szCs w:val="18"/>
              </w:rPr>
            </w:pPr>
            <w:r>
              <w:rPr>
                <w:rFonts w:ascii="Times New Roman"/>
                <w:sz w:val="18"/>
              </w:rPr>
              <w:t>1,277,20</w:t>
            </w:r>
          </w:p>
          <w:p>
            <w:pPr>
              <w:pStyle w:val="TableParagraph"/>
              <w:spacing w:line="240" w:lineRule="auto" w:before="108"/>
              <w:ind w:left="82" w:right="0"/>
              <w:jc w:val="left"/>
              <w:rPr>
                <w:rFonts w:ascii="Times New Roman" w:hAnsi="Times New Roman" w:cs="Times New Roman" w:eastAsia="Times New Roman" w:hint="default"/>
                <w:sz w:val="18"/>
                <w:szCs w:val="18"/>
              </w:rPr>
            </w:pPr>
            <w:r>
              <w:rPr>
                <w:rFonts w:ascii="Times New Roman"/>
                <w:sz w:val="18"/>
              </w:rPr>
              <w:t>0,002.22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63.16%</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89" w:right="0"/>
              <w:jc w:val="left"/>
              <w:rPr>
                <w:rFonts w:ascii="Times New Roman" w:hAnsi="Times New Roman" w:cs="Times New Roman" w:eastAsia="Times New Roman" w:hint="default"/>
                <w:sz w:val="18"/>
                <w:szCs w:val="18"/>
              </w:rPr>
            </w:pPr>
            <w:r>
              <w:rPr>
                <w:rFonts w:ascii="Times New Roman"/>
                <w:sz w:val="18"/>
              </w:rPr>
              <w:t>47,901,8</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19.48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3.75%</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9" w:right="0"/>
              <w:jc w:val="center"/>
              <w:rPr>
                <w:rFonts w:ascii="Times New Roman" w:hAnsi="Times New Roman" w:cs="Times New Roman" w:eastAsia="Times New Roman" w:hint="default"/>
                <w:sz w:val="18"/>
                <w:szCs w:val="18"/>
              </w:rPr>
            </w:pPr>
            <w:r>
              <w:rPr>
                <w:rFonts w:ascii="Times New Roman"/>
                <w:sz w:val="18"/>
              </w:rPr>
              <w:t>1,229,298</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,182.74</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4" w:right="0"/>
              <w:jc w:val="left"/>
              <w:rPr>
                <w:rFonts w:ascii="Times New Roman" w:hAnsi="Times New Roman" w:cs="Times New Roman" w:eastAsia="Times New Roman" w:hint="default"/>
                <w:sz w:val="18"/>
                <w:szCs w:val="18"/>
              </w:rPr>
            </w:pPr>
            <w:r>
              <w:rPr>
                <w:rFonts w:ascii="Times New Roman"/>
                <w:sz w:val="18"/>
              </w:rPr>
              <w:t>889,942,0</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65.35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60.31%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 w:right="0"/>
              <w:jc w:val="left"/>
              <w:rPr>
                <w:rFonts w:ascii="Times New Roman" w:hAnsi="Times New Roman" w:cs="Times New Roman" w:eastAsia="Times New Roman" w:hint="default"/>
                <w:sz w:val="18"/>
                <w:szCs w:val="18"/>
              </w:rPr>
            </w:pPr>
            <w:r>
              <w:rPr>
                <w:rFonts w:ascii="Times New Roman"/>
                <w:sz w:val="18"/>
              </w:rPr>
              <w:t>39,767,79</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9.96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4.47%</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5" w:right="0"/>
              <w:jc w:val="left"/>
              <w:rPr>
                <w:rFonts w:ascii="Times New Roman" w:hAnsi="Times New Roman" w:cs="Times New Roman" w:eastAsia="Times New Roman" w:hint="default"/>
                <w:sz w:val="18"/>
                <w:szCs w:val="18"/>
              </w:rPr>
            </w:pPr>
            <w:r>
              <w:rPr>
                <w:rFonts w:ascii="Times New Roman"/>
                <w:sz w:val="18"/>
              </w:rPr>
              <w:t>850,174,26</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5.39</w:t>
            </w:r>
          </w:p>
        </w:tc>
      </w:tr>
      <w:tr>
        <w:trPr>
          <w:trHeight w:val="721" w:hRule="exact"/>
        </w:trPr>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智能终端用户组合</w:t>
            </w:r>
          </w:p>
        </w:tc>
        <w:tc>
          <w:tcPr>
            <w:tcW w:w="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1" w:right="0"/>
              <w:jc w:val="center"/>
              <w:rPr>
                <w:rFonts w:ascii="Times New Roman" w:hAnsi="Times New Roman" w:cs="Times New Roman" w:eastAsia="Times New Roman" w:hint="default"/>
                <w:sz w:val="18"/>
                <w:szCs w:val="18"/>
              </w:rPr>
            </w:pPr>
            <w:r>
              <w:rPr>
                <w:rFonts w:ascii="Times New Roman"/>
                <w:sz w:val="18"/>
              </w:rPr>
              <w:t>191,475,</w:t>
            </w:r>
          </w:p>
          <w:p>
            <w:pPr>
              <w:pStyle w:val="TableParagraph"/>
              <w:spacing w:line="240" w:lineRule="auto" w:before="108"/>
              <w:ind w:left="187" w:right="0"/>
              <w:jc w:val="center"/>
              <w:rPr>
                <w:rFonts w:ascii="Times New Roman" w:hAnsi="Times New Roman" w:cs="Times New Roman" w:eastAsia="Times New Roman" w:hint="default"/>
                <w:sz w:val="18"/>
                <w:szCs w:val="18"/>
              </w:rPr>
            </w:pPr>
            <w:r>
              <w:rPr>
                <w:rFonts w:ascii="Times New Roman"/>
                <w:sz w:val="18"/>
              </w:rPr>
              <w:t>141.00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9.47%</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15,998,3</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03.62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8.36%</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175,476,8</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37.38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286,963,0</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24.04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19.45%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10,860,10</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5.37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3.78%</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276,102,91</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8.67</w:t>
            </w:r>
          </w:p>
        </w:tc>
      </w:tr>
      <w:tr>
        <w:trPr>
          <w:trHeight w:val="721" w:hRule="exact"/>
        </w:trPr>
        <w:tc>
          <w:tcPr>
            <w:tcW w:w="1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运营服务用户组合</w:t>
            </w:r>
          </w:p>
        </w:tc>
        <w:tc>
          <w:tcPr>
            <w:tcW w:w="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1" w:right="0"/>
              <w:jc w:val="center"/>
              <w:rPr>
                <w:rFonts w:ascii="Times New Roman" w:hAnsi="Times New Roman" w:cs="Times New Roman" w:eastAsia="Times New Roman" w:hint="default"/>
                <w:sz w:val="18"/>
                <w:szCs w:val="18"/>
              </w:rPr>
            </w:pPr>
            <w:r>
              <w:rPr>
                <w:rFonts w:ascii="Times New Roman"/>
                <w:sz w:val="18"/>
              </w:rPr>
              <w:t>553,405,</w:t>
            </w:r>
          </w:p>
          <w:p>
            <w:pPr>
              <w:pStyle w:val="TableParagraph"/>
              <w:spacing w:line="240" w:lineRule="auto" w:before="93"/>
              <w:ind w:left="187" w:right="0"/>
              <w:jc w:val="center"/>
              <w:rPr>
                <w:rFonts w:ascii="Times New Roman" w:hAnsi="Times New Roman" w:cs="Times New Roman" w:eastAsia="Times New Roman" w:hint="default"/>
                <w:sz w:val="18"/>
                <w:szCs w:val="18"/>
              </w:rPr>
            </w:pPr>
            <w:r>
              <w:rPr>
                <w:rFonts w:ascii="Times New Roman"/>
                <w:sz w:val="18"/>
              </w:rPr>
              <w:t>517.10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27.37%</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4,381,47</w:t>
            </w:r>
          </w:p>
          <w:p>
            <w:pPr>
              <w:pStyle w:val="TableParagraph"/>
              <w:spacing w:line="240" w:lineRule="auto" w:before="93"/>
              <w:ind w:left="405" w:right="0"/>
              <w:jc w:val="left"/>
              <w:rPr>
                <w:rFonts w:ascii="Times New Roman" w:hAnsi="Times New Roman" w:cs="Times New Roman" w:eastAsia="Times New Roman" w:hint="default"/>
                <w:sz w:val="18"/>
                <w:szCs w:val="18"/>
              </w:rPr>
            </w:pPr>
            <w:r>
              <w:rPr>
                <w:rFonts w:ascii="Times New Roman"/>
                <w:sz w:val="18"/>
              </w:rPr>
              <w:t>8.94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0.79%</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549,024,0</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38.16</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298,688,5</w:t>
            </w:r>
          </w:p>
          <w:p>
            <w:pPr>
              <w:pStyle w:val="TableParagraph"/>
              <w:spacing w:line="240" w:lineRule="auto" w:before="93"/>
              <w:ind w:left="329" w:right="0"/>
              <w:jc w:val="left"/>
              <w:rPr>
                <w:rFonts w:ascii="Times New Roman" w:hAnsi="Times New Roman" w:cs="Times New Roman" w:eastAsia="Times New Roman" w:hint="default"/>
                <w:sz w:val="18"/>
                <w:szCs w:val="18"/>
              </w:rPr>
            </w:pPr>
            <w:r>
              <w:rPr>
                <w:rFonts w:ascii="Times New Roman"/>
                <w:sz w:val="18"/>
              </w:rPr>
              <w:t>78.60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20.24%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2,410,585</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.55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0.81%</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296,277,99</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3.05</w:t>
            </w:r>
          </w:p>
        </w:tc>
      </w:tr>
      <w:tr>
        <w:trPr>
          <w:trHeight w:val="705" w:hRule="exact"/>
        </w:trPr>
        <w:tc>
          <w:tcPr>
            <w:tcW w:w="16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2" w:right="0"/>
              <w:jc w:val="left"/>
              <w:rPr>
                <w:rFonts w:ascii="Times New Roman" w:hAnsi="Times New Roman" w:cs="Times New Roman" w:eastAsia="Times New Roman" w:hint="default"/>
                <w:sz w:val="18"/>
                <w:szCs w:val="18"/>
              </w:rPr>
            </w:pPr>
            <w:r>
              <w:rPr>
                <w:rFonts w:ascii="Times New Roman"/>
                <w:sz w:val="18"/>
              </w:rPr>
              <w:t>2,022,08</w:t>
            </w:r>
          </w:p>
          <w:p>
            <w:pPr>
              <w:pStyle w:val="TableParagraph"/>
              <w:spacing w:line="240" w:lineRule="auto" w:before="108"/>
              <w:ind w:left="82" w:right="0"/>
              <w:jc w:val="left"/>
              <w:rPr>
                <w:rFonts w:ascii="Times New Roman" w:hAnsi="Times New Roman" w:cs="Times New Roman" w:eastAsia="Times New Roman" w:hint="default"/>
                <w:sz w:val="18"/>
                <w:szCs w:val="18"/>
              </w:rPr>
            </w:pPr>
            <w:r>
              <w:rPr>
                <w:rFonts w:ascii="Times New Roman"/>
                <w:sz w:val="18"/>
              </w:rPr>
              <w:t>0,660.32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left"/>
              <w:rPr>
                <w:rFonts w:ascii="Times New Roman" w:hAnsi="Times New Roman" w:cs="Times New Roman" w:eastAsia="Times New Roman" w:hint="default"/>
                <w:sz w:val="18"/>
                <w:szCs w:val="18"/>
              </w:rPr>
            </w:pPr>
            <w:r>
              <w:rPr>
                <w:rFonts w:ascii="Times New Roman"/>
                <w:sz w:val="18"/>
              </w:rPr>
              <w:t>68,281,6</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02.04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3.38%</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center"/>
              <w:rPr>
                <w:rFonts w:ascii="Times New Roman" w:hAnsi="Times New Roman" w:cs="Times New Roman" w:eastAsia="Times New Roman" w:hint="default"/>
                <w:sz w:val="18"/>
                <w:szCs w:val="18"/>
              </w:rPr>
            </w:pPr>
            <w:r>
              <w:rPr>
                <w:rFonts w:ascii="Times New Roman"/>
                <w:sz w:val="18"/>
              </w:rPr>
              <w:t>1,953,799</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,058.28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1,475,593</w:t>
            </w:r>
          </w:p>
          <w:p>
            <w:pPr>
              <w:pStyle w:val="TableParagraph"/>
              <w:spacing w:line="240" w:lineRule="auto" w:before="108"/>
              <w:ind w:left="164" w:right="0"/>
              <w:jc w:val="center"/>
              <w:rPr>
                <w:rFonts w:ascii="Times New Roman" w:hAnsi="Times New Roman" w:cs="Times New Roman" w:eastAsia="Times New Roman" w:hint="default"/>
                <w:sz w:val="18"/>
                <w:szCs w:val="18"/>
              </w:rPr>
            </w:pPr>
            <w:r>
              <w:rPr>
                <w:rFonts w:ascii="Times New Roman"/>
                <w:sz w:val="18"/>
              </w:rPr>
              <w:t>,667.99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53,038,49</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0.88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3.59%</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1,422,555,1</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77.11</w:t>
            </w:r>
          </w:p>
        </w:tc>
      </w:tr>
    </w:tbl>
    <w:p>
      <w:pPr>
        <w:pStyle w:val="BodyText"/>
        <w:spacing w:line="240" w:lineRule="auto" w:before="44"/>
        <w:ind w:right="1105"/>
        <w:jc w:val="left"/>
      </w:pPr>
      <w:r>
        <w:rPr/>
        <w:t>按单项计提坏账准备：</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9"/>
        <w:ind w:right="1105"/>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16,960,636.19</w:t>
      </w:r>
    </w:p>
    <w:p>
      <w:pPr>
        <w:pStyle w:val="BodyText"/>
        <w:spacing w:line="240" w:lineRule="auto" w:before="8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7194"/>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软件服务用户组合</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1,277,200,002.22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47,901,819.48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3.75%</w:t>
            </w:r>
            <w:r>
              <w:rPr>
                <w:rFonts w:ascii="Times New Roman"/>
                <w:sz w:val="18"/>
              </w:rPr>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智能终端用户组合</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191,475,141.00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15,998,303.62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8.36%</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运营服务用户组合</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553,405,517.10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4,381,478.94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0.79%</w:t>
            </w:r>
            <w:r>
              <w:rPr>
                <w:rFonts w:ascii="Times New Roman"/>
                <w:sz w:val="18"/>
              </w:rPr>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2,022,080,660.32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68,281,602.04</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350" w:lineRule="auto" w:before="45"/>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2122" w:space="6724"/>
            <w:col w:w="2064"/>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7"/>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8"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2" w:lineRule="auto" w:before="45"/>
        <w:ind w:right="1749"/>
        <w:jc w:val="left"/>
      </w:pPr>
      <w:r>
        <w:rPr/>
        <w:t>确定该组合依据的说明： 如是按照预期信用损失一般模型计提应收账款坏账准备，请参照其他应收款的披露方式披露坏账准备的相关信息：</w:t>
      </w:r>
    </w:p>
    <w:p>
      <w:pPr>
        <w:pStyle w:val="BodyText"/>
        <w:spacing w:line="240" w:lineRule="auto" w:before="55"/>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10"/>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907"/>
        <w:gridCol w:w="1172"/>
        <w:gridCol w:w="1051"/>
        <w:gridCol w:w="1216"/>
        <w:gridCol w:w="1232"/>
      </w:tblGrid>
      <w:tr>
        <w:trPr>
          <w:trHeight w:val="346" w:hRule="exact"/>
        </w:trPr>
        <w:tc>
          <w:tcPr>
            <w:tcW w:w="1907" w:type="dxa"/>
            <w:tcBorders>
              <w:top w:val="single" w:sz="6" w:space="0" w:color="000000"/>
              <w:left w:val="single" w:sz="6" w:space="0" w:color="000000"/>
              <w:bottom w:val="single" w:sz="12" w:space="0" w:color="FFFFFF"/>
              <w:right w:val="single" w:sz="6" w:space="0" w:color="000000"/>
            </w:tcBorders>
            <w:shd w:val="clear" w:color="auto" w:fill="C0C0C0"/>
          </w:tcPr>
          <w:p>
            <w:pPr>
              <w:pStyle w:val="TableParagraph"/>
              <w:spacing w:line="240" w:lineRule="auto" w:before="7"/>
              <w:ind w:left="57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72" w:type="dxa"/>
            <w:tcBorders>
              <w:top w:val="single" w:sz="6" w:space="0" w:color="000000"/>
              <w:left w:val="single" w:sz="6" w:space="0" w:color="000000"/>
              <w:bottom w:val="single" w:sz="12" w:space="0" w:color="FFFFFF"/>
              <w:right w:val="single" w:sz="6" w:space="0" w:color="000000"/>
            </w:tcBorders>
            <w:shd w:val="clear" w:color="auto" w:fill="C0C0C0"/>
          </w:tcPr>
          <w:p>
            <w:pPr>
              <w:pStyle w:val="TableParagraph"/>
              <w:spacing w:line="240" w:lineRule="auto" w:before="7"/>
              <w:ind w:left="21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051" w:type="dxa"/>
            <w:tcBorders>
              <w:top w:val="single" w:sz="6" w:space="0" w:color="000000"/>
              <w:left w:val="single" w:sz="6" w:space="0" w:color="000000"/>
              <w:bottom w:val="single" w:sz="12" w:space="0" w:color="FFFFFF"/>
              <w:right w:val="single" w:sz="6" w:space="0" w:color="000000"/>
            </w:tcBorders>
            <w:shd w:val="clear" w:color="auto" w:fill="C0C0C0"/>
          </w:tcPr>
          <w:p>
            <w:pPr>
              <w:pStyle w:val="TableParagraph"/>
              <w:spacing w:line="240" w:lineRule="auto" w:before="7"/>
              <w:ind w:left="149"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1216" w:type="dxa"/>
            <w:tcBorders>
              <w:top w:val="single" w:sz="6" w:space="0" w:color="000000"/>
              <w:left w:val="single" w:sz="6" w:space="0" w:color="000000"/>
              <w:bottom w:val="single" w:sz="12" w:space="0" w:color="FFFFFF"/>
              <w:right w:val="single" w:sz="6" w:space="0" w:color="000000"/>
            </w:tcBorders>
            <w:shd w:val="clear" w:color="auto" w:fill="C0C0C0"/>
          </w:tcPr>
          <w:p>
            <w:pPr>
              <w:pStyle w:val="TableParagraph"/>
              <w:spacing w:line="240" w:lineRule="auto" w:before="7"/>
              <w:ind w:left="225"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232" w:type="dxa"/>
            <w:tcBorders>
              <w:top w:val="single" w:sz="6" w:space="0" w:color="000000"/>
              <w:left w:val="single" w:sz="6" w:space="0" w:color="000000"/>
              <w:bottom w:val="single" w:sz="12" w:space="0" w:color="FFFFFF"/>
              <w:right w:val="single" w:sz="6" w:space="0" w:color="000000"/>
            </w:tcBorders>
            <w:shd w:val="clear" w:color="auto" w:fill="C0C0C0"/>
          </w:tcPr>
          <w:p>
            <w:pPr>
              <w:pStyle w:val="TableParagraph"/>
              <w:spacing w:line="240" w:lineRule="auto" w:before="7"/>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31" w:hRule="exact"/>
        </w:trPr>
        <w:tc>
          <w:tcPr>
            <w:tcW w:w="1907" w:type="dxa"/>
            <w:tcBorders>
              <w:top w:val="single" w:sz="12" w:space="0" w:color="FFFFFF"/>
              <w:left w:val="single" w:sz="6" w:space="0" w:color="000000"/>
              <w:bottom w:val="nil" w:sz="6" w:space="0" w:color="auto"/>
              <w:right w:val="single" w:sz="6" w:space="0" w:color="000000"/>
            </w:tcBorders>
            <w:shd w:val="clear" w:color="auto" w:fill="C0C0C0"/>
          </w:tcPr>
          <w:p>
            <w:pPr/>
          </w:p>
        </w:tc>
        <w:tc>
          <w:tcPr>
            <w:tcW w:w="1172" w:type="dxa"/>
            <w:tcBorders>
              <w:top w:val="single" w:sz="12" w:space="0" w:color="FFFFFF"/>
              <w:left w:val="single" w:sz="6" w:space="0" w:color="000000"/>
              <w:bottom w:val="nil" w:sz="6" w:space="0" w:color="auto"/>
              <w:right w:val="single" w:sz="6" w:space="0" w:color="000000"/>
            </w:tcBorders>
            <w:shd w:val="clear" w:color="auto" w:fill="C0C0C0"/>
          </w:tcPr>
          <w:p>
            <w:pPr>
              <w:pStyle w:val="TableParagraph"/>
              <w:spacing w:line="240" w:lineRule="auto" w:before="14"/>
              <w:ind w:left="30" w:right="0"/>
              <w:jc w:val="left"/>
              <w:rPr>
                <w:rFonts w:ascii="宋体" w:hAnsi="宋体" w:cs="宋体" w:eastAsia="宋体" w:hint="default"/>
                <w:sz w:val="18"/>
                <w:szCs w:val="18"/>
              </w:rPr>
            </w:pPr>
            <w:r>
              <w:rPr>
                <w:rFonts w:ascii="宋体" w:hAnsi="宋体" w:cs="宋体" w:eastAsia="宋体" w:hint="default"/>
                <w:sz w:val="18"/>
                <w:szCs w:val="18"/>
              </w:rPr>
              <w:t>未来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个月预</w:t>
            </w:r>
          </w:p>
        </w:tc>
        <w:tc>
          <w:tcPr>
            <w:tcW w:w="1051" w:type="dxa"/>
            <w:tcBorders>
              <w:top w:val="single" w:sz="12" w:space="0" w:color="FFFFFF"/>
              <w:left w:val="single" w:sz="6" w:space="0" w:color="000000"/>
              <w:bottom w:val="nil" w:sz="6" w:space="0" w:color="auto"/>
              <w:right w:val="single" w:sz="6" w:space="0" w:color="000000"/>
            </w:tcBorders>
            <w:shd w:val="clear" w:color="auto" w:fill="C0C0C0"/>
          </w:tcPr>
          <w:p>
            <w:pPr>
              <w:pStyle w:val="TableParagraph"/>
              <w:spacing w:line="235" w:lineRule="exact"/>
              <w:ind w:left="59" w:right="0"/>
              <w:jc w:val="left"/>
              <w:rPr>
                <w:rFonts w:ascii="宋体" w:hAnsi="宋体" w:cs="宋体" w:eastAsia="宋体" w:hint="default"/>
                <w:sz w:val="18"/>
                <w:szCs w:val="18"/>
              </w:rPr>
            </w:pPr>
            <w:r>
              <w:rPr>
                <w:rFonts w:ascii="宋体" w:hAnsi="宋体" w:cs="宋体" w:eastAsia="宋体" w:hint="default"/>
                <w:sz w:val="18"/>
                <w:szCs w:val="18"/>
              </w:rPr>
              <w:t>整个存续期</w:t>
            </w:r>
          </w:p>
        </w:tc>
        <w:tc>
          <w:tcPr>
            <w:tcW w:w="2448" w:type="dxa"/>
            <w:gridSpan w:val="2"/>
            <w:tcBorders>
              <w:top w:val="single" w:sz="12" w:space="0" w:color="FFFFFF"/>
              <w:left w:val="single" w:sz="6" w:space="0" w:color="000000"/>
              <w:bottom w:val="nil" w:sz="6" w:space="0" w:color="auto"/>
              <w:right w:val="single" w:sz="6" w:space="0" w:color="000000"/>
            </w:tcBorders>
            <w:shd w:val="clear" w:color="auto" w:fill="C0C0C0"/>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整个存续期预期信用损失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w:t>
            </w:r>
          </w:p>
        </w:tc>
      </w:tr>
      <w:tr>
        <w:trPr>
          <w:trHeight w:val="953" w:hRule="exact"/>
        </w:trPr>
        <w:tc>
          <w:tcPr>
            <w:tcW w:w="1907" w:type="dxa"/>
            <w:tcBorders>
              <w:top w:val="nil" w:sz="6" w:space="0" w:color="auto"/>
              <w:left w:val="single" w:sz="6" w:space="0" w:color="000000"/>
              <w:bottom w:val="single" w:sz="6" w:space="0" w:color="000000"/>
              <w:right w:val="single" w:sz="6" w:space="0" w:color="000000"/>
            </w:tcBorders>
            <w:shd w:val="clear" w:color="auto" w:fill="C0C0C0"/>
          </w:tcPr>
          <w:p>
            <w:pPr/>
          </w:p>
        </w:tc>
        <w:tc>
          <w:tcPr>
            <w:tcW w:w="1172" w:type="dxa"/>
            <w:tcBorders>
              <w:top w:val="nil" w:sz="6" w:space="0" w:color="auto"/>
              <w:left w:val="single" w:sz="6" w:space="0" w:color="000000"/>
              <w:bottom w:val="single" w:sz="6" w:space="0" w:color="000000"/>
              <w:right w:val="single" w:sz="6" w:space="0" w:color="000000"/>
            </w:tcBorders>
            <w:shd w:val="clear" w:color="auto" w:fill="C0C0C0"/>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期信用损失</w:t>
            </w:r>
          </w:p>
        </w:tc>
        <w:tc>
          <w:tcPr>
            <w:tcW w:w="1051" w:type="dxa"/>
            <w:tcBorders>
              <w:top w:val="nil" w:sz="6" w:space="0" w:color="auto"/>
              <w:left w:val="single" w:sz="6" w:space="0" w:color="000000"/>
              <w:bottom w:val="single" w:sz="6" w:space="0" w:color="000000"/>
              <w:right w:val="single" w:sz="6" w:space="0" w:color="000000"/>
            </w:tcBorders>
            <w:shd w:val="clear" w:color="auto" w:fill="C0C0C0"/>
          </w:tcPr>
          <w:p>
            <w:pPr>
              <w:pStyle w:val="TableParagraph"/>
              <w:spacing w:line="312" w:lineRule="auto"/>
              <w:ind w:left="29" w:right="44"/>
              <w:jc w:val="center"/>
              <w:rPr>
                <w:rFonts w:ascii="Times New Roman" w:hAnsi="Times New Roman" w:cs="Times New Roman" w:eastAsia="Times New Roman" w:hint="default"/>
                <w:sz w:val="18"/>
                <w:szCs w:val="18"/>
              </w:rPr>
            </w:pPr>
            <w:r>
              <w:rPr>
                <w:rFonts w:ascii="宋体" w:hAnsi="宋体" w:cs="宋体" w:eastAsia="宋体" w:hint="default"/>
                <w:sz w:val="18"/>
                <w:szCs w:val="18"/>
              </w:rPr>
              <w:t>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 用减值</w:t>
            </w:r>
            <w:r>
              <w:rPr>
                <w:rFonts w:ascii="Times New Roman" w:hAnsi="Times New Roman" w:cs="Times New Roman" w:eastAsia="Times New Roman" w:hint="default"/>
                <w:sz w:val="18"/>
                <w:szCs w:val="18"/>
              </w:rPr>
              <w:t>)</w:t>
            </w:r>
          </w:p>
        </w:tc>
        <w:tc>
          <w:tcPr>
            <w:tcW w:w="2448" w:type="dxa"/>
            <w:gridSpan w:val="2"/>
            <w:tcBorders>
              <w:top w:val="nil" w:sz="6" w:space="0" w:color="auto"/>
              <w:left w:val="single" w:sz="6" w:space="0" w:color="000000"/>
              <w:bottom w:val="single" w:sz="6" w:space="0" w:color="000000"/>
              <w:right w:val="single" w:sz="6" w:space="0" w:color="000000"/>
            </w:tcBorders>
            <w:shd w:val="clear" w:color="auto" w:fill="C0C0C0"/>
          </w:tcPr>
          <w:p>
            <w:pPr>
              <w:pStyle w:val="TableParagraph"/>
              <w:spacing w:line="240" w:lineRule="auto" w:before="14"/>
              <w:ind w:left="7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生信用减值</w:t>
            </w:r>
            <w:r>
              <w:rPr>
                <w:rFonts w:ascii="Times New Roman" w:hAnsi="Times New Roman" w:cs="Times New Roman" w:eastAsia="Times New Roman" w:hint="default"/>
                <w:sz w:val="18"/>
                <w:szCs w:val="18"/>
              </w:rPr>
              <w:t>)</w:t>
            </w:r>
          </w:p>
        </w:tc>
      </w:tr>
      <w:tr>
        <w:trPr>
          <w:trHeight w:val="353" w:hRule="exact"/>
        </w:trPr>
        <w:tc>
          <w:tcPr>
            <w:tcW w:w="19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日余额</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53,038,490.88</w:t>
            </w:r>
          </w:p>
        </w:tc>
        <w:tc>
          <w:tcPr>
            <w:tcW w:w="1051"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53,038,490.88</w:t>
            </w:r>
          </w:p>
        </w:tc>
      </w:tr>
      <w:tr>
        <w:trPr>
          <w:trHeight w:val="653" w:hRule="exact"/>
        </w:trPr>
        <w:tc>
          <w:tcPr>
            <w:tcW w:w="19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76" w:lineRule="auto" w:before="22"/>
              <w:ind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日余额在本 期</w:t>
            </w:r>
          </w:p>
        </w:tc>
        <w:tc>
          <w:tcPr>
            <w:tcW w:w="117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5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4"/>
              <w:ind w:left="3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21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4"/>
              <w:ind w:right="2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23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6" w:hRule="exact"/>
        </w:trPr>
        <w:tc>
          <w:tcPr>
            <w:tcW w:w="19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172"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19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172"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19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3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转回第二阶段</w:t>
            </w:r>
          </w:p>
        </w:tc>
        <w:tc>
          <w:tcPr>
            <w:tcW w:w="1172"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19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转回第一阶段</w:t>
            </w:r>
          </w:p>
        </w:tc>
        <w:tc>
          <w:tcPr>
            <w:tcW w:w="1172"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9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11,804,771.64</w:t>
            </w:r>
          </w:p>
        </w:tc>
        <w:tc>
          <w:tcPr>
            <w:tcW w:w="1051"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5,155,864.55</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16,960,636.19</w:t>
            </w:r>
          </w:p>
        </w:tc>
      </w:tr>
      <w:tr>
        <w:trPr>
          <w:trHeight w:val="660" w:hRule="exact"/>
        </w:trPr>
        <w:tc>
          <w:tcPr>
            <w:tcW w:w="19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172"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61" w:hRule="exact"/>
        </w:trPr>
        <w:tc>
          <w:tcPr>
            <w:tcW w:w="19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172"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5" w:hRule="exact"/>
        </w:trPr>
        <w:tc>
          <w:tcPr>
            <w:tcW w:w="19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172"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5,155,864.55</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5,155,864.55</w:t>
            </w:r>
          </w:p>
        </w:tc>
      </w:tr>
      <w:tr>
        <w:trPr>
          <w:trHeight w:val="361" w:hRule="exact"/>
        </w:trPr>
        <w:tc>
          <w:tcPr>
            <w:tcW w:w="19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3,438,339.52</w:t>
            </w:r>
          </w:p>
        </w:tc>
        <w:tc>
          <w:tcPr>
            <w:tcW w:w="1051"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3,438,339.52</w:t>
            </w:r>
          </w:p>
        </w:tc>
      </w:tr>
      <w:tr>
        <w:trPr>
          <w:trHeight w:val="660" w:hRule="exact"/>
        </w:trPr>
        <w:tc>
          <w:tcPr>
            <w:tcW w:w="19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日余额</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68,281,602.04</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68,281,602.04</w:t>
            </w:r>
          </w:p>
        </w:tc>
      </w:tr>
    </w:tbl>
    <w:p>
      <w:pPr>
        <w:spacing w:line="240" w:lineRule="auto" w:before="7"/>
        <w:rPr>
          <w:rFonts w:ascii="宋体" w:hAnsi="宋体" w:cs="宋体" w:eastAsia="宋体" w:hint="default"/>
          <w:sz w:val="27"/>
          <w:szCs w:val="27"/>
        </w:rPr>
      </w:pPr>
    </w:p>
    <w:p>
      <w:pPr>
        <w:pStyle w:val="BodyText"/>
        <w:spacing w:line="240" w:lineRule="auto" w:before="44"/>
        <w:ind w:right="1105"/>
        <w:jc w:val="left"/>
      </w:pPr>
      <w:r>
        <w:rPr/>
        <w:t>说明：其他变动是邦道</w:t>
      </w:r>
      <w:r>
        <w:rPr>
          <w:rFonts w:ascii="Times New Roman" w:hAnsi="Times New Roman" w:cs="Times New Roman" w:eastAsia="Times New Roman" w:hint="default"/>
        </w:rPr>
        <w:t>531</w:t>
      </w:r>
      <w:r>
        <w:rPr/>
        <w:t>调整金额</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right="1105"/>
        <w:jc w:val="left"/>
      </w:pPr>
      <w:r>
        <w:rPr/>
        <w:t>按账龄披露</w:t>
      </w:r>
    </w:p>
    <w:p>
      <w:pPr>
        <w:pStyle w:val="BodyText"/>
        <w:spacing w:line="240" w:lineRule="auto" w:before="110"/>
        <w:ind w:left="0" w:right="1109"/>
        <w:jc w:val="right"/>
      </w:pPr>
      <w:r>
        <w:rPr/>
        <w:t>单位： 元</w:t>
      </w:r>
    </w:p>
    <w:p>
      <w:pPr>
        <w:spacing w:after="0" w:line="240" w:lineRule="auto"/>
        <w:jc w:val="right"/>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1,859,276,192.57</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76,674,316.73</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48,782,061.68</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37,348,089.34</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13,389,957.56</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18,936,222.61</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5,021,909.17</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2,022,080,660.32</w:t>
            </w:r>
          </w:p>
        </w:tc>
      </w:tr>
    </w:tbl>
    <w:p>
      <w:pPr>
        <w:pStyle w:val="BodyText"/>
        <w:spacing w:line="240" w:lineRule="auto" w:before="59"/>
        <w:ind w:right="1105"/>
        <w:jc w:val="left"/>
      </w:pPr>
      <w:r>
        <w:rPr/>
        <w:t>公司需要遵守《深圳证券交易所行业信息披露指引第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7"/>
        <w:rPr>
          <w:rFonts w:ascii="宋体" w:hAnsi="宋体" w:cs="宋体" w:eastAsia="宋体" w:hint="default"/>
          <w:sz w:val="26"/>
          <w:szCs w:val="26"/>
        </w:rPr>
      </w:pPr>
    </w:p>
    <w:p>
      <w:pPr>
        <w:pStyle w:val="Heading3"/>
        <w:spacing w:line="240" w:lineRule="auto"/>
        <w:ind w:right="1105"/>
        <w:jc w:val="left"/>
        <w:rPr>
          <w:b w:val="0"/>
          <w:bCs w:val="0"/>
        </w:rPr>
      </w:pPr>
      <w:bookmarkStart w:name="（2）本期计提、收回或转回的坏账准备情况" w:id="247"/>
      <w:bookmarkEnd w:id="24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1105"/>
        <w:jc w:val="left"/>
      </w:pPr>
      <w:r>
        <w:rPr/>
        <w:t>本期计提坏账准备情况：</w:t>
      </w:r>
    </w:p>
    <w:p>
      <w:pPr>
        <w:pStyle w:val="BodyText"/>
        <w:spacing w:line="240" w:lineRule="auto" w:before="12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53,038,490.88</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16,960,636.19</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5,155,864.55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3,438,339.52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68,281,602.04</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53,038,490.88</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16,960,636.19</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5,155,864.55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3,438,339.52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68,281,602.04</w:t>
            </w:r>
          </w:p>
        </w:tc>
      </w:tr>
    </w:tbl>
    <w:p>
      <w:pPr>
        <w:pStyle w:val="BodyText"/>
        <w:spacing w:line="240" w:lineRule="auto" w:before="44"/>
        <w:ind w:right="1105"/>
        <w:jc w:val="left"/>
      </w:pPr>
      <w:r>
        <w:rPr/>
        <w:t>其中本期坏账准备收回或转回金额重要的：</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61"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35" w:lineRule="exact"/>
        <w:ind w:right="1105"/>
        <w:jc w:val="left"/>
      </w:pPr>
      <w:r>
        <w:rPr/>
        <w:t>本集团对于应收账款，无论是否存在重大融资成分，均按照整个存续期的预期信用损失计量损失准备。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3"/>
        <w:spacing w:line="240" w:lineRule="auto"/>
        <w:ind w:right="1105"/>
        <w:jc w:val="left"/>
        <w:rPr>
          <w:b w:val="0"/>
          <w:bCs w:val="0"/>
        </w:rPr>
      </w:pPr>
      <w:bookmarkStart w:name="（3）本期实际核销的应收账款情况" w:id="248"/>
      <w:bookmarkEnd w:id="24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91"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应收项目款</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5,155,864.55</w:t>
            </w:r>
          </w:p>
        </w:tc>
      </w:tr>
    </w:tbl>
    <w:p>
      <w:pPr>
        <w:pStyle w:val="BodyText"/>
        <w:spacing w:line="240" w:lineRule="auto" w:before="44"/>
        <w:ind w:right="1105"/>
        <w:jc w:val="left"/>
      </w:pPr>
      <w:r>
        <w:rPr/>
        <w:t>其中重要的应收账款核销情况：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525"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5"/>
        <w:ind w:right="1105"/>
        <w:jc w:val="left"/>
      </w:pPr>
      <w:r>
        <w:rPr/>
        <w:t>应收账款核销说明：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1105"/>
        <w:jc w:val="left"/>
        <w:rPr>
          <w:b w:val="0"/>
          <w:bCs w:val="0"/>
        </w:rPr>
      </w:pPr>
      <w:bookmarkStart w:name="（4）按欠款方归集的期末余额前五名的应收账款情况" w:id="249"/>
      <w:bookmarkEnd w:id="24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839"/>
        <w:gridCol w:w="2553"/>
        <w:gridCol w:w="2133"/>
        <w:gridCol w:w="2057"/>
      </w:tblGrid>
      <w:tr>
        <w:trPr>
          <w:trHeight w:val="721"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1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06" w:right="60" w:hanging="631"/>
              <w:jc w:val="left"/>
              <w:rPr>
                <w:rFonts w:ascii="宋体" w:hAnsi="宋体" w:cs="宋体" w:eastAsia="宋体" w:hint="default"/>
                <w:sz w:val="18"/>
                <w:szCs w:val="18"/>
              </w:rPr>
            </w:pPr>
            <w:r>
              <w:rPr>
                <w:rFonts w:ascii="宋体" w:hAnsi="宋体" w:cs="宋体" w:eastAsia="宋体" w:hint="default"/>
                <w:sz w:val="18"/>
                <w:szCs w:val="18"/>
              </w:rPr>
              <w:t>占应收账款期末余额合计 数的比例</w:t>
            </w:r>
          </w:p>
        </w:tc>
        <w:tc>
          <w:tcPr>
            <w:tcW w:w="20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5"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支付宝</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网络技术有限公司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281,646,521.78</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13.93%</w:t>
            </w:r>
            <w:r>
              <w:rPr>
                <w:rFonts w:ascii="Times New Roman"/>
                <w:sz w:val="18"/>
              </w:rPr>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2,608,816.45</w:t>
            </w:r>
          </w:p>
        </w:tc>
      </w:tr>
      <w:tr>
        <w:trPr>
          <w:trHeight w:val="405"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未来电视有限公司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220,614,875.81</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10.91%</w:t>
            </w:r>
            <w:r>
              <w:rPr>
                <w:rFonts w:ascii="Times New Roman"/>
                <w:sz w:val="18"/>
              </w:rPr>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1,781,304.04</w:t>
            </w:r>
          </w:p>
        </w:tc>
      </w:tr>
      <w:tr>
        <w:trPr>
          <w:trHeight w:val="391"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中国移动通信集团终端有限公司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81,757,140.80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4.04%</w:t>
            </w:r>
            <w:r>
              <w:rPr>
                <w:rFonts w:ascii="Times New Roman"/>
                <w:sz w:val="18"/>
              </w:rPr>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1,021,964.26</w:t>
            </w:r>
          </w:p>
        </w:tc>
      </w:tr>
      <w:tr>
        <w:trPr>
          <w:trHeight w:val="405"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北京中电普华信息技术有限公司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74,547,859.00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3.69%</w:t>
            </w:r>
            <w:r>
              <w:rPr>
                <w:rFonts w:ascii="Times New Roman"/>
                <w:sz w:val="18"/>
              </w:rPr>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7,020,233.61</w:t>
            </w:r>
          </w:p>
        </w:tc>
      </w:tr>
      <w:tr>
        <w:trPr>
          <w:trHeight w:val="405"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国网山东省电力公司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65,173,840.03</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3.22%</w:t>
            </w:r>
            <w:r>
              <w:rPr>
                <w:rFonts w:ascii="Times New Roman"/>
                <w:sz w:val="18"/>
              </w:rPr>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5,046,602.00</w:t>
            </w:r>
          </w:p>
        </w:tc>
      </w:tr>
      <w:tr>
        <w:trPr>
          <w:trHeight w:val="391"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723,740,237.42</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35.79%</w:t>
            </w:r>
            <w:r>
              <w:rPr>
                <w:rFonts w:ascii="Times New Roman"/>
                <w:sz w:val="18"/>
              </w:rPr>
            </w:r>
          </w:p>
        </w:tc>
        <w:tc>
          <w:tcPr>
            <w:tcW w:w="2057"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5）因金融资产转移而终止确认的应收账款" w:id="250"/>
      <w:bookmarkEnd w:id="25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6）转移应收账款且继续涉入形成的资产、负债金额" w:id="251"/>
      <w:bookmarkEnd w:id="25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1105"/>
        <w:jc w:val="left"/>
        <w:rPr>
          <w:b w:val="0"/>
          <w:bCs w:val="0"/>
        </w:rPr>
      </w:pPr>
      <w:bookmarkStart w:name="6、应收款项融资" w:id="252"/>
      <w:bookmarkEnd w:id="252"/>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4"/>
        <w:ind w:right="1105"/>
        <w:jc w:val="left"/>
      </w:pPr>
      <w:r>
        <w:rPr/>
        <w:t>应收款项融资本期增减变动及公允价值变动情况</w:t>
      </w:r>
    </w:p>
    <w:p>
      <w:pPr>
        <w:pStyle w:val="BodyText"/>
        <w:spacing w:line="319" w:lineRule="auto" w:before="125"/>
        <w:ind w:right="13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如是按照预期信用损失一般模型计提应收款项融资减值准备，请参照其他应收款的披露方式披露减值准备的相关信息：</w:t>
      </w:r>
    </w:p>
    <w:p>
      <w:pPr>
        <w:pStyle w:val="BodyText"/>
        <w:spacing w:line="319" w:lineRule="auto" w:before="80"/>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3"/>
        <w:rPr>
          <w:rFonts w:ascii="宋体" w:hAnsi="宋体" w:cs="宋体" w:eastAsia="宋体" w:hint="default"/>
          <w:sz w:val="25"/>
          <w:szCs w:val="25"/>
        </w:rPr>
      </w:pPr>
    </w:p>
    <w:p>
      <w:pPr>
        <w:pStyle w:val="Heading3"/>
        <w:spacing w:line="240" w:lineRule="auto"/>
        <w:ind w:right="1105"/>
        <w:jc w:val="left"/>
        <w:rPr>
          <w:b w:val="0"/>
          <w:bCs w:val="0"/>
        </w:rPr>
      </w:pPr>
      <w:bookmarkStart w:name="7、预付款项" w:id="253"/>
      <w:bookmarkEnd w:id="253"/>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1105"/>
        <w:jc w:val="left"/>
        <w:rPr>
          <w:b w:val="0"/>
          <w:bCs w:val="0"/>
        </w:rPr>
      </w:pPr>
      <w:bookmarkStart w:name="（1）预付款项按账龄列示" w:id="254"/>
      <w:bookmarkEnd w:id="25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07"/>
        <w:gridCol w:w="1915"/>
        <w:gridCol w:w="1923"/>
        <w:gridCol w:w="1907"/>
        <w:gridCol w:w="1922"/>
      </w:tblGrid>
      <w:tr>
        <w:trPr>
          <w:trHeight w:val="203" w:hRule="exact"/>
        </w:trPr>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3" w:hRule="exact"/>
        </w:trPr>
        <w:tc>
          <w:tcPr>
            <w:tcW w:w="190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账龄</w:t>
            </w:r>
          </w:p>
        </w:tc>
        <w:tc>
          <w:tcPr>
            <w:tcW w:w="3837"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202" w:hRule="exact"/>
        </w:trPr>
        <w:tc>
          <w:tcPr>
            <w:tcW w:w="1907" w:type="dxa"/>
            <w:vMerge/>
            <w:tcBorders>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3" w:hRule="exact"/>
        </w:trPr>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48,724,406.73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94.11%</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23,964,666.41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88.34%</w:t>
            </w:r>
            <w:r>
              <w:rPr>
                <w:rFonts w:ascii="Times New Roman"/>
                <w:sz w:val="18"/>
              </w:rPr>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3,049,635.80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5.89%</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3,163,014.01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11.66%</w:t>
            </w:r>
            <w:r>
              <w:rPr>
                <w:rFonts w:ascii="Times New Roman"/>
                <w:sz w:val="18"/>
              </w:rPr>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6" w:space="0" w:color="000000"/>
              <w:left w:val="single" w:sz="12" w:space="0" w:color="D2D2D2"/>
              <w:bottom w:val="single" w:sz="6" w:space="0" w:color="000000"/>
              <w:right w:val="single" w:sz="18" w:space="0" w:color="D2D2D2"/>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51,774,042.53</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27,127,680.42</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3" w:lineRule="auto" w:before="59"/>
        <w:ind w:right="1119"/>
        <w:jc w:val="left"/>
      </w:pPr>
      <w:r>
        <w:rPr/>
        <w:t>账龄超过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日，账龄超过一年的预付款项为</w:t>
      </w:r>
      <w:r>
        <w:rPr>
          <w:rFonts w:ascii="Times New Roman" w:hAnsi="Times New Roman" w:cs="Times New Roman" w:eastAsia="Times New Roman" w:hint="default"/>
        </w:rPr>
        <w:t>3,049,635.80</w:t>
      </w:r>
      <w:r>
        <w:rPr/>
        <w:t>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3,163,014.01</w:t>
      </w:r>
      <w:r>
        <w:rPr/>
        <w:t>元），主要为预付项目外包服</w:t>
      </w:r>
    </w:p>
    <w:p>
      <w:pPr>
        <w:spacing w:after="0" w:line="333"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1105"/>
        <w:jc w:val="left"/>
      </w:pPr>
      <w:r>
        <w:rPr/>
        <w:t>务款项，因为项目尚未结束，该款项尚未结清。</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2）按预付对象归集的期末余额前五名的预付款情况" w:id="255"/>
      <w:bookmarkEnd w:id="25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2869"/>
        <w:gridCol w:w="2013"/>
        <w:gridCol w:w="1667"/>
      </w:tblGrid>
      <w:tr>
        <w:trPr>
          <w:trHeight w:val="345" w:hRule="exact"/>
        </w:trPr>
        <w:tc>
          <w:tcPr>
            <w:tcW w:w="2869" w:type="dxa"/>
            <w:vMerge w:val="restart"/>
            <w:tcBorders>
              <w:top w:val="single" w:sz="6" w:space="0" w:color="000000"/>
              <w:left w:val="single" w:sz="6" w:space="0" w:color="000000"/>
              <w:right w:val="single" w:sz="6" w:space="0" w:color="000000"/>
            </w:tcBorders>
          </w:tcPr>
          <w:p>
            <w:pPr>
              <w:pStyle w:val="TableParagraph"/>
              <w:spacing w:line="240" w:lineRule="auto" w:before="14"/>
              <w:ind w:left="7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013" w:type="dxa"/>
            <w:vMerge w:val="restart"/>
            <w:tcBorders>
              <w:top w:val="single" w:sz="6" w:space="0" w:color="000000"/>
              <w:left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占预付账款</w:t>
            </w:r>
          </w:p>
        </w:tc>
      </w:tr>
      <w:tr>
        <w:trPr>
          <w:trHeight w:val="346" w:hRule="exact"/>
        </w:trPr>
        <w:tc>
          <w:tcPr>
            <w:tcW w:w="2869" w:type="dxa"/>
            <w:vMerge/>
            <w:tcBorders>
              <w:left w:val="single" w:sz="6" w:space="0" w:color="000000"/>
              <w:bottom w:val="single" w:sz="6" w:space="0" w:color="000000"/>
              <w:right w:val="single" w:sz="6" w:space="0" w:color="000000"/>
            </w:tcBorders>
          </w:tcPr>
          <w:p>
            <w:pPr/>
          </w:p>
        </w:tc>
        <w:tc>
          <w:tcPr>
            <w:tcW w:w="2013" w:type="dxa"/>
            <w:vMerge/>
            <w:tcBorders>
              <w:left w:val="single" w:sz="6" w:space="0" w:color="000000"/>
              <w:bottom w:val="single" w:sz="6" w:space="0" w:color="000000"/>
              <w:right w:val="single" w:sz="6" w:space="0" w:color="000000"/>
            </w:tcBorders>
          </w:tcPr>
          <w:p>
            <w:pP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总额比例</w:t>
            </w:r>
          </w:p>
        </w:tc>
      </w:tr>
      <w:tr>
        <w:trPr>
          <w:trHeight w:val="420"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余额前五名的预付款项总额</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961" w:right="0"/>
              <w:jc w:val="left"/>
              <w:rPr>
                <w:rFonts w:ascii="Times New Roman" w:hAnsi="Times New Roman" w:cs="Times New Roman" w:eastAsia="Times New Roman" w:hint="default"/>
                <w:sz w:val="18"/>
                <w:szCs w:val="18"/>
              </w:rPr>
            </w:pPr>
            <w:r>
              <w:rPr>
                <w:rFonts w:ascii="Times New Roman"/>
                <w:sz w:val="18"/>
              </w:rPr>
              <w:t>26,823,890.08</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96" w:right="0"/>
              <w:jc w:val="left"/>
              <w:rPr>
                <w:rFonts w:ascii="Times New Roman" w:hAnsi="Times New Roman" w:cs="Times New Roman" w:eastAsia="Times New Roman" w:hint="default"/>
                <w:sz w:val="18"/>
                <w:szCs w:val="18"/>
              </w:rPr>
            </w:pPr>
            <w:r>
              <w:rPr>
                <w:rFonts w:ascii="Times New Roman"/>
                <w:sz w:val="18"/>
              </w:rPr>
              <w:t>51.81%</w:t>
            </w:r>
          </w:p>
        </w:tc>
      </w:tr>
    </w:tbl>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1105"/>
        <w:jc w:val="left"/>
        <w:rPr>
          <w:b w:val="0"/>
          <w:bCs w:val="0"/>
        </w:rPr>
      </w:pPr>
      <w:bookmarkStart w:name="8、其他应收款" w:id="256"/>
      <w:bookmarkEnd w:id="256"/>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8,806,520.54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1,229,180.56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121,528,192.62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50,725,109.35</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130,334,713.16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51,954,289.91</w:t>
            </w:r>
          </w:p>
        </w:tc>
      </w:tr>
    </w:tbl>
    <w:p>
      <w:pPr>
        <w:spacing w:line="240" w:lineRule="auto" w:before="11"/>
        <w:rPr>
          <w:rFonts w:ascii="宋体" w:hAnsi="宋体" w:cs="宋体" w:eastAsia="宋体" w:hint="default"/>
          <w:sz w:val="19"/>
          <w:szCs w:val="19"/>
        </w:rPr>
      </w:pPr>
    </w:p>
    <w:p>
      <w:pPr>
        <w:pStyle w:val="Heading3"/>
        <w:spacing w:line="508" w:lineRule="auto" w:before="35"/>
        <w:ind w:right="9129"/>
        <w:jc w:val="left"/>
        <w:rPr>
          <w:b w:val="0"/>
          <w:bCs w:val="0"/>
        </w:rPr>
      </w:pPr>
      <w:bookmarkStart w:name="（1）应收利息" w:id="257"/>
      <w:bookmarkEnd w:id="257"/>
      <w:r>
        <w:rPr>
          <w:b w:val="0"/>
          <w:bCs w:val="0"/>
        </w:rPr>
      </w:r>
      <w:r>
        <w:rPr/>
        <w:t>（</w:t>
      </w:r>
      <w:r>
        <w:rPr>
          <w:rFonts w:ascii="Times New Roman" w:hAnsi="Times New Roman" w:cs="Times New Roman" w:eastAsia="Times New Roman" w:hint="default"/>
        </w:rPr>
        <w:t>1</w:t>
      </w:r>
      <w:r>
        <w:rPr/>
        <w:t>）应收利息</w:t>
      </w:r>
      <w:r>
        <w:rPr>
          <w:w w:val="99"/>
        </w:rPr>
        <w:t> </w:t>
      </w:r>
      <w:bookmarkStart w:name="1）应收利息分类" w:id="258"/>
      <w:bookmarkEnd w:id="258"/>
      <w:r>
        <w:rPr>
          <w:w w:val="99"/>
        </w:rPr>
      </w:r>
      <w:r>
        <w:rPr>
          <w:rFonts w:ascii="Times New Roman" w:hAnsi="Times New Roman" w:cs="Times New Roman" w:eastAsia="Times New Roman" w:hint="default"/>
          <w:w w:val="95"/>
        </w:rPr>
        <w:t>1</w:t>
      </w:r>
      <w:r>
        <w:rPr>
          <w:w w:val="95"/>
        </w:rPr>
        <w:t>）应收利息分类</w:t>
      </w:r>
      <w:r>
        <w:rPr>
          <w:b w:val="0"/>
          <w:bCs w:val="0"/>
        </w:rPr>
      </w:r>
    </w:p>
    <w:p>
      <w:pPr>
        <w:pStyle w:val="BodyText"/>
        <w:spacing w:line="240" w:lineRule="auto" w:before="69"/>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6,806,520.54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1,229,180.56</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债权利息</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8,806,520.54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1,229,180.56</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2）重要逾期利息" w:id="259"/>
      <w:bookmarkEnd w:id="259"/>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5"/>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3）坏账准备计提情况" w:id="260"/>
      <w:bookmarkEnd w:id="260"/>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496" w:lineRule="auto" w:before="35"/>
        <w:ind w:right="9129"/>
        <w:jc w:val="left"/>
        <w:rPr>
          <w:b w:val="0"/>
          <w:bCs w:val="0"/>
        </w:rPr>
      </w:pPr>
      <w:bookmarkStart w:name="（2）应收股利" w:id="261"/>
      <w:bookmarkEnd w:id="261"/>
      <w:r>
        <w:rPr>
          <w:b w:val="0"/>
          <w:bCs w:val="0"/>
        </w:rPr>
      </w:r>
      <w:r>
        <w:rPr/>
        <w:t>（</w:t>
      </w:r>
      <w:r>
        <w:rPr>
          <w:rFonts w:ascii="Times New Roman" w:hAnsi="Times New Roman" w:cs="Times New Roman" w:eastAsia="Times New Roman" w:hint="default"/>
        </w:rPr>
        <w:t>2</w:t>
      </w:r>
      <w:r>
        <w:rPr/>
        <w:t>）应收股利</w:t>
      </w:r>
      <w:r>
        <w:rPr>
          <w:w w:val="99"/>
        </w:rPr>
        <w:t> </w:t>
      </w:r>
      <w:bookmarkStart w:name="1）应收股利分类" w:id="262"/>
      <w:bookmarkEnd w:id="262"/>
      <w:r>
        <w:rPr>
          <w:w w:val="99"/>
        </w:rPr>
      </w:r>
      <w:r>
        <w:rPr>
          <w:rFonts w:ascii="Times New Roman" w:hAnsi="Times New Roman" w:cs="Times New Roman" w:eastAsia="Times New Roman" w:hint="default"/>
          <w:w w:val="95"/>
        </w:rPr>
        <w:t>1</w:t>
      </w:r>
      <w:r>
        <w:rPr>
          <w:w w:val="95"/>
        </w:rPr>
        <w:t>）应收股利分类</w:t>
      </w:r>
      <w:r>
        <w:rPr>
          <w:b w:val="0"/>
          <w:bCs w:val="0"/>
        </w:rPr>
      </w:r>
    </w:p>
    <w:p>
      <w:pPr>
        <w:pStyle w:val="BodyText"/>
        <w:spacing w:line="240" w:lineRule="auto" w:before="8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2）重要的账龄超过1年的应收股利" w:id="263"/>
      <w:bookmarkEnd w:id="263"/>
      <w:r>
        <w:rPr>
          <w:b w:val="0"/>
          <w:bCs w:val="0"/>
        </w:rPr>
      </w:r>
      <w:r>
        <w:rPr>
          <w:rFonts w:ascii="Times New Roman" w:hAnsi="Times New Roman" w:cs="Times New Roman" w:eastAsia="Times New Roman" w:hint="default"/>
        </w:rPr>
        <w:t>2</w:t>
      </w:r>
      <w:r>
        <w:rPr/>
        <w:t>）重要的账龄超过</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年的应收股利</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3）坏账准备计提情况" w:id="264"/>
      <w:bookmarkEnd w:id="264"/>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331" w:lineRule="auto"/>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6"/>
        <w:rPr>
          <w:rFonts w:ascii="宋体" w:hAnsi="宋体" w:cs="宋体" w:eastAsia="宋体" w:hint="default"/>
          <w:sz w:val="23"/>
          <w:szCs w:val="23"/>
        </w:rPr>
      </w:pPr>
    </w:p>
    <w:p>
      <w:pPr>
        <w:pStyle w:val="Heading3"/>
        <w:spacing w:line="496" w:lineRule="auto"/>
        <w:ind w:right="7481"/>
        <w:jc w:val="left"/>
        <w:rPr>
          <w:b w:val="0"/>
          <w:bCs w:val="0"/>
        </w:rPr>
      </w:pPr>
      <w:bookmarkStart w:name="（3）其他应收款" w:id="265"/>
      <w:bookmarkEnd w:id="265"/>
      <w:r>
        <w:rPr>
          <w:b w:val="0"/>
          <w:bCs w:val="0"/>
        </w:rPr>
      </w:r>
      <w:r>
        <w:rPr/>
        <w:t>（</w:t>
      </w:r>
      <w:r>
        <w:rPr>
          <w:rFonts w:ascii="Times New Roman" w:hAnsi="Times New Roman" w:cs="Times New Roman" w:eastAsia="Times New Roman" w:hint="default"/>
        </w:rPr>
        <w:t>3</w:t>
      </w:r>
      <w:r>
        <w:rPr/>
        <w:t>）其他应收款</w:t>
      </w:r>
      <w:r>
        <w:rPr>
          <w:w w:val="99"/>
        </w:rPr>
        <w:t> </w:t>
      </w:r>
      <w:bookmarkStart w:name="1）其他应收款按款项性质分类情况" w:id="266"/>
      <w:bookmarkEnd w:id="266"/>
      <w:r>
        <w:rPr>
          <w:w w:val="99"/>
        </w:rPr>
      </w:r>
      <w:r>
        <w:rPr>
          <w:rFonts w:ascii="Times New Roman" w:hAnsi="Times New Roman" w:cs="Times New Roman" w:eastAsia="Times New Roman" w:hint="default"/>
        </w:rPr>
        <w:t>1</w:t>
      </w:r>
      <w:r>
        <w:rPr/>
        <w:t>）其他应收款按款项性质分类情况</w:t>
      </w:r>
      <w:r>
        <w:rPr>
          <w:b w:val="0"/>
          <w:bCs w:val="0"/>
        </w:rPr>
      </w:r>
    </w:p>
    <w:p>
      <w:pPr>
        <w:pStyle w:val="BodyText"/>
        <w:spacing w:line="240" w:lineRule="auto" w:before="81"/>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48,000,000.00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应收押金和保证金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46,076,078.62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38,069,185.69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暂存支付宝平台款项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11,015,017.59</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应收员工备用金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6,538,399.81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4,607,083.66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应收资产转让款</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5,868,549.00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暂付款及其他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4,565,162.89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2,613,269.08</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122,194,658.91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51,158,087.43</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2）坏账准备计提情况" w:id="267"/>
      <w:bookmarkEnd w:id="267"/>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30"/>
        <w:gridCol w:w="1630"/>
        <w:gridCol w:w="2118"/>
        <w:gridCol w:w="2102"/>
        <w:gridCol w:w="1802"/>
      </w:tblGrid>
      <w:tr>
        <w:trPr>
          <w:trHeight w:val="405" w:hRule="exact"/>
        </w:trPr>
        <w:tc>
          <w:tcPr>
            <w:tcW w:w="1930" w:type="dxa"/>
            <w:tcBorders>
              <w:top w:val="single" w:sz="6" w:space="0" w:color="000000"/>
              <w:left w:val="single" w:sz="6" w:space="0" w:color="000000"/>
              <w:bottom w:val="nil" w:sz="6" w:space="0" w:color="auto"/>
              <w:right w:val="single" w:sz="6" w:space="0" w:color="000000"/>
            </w:tcBorders>
            <w:shd w:val="clear" w:color="auto" w:fill="D2D2D2"/>
          </w:tcPr>
          <w:p>
            <w:pPr/>
          </w:p>
        </w:tc>
        <w:tc>
          <w:tcPr>
            <w:tcW w:w="1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43"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0"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7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193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28" w:lineRule="exact"/>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30" w:type="dxa"/>
            <w:vMerge w:val="restart"/>
            <w:tcBorders>
              <w:top w:val="single" w:sz="6" w:space="0" w:color="000000"/>
              <w:left w:val="single" w:sz="6" w:space="0" w:color="000000"/>
              <w:right w:val="single" w:sz="6" w:space="0" w:color="000000"/>
            </w:tcBorders>
            <w:shd w:val="clear" w:color="auto" w:fill="D2D2D2"/>
          </w:tcPr>
          <w:p>
            <w:pPr>
              <w:pStyle w:val="TableParagraph"/>
              <w:spacing w:line="290" w:lineRule="auto" w:before="45"/>
              <w:ind w:left="533" w:right="44"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1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5"/>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5"/>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right w:val="single" w:sz="6" w:space="0" w:color="000000"/>
            </w:tcBorders>
            <w:shd w:val="clear" w:color="auto" w:fill="D2D2D2"/>
          </w:tcPr>
          <w:p>
            <w:pPr/>
          </w:p>
        </w:tc>
      </w:tr>
      <w:tr>
        <w:trPr>
          <w:trHeight w:val="353" w:hRule="exact"/>
        </w:trPr>
        <w:tc>
          <w:tcPr>
            <w:tcW w:w="1930" w:type="dxa"/>
            <w:tcBorders>
              <w:top w:val="nil" w:sz="6" w:space="0" w:color="auto"/>
              <w:left w:val="single" w:sz="6" w:space="0" w:color="000000"/>
              <w:bottom w:val="single" w:sz="6" w:space="0" w:color="000000"/>
              <w:right w:val="single" w:sz="6" w:space="0" w:color="000000"/>
            </w:tcBorders>
            <w:shd w:val="clear" w:color="auto" w:fill="D2D2D2"/>
          </w:tcPr>
          <w:p>
            <w:pPr/>
          </w:p>
        </w:tc>
        <w:tc>
          <w:tcPr>
            <w:tcW w:w="1630" w:type="dxa"/>
            <w:vMerge/>
            <w:tcBorders>
              <w:left w:val="single" w:sz="6" w:space="0" w:color="000000"/>
              <w:bottom w:val="single" w:sz="6" w:space="0" w:color="000000"/>
              <w:right w:val="single" w:sz="6" w:space="0" w:color="000000"/>
            </w:tcBorders>
            <w:shd w:val="clear" w:color="auto" w:fill="D2D2D2"/>
          </w:tcPr>
          <w:p>
            <w:pPr/>
          </w:p>
        </w:tc>
        <w:tc>
          <w:tcPr>
            <w:tcW w:w="2118" w:type="dxa"/>
            <w:vMerge/>
            <w:tcBorders>
              <w:left w:val="single" w:sz="6" w:space="0" w:color="000000"/>
              <w:bottom w:val="single" w:sz="6" w:space="0" w:color="000000"/>
              <w:right w:val="single" w:sz="6" w:space="0" w:color="000000"/>
            </w:tcBorders>
            <w:shd w:val="clear" w:color="auto" w:fill="D2D2D2"/>
          </w:tcPr>
          <w:p>
            <w:pPr/>
          </w:p>
        </w:tc>
        <w:tc>
          <w:tcPr>
            <w:tcW w:w="2102" w:type="dxa"/>
            <w:vMerge/>
            <w:tcBorders>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3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773" w:right="0"/>
              <w:jc w:val="left"/>
              <w:rPr>
                <w:rFonts w:ascii="Times New Roman" w:hAnsi="Times New Roman" w:cs="Times New Roman" w:eastAsia="Times New Roman" w:hint="default"/>
                <w:sz w:val="18"/>
                <w:szCs w:val="18"/>
              </w:rPr>
            </w:pPr>
            <w:r>
              <w:rPr>
                <w:rFonts w:ascii="Times New Roman"/>
                <w:sz w:val="18"/>
              </w:rPr>
              <w:t>432,978.08</w:t>
            </w:r>
          </w:p>
        </w:tc>
        <w:tc>
          <w:tcPr>
            <w:tcW w:w="2118"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61" w:right="0"/>
              <w:jc w:val="left"/>
              <w:rPr>
                <w:rFonts w:ascii="Times New Roman" w:hAnsi="Times New Roman" w:cs="Times New Roman" w:eastAsia="Times New Roman" w:hint="default"/>
                <w:sz w:val="18"/>
                <w:szCs w:val="18"/>
              </w:rPr>
            </w:pPr>
            <w:r>
              <w:rPr>
                <w:rFonts w:ascii="Times New Roman"/>
                <w:sz w:val="18"/>
              </w:rPr>
              <w:t>432,978.08</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1900"/>
        <w:gridCol w:w="1667"/>
        <w:gridCol w:w="2103"/>
        <w:gridCol w:w="2102"/>
        <w:gridCol w:w="1802"/>
      </w:tblGrid>
      <w:tr>
        <w:trPr>
          <w:trHeight w:val="158" w:hRule="exact"/>
        </w:trPr>
        <w:tc>
          <w:tcPr>
            <w:tcW w:w="1900" w:type="dxa"/>
            <w:vMerge w:val="restart"/>
            <w:tcBorders>
              <w:top w:val="single" w:sz="6" w:space="0" w:color="000000"/>
              <w:left w:val="single" w:sz="6" w:space="0" w:color="000000"/>
              <w:right w:val="single" w:sz="6" w:space="0" w:color="000000"/>
            </w:tcBorders>
            <w:shd w:val="clear" w:color="auto" w:fill="D2D2D2"/>
          </w:tcPr>
          <w:p>
            <w:pPr>
              <w:pStyle w:val="TableParagraph"/>
              <w:spacing w:line="276" w:lineRule="auto" w:before="59"/>
              <w:ind w:left="7"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67"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80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900" w:type="dxa"/>
            <w:vMerge/>
            <w:tcBorders>
              <w:left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73" w:hRule="exact"/>
        </w:trPr>
        <w:tc>
          <w:tcPr>
            <w:tcW w:w="1900" w:type="dxa"/>
            <w:vMerge/>
            <w:tcBorders>
              <w:left w:val="single" w:sz="6" w:space="0" w:color="000000"/>
              <w:bottom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1,087,737.96</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1,087,737.96</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1,321,226.17</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1,321,226.17</w:t>
            </w: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666,466.29</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666,466.29</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240" w:lineRule="auto" w:before="44"/>
        <w:ind w:right="-20"/>
        <w:jc w:val="left"/>
      </w:pPr>
      <w:r>
        <w:rPr/>
        <w:t>损失准备本期变动金额重大的账面余额变动情况</w:t>
      </w:r>
    </w:p>
    <w:p>
      <w:pPr>
        <w:pStyle w:val="BodyText"/>
        <w:spacing w:line="319" w:lineRule="auto" w:before="125"/>
        <w:ind w:right="15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t>单位： 元</w:t>
      </w:r>
    </w:p>
    <w:p>
      <w:pPr>
        <w:spacing w:after="0" w:line="240" w:lineRule="auto"/>
        <w:jc w:val="left"/>
        <w:sectPr>
          <w:type w:val="continuous"/>
          <w:pgSz w:w="11910" w:h="16850"/>
          <w:pgMar w:top="1040" w:bottom="1180" w:left="1000" w:right="0"/>
          <w:cols w:num="2" w:equalWidth="0">
            <w:col w:w="3922" w:space="4924"/>
            <w:col w:w="206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118,174,283.02</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118,174,283.02</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580,333.29</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2,441,442.60</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998,600.00</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954,600.00</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44,000.00</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122,194,658.91</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3）本期计提、收回或转回的坏账准备情况" w:id="268"/>
      <w:bookmarkEnd w:id="268"/>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right="1105"/>
        <w:jc w:val="left"/>
      </w:pPr>
      <w:r>
        <w:rPr/>
        <w:t>本期计提坏账准备情况：</w:t>
      </w:r>
    </w:p>
    <w:p>
      <w:pPr>
        <w:pStyle w:val="BodyText"/>
        <w:spacing w:line="240" w:lineRule="auto" w:before="10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412"/>
        <w:gridCol w:w="1112"/>
        <w:gridCol w:w="1336"/>
        <w:gridCol w:w="1337"/>
        <w:gridCol w:w="1322"/>
        <w:gridCol w:w="1336"/>
        <w:gridCol w:w="1727"/>
      </w:tblGrid>
      <w:tr>
        <w:trPr>
          <w:trHeight w:val="405" w:hRule="exact"/>
        </w:trPr>
        <w:tc>
          <w:tcPr>
            <w:tcW w:w="14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1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1"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8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1412" w:type="dxa"/>
            <w:vMerge/>
            <w:tcBorders>
              <w:left w:val="single" w:sz="6" w:space="0" w:color="000000"/>
              <w:bottom w:val="single" w:sz="6" w:space="0" w:color="000000"/>
              <w:right w:val="single" w:sz="6" w:space="0" w:color="000000"/>
            </w:tcBorders>
            <w:shd w:val="clear" w:color="auto" w:fill="D2D2D2"/>
          </w:tcPr>
          <w:p>
            <w:pPr/>
          </w:p>
        </w:tc>
        <w:tc>
          <w:tcPr>
            <w:tcW w:w="1112" w:type="dxa"/>
            <w:vMerge/>
            <w:tcBorders>
              <w:left w:val="single" w:sz="6" w:space="0" w:color="000000"/>
              <w:bottom w:val="single" w:sz="6" w:space="0" w:color="000000"/>
              <w:right w:val="single" w:sz="6" w:space="0" w:color="000000"/>
            </w:tcBorders>
            <w:shd w:val="clear" w:color="auto" w:fill="D2D2D2"/>
          </w:tcPr>
          <w:p>
            <w:pPr/>
          </w:p>
        </w:tc>
        <w:tc>
          <w:tcPr>
            <w:tcW w:w="13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9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核销</w:t>
            </w:r>
          </w:p>
        </w:tc>
        <w:tc>
          <w:tcPr>
            <w:tcW w:w="13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低风险用户组合</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432,978.08</w:t>
            </w:r>
          </w:p>
        </w:tc>
        <w:tc>
          <w:tcPr>
            <w:tcW w:w="1336"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1,087,737.96</w:t>
            </w:r>
          </w:p>
        </w:tc>
        <w:tc>
          <w:tcPr>
            <w:tcW w:w="1322"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1,321,226.17</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666,466.29</w:t>
            </w:r>
          </w:p>
        </w:tc>
      </w:tr>
      <w:tr>
        <w:trPr>
          <w:trHeight w:val="406"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432,978.08</w:t>
            </w:r>
          </w:p>
        </w:tc>
        <w:tc>
          <w:tcPr>
            <w:tcW w:w="1336"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1,087,737.96</w:t>
            </w:r>
          </w:p>
        </w:tc>
        <w:tc>
          <w:tcPr>
            <w:tcW w:w="1322"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1,321,226.17</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666,466.29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50"/>
          <w:pgMar w:top="1040" w:bottom="1180" w:left="1000" w:right="0"/>
        </w:sectPr>
      </w:pPr>
    </w:p>
    <w:p>
      <w:pPr>
        <w:spacing w:before="26"/>
        <w:ind w:left="141" w:right="-10" w:firstLine="0"/>
        <w:jc w:val="left"/>
        <w:rPr>
          <w:rFonts w:ascii="宋体" w:hAnsi="宋体" w:cs="宋体" w:eastAsia="宋体" w:hint="default"/>
          <w:sz w:val="24"/>
          <w:szCs w:val="24"/>
        </w:rPr>
      </w:pPr>
      <w:r>
        <w:rPr>
          <w:rFonts w:ascii="宋体" w:hAnsi="宋体" w:cs="宋体" w:eastAsia="宋体" w:hint="default"/>
          <w:sz w:val="24"/>
          <w:szCs w:val="24"/>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4712" w:space="4135"/>
            <w:col w:w="2063"/>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从兴技术有限公司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1,242,503.40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1,242,503.40</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1105"/>
        <w:jc w:val="left"/>
        <w:rPr>
          <w:b w:val="0"/>
          <w:bCs w:val="0"/>
        </w:rPr>
      </w:pPr>
      <w:bookmarkStart w:name="4）本期实际核销的其他应收款情况" w:id="269"/>
      <w:bookmarkEnd w:id="269"/>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4"/>
        <w:ind w:right="1105"/>
        <w:jc w:val="left"/>
      </w:pPr>
      <w:r>
        <w:rPr/>
        <w:t>其中重要的其他应收款核销情况：</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2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525"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4"/>
        <w:ind w:right="1105"/>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5）按欠款方归集的期末余额前五名的其他应收款情况" w:id="270"/>
      <w:bookmarkEnd w:id="270"/>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5" w:right="6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3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5"/>
              <w:jc w:val="left"/>
              <w:rPr>
                <w:rFonts w:ascii="宋体" w:hAnsi="宋体" w:cs="宋体" w:eastAsia="宋体" w:hint="default"/>
                <w:sz w:val="18"/>
                <w:szCs w:val="18"/>
              </w:rPr>
            </w:pPr>
            <w:r>
              <w:rPr>
                <w:rFonts w:ascii="宋体" w:hAnsi="宋体" w:cs="宋体" w:eastAsia="宋体" w:hint="default"/>
                <w:sz w:val="18"/>
                <w:szCs w:val="18"/>
              </w:rPr>
              <w:t>共青城派瑞新媒投 </w:t>
            </w:r>
            <w:r>
              <w:rPr>
                <w:rFonts w:ascii="宋体" w:hAnsi="宋体" w:cs="宋体" w:eastAsia="宋体" w:hint="default"/>
                <w:spacing w:val="-9"/>
                <w:sz w:val="18"/>
                <w:szCs w:val="18"/>
              </w:rPr>
              <w:t>资管理合伙企业（有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限合伙）</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债权</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48,000,000.00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39.28%</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30"/>
              <w:jc w:val="left"/>
              <w:rPr>
                <w:rFonts w:ascii="宋体" w:hAnsi="宋体" w:cs="宋体" w:eastAsia="宋体" w:hint="default"/>
                <w:sz w:val="18"/>
                <w:szCs w:val="18"/>
              </w:rPr>
            </w:pPr>
            <w:r>
              <w:rPr>
                <w:rFonts w:ascii="宋体" w:hAnsi="宋体" w:cs="宋体" w:eastAsia="宋体" w:hint="default"/>
                <w:spacing w:val="-10"/>
                <w:sz w:val="18"/>
                <w:szCs w:val="18"/>
              </w:rPr>
              <w:t>支付宝（中国）网络</w:t>
            </w:r>
            <w:r>
              <w:rPr>
                <w:rFonts w:ascii="宋体" w:hAnsi="宋体" w:cs="宋体" w:eastAsia="宋体" w:hint="default"/>
                <w:sz w:val="18"/>
                <w:szCs w:val="18"/>
              </w:rPr>
              <w:t> 技术有限公司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21"/>
              <w:jc w:val="left"/>
              <w:rPr>
                <w:rFonts w:ascii="宋体" w:hAnsi="宋体" w:cs="宋体" w:eastAsia="宋体" w:hint="default"/>
                <w:sz w:val="18"/>
                <w:szCs w:val="18"/>
              </w:rPr>
            </w:pPr>
            <w:r>
              <w:rPr>
                <w:rFonts w:ascii="宋体" w:hAnsi="宋体" w:cs="宋体" w:eastAsia="宋体" w:hint="default"/>
                <w:sz w:val="18"/>
                <w:szCs w:val="18"/>
              </w:rPr>
              <w:t>暂存支付宝平台款 项</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11,015,017.59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9.01%</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20"/>
              <w:jc w:val="left"/>
              <w:rPr>
                <w:rFonts w:ascii="宋体" w:hAnsi="宋体" w:cs="宋体" w:eastAsia="宋体" w:hint="default"/>
                <w:sz w:val="18"/>
                <w:szCs w:val="18"/>
              </w:rPr>
            </w:pPr>
            <w:r>
              <w:rPr>
                <w:rFonts w:ascii="宋体" w:hAnsi="宋体" w:cs="宋体" w:eastAsia="宋体" w:hint="default"/>
                <w:sz w:val="18"/>
                <w:szCs w:val="18"/>
              </w:rPr>
              <w:t>我看网络技术（上 海）有限公司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4.91%</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20"/>
              <w:jc w:val="left"/>
              <w:rPr>
                <w:rFonts w:ascii="宋体" w:hAnsi="宋体" w:cs="宋体" w:eastAsia="宋体" w:hint="default"/>
                <w:sz w:val="18"/>
                <w:szCs w:val="18"/>
              </w:rPr>
            </w:pPr>
            <w:r>
              <w:rPr>
                <w:rFonts w:ascii="宋体" w:hAnsi="宋体" w:cs="宋体" w:eastAsia="宋体" w:hint="default"/>
                <w:sz w:val="18"/>
                <w:szCs w:val="18"/>
              </w:rPr>
              <w:t>海关总署物资装备 采购中心</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应收押金和保证金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3,793,320.00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3.10%</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37,933.20</w:t>
            </w:r>
          </w:p>
        </w:tc>
      </w:tr>
      <w:tr>
        <w:trPr>
          <w:trHeight w:val="103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20"/>
              <w:jc w:val="both"/>
              <w:rPr>
                <w:rFonts w:ascii="宋体" w:hAnsi="宋体" w:cs="宋体" w:eastAsia="宋体" w:hint="default"/>
                <w:sz w:val="18"/>
                <w:szCs w:val="18"/>
              </w:rPr>
            </w:pPr>
            <w:r>
              <w:rPr>
                <w:rFonts w:ascii="宋体" w:hAnsi="宋体" w:cs="宋体" w:eastAsia="宋体" w:hint="default"/>
                <w:sz w:val="18"/>
                <w:szCs w:val="18"/>
              </w:rPr>
              <w:t>北京北辰实业股份 有限公司写字楼经 营管理分公司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应收押金和保证金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3,518,471.55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一年以内</w:t>
            </w:r>
            <w:r>
              <w:rPr>
                <w:rFonts w:ascii="宋体" w:hAnsi="宋体" w:cs="宋体" w:eastAsia="宋体" w:hint="default"/>
                <w:spacing w:val="-76"/>
                <w:sz w:val="18"/>
                <w:szCs w:val="18"/>
              </w:rPr>
              <w:t>、</w:t>
            </w:r>
            <w:r>
              <w:rPr>
                <w:rFonts w:ascii="宋体" w:hAnsi="宋体" w:cs="宋体" w:eastAsia="宋体" w:hint="default"/>
                <w:sz w:val="18"/>
                <w:szCs w:val="18"/>
              </w:rPr>
              <w:t>二至三年</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2.88%</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16,395.19</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72,326,809.14</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59.18%</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54,328.39</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6）涉及政府补助的应收款项" w:id="271"/>
      <w:bookmarkEnd w:id="271"/>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7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691" w:right="45" w:hanging="631"/>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7）因金融资产转移而终止确认的其他应收款" w:id="272"/>
      <w:bookmarkEnd w:id="272"/>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8）转移其他应收款且继续涉入形成的资产、负债金额" w:id="273"/>
      <w:bookmarkEnd w:id="273"/>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5"/>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1105"/>
        <w:jc w:val="left"/>
        <w:rPr>
          <w:b w:val="0"/>
          <w:bCs w:val="0"/>
        </w:rPr>
      </w:pPr>
      <w:bookmarkStart w:name="9、存货" w:id="274"/>
      <w:bookmarkEnd w:id="274"/>
      <w:r>
        <w:rPr>
          <w:b w:val="0"/>
          <w:bCs w:val="0"/>
        </w:rPr>
      </w:r>
      <w:r>
        <w:rPr>
          <w:rFonts w:ascii="Times New Roman" w:hAnsi="Times New Roman" w:cs="Times New Roman" w:eastAsia="Times New Roman" w:hint="default"/>
        </w:rPr>
        <w:t>9</w:t>
      </w:r>
      <w:r>
        <w:rPr/>
        <w:t>、存货</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1105"/>
        <w:jc w:val="left"/>
      </w:pPr>
      <w:r>
        <w:rPr/>
        <w:t>是否已执行新收入准则</w:t>
      </w:r>
    </w:p>
    <w:p>
      <w:pPr>
        <w:pStyle w:val="BodyText"/>
        <w:spacing w:line="240" w:lineRule="auto" w:before="125"/>
        <w:ind w:right="110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3"/>
        <w:spacing w:line="240" w:lineRule="auto" w:before="126"/>
        <w:ind w:right="1105"/>
        <w:jc w:val="left"/>
        <w:rPr>
          <w:b w:val="0"/>
          <w:bCs w:val="0"/>
        </w:rPr>
      </w:pPr>
      <w:bookmarkStart w:name="（1）存货分类" w:id="275"/>
      <w:bookmarkEnd w:id="27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391"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90,722,327.13</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90,722,327.13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106,240,268.39</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106,240,268.39</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30,113,117.82</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30,113,117.82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9,221,430.04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9,221,430.04</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210,607.31</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210,607.31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3,059,832.12</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3,059,832.12</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软件开发成本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64,000,154.99</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2,700,070.15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61,300,084.84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77,924,917.07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364,211.50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77,560,705.57</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系统集成成本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8,852,368.31</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8,852,368.31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16,813,393.99</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16,813,393.99</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115,805,169.50</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115,805,169.50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176,594,355.67</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176,594,355.67</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309,703,745.06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2,700,070.15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307,003,674.91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389,854,197.28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364,211.50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389,489,985.78</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2）存货跌价准备" w:id="276"/>
      <w:bookmarkEnd w:id="27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82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81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0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软件开发成本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364,211.50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2,388,804.53</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52,945.88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2,700,070.15</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364,211.50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2,388,804.53</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52,945.88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2,700,070.15</w:t>
            </w:r>
          </w:p>
        </w:tc>
      </w:tr>
    </w:tbl>
    <w:p>
      <w:pPr>
        <w:tabs>
          <w:tab w:pos="7710" w:val="left" w:leader="none"/>
        </w:tabs>
        <w:spacing w:before="38"/>
        <w:ind w:left="4211" w:right="0" w:firstLine="0"/>
        <w:jc w:val="left"/>
        <w:rPr>
          <w:rFonts w:ascii="宋体" w:hAnsi="宋体" w:cs="宋体" w:eastAsia="宋体" w:hint="default"/>
          <w:sz w:val="16"/>
          <w:szCs w:val="16"/>
        </w:rPr>
      </w:pPr>
      <w:r>
        <w:rPr/>
        <w:pict>
          <v:group style="position:absolute;margin-left:56.700001pt;margin-top:16.503748pt;width:484.4pt;height:.75pt;mso-position-horizontal-relative:page;mso-position-vertical-relative:paragraph;z-index:1960" coordorigin="1134,330" coordsize="9688,15">
            <v:group style="position:absolute;left:1142;top:338;width:1697;height:2" coordorigin="1142,338" coordsize="1697,2">
              <v:shape style="position:absolute;left:1142;top:338;width:1697;height:2" coordorigin="1142,338" coordsize="1697,0" path="m1142,338l2839,338e" filled="false" stroked="true" strokeweight=".75pt" strokecolor="#000000">
                <v:path arrowok="t"/>
              </v:shape>
            </v:group>
            <v:group style="position:absolute;left:2839;top:338;width:15;height:2" coordorigin="2839,338" coordsize="15,2">
              <v:shape style="position:absolute;left:2839;top:338;width:15;height:2" coordorigin="2839,338" coordsize="15,0" path="m2839,338l2854,338e" filled="false" stroked="true" strokeweight=".75pt" strokecolor="#000000">
                <v:path arrowok="t"/>
              </v:shape>
            </v:group>
            <v:group style="position:absolute;left:2854;top:338;width:4296;height:2" coordorigin="2854,338" coordsize="4296,2">
              <v:shape style="position:absolute;left:2854;top:338;width:4296;height:2" coordorigin="2854,338" coordsize="4296,0" path="m2854,338l7149,338e" filled="false" stroked="true" strokeweight=".75pt" strokecolor="#000000">
                <v:path arrowok="t"/>
              </v:shape>
            </v:group>
            <v:group style="position:absolute;left:7149;top:338;width:15;height:2" coordorigin="7149,338" coordsize="15,2">
              <v:shape style="position:absolute;left:7149;top:338;width:15;height:2" coordorigin="7149,338" coordsize="15,0" path="m7149,338l7164,338e" filled="false" stroked="true" strokeweight=".75pt" strokecolor="#000000">
                <v:path arrowok="t"/>
              </v:shape>
            </v:group>
            <v:group style="position:absolute;left:7164;top:338;width:286;height:2" coordorigin="7164,338" coordsize="286,2">
              <v:shape style="position:absolute;left:7164;top:338;width:286;height:2" coordorigin="7164,338" coordsize="286,0" path="m7164,338l7450,338e" filled="false" stroked="true" strokeweight=".75pt" strokecolor="#000000">
                <v:path arrowok="t"/>
              </v:shape>
            </v:group>
            <v:group style="position:absolute;left:7450;top:338;width:15;height:2" coordorigin="7450,338" coordsize="15,2">
              <v:shape style="position:absolute;left:7450;top:338;width:15;height:2" coordorigin="7450,338" coordsize="15,0" path="m7450,338l7465,338e" filled="false" stroked="true" strokeweight=".75pt" strokecolor="#000000">
                <v:path arrowok="t"/>
              </v:shape>
            </v:group>
            <v:group style="position:absolute;left:7465;top:338;width:3349;height:2" coordorigin="7465,338" coordsize="3349,2">
              <v:shape style="position:absolute;left:7465;top:338;width:3349;height:2" coordorigin="7465,338" coordsize="3349,0" path="m7465,338l10814,338e" filled="false" stroked="true" strokeweight=".75pt" strokecolor="#000000">
                <v:path arrowok="t"/>
              </v:shape>
            </v:group>
            <w10:wrap type="none"/>
          </v:group>
        </w:pict>
      </w:r>
      <w:r>
        <w:rPr>
          <w:rFonts w:ascii="宋体" w:hAnsi="宋体" w:cs="宋体" w:eastAsia="宋体" w:hint="default"/>
          <w:spacing w:val="-4"/>
          <w:sz w:val="16"/>
          <w:szCs w:val="16"/>
        </w:rPr>
        <w:t>确定可变现净值的具体依据</w:t>
        <w:tab/>
      </w:r>
      <w:r>
        <w:rPr>
          <w:rFonts w:ascii="宋体" w:hAnsi="宋体" w:cs="宋体" w:eastAsia="宋体" w:hint="default"/>
          <w:spacing w:val="-4"/>
          <w:w w:val="105"/>
          <w:sz w:val="16"/>
          <w:szCs w:val="16"/>
        </w:rPr>
        <w:t>本年转销存货跌价准备的原因</w:t>
      </w:r>
      <w:r>
        <w:rPr>
          <w:rFonts w:ascii="宋体" w:hAnsi="宋体" w:cs="宋体" w:eastAsia="宋体" w:hint="default"/>
          <w:spacing w:val="-4"/>
          <w:sz w:val="16"/>
          <w:szCs w:val="16"/>
        </w:rPr>
      </w:r>
    </w:p>
    <w:p>
      <w:pPr>
        <w:spacing w:after="0"/>
        <w:jc w:val="left"/>
        <w:rPr>
          <w:rFonts w:ascii="宋体" w:hAnsi="宋体" w:cs="宋体" w:eastAsia="宋体" w:hint="default"/>
          <w:sz w:val="16"/>
          <w:szCs w:val="16"/>
        </w:rPr>
        <w:sectPr>
          <w:pgSz w:w="11910" w:h="16850"/>
          <w:pgMar w:header="731" w:footer="981" w:top="1040" w:bottom="1180" w:left="1000" w:right="0"/>
        </w:sectPr>
      </w:pPr>
    </w:p>
    <w:p>
      <w:pPr>
        <w:spacing w:line="357" w:lineRule="auto" w:before="135"/>
        <w:ind w:left="141" w:right="0" w:firstLine="0"/>
        <w:jc w:val="left"/>
        <w:rPr>
          <w:rFonts w:ascii="宋体" w:hAnsi="宋体" w:cs="宋体" w:eastAsia="宋体" w:hint="default"/>
          <w:sz w:val="16"/>
          <w:szCs w:val="16"/>
        </w:rPr>
      </w:pPr>
      <w:r>
        <w:rPr>
          <w:rFonts w:ascii="宋体" w:hAnsi="宋体" w:cs="宋体" w:eastAsia="宋体" w:hint="default"/>
          <w:spacing w:val="-3"/>
          <w:w w:val="105"/>
          <w:sz w:val="16"/>
          <w:szCs w:val="16"/>
        </w:rPr>
        <w:t>软件开发成本</w:t>
      </w:r>
      <w:r>
        <w:rPr>
          <w:rFonts w:ascii="宋体" w:hAnsi="宋体" w:cs="宋体" w:eastAsia="宋体" w:hint="default"/>
          <w:w w:val="103"/>
          <w:sz w:val="16"/>
          <w:szCs w:val="16"/>
        </w:rPr>
        <w:t> </w:t>
      </w:r>
      <w:r>
        <w:rPr>
          <w:rFonts w:ascii="宋体" w:hAnsi="宋体" w:cs="宋体" w:eastAsia="宋体" w:hint="default"/>
          <w:spacing w:val="-3"/>
          <w:w w:val="105"/>
          <w:sz w:val="16"/>
          <w:szCs w:val="16"/>
        </w:rPr>
        <w:t>系统集成成本</w:t>
      </w:r>
      <w:r>
        <w:rPr>
          <w:rFonts w:ascii="宋体" w:hAnsi="宋体" w:cs="宋体" w:eastAsia="宋体" w:hint="default"/>
          <w:w w:val="103"/>
          <w:sz w:val="16"/>
          <w:szCs w:val="16"/>
        </w:rPr>
        <w:t> </w:t>
      </w:r>
      <w:r>
        <w:rPr>
          <w:rFonts w:ascii="宋体" w:hAnsi="宋体" w:cs="宋体" w:eastAsia="宋体" w:hint="default"/>
          <w:spacing w:val="-3"/>
          <w:w w:val="105"/>
          <w:sz w:val="16"/>
          <w:szCs w:val="16"/>
        </w:rPr>
        <w:t>委托加工物资</w:t>
      </w:r>
      <w:r>
        <w:rPr>
          <w:rFonts w:ascii="宋体" w:hAnsi="宋体" w:cs="宋体" w:eastAsia="宋体" w:hint="default"/>
          <w:w w:val="103"/>
          <w:sz w:val="16"/>
          <w:szCs w:val="16"/>
        </w:rPr>
        <w:t> </w:t>
      </w:r>
      <w:r>
        <w:rPr>
          <w:rFonts w:ascii="宋体" w:hAnsi="宋体" w:cs="宋体" w:eastAsia="宋体" w:hint="default"/>
          <w:w w:val="105"/>
          <w:sz w:val="16"/>
          <w:szCs w:val="16"/>
        </w:rPr>
        <w:t>原材料</w:t>
      </w:r>
      <w:r>
        <w:rPr>
          <w:rFonts w:ascii="宋体" w:hAnsi="宋体" w:cs="宋体" w:eastAsia="宋体" w:hint="default"/>
          <w:w w:val="103"/>
          <w:sz w:val="16"/>
          <w:szCs w:val="16"/>
        </w:rPr>
        <w:t> </w:t>
      </w:r>
      <w:r>
        <w:rPr>
          <w:rFonts w:ascii="宋体" w:hAnsi="宋体" w:cs="宋体" w:eastAsia="宋体" w:hint="default"/>
          <w:w w:val="105"/>
          <w:sz w:val="16"/>
          <w:szCs w:val="16"/>
        </w:rPr>
        <w:t>库存商品</w:t>
      </w:r>
      <w:r>
        <w:rPr>
          <w:rFonts w:ascii="宋体" w:hAnsi="宋体" w:cs="宋体" w:eastAsia="宋体" w:hint="default"/>
          <w:w w:val="103"/>
          <w:sz w:val="16"/>
          <w:szCs w:val="16"/>
        </w:rPr>
        <w:t> </w:t>
      </w:r>
      <w:r>
        <w:rPr>
          <w:rFonts w:ascii="宋体" w:hAnsi="宋体" w:cs="宋体" w:eastAsia="宋体" w:hint="default"/>
          <w:spacing w:val="-3"/>
          <w:sz w:val="16"/>
          <w:szCs w:val="16"/>
        </w:rPr>
        <w:t>发出商品及其他</w:t>
      </w:r>
    </w:p>
    <w:p>
      <w:pPr>
        <w:spacing w:line="362" w:lineRule="auto" w:before="135"/>
        <w:ind w:left="141" w:right="0" w:firstLine="0"/>
        <w:jc w:val="left"/>
        <w:rPr>
          <w:rFonts w:ascii="宋体" w:hAnsi="宋体" w:cs="宋体" w:eastAsia="宋体" w:hint="default"/>
          <w:sz w:val="16"/>
          <w:szCs w:val="16"/>
        </w:rPr>
      </w:pPr>
      <w:r>
        <w:rPr>
          <w:spacing w:val="-5"/>
        </w:rPr>
        <w:br w:type="column"/>
      </w:r>
      <w:r>
        <w:rPr>
          <w:rFonts w:ascii="宋体" w:hAnsi="宋体" w:cs="宋体" w:eastAsia="宋体" w:hint="default"/>
          <w:spacing w:val="-5"/>
          <w:sz w:val="16"/>
          <w:szCs w:val="16"/>
        </w:rPr>
        <w:t>以存货的合同价格或预计售价减去至完工时估计将要发生的</w:t>
      </w:r>
      <w:r>
        <w:rPr>
          <w:rFonts w:ascii="宋体" w:hAnsi="宋体" w:cs="宋体" w:eastAsia="宋体" w:hint="default"/>
          <w:spacing w:val="60"/>
          <w:sz w:val="16"/>
          <w:szCs w:val="16"/>
        </w:rPr>
        <w:t> </w:t>
      </w:r>
      <w:r>
        <w:rPr>
          <w:rFonts w:ascii="宋体" w:hAnsi="宋体" w:cs="宋体" w:eastAsia="宋体" w:hint="default"/>
          <w:spacing w:val="60"/>
          <w:sz w:val="16"/>
          <w:szCs w:val="16"/>
        </w:rPr>
      </w:r>
      <w:r>
        <w:rPr>
          <w:rFonts w:ascii="宋体" w:hAnsi="宋体" w:cs="宋体" w:eastAsia="宋体" w:hint="default"/>
          <w:spacing w:val="-5"/>
          <w:w w:val="105"/>
          <w:sz w:val="16"/>
          <w:szCs w:val="16"/>
        </w:rPr>
        <w:t>成本、估计的销售费用以及相关税费后的金额确定。</w:t>
      </w:r>
      <w:r>
        <w:rPr>
          <w:rFonts w:ascii="宋体" w:hAnsi="宋体" w:cs="宋体" w:eastAsia="宋体" w:hint="default"/>
          <w:spacing w:val="-5"/>
          <w:sz w:val="16"/>
          <w:szCs w:val="16"/>
        </w:rPr>
      </w:r>
    </w:p>
    <w:p>
      <w:pPr>
        <w:spacing w:line="355" w:lineRule="auto" w:before="135"/>
        <w:ind w:left="141" w:right="889" w:firstLine="0"/>
        <w:jc w:val="left"/>
        <w:rPr>
          <w:rFonts w:ascii="宋体" w:hAnsi="宋体" w:cs="宋体" w:eastAsia="宋体" w:hint="default"/>
          <w:sz w:val="16"/>
          <w:szCs w:val="16"/>
        </w:rPr>
      </w:pPr>
      <w:r>
        <w:rPr>
          <w:spacing w:val="-5"/>
          <w:w w:val="105"/>
        </w:rPr>
        <w:br w:type="column"/>
      </w:r>
      <w:r>
        <w:rPr>
          <w:rFonts w:ascii="宋体" w:hAnsi="宋体" w:cs="宋体" w:eastAsia="宋体" w:hint="default"/>
          <w:spacing w:val="-5"/>
          <w:w w:val="105"/>
          <w:sz w:val="16"/>
          <w:szCs w:val="16"/>
        </w:rPr>
        <w:t>按实际存货的消耗量重新计算应计提的存货跌</w:t>
      </w:r>
      <w:r>
        <w:rPr>
          <w:rFonts w:ascii="宋体" w:hAnsi="宋体" w:cs="宋体" w:eastAsia="宋体" w:hint="default"/>
          <w:w w:val="103"/>
          <w:sz w:val="16"/>
          <w:szCs w:val="16"/>
        </w:rPr>
        <w:t> </w:t>
      </w:r>
      <w:r>
        <w:rPr>
          <w:rFonts w:ascii="宋体" w:hAnsi="宋体" w:cs="宋体" w:eastAsia="宋体" w:hint="default"/>
          <w:spacing w:val="-6"/>
          <w:sz w:val="16"/>
          <w:szCs w:val="16"/>
        </w:rPr>
        <w:t>价准备将与上年度的差额予以转回；针对处置的</w:t>
      </w:r>
      <w:r>
        <w:rPr>
          <w:rFonts w:ascii="宋体" w:hAnsi="宋体" w:cs="宋体" w:eastAsia="宋体" w:hint="default"/>
          <w:spacing w:val="45"/>
          <w:sz w:val="16"/>
          <w:szCs w:val="16"/>
        </w:rPr>
        <w:t> </w:t>
      </w:r>
      <w:r>
        <w:rPr>
          <w:rFonts w:ascii="宋体" w:hAnsi="宋体" w:cs="宋体" w:eastAsia="宋体" w:hint="default"/>
          <w:spacing w:val="45"/>
          <w:sz w:val="16"/>
          <w:szCs w:val="16"/>
        </w:rPr>
      </w:r>
      <w:r>
        <w:rPr>
          <w:rFonts w:ascii="宋体" w:hAnsi="宋体" w:cs="宋体" w:eastAsia="宋体" w:hint="default"/>
          <w:spacing w:val="-5"/>
          <w:sz w:val="16"/>
          <w:szCs w:val="16"/>
        </w:rPr>
        <w:t>存货，对其以前年度计提的存货跌价准备予以转</w:t>
      </w:r>
      <w:r>
        <w:rPr>
          <w:rFonts w:ascii="宋体" w:hAnsi="宋体" w:cs="宋体" w:eastAsia="宋体" w:hint="default"/>
          <w:spacing w:val="25"/>
          <w:sz w:val="16"/>
          <w:szCs w:val="16"/>
        </w:rPr>
        <w:t> </w:t>
      </w:r>
      <w:r>
        <w:rPr>
          <w:rFonts w:ascii="宋体" w:hAnsi="宋体" w:cs="宋体" w:eastAsia="宋体" w:hint="default"/>
          <w:spacing w:val="25"/>
          <w:sz w:val="16"/>
          <w:szCs w:val="16"/>
        </w:rPr>
      </w:r>
      <w:r>
        <w:rPr>
          <w:rFonts w:ascii="宋体" w:hAnsi="宋体" w:cs="宋体" w:eastAsia="宋体" w:hint="default"/>
          <w:w w:val="105"/>
          <w:sz w:val="16"/>
          <w:szCs w:val="16"/>
        </w:rPr>
        <w:t>销。</w:t>
      </w:r>
      <w:r>
        <w:rPr>
          <w:rFonts w:ascii="宋体" w:hAnsi="宋体" w:cs="宋体" w:eastAsia="宋体" w:hint="default"/>
          <w:sz w:val="16"/>
          <w:szCs w:val="16"/>
        </w:rPr>
      </w:r>
    </w:p>
    <w:p>
      <w:pPr>
        <w:spacing w:after="0" w:line="355" w:lineRule="auto"/>
        <w:jc w:val="left"/>
        <w:rPr>
          <w:rFonts w:ascii="宋体" w:hAnsi="宋体" w:cs="宋体" w:eastAsia="宋体" w:hint="default"/>
          <w:sz w:val="16"/>
          <w:szCs w:val="16"/>
        </w:rPr>
        <w:sectPr>
          <w:type w:val="continuous"/>
          <w:pgSz w:w="11910" w:h="16850"/>
          <w:pgMar w:top="1040" w:bottom="1180" w:left="1000" w:right="0"/>
          <w:cols w:num="3" w:equalWidth="0">
            <w:col w:w="1282" w:space="415"/>
            <w:col w:w="4312" w:space="299"/>
            <w:col w:w="4602"/>
          </w:cols>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3"/>
        <w:spacing w:line="240" w:lineRule="auto" w:before="35"/>
        <w:ind w:right="1105"/>
        <w:jc w:val="left"/>
        <w:rPr>
          <w:b w:val="0"/>
          <w:bCs w:val="0"/>
        </w:rPr>
      </w:pPr>
      <w:bookmarkStart w:name="（3）存货期末余额含有借款费用资本化金额的说明" w:id="277"/>
      <w:bookmarkEnd w:id="277"/>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4）期末建造合同形成的已完工未结算资产情况" w:id="278"/>
      <w:bookmarkEnd w:id="278"/>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after="0" w:line="240" w:lineRule="auto"/>
        <w:jc w:val="center"/>
        <w:rPr>
          <w:rFonts w:ascii="宋体" w:hAnsi="宋体" w:cs="宋体" w:eastAsia="宋体" w:hint="default"/>
          <w:sz w:val="18"/>
          <w:szCs w:val="18"/>
        </w:rPr>
        <w:sectPr>
          <w:type w:val="continuous"/>
          <w:pgSz w:w="11910" w:h="16850"/>
          <w:pgMar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10、合同资产" w:id="279"/>
      <w:bookmarkEnd w:id="279"/>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132"/>
        <w:gridCol w:w="1202"/>
        <w:gridCol w:w="1321"/>
        <w:gridCol w:w="1202"/>
        <w:gridCol w:w="1201"/>
        <w:gridCol w:w="1202"/>
        <w:gridCol w:w="1326"/>
      </w:tblGrid>
      <w:tr>
        <w:trPr>
          <w:trHeight w:val="406" w:hRule="exact"/>
        </w:trPr>
        <w:tc>
          <w:tcPr>
            <w:tcW w:w="213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25"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2132" w:type="dxa"/>
            <w:vMerge/>
            <w:tcBorders>
              <w:left w:val="single" w:sz="6" w:space="0" w:color="000000"/>
              <w:bottom w:val="single" w:sz="6" w:space="0" w:color="000000"/>
              <w:right w:val="single" w:sz="6" w:space="0" w:color="000000"/>
            </w:tcBorders>
            <w:shd w:val="clear" w:color="auto" w:fill="D2D2D2"/>
          </w:tcPr>
          <w:p>
            <w:pP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4"/>
        <w:ind w:right="1105"/>
        <w:jc w:val="left"/>
      </w:pPr>
      <w:r>
        <w:rPr/>
        <w:t>合同资产的账面价值在本期内发生的重大变动金额和原因：</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207"/>
        <w:gridCol w:w="2418"/>
        <w:gridCol w:w="4956"/>
      </w:tblGrid>
      <w:tr>
        <w:trPr>
          <w:trHeight w:val="390"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pStyle w:val="BodyText"/>
        <w:spacing w:line="240" w:lineRule="auto" w:before="44"/>
        <w:ind w:right="1105"/>
        <w:jc w:val="left"/>
      </w:pPr>
      <w:r>
        <w:rPr/>
        <w:t>如是按照预期信用损失一般模型计提合同资产坏账准备，请参照其他应收款的披露方式披露坏账准备的相关信息：</w:t>
      </w:r>
    </w:p>
    <w:p>
      <w:pPr>
        <w:pStyle w:val="BodyText"/>
        <w:spacing w:line="316" w:lineRule="auto" w:before="140"/>
        <w:ind w:right="82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本期合同资产计提减值准备情况</w:t>
      </w:r>
    </w:p>
    <w:p>
      <w:pPr>
        <w:pStyle w:val="BodyText"/>
        <w:spacing w:line="240" w:lineRule="auto" w:before="67"/>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5"/>
        <w:ind w:right="1105"/>
        <w:jc w:val="left"/>
        <w:rPr>
          <w:b w:val="0"/>
          <w:bCs w:val="0"/>
        </w:rPr>
      </w:pPr>
      <w:bookmarkStart w:name="11、持有待售资产" w:id="280"/>
      <w:bookmarkEnd w:id="280"/>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82"/>
        <w:gridCol w:w="1366"/>
        <w:gridCol w:w="1367"/>
        <w:gridCol w:w="1367"/>
      </w:tblGrid>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12、一年内到期的非流动资产" w:id="281"/>
      <w:bookmarkEnd w:id="281"/>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60"/>
        <w:ind w:right="1105"/>
        <w:jc w:val="left"/>
      </w:pPr>
      <w:r>
        <w:rPr/>
        <w:t>重要的债权投资</w:t>
      </w:r>
      <w:r>
        <w:rPr>
          <w:rFonts w:ascii="Times New Roman" w:hAnsi="Times New Roman" w:cs="Times New Roman" w:eastAsia="Times New Roman" w:hint="default"/>
        </w:rPr>
        <w:t>/</w:t>
      </w:r>
      <w:r>
        <w:rPr/>
        <w:t>其他债权投资</w:t>
      </w:r>
    </w:p>
    <w:p>
      <w:pPr>
        <w:pStyle w:val="BodyText"/>
        <w:spacing w:line="240" w:lineRule="auto" w:before="81"/>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961"/>
        <w:gridCol w:w="946"/>
        <w:gridCol w:w="962"/>
        <w:gridCol w:w="961"/>
        <w:gridCol w:w="961"/>
        <w:gridCol w:w="946"/>
        <w:gridCol w:w="961"/>
        <w:gridCol w:w="961"/>
      </w:tblGrid>
      <w:tr>
        <w:trPr>
          <w:trHeight w:val="390"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1105"/>
        <w:jc w:val="left"/>
        <w:rPr>
          <w:b w:val="0"/>
          <w:bCs w:val="0"/>
        </w:rPr>
      </w:pPr>
      <w:bookmarkStart w:name="13、其他流动资产" w:id="282"/>
      <w:bookmarkEnd w:id="282"/>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1105"/>
        <w:jc w:val="left"/>
      </w:pPr>
      <w:r>
        <w:rPr/>
        <w:t>是否已执行新收入准则</w:t>
      </w:r>
    </w:p>
    <w:p>
      <w:pPr>
        <w:pStyle w:val="BodyText"/>
        <w:spacing w:line="240" w:lineRule="auto" w:before="139"/>
        <w:ind w:right="110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26,881,372.38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34,537,840.05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受限制的结构性存款</w:t>
            </w:r>
            <w:r>
              <w:rPr>
                <w:rFonts w:ascii="Times New Roman" w:hAnsi="Times New Roman" w:cs="Times New Roman" w:eastAsia="Times New Roman" w:hint="default"/>
                <w:sz w:val="18"/>
                <w:szCs w:val="18"/>
              </w:rPr>
              <w:t>(a)</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130,000,000.00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招标冻结资金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850,000.00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27,731,372.38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165,537,840.05</w:t>
            </w:r>
          </w:p>
        </w:tc>
      </w:tr>
    </w:tbl>
    <w:p>
      <w:pPr>
        <w:pStyle w:val="BodyText"/>
        <w:spacing w:line="240" w:lineRule="auto" w:before="45"/>
        <w:ind w:right="0"/>
        <w:jc w:val="both"/>
      </w:pPr>
      <w:r>
        <w:rPr/>
        <w:t>其他说明：</w:t>
      </w:r>
    </w:p>
    <w:p>
      <w:pPr>
        <w:pStyle w:val="BodyText"/>
        <w:spacing w:line="304" w:lineRule="auto" w:before="124"/>
        <w:ind w:right="1098"/>
        <w:jc w:val="both"/>
      </w:pPr>
      <w:r>
        <w:rPr>
          <w:rFonts w:ascii="Times New Roman" w:hAnsi="Times New Roman" w:cs="Times New Roman" w:eastAsia="Times New Roman" w:hint="default"/>
        </w:rPr>
        <w:t>(a)</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月，易视腾科技以购买自江苏银行股份有限公司无锡区支行</w:t>
      </w:r>
      <w:r>
        <w:rPr>
          <w:rFonts w:ascii="Times New Roman" w:hAnsi="Times New Roman" w:cs="Times New Roman" w:eastAsia="Times New Roman" w:hint="default"/>
        </w:rPr>
        <w:t>30,000,000.00</w:t>
      </w:r>
      <w:r>
        <w:rPr/>
        <w:t>元的</w:t>
      </w:r>
      <w:r>
        <w:rPr>
          <w:rFonts w:ascii="Times New Roman" w:hAnsi="Times New Roman" w:cs="Times New Roman" w:eastAsia="Times New Roman" w:hint="default"/>
        </w:rPr>
        <w:t>“</w:t>
      </w:r>
      <w:r>
        <w:rPr/>
        <w:t>保本固定收益型</w:t>
      </w:r>
      <w:r>
        <w:rPr>
          <w:rFonts w:ascii="Times New Roman" w:hAnsi="Times New Roman" w:cs="Times New Roman" w:eastAsia="Times New Roman" w:hint="default"/>
        </w:rPr>
        <w:t>”</w:t>
      </w:r>
      <w:r>
        <w:rPr/>
        <w:t>结构性存款进</w:t>
      </w:r>
      <w:r>
        <w:rPr>
          <w:spacing w:val="-42"/>
        </w:rPr>
        <w:t> </w:t>
      </w:r>
      <w:r>
        <w:rPr/>
        <w:t>行质押，向其子公司深圳市云之尚网络科技有限公司（以下简称</w:t>
      </w:r>
      <w:r>
        <w:rPr>
          <w:rFonts w:ascii="Times New Roman" w:hAnsi="Times New Roman" w:cs="Times New Roman" w:eastAsia="Times New Roman" w:hint="default"/>
        </w:rPr>
        <w:t>“</w:t>
      </w:r>
      <w:r>
        <w:rPr/>
        <w:t>深圳云之尚</w:t>
      </w:r>
      <w:r>
        <w:rPr>
          <w:rFonts w:ascii="Times New Roman" w:hAnsi="Times New Roman" w:cs="Times New Roman" w:eastAsia="Times New Roman" w:hint="default"/>
        </w:rPr>
        <w:t>”</w:t>
      </w:r>
      <w:r>
        <w:rPr/>
        <w:t>）开具</w:t>
      </w:r>
      <w:r>
        <w:rPr>
          <w:rFonts w:ascii="Times New Roman" w:hAnsi="Times New Roman" w:cs="Times New Roman" w:eastAsia="Times New Roman" w:hint="default"/>
        </w:rPr>
        <w:t>30,000,000.00</w:t>
      </w:r>
      <w:r>
        <w:rPr/>
        <w:t>元银行承兑汇票，随后，</w:t>
      </w:r>
      <w:r>
        <w:rPr>
          <w:spacing w:val="-77"/>
        </w:rPr>
        <w:t> </w:t>
      </w:r>
      <w:r>
        <w:rPr/>
        <w:t>深圳云之尚将该票据贴现，贴现率为</w:t>
      </w:r>
      <w:r>
        <w:rPr>
          <w:rFonts w:ascii="Times New Roman" w:hAnsi="Times New Roman" w:cs="Times New Roman" w:eastAsia="Times New Roman" w:hint="default"/>
        </w:rPr>
        <w:t>3.9%</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月，银行承兑汇票到期，并解除结构性存款的质押。</w:t>
      </w:r>
    </w:p>
    <w:p>
      <w:pPr>
        <w:spacing w:line="240" w:lineRule="auto" w:before="11"/>
        <w:rPr>
          <w:rFonts w:ascii="宋体" w:hAnsi="宋体" w:cs="宋体" w:eastAsia="宋体" w:hint="default"/>
          <w:sz w:val="23"/>
          <w:szCs w:val="23"/>
        </w:rPr>
      </w:pPr>
    </w:p>
    <w:p>
      <w:pPr>
        <w:pStyle w:val="BodyText"/>
        <w:spacing w:line="297" w:lineRule="auto"/>
        <w:ind w:right="1125"/>
        <w:jc w:val="both"/>
      </w:pPr>
      <w:r>
        <w:rPr>
          <w:spacing w:val="-1"/>
        </w:rPr>
        <w:t>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月，易视腾科技以购买自民生银行天津分行</w:t>
      </w:r>
      <w:r>
        <w:rPr>
          <w:rFonts w:ascii="Times New Roman" w:hAnsi="Times New Roman" w:cs="Times New Roman" w:eastAsia="Times New Roman" w:hint="default"/>
          <w:spacing w:val="-1"/>
        </w:rPr>
        <w:t>50,000,000.00</w:t>
      </w:r>
      <w:r>
        <w:rPr>
          <w:spacing w:val="-1"/>
        </w:rPr>
        <w:t>元的</w:t>
      </w:r>
      <w:r>
        <w:rPr>
          <w:rFonts w:ascii="Times New Roman" w:hAnsi="Times New Roman" w:cs="Times New Roman" w:eastAsia="Times New Roman" w:hint="default"/>
          <w:spacing w:val="-1"/>
        </w:rPr>
        <w:t>“</w:t>
      </w:r>
      <w:r>
        <w:rPr>
          <w:spacing w:val="-1"/>
        </w:rPr>
        <w:t>保本浮动收益型</w:t>
      </w:r>
      <w:r>
        <w:rPr>
          <w:rFonts w:ascii="Times New Roman" w:hAnsi="Times New Roman" w:cs="Times New Roman" w:eastAsia="Times New Roman" w:hint="default"/>
          <w:spacing w:val="-1"/>
        </w:rPr>
        <w:t>”</w:t>
      </w:r>
      <w:r>
        <w:rPr>
          <w:spacing w:val="-1"/>
        </w:rPr>
        <w:t>结构性存款进行质押，向其子公</w:t>
      </w:r>
      <w:r>
        <w:rPr>
          <w:spacing w:val="-45"/>
        </w:rPr>
        <w:t> </w:t>
      </w:r>
      <w:r>
        <w:rPr>
          <w:spacing w:val="-45"/>
        </w:rPr>
      </w:r>
      <w:r>
        <w:rPr/>
        <w:t>司深圳云之尚开具</w:t>
      </w:r>
      <w:r>
        <w:rPr>
          <w:rFonts w:ascii="Times New Roman" w:hAnsi="Times New Roman" w:cs="Times New Roman" w:eastAsia="Times New Roman" w:hint="default"/>
        </w:rPr>
        <w:t>50,000,000.00</w:t>
      </w:r>
      <w:r>
        <w:rPr/>
        <w:t>元银行承兑汇票，随后，深圳云之尚将该票据贴现，贴现率为</w:t>
      </w:r>
      <w:r>
        <w:rPr>
          <w:rFonts w:ascii="Times New Roman" w:hAnsi="Times New Roman" w:cs="Times New Roman" w:eastAsia="Times New Roman" w:hint="default"/>
        </w:rPr>
        <w:t>3.85%</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月，银行</w:t>
      </w:r>
      <w:r>
        <w:rPr>
          <w:spacing w:val="-56"/>
        </w:rPr>
        <w:t> </w:t>
      </w:r>
      <w:r>
        <w:rPr/>
        <w:t>承兑汇票到期，并解除结构性存款的质押。</w:t>
      </w:r>
    </w:p>
    <w:p>
      <w:pPr>
        <w:spacing w:line="240" w:lineRule="auto" w:before="12"/>
        <w:rPr>
          <w:rFonts w:ascii="宋体" w:hAnsi="宋体" w:cs="宋体" w:eastAsia="宋体" w:hint="default"/>
          <w:sz w:val="26"/>
          <w:szCs w:val="26"/>
        </w:rPr>
      </w:pPr>
    </w:p>
    <w:p>
      <w:pPr>
        <w:pStyle w:val="BodyText"/>
        <w:spacing w:line="302" w:lineRule="auto"/>
        <w:ind w:right="1125"/>
        <w:jc w:val="both"/>
      </w:pPr>
      <w:r>
        <w:rPr>
          <w:spacing w:val="-1"/>
        </w:rPr>
        <w:t>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月，易视腾科技以购买自民生银行天津分行</w:t>
      </w:r>
      <w:r>
        <w:rPr>
          <w:rFonts w:ascii="Times New Roman" w:hAnsi="Times New Roman" w:cs="Times New Roman" w:eastAsia="Times New Roman" w:hint="default"/>
          <w:spacing w:val="-1"/>
        </w:rPr>
        <w:t>50,000,000.00</w:t>
      </w:r>
      <w:r>
        <w:rPr>
          <w:spacing w:val="-1"/>
        </w:rPr>
        <w:t>元的</w:t>
      </w:r>
      <w:r>
        <w:rPr>
          <w:rFonts w:ascii="Times New Roman" w:hAnsi="Times New Roman" w:cs="Times New Roman" w:eastAsia="Times New Roman" w:hint="default"/>
          <w:spacing w:val="-1"/>
        </w:rPr>
        <w:t>“</w:t>
      </w:r>
      <w:r>
        <w:rPr>
          <w:spacing w:val="-1"/>
        </w:rPr>
        <w:t>保本浮动收益型</w:t>
      </w:r>
      <w:r>
        <w:rPr>
          <w:rFonts w:ascii="Times New Roman" w:hAnsi="Times New Roman" w:cs="Times New Roman" w:eastAsia="Times New Roman" w:hint="default"/>
          <w:spacing w:val="-1"/>
        </w:rPr>
        <w:t>”</w:t>
      </w:r>
      <w:r>
        <w:rPr>
          <w:spacing w:val="-1"/>
        </w:rPr>
        <w:t>结构性存款进行质押，向其之子</w:t>
      </w:r>
      <w:r>
        <w:rPr>
          <w:spacing w:val="-45"/>
        </w:rPr>
        <w:t> </w:t>
      </w:r>
      <w:r>
        <w:rPr>
          <w:spacing w:val="-45"/>
        </w:rPr>
      </w:r>
      <w:r>
        <w:rPr/>
        <w:t>公司深圳云之尚开具总金额为</w:t>
      </w:r>
      <w:r>
        <w:rPr>
          <w:rFonts w:ascii="Times New Roman" w:hAnsi="Times New Roman" w:cs="Times New Roman" w:eastAsia="Times New Roman" w:hint="default"/>
        </w:rPr>
        <w:t>50,000,000.00</w:t>
      </w:r>
      <w:r>
        <w:rPr/>
        <w:t>元的银行承兑汇票，随后，深圳云之尚将其中总金额为</w:t>
      </w:r>
      <w:r>
        <w:rPr>
          <w:rFonts w:ascii="Times New Roman" w:hAnsi="Times New Roman" w:cs="Times New Roman" w:eastAsia="Times New Roman" w:hint="default"/>
        </w:rPr>
        <w:t>30,000,000.00</w:t>
      </w:r>
      <w:r>
        <w:rPr/>
        <w:t>元的票据贴</w:t>
      </w:r>
      <w:r>
        <w:rPr>
          <w:spacing w:val="-81"/>
        </w:rPr>
        <w:t> </w:t>
      </w:r>
      <w:r>
        <w:rPr/>
        <w:t>现，贴现率为</w:t>
      </w:r>
      <w:r>
        <w:rPr>
          <w:rFonts w:ascii="Times New Roman" w:hAnsi="Times New Roman" w:cs="Times New Roman" w:eastAsia="Times New Roman" w:hint="default"/>
        </w:rPr>
        <w:t>3.6%</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月，银行承兑汇票到期，并解除结构性存款的质押。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bookmarkStart w:name="14、债权投资" w:id="283"/>
      <w:bookmarkEnd w:id="283"/>
      <w:r>
        <w:rPr>
          <w:b w:val="0"/>
          <w:bCs w:val="0"/>
        </w:rPr>
      </w:r>
      <w:r>
        <w:rPr>
          <w:rFonts w:ascii="Times New Roman" w:hAnsi="Times New Roman" w:cs="Times New Roman" w:eastAsia="Times New Roman" w:hint="default"/>
        </w:rPr>
        <w:t>14</w:t>
      </w:r>
      <w:r>
        <w:rPr/>
        <w:t>、债权投资</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5"/>
        <w:ind w:right="1105"/>
        <w:jc w:val="left"/>
      </w:pPr>
      <w:r>
        <w:rPr/>
        <w:t>重要的债权投资</w:t>
      </w:r>
    </w:p>
    <w:p>
      <w:pPr>
        <w:pStyle w:val="BodyText"/>
        <w:spacing w:line="240" w:lineRule="auto" w:before="10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961"/>
        <w:gridCol w:w="946"/>
        <w:gridCol w:w="962"/>
        <w:gridCol w:w="961"/>
        <w:gridCol w:w="961"/>
        <w:gridCol w:w="946"/>
        <w:gridCol w:w="961"/>
        <w:gridCol w:w="961"/>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5"/>
        <w:ind w:right="1105"/>
        <w:jc w:val="left"/>
      </w:pPr>
      <w:r>
        <w:rPr/>
        <w:t>减值准备计提情况</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391"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20"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4"/>
        <w:ind w:right="1105"/>
        <w:jc w:val="left"/>
      </w:pPr>
      <w:r>
        <w:rPr/>
        <w:t>损失准备本期变动金额重大的账面余额变动情况</w:t>
      </w:r>
    </w:p>
    <w:p>
      <w:pPr>
        <w:pStyle w:val="BodyText"/>
        <w:spacing w:line="333" w:lineRule="auto" w:before="125"/>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after="0" w:line="333"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1105"/>
        <w:jc w:val="left"/>
        <w:rPr>
          <w:b w:val="0"/>
          <w:bCs w:val="0"/>
        </w:rPr>
      </w:pPr>
      <w:bookmarkStart w:name="15、其他债权投资" w:id="284"/>
      <w:bookmarkEnd w:id="284"/>
      <w:r>
        <w:rPr>
          <w:b w:val="0"/>
          <w:bCs w:val="0"/>
        </w:rPr>
      </w:r>
      <w:r>
        <w:rPr>
          <w:rFonts w:ascii="Times New Roman" w:hAnsi="Times New Roman" w:cs="Times New Roman" w:eastAsia="Times New Roman" w:hint="default"/>
        </w:rPr>
        <w:t>15</w:t>
      </w:r>
      <w:r>
        <w:rPr/>
        <w:t>、其他债权投资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92"/>
        <w:gridCol w:w="1037"/>
        <w:gridCol w:w="1036"/>
        <w:gridCol w:w="1036"/>
        <w:gridCol w:w="1036"/>
        <w:gridCol w:w="1037"/>
        <w:gridCol w:w="1036"/>
        <w:gridCol w:w="1036"/>
        <w:gridCol w:w="1036"/>
      </w:tblGrid>
      <w:tr>
        <w:trPr>
          <w:trHeight w:val="1336"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0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40" w:right="59" w:hanging="181"/>
              <w:jc w:val="left"/>
              <w:rPr>
                <w:rFonts w:ascii="宋体" w:hAnsi="宋体" w:cs="宋体" w:eastAsia="宋体" w:hint="default"/>
                <w:sz w:val="18"/>
                <w:szCs w:val="18"/>
              </w:rPr>
            </w:pPr>
            <w:r>
              <w:rPr>
                <w:rFonts w:ascii="宋体" w:hAnsi="宋体" w:cs="宋体" w:eastAsia="宋体" w:hint="default"/>
                <w:sz w:val="18"/>
                <w:szCs w:val="18"/>
              </w:rPr>
              <w:t>本期公允价 值变动</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40" w:right="59" w:hanging="181"/>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60" w:right="60"/>
              <w:jc w:val="center"/>
              <w:rPr>
                <w:rFonts w:ascii="宋体" w:hAnsi="宋体" w:cs="宋体" w:eastAsia="宋体" w:hint="default"/>
                <w:sz w:val="18"/>
                <w:szCs w:val="18"/>
              </w:rPr>
            </w:pPr>
            <w:r>
              <w:rPr>
                <w:rFonts w:ascii="宋体" w:hAnsi="宋体" w:cs="宋体" w:eastAsia="宋体" w:hint="default"/>
                <w:sz w:val="18"/>
                <w:szCs w:val="18"/>
              </w:rPr>
              <w:t>累计在其他 综合收益中 确认的损失 准备</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4"/>
        <w:ind w:right="1105"/>
        <w:jc w:val="left"/>
      </w:pPr>
      <w:r>
        <w:rPr/>
        <w:t>重要的其他债权投资</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961"/>
        <w:gridCol w:w="946"/>
        <w:gridCol w:w="962"/>
        <w:gridCol w:w="961"/>
        <w:gridCol w:w="961"/>
        <w:gridCol w:w="946"/>
        <w:gridCol w:w="961"/>
        <w:gridCol w:w="961"/>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5"/>
        <w:ind w:right="1105"/>
        <w:jc w:val="left"/>
      </w:pPr>
      <w:r>
        <w:rPr/>
        <w:t>减值准备计提情况</w:t>
      </w:r>
    </w:p>
    <w:p>
      <w:pPr>
        <w:pStyle w:val="BodyText"/>
        <w:spacing w:line="240" w:lineRule="auto" w:before="10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390"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21"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4"/>
        <w:ind w:right="1105"/>
        <w:jc w:val="left"/>
      </w:pPr>
      <w:r>
        <w:rPr/>
        <w:t>损失准备本期变动金额重大的账面余额变动情况</w:t>
      </w:r>
    </w:p>
    <w:p>
      <w:pPr>
        <w:pStyle w:val="BodyText"/>
        <w:spacing w:line="333" w:lineRule="auto" w:before="125"/>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4"/>
        <w:rPr>
          <w:rFonts w:ascii="宋体" w:hAnsi="宋体" w:cs="宋体" w:eastAsia="宋体" w:hint="default"/>
          <w:sz w:val="23"/>
          <w:szCs w:val="23"/>
        </w:rPr>
      </w:pPr>
    </w:p>
    <w:p>
      <w:pPr>
        <w:pStyle w:val="Heading3"/>
        <w:spacing w:line="240" w:lineRule="auto"/>
        <w:ind w:right="1105"/>
        <w:jc w:val="left"/>
        <w:rPr>
          <w:b w:val="0"/>
          <w:bCs w:val="0"/>
        </w:rPr>
      </w:pPr>
      <w:bookmarkStart w:name="16、长期应收款" w:id="285"/>
      <w:bookmarkEnd w:id="285"/>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1）长期应收款情况" w:id="286"/>
      <w:bookmarkEnd w:id="286"/>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412"/>
        <w:gridCol w:w="1157"/>
        <w:gridCol w:w="1171"/>
        <w:gridCol w:w="1172"/>
        <w:gridCol w:w="1171"/>
        <w:gridCol w:w="1171"/>
        <w:gridCol w:w="1157"/>
        <w:gridCol w:w="1171"/>
      </w:tblGrid>
      <w:tr>
        <w:trPr>
          <w:trHeight w:val="405" w:hRule="exact"/>
        </w:trPr>
        <w:tc>
          <w:tcPr>
            <w:tcW w:w="14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9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390" w:hRule="exact"/>
        </w:trPr>
        <w:tc>
          <w:tcPr>
            <w:tcW w:w="1412" w:type="dxa"/>
            <w:vMerge/>
            <w:tcBorders>
              <w:left w:val="single" w:sz="6" w:space="0" w:color="000000"/>
              <w:bottom w:val="single" w:sz="6" w:space="0" w:color="000000"/>
              <w:right w:val="single" w:sz="6" w:space="0" w:color="000000"/>
            </w:tcBorders>
            <w:shd w:val="clear" w:color="auto" w:fill="D2D2D2"/>
          </w:tcPr>
          <w:p>
            <w:pP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1" w:type="dxa"/>
            <w:vMerge/>
            <w:tcBorders>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44"/>
        <w:ind w:right="1105"/>
        <w:jc w:val="left"/>
      </w:pPr>
      <w:r>
        <w:rPr/>
        <w:t>坏账准备减值情况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406"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5"/>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5"/>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5"/>
        <w:ind w:right="1105"/>
        <w:jc w:val="left"/>
      </w:pPr>
      <w:r>
        <w:rPr/>
        <w:t>损失准备本期变动金额重大的账面余额变动情况</w:t>
      </w:r>
    </w:p>
    <w:p>
      <w:pPr>
        <w:pStyle w:val="BodyText"/>
        <w:spacing w:line="240" w:lineRule="auto" w:before="124"/>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1105"/>
        <w:jc w:val="left"/>
        <w:rPr>
          <w:b w:val="0"/>
          <w:bCs w:val="0"/>
        </w:rPr>
      </w:pPr>
      <w:bookmarkStart w:name="（2）因金融资产转移而终止确认的长期应收款" w:id="287"/>
      <w:bookmarkEnd w:id="287"/>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1105"/>
        <w:jc w:val="left"/>
        <w:rPr>
          <w:b w:val="0"/>
          <w:bCs w:val="0"/>
        </w:rPr>
      </w:pPr>
      <w:bookmarkStart w:name="（3）转移长期应收款且继续涉入形成的资产、负债金额" w:id="288"/>
      <w:bookmarkEnd w:id="288"/>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17、长期股权投资" w:id="289"/>
      <w:bookmarkEnd w:id="289"/>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405" w:hRule="exact"/>
        </w:trPr>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54"/>
              <w:ind w:left="285" w:right="45" w:hanging="271"/>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312" w:lineRule="auto"/>
              <w:ind w:left="30"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98"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312" w:lineRule="auto"/>
              <w:ind w:left="15"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54"/>
              <w:ind w:left="15" w:right="4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1"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4" w:right="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4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29"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10" w:right="4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65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邦道科技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w:t>
            </w:r>
          </w:p>
          <w:p>
            <w:pPr>
              <w:pStyle w:val="TableParagraph"/>
              <w:spacing w:line="288" w:lineRule="auto"/>
              <w:ind w:left="15" w:right="148"/>
              <w:jc w:val="left"/>
              <w:rPr>
                <w:rFonts w:ascii="Times New Roman" w:hAnsi="Times New Roman" w:cs="Times New Roman" w:eastAsia="Times New Roman"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邦道 科技</w:t>
            </w:r>
            <w:r>
              <w:rPr>
                <w:rFonts w:ascii="Times New Roman" w:hAnsi="Times New Roman" w:cs="Times New Roman" w:eastAsia="Times New Roman" w:hint="default"/>
                <w:sz w:val="18"/>
                <w:szCs w:val="18"/>
              </w:rPr>
              <w:t>")</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110,062,8</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31.29</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30,476,12</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1.18</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460,612.0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3</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-140,999,</w:t>
            </w:r>
          </w:p>
          <w:p>
            <w:pPr>
              <w:pStyle w:val="TableParagraph"/>
              <w:spacing w:line="240" w:lineRule="auto" w:before="93"/>
              <w:ind w:left="223" w:right="0"/>
              <w:jc w:val="center"/>
              <w:rPr>
                <w:rFonts w:ascii="Times New Roman" w:hAnsi="Times New Roman" w:cs="Times New Roman" w:eastAsia="Times New Roman" w:hint="default"/>
                <w:sz w:val="18"/>
                <w:szCs w:val="18"/>
              </w:rPr>
            </w:pPr>
            <w:r>
              <w:rPr>
                <w:rFonts w:ascii="Times New Roman"/>
                <w:sz w:val="18"/>
              </w:rPr>
              <w:t>564.50</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2282"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44"/>
              <w:ind w:left="15"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福建华威 新耀新能 源服务有 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华威 新耀</w:t>
            </w:r>
            <w:r>
              <w:rPr>
                <w:rFonts w:ascii="Times New Roman" w:hAnsi="Times New Roman" w:cs="Times New Roman" w:eastAsia="Times New Roman" w:hint="default"/>
                <w:sz w:val="18"/>
                <w:szCs w:val="18"/>
              </w:rPr>
              <w:t>")</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2,414,128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980,000.0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2,058.89</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3,396,187</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.40</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952"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15"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江西得道 体育科技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得到 体育</w:t>
            </w:r>
            <w:r>
              <w:rPr>
                <w:rFonts w:ascii="Times New Roman" w:hAnsi="Times New Roman" w:cs="Times New Roman" w:eastAsia="Times New Roman" w:hint="default"/>
                <w:sz w:val="18"/>
                <w:szCs w:val="18"/>
              </w:rPr>
              <w:t>")</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9"/>
              <w:jc w:val="right"/>
              <w:rPr>
                <w:rFonts w:ascii="Times New Roman" w:hAnsi="Times New Roman" w:cs="Times New Roman" w:eastAsia="Times New Roman" w:hint="default"/>
                <w:sz w:val="18"/>
                <w:szCs w:val="18"/>
              </w:rPr>
            </w:pPr>
            <w:r>
              <w:rPr>
                <w:rFonts w:ascii="Times New Roman"/>
                <w:sz w:val="18"/>
              </w:rPr>
              <w:t>8,967.64</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4,008,967</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.64</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967"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苏州电满 满汽车有 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苏州 电满满</w:t>
            </w:r>
            <w:r>
              <w:rPr>
                <w:rFonts w:ascii="Times New Roman" w:hAnsi="Times New Roman" w:cs="Times New Roman" w:eastAsia="Times New Roman" w:hint="default"/>
                <w:sz w:val="18"/>
                <w:szCs w:val="18"/>
              </w:rPr>
              <w:t>")</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2,258,047</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.82</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12,258,04</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7.82</w:t>
            </w: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196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30"/>
              <w:jc w:val="both"/>
              <w:rPr>
                <w:rFonts w:ascii="宋体" w:hAnsi="宋体" w:cs="宋体" w:eastAsia="宋体" w:hint="default"/>
                <w:sz w:val="18"/>
                <w:szCs w:val="18"/>
              </w:rPr>
            </w:pPr>
            <w:r>
              <w:rPr>
                <w:rFonts w:ascii="宋体" w:hAnsi="宋体" w:cs="宋体" w:eastAsia="宋体" w:hint="default"/>
                <w:sz w:val="18"/>
                <w:szCs w:val="18"/>
              </w:rPr>
              <w:t>江西省朗 新云贸科 技有限公 司（以下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云</w:t>
            </w:r>
          </w:p>
          <w:p>
            <w:pPr>
              <w:pStyle w:val="TableParagraph"/>
              <w:spacing w:line="233" w:lineRule="exact"/>
              <w:ind w:left="15" w:right="0"/>
              <w:jc w:val="both"/>
              <w:rPr>
                <w:rFonts w:ascii="宋体" w:hAnsi="宋体" w:cs="宋体" w:eastAsia="宋体" w:hint="default"/>
                <w:sz w:val="18"/>
                <w:szCs w:val="18"/>
              </w:rPr>
            </w:pPr>
            <w:r>
              <w:rPr>
                <w:rFonts w:ascii="宋体" w:hAnsi="宋体" w:cs="宋体" w:eastAsia="宋体" w:hint="default"/>
                <w:sz w:val="18"/>
                <w:szCs w:val="18"/>
              </w:rPr>
              <w:t>贸科技</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-96,356.4</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8</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703,643.5</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2</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96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29"/>
              <w:ind w:left="15" w:right="45"/>
              <w:jc w:val="both"/>
              <w:rPr>
                <w:rFonts w:ascii="宋体" w:hAnsi="宋体" w:cs="宋体" w:eastAsia="宋体" w:hint="default"/>
                <w:sz w:val="18"/>
                <w:szCs w:val="18"/>
              </w:rPr>
            </w:pPr>
            <w:r>
              <w:rPr>
                <w:rFonts w:ascii="宋体" w:hAnsi="宋体" w:cs="宋体" w:eastAsia="宋体" w:hint="default"/>
                <w:sz w:val="18"/>
                <w:szCs w:val="18"/>
              </w:rPr>
              <w:t>湖南朗帆 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w:t>
            </w:r>
          </w:p>
          <w:p>
            <w:pPr>
              <w:pStyle w:val="TableParagraph"/>
              <w:spacing w:line="276" w:lineRule="auto"/>
              <w:ind w:left="15" w:right="45"/>
              <w:jc w:val="both"/>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朗帆科技</w:t>
            </w:r>
          </w:p>
          <w:p>
            <w:pPr>
              <w:pStyle w:val="TableParagraph"/>
              <w:spacing w:line="240" w:lineRule="auto" w:before="109"/>
              <w:ind w:left="15" w:right="0"/>
              <w:jc w:val="both"/>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-122,125.</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33</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1,077,874</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.67</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952"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30"/>
              <w:ind w:left="15"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易视星空 科技无锡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易视 星空</w:t>
            </w:r>
            <w:r>
              <w:rPr>
                <w:rFonts w:ascii="Times New Roman" w:hAnsi="Times New Roman" w:cs="Times New Roman" w:eastAsia="Times New Roman" w:hint="default"/>
                <w:sz w:val="18"/>
                <w:szCs w:val="18"/>
              </w:rPr>
              <w:t>")</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93,724.59</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10,093,72</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4.59</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96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山西智慧 传媒科技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山西 智慧</w:t>
            </w:r>
            <w:r>
              <w:rPr>
                <w:rFonts w:ascii="Times New Roman" w:hAnsi="Times New Roman" w:cs="Times New Roman" w:eastAsia="Times New Roman" w:hint="default"/>
                <w:sz w:val="18"/>
                <w:szCs w:val="18"/>
              </w:rPr>
              <w:t>")</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5"/>
              <w:jc w:val="right"/>
              <w:rPr>
                <w:rFonts w:ascii="Times New Roman" w:hAnsi="Times New Roman" w:cs="Times New Roman" w:eastAsia="Times New Roman" w:hint="default"/>
                <w:sz w:val="18"/>
                <w:szCs w:val="18"/>
              </w:rPr>
            </w:pPr>
            <w:r>
              <w:rPr>
                <w:rFonts w:ascii="Times New Roman"/>
                <w:sz w:val="18"/>
              </w:rPr>
              <w:t>6,500,000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29"/>
              <w:jc w:val="right"/>
              <w:rPr>
                <w:rFonts w:ascii="Times New Roman" w:hAnsi="Times New Roman" w:cs="Times New Roman" w:eastAsia="Times New Roman" w:hint="default"/>
                <w:sz w:val="18"/>
                <w:szCs w:val="18"/>
              </w:rPr>
            </w:pPr>
            <w:r>
              <w:rPr>
                <w:rFonts w:ascii="Times New Roman"/>
                <w:w w:val="95"/>
                <w:sz w:val="18"/>
              </w:rPr>
              <w:t>-456,036.</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40</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30"/>
              <w:jc w:val="right"/>
              <w:rPr>
                <w:rFonts w:ascii="Times New Roman" w:hAnsi="Times New Roman" w:cs="Times New Roman" w:eastAsia="Times New Roman" w:hint="default"/>
                <w:sz w:val="18"/>
                <w:szCs w:val="18"/>
              </w:rPr>
            </w:pPr>
            <w:r>
              <w:rPr>
                <w:rFonts w:ascii="Times New Roman"/>
                <w:sz w:val="18"/>
              </w:rPr>
              <w:t>6,043,963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.60</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967"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视加友唱 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 下简称</w:t>
            </w:r>
            <w:r>
              <w:rPr>
                <w:rFonts w:ascii="Times New Roman" w:hAnsi="Times New Roman" w:cs="Times New Roman" w:eastAsia="Times New Roman" w:hint="default"/>
                <w:sz w:val="18"/>
                <w:szCs w:val="18"/>
              </w:rPr>
              <w:t>"</w:t>
            </w:r>
          </w:p>
          <w:p>
            <w:pPr>
              <w:pStyle w:val="TableParagraph"/>
              <w:spacing w:line="225" w:lineRule="exact"/>
              <w:ind w:left="15" w:right="0"/>
              <w:jc w:val="left"/>
              <w:rPr>
                <w:rFonts w:ascii="宋体" w:hAnsi="宋体" w:cs="宋体" w:eastAsia="宋体" w:hint="default"/>
                <w:sz w:val="18"/>
                <w:szCs w:val="18"/>
              </w:rPr>
            </w:pPr>
            <w:r>
              <w:rPr>
                <w:rFonts w:ascii="宋体" w:hAnsi="宋体" w:cs="宋体" w:eastAsia="宋体" w:hint="default"/>
                <w:sz w:val="18"/>
                <w:szCs w:val="18"/>
              </w:rPr>
              <w:t>视加友唱</w:t>
            </w:r>
          </w:p>
          <w:p>
            <w:pPr>
              <w:pStyle w:val="TableParagraph"/>
              <w:spacing w:line="240" w:lineRule="auto" w:before="137"/>
              <w:ind w:left="15" w:right="0"/>
              <w:jc w:val="left"/>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.00</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0" w:right="0"/>
              <w:jc w:val="left"/>
              <w:rPr>
                <w:rFonts w:ascii="Times New Roman" w:hAnsi="Times New Roman" w:cs="Times New Roman" w:eastAsia="Times New Roman" w:hint="default"/>
                <w:sz w:val="18"/>
                <w:szCs w:val="18"/>
              </w:rPr>
            </w:pPr>
            <w:r>
              <w:rPr>
                <w:rFonts w:ascii="Times New Roman"/>
                <w:sz w:val="18"/>
              </w:rPr>
              <w:t>3.00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35" w:right="0"/>
              <w:jc w:val="left"/>
              <w:rPr>
                <w:rFonts w:ascii="Times New Roman" w:hAnsi="Times New Roman" w:cs="Times New Roman" w:eastAsia="Times New Roman" w:hint="default"/>
                <w:sz w:val="18"/>
                <w:szCs w:val="18"/>
              </w:rPr>
            </w:pPr>
            <w:r>
              <w:rPr>
                <w:rFonts w:ascii="Times New Roman"/>
                <w:sz w:val="18"/>
              </w:rPr>
              <w:t>3.00</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37" w:right="0"/>
              <w:jc w:val="left"/>
              <w:rPr>
                <w:rFonts w:ascii="Times New Roman" w:hAnsi="Times New Roman" w:cs="Times New Roman" w:eastAsia="Times New Roman" w:hint="default"/>
                <w:sz w:val="18"/>
                <w:szCs w:val="18"/>
              </w:rPr>
            </w:pPr>
            <w:r>
              <w:rPr>
                <w:rFonts w:ascii="Times New Roman"/>
                <w:sz w:val="18"/>
              </w:rPr>
              <w:t>117,476,9</w:t>
            </w:r>
          </w:p>
          <w:p>
            <w:pPr>
              <w:pStyle w:val="TableParagraph"/>
              <w:spacing w:line="240" w:lineRule="auto" w:before="108"/>
              <w:ind w:left="353" w:right="0"/>
              <w:jc w:val="left"/>
              <w:rPr>
                <w:rFonts w:ascii="Times New Roman" w:hAnsi="Times New Roman" w:cs="Times New Roman" w:eastAsia="Times New Roman" w:hint="default"/>
                <w:sz w:val="18"/>
                <w:szCs w:val="18"/>
              </w:rPr>
            </w:pPr>
            <w:r>
              <w:rPr>
                <w:rFonts w:ascii="Times New Roman"/>
                <w:sz w:val="18"/>
              </w:rPr>
              <w:t>62.80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32,480,00</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left"/>
              <w:rPr>
                <w:rFonts w:ascii="Times New Roman" w:hAnsi="Times New Roman" w:cs="Times New Roman" w:eastAsia="Times New Roman" w:hint="default"/>
                <w:sz w:val="18"/>
                <w:szCs w:val="18"/>
              </w:rPr>
            </w:pPr>
            <w:r>
              <w:rPr>
                <w:rFonts w:ascii="Times New Roman"/>
                <w:sz w:val="18"/>
              </w:rPr>
              <w:t>32,164,40</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1.91</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460,612.0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3</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 w:right="0"/>
              <w:jc w:val="center"/>
              <w:rPr>
                <w:rFonts w:ascii="Times New Roman" w:hAnsi="Times New Roman" w:cs="Times New Roman" w:eastAsia="Times New Roman" w:hint="default"/>
                <w:sz w:val="18"/>
                <w:szCs w:val="18"/>
              </w:rPr>
            </w:pPr>
            <w:r>
              <w:rPr>
                <w:rFonts w:ascii="Times New Roman"/>
                <w:sz w:val="18"/>
              </w:rPr>
              <w:t>-140,999,</w:t>
            </w:r>
          </w:p>
          <w:p>
            <w:pPr>
              <w:pStyle w:val="TableParagraph"/>
              <w:spacing w:line="240" w:lineRule="auto" w:before="108"/>
              <w:ind w:left="223" w:right="0"/>
              <w:jc w:val="center"/>
              <w:rPr>
                <w:rFonts w:ascii="Times New Roman" w:hAnsi="Times New Roman" w:cs="Times New Roman" w:eastAsia="Times New Roman" w:hint="default"/>
                <w:sz w:val="18"/>
                <w:szCs w:val="18"/>
              </w:rPr>
            </w:pPr>
            <w:r>
              <w:rPr>
                <w:rFonts w:ascii="Times New Roman"/>
                <w:sz w:val="18"/>
              </w:rPr>
              <w:t>564.50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41,582,41</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2.24</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2897"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武汉高领 资源股权 投资管理 合伙企业</w:t>
            </w:r>
          </w:p>
          <w:p>
            <w:pPr>
              <w:pStyle w:val="TableParagraph"/>
              <w:spacing w:line="307" w:lineRule="auto" w:before="22"/>
              <w:ind w:left="15" w:right="29"/>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34"/>
                <w:sz w:val="18"/>
                <w:szCs w:val="18"/>
              </w:rPr>
              <w:t>伙）（以下</w:t>
            </w:r>
          </w:p>
          <w:p>
            <w:pPr>
              <w:pStyle w:val="TableParagraph"/>
              <w:spacing w:line="312" w:lineRule="auto" w:before="44"/>
              <w:ind w:left="15" w:right="45"/>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武 汉高领资 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z w:val="18"/>
              </w:rPr>
              <w:t>4,001,499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.44</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19" w:right="0"/>
              <w:jc w:val="left"/>
              <w:rPr>
                <w:rFonts w:ascii="Times New Roman" w:hAnsi="Times New Roman" w:cs="Times New Roman" w:eastAsia="Times New Roman" w:hint="default"/>
                <w:sz w:val="18"/>
                <w:szCs w:val="18"/>
              </w:rPr>
            </w:pPr>
            <w:r>
              <w:rPr>
                <w:rFonts w:ascii="Times New Roman"/>
                <w:sz w:val="18"/>
              </w:rPr>
              <w:t>7,112.58</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30"/>
              <w:jc w:val="right"/>
              <w:rPr>
                <w:rFonts w:ascii="Times New Roman" w:hAnsi="Times New Roman" w:cs="Times New Roman" w:eastAsia="Times New Roman" w:hint="default"/>
                <w:sz w:val="18"/>
                <w:szCs w:val="18"/>
              </w:rPr>
            </w:pPr>
            <w:r>
              <w:rPr>
                <w:rFonts w:ascii="Times New Roman"/>
                <w:sz w:val="18"/>
              </w:rPr>
              <w:t>4,008,612</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.02</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2282"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无锡物联 网创新中 心有限公 司（以下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物</w:t>
            </w:r>
          </w:p>
          <w:p>
            <w:pPr>
              <w:pStyle w:val="TableParagraph"/>
              <w:spacing w:line="219" w:lineRule="exact"/>
              <w:ind w:left="15" w:right="0"/>
              <w:jc w:val="both"/>
              <w:rPr>
                <w:rFonts w:ascii="宋体" w:hAnsi="宋体" w:cs="宋体" w:eastAsia="宋体" w:hint="default"/>
                <w:sz w:val="18"/>
                <w:szCs w:val="18"/>
              </w:rPr>
            </w:pPr>
            <w:r>
              <w:rPr>
                <w:rFonts w:ascii="宋体" w:hAnsi="宋体" w:cs="宋体" w:eastAsia="宋体" w:hint="default"/>
                <w:sz w:val="18"/>
                <w:szCs w:val="18"/>
              </w:rPr>
              <w:t>联网创新</w:t>
            </w:r>
          </w:p>
          <w:p>
            <w:pPr>
              <w:pStyle w:val="TableParagraph"/>
              <w:spacing w:line="240" w:lineRule="auto" w:before="79"/>
              <w:ind w:left="15" w:right="0"/>
              <w:jc w:val="both"/>
              <w:rPr>
                <w:rFonts w:ascii="宋体" w:hAnsi="宋体" w:cs="宋体" w:eastAsia="宋体" w:hint="default"/>
                <w:sz w:val="18"/>
                <w:szCs w:val="18"/>
              </w:rPr>
            </w:pPr>
            <w:r>
              <w:rPr>
                <w:rFonts w:ascii="宋体" w:hAnsi="宋体" w:cs="宋体" w:eastAsia="宋体" w:hint="default"/>
                <w:sz w:val="18"/>
                <w:szCs w:val="18"/>
              </w:rPr>
              <w:t>中心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-1,139,44</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1.76</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28,860,55</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8.24</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2267"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15"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重庆工业 大数据创 新中心有 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工业 大数据</w:t>
            </w:r>
            <w:r>
              <w:rPr>
                <w:rFonts w:ascii="Times New Roman" w:hAnsi="Times New Roman" w:cs="Times New Roman" w:eastAsia="Times New Roman" w:hint="default"/>
                <w:sz w:val="18"/>
                <w:szCs w:val="18"/>
              </w:rPr>
              <w:t>")</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2,850,000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1,844,171</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.52</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4,694,171</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.52</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2282"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辽宁网络 广播电视 台科技有 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辽网 科技</w:t>
            </w:r>
            <w:r>
              <w:rPr>
                <w:rFonts w:ascii="Times New Roman" w:hAnsi="Times New Roman" w:cs="Times New Roman" w:eastAsia="Times New Roman" w:hint="default"/>
                <w:sz w:val="18"/>
                <w:szCs w:val="18"/>
              </w:rPr>
              <w:t>")</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25,776,55</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0.20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-2,299,53</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8.86</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23,477,01</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1.34</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967"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45"/>
              <w:jc w:val="left"/>
              <w:rPr>
                <w:rFonts w:ascii="宋体" w:hAnsi="宋体" w:cs="宋体" w:eastAsia="宋体" w:hint="default"/>
                <w:sz w:val="18"/>
                <w:szCs w:val="18"/>
              </w:rPr>
            </w:pPr>
            <w:r>
              <w:rPr>
                <w:rFonts w:ascii="宋体" w:hAnsi="宋体" w:cs="宋体" w:eastAsia="宋体" w:hint="default"/>
                <w:sz w:val="18"/>
                <w:szCs w:val="18"/>
              </w:rPr>
              <w:t>数联互动 网络科技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数联</w:t>
            </w:r>
          </w:p>
          <w:p>
            <w:pPr>
              <w:pStyle w:val="TableParagraph"/>
              <w:spacing w:line="237" w:lineRule="exact"/>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互动</w:t>
            </w:r>
            <w:r>
              <w:rPr>
                <w:rFonts w:ascii="Times New Roman" w:hAnsi="Times New Roman" w:cs="Times New Roman" w:eastAsia="Times New Roman" w:hint="default"/>
                <w:sz w:val="18"/>
                <w:szCs w:val="18"/>
              </w:rPr>
              <w:t>")</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6,899,877</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.17</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600,122.8</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3</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952"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45"/>
              <w:jc w:val="both"/>
              <w:rPr>
                <w:rFonts w:ascii="宋体" w:hAnsi="宋体" w:cs="宋体" w:eastAsia="宋体" w:hint="default"/>
                <w:sz w:val="18"/>
                <w:szCs w:val="18"/>
              </w:rPr>
            </w:pPr>
            <w:r>
              <w:rPr>
                <w:rFonts w:ascii="宋体" w:hAnsi="宋体" w:cs="宋体" w:eastAsia="宋体" w:hint="default"/>
                <w:sz w:val="18"/>
                <w:szCs w:val="18"/>
              </w:rPr>
              <w:t>数联领航 网络科技 有限公司</w:t>
            </w:r>
          </w:p>
          <w:p>
            <w:pPr>
              <w:pStyle w:val="TableParagraph"/>
              <w:spacing w:line="295" w:lineRule="auto" w:before="33"/>
              <w:ind w:left="15" w:right="148"/>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w:t>
            </w:r>
            <w:r>
              <w:rPr>
                <w:rFonts w:ascii="宋体" w:hAnsi="宋体" w:cs="宋体" w:eastAsia="宋体" w:hint="default"/>
                <w:w w:val="99"/>
                <w:sz w:val="18"/>
                <w:szCs w:val="18"/>
              </w:rPr>
              <w:t> </w:t>
            </w: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数联 领航</w:t>
            </w:r>
            <w:r>
              <w:rPr>
                <w:rFonts w:ascii="Times New Roman" w:hAnsi="Times New Roman" w:cs="Times New Roman" w:eastAsia="Times New Roman" w:hint="default"/>
                <w:sz w:val="18"/>
                <w:szCs w:val="18"/>
              </w:rPr>
              <w:t>")</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416,581.6</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-5,416,58</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1.66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2282"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深圳我看 华腾网络 技术有限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w:t>
            </w:r>
          </w:p>
          <w:p>
            <w:pPr>
              <w:pStyle w:val="TableParagraph"/>
              <w:spacing w:line="276" w:lineRule="auto"/>
              <w:ind w:left="15" w:right="45"/>
              <w:jc w:val="both"/>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我看华腾</w:t>
            </w:r>
          </w:p>
          <w:p>
            <w:pPr>
              <w:pStyle w:val="TableParagraph"/>
              <w:spacing w:line="240" w:lineRule="auto" w:before="109"/>
              <w:ind w:left="15" w:right="0"/>
              <w:jc w:val="both"/>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-185,468.</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65</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6,814,531</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.35</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71,677,92</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6.81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9,850,000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-756,460.</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68</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-5,416,58</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1.66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67,854,88</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4.47</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189,154,8</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89.61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42,330,00</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left"/>
              <w:rPr>
                <w:rFonts w:ascii="Times New Roman" w:hAnsi="Times New Roman" w:cs="Times New Roman" w:eastAsia="Times New Roman" w:hint="default"/>
                <w:sz w:val="18"/>
                <w:szCs w:val="18"/>
              </w:rPr>
            </w:pPr>
            <w:r>
              <w:rPr>
                <w:rFonts w:ascii="Times New Roman"/>
                <w:sz w:val="18"/>
              </w:rPr>
              <w:t>31,407,94</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1.23</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460,612.0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3</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 w:right="0"/>
              <w:jc w:val="center"/>
              <w:rPr>
                <w:rFonts w:ascii="Times New Roman" w:hAnsi="Times New Roman" w:cs="Times New Roman" w:eastAsia="Times New Roman" w:hint="default"/>
                <w:sz w:val="18"/>
                <w:szCs w:val="18"/>
              </w:rPr>
            </w:pPr>
            <w:r>
              <w:rPr>
                <w:rFonts w:ascii="Times New Roman"/>
                <w:sz w:val="18"/>
              </w:rPr>
              <w:t>-146,416,</w:t>
            </w:r>
          </w:p>
          <w:p>
            <w:pPr>
              <w:pStyle w:val="TableParagraph"/>
              <w:spacing w:line="240" w:lineRule="auto" w:before="93"/>
              <w:ind w:left="223" w:right="0"/>
              <w:jc w:val="center"/>
              <w:rPr>
                <w:rFonts w:ascii="Times New Roman" w:hAnsi="Times New Roman" w:cs="Times New Roman" w:eastAsia="Times New Roman" w:hint="default"/>
                <w:sz w:val="18"/>
                <w:szCs w:val="18"/>
              </w:rPr>
            </w:pPr>
            <w:r>
              <w:rPr>
                <w:rFonts w:ascii="Times New Roman"/>
                <w:sz w:val="18"/>
              </w:rPr>
              <w:t>146.16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109,437,2</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96.71</w:t>
            </w:r>
          </w:p>
        </w:tc>
        <w:tc>
          <w:tcPr>
            <w:tcW w:w="79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1105"/>
        <w:jc w:val="left"/>
        <w:rPr>
          <w:b w:val="0"/>
          <w:bCs w:val="0"/>
        </w:rPr>
      </w:pPr>
      <w:bookmarkStart w:name="18、其他权益工具投资" w:id="290"/>
      <w:bookmarkEnd w:id="290"/>
      <w:r>
        <w:rPr>
          <w:b w:val="0"/>
          <w:bCs w:val="0"/>
        </w:rPr>
      </w:r>
      <w:r>
        <w:rPr>
          <w:rFonts w:ascii="Times New Roman" w:hAnsi="Times New Roman" w:cs="Times New Roman" w:eastAsia="Times New Roman" w:hint="default"/>
        </w:rPr>
        <w:t>18</w:t>
      </w:r>
      <w:r>
        <w:rPr/>
        <w:t>、其他权益工具投资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4"/>
        <w:ind w:right="1105"/>
        <w:jc w:val="left"/>
      </w:pPr>
      <w:r>
        <w:rPr/>
        <w:t>分项披露本期非交易性权益工具投资</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133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9" w:right="59"/>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30" w:right="59"/>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9" w:right="59"/>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bl>
    <w:p>
      <w:pPr>
        <w:pStyle w:val="BodyText"/>
        <w:spacing w:line="240" w:lineRule="auto" w:before="45"/>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19、其他非流动金融资产" w:id="291"/>
      <w:bookmarkEnd w:id="291"/>
      <w:r>
        <w:rPr>
          <w:b w:val="0"/>
          <w:bCs w:val="0"/>
        </w:rPr>
      </w:r>
      <w:r>
        <w:rPr>
          <w:rFonts w:ascii="Times New Roman" w:hAnsi="Times New Roman" w:cs="Times New Roman" w:eastAsia="Times New Roman" w:hint="default"/>
        </w:rPr>
        <w:t>19</w:t>
      </w:r>
      <w:r>
        <w:rPr/>
        <w:t>、其他非流动金融资产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92"/>
              <w:jc w:val="left"/>
              <w:rPr>
                <w:rFonts w:ascii="Times New Roman" w:hAnsi="Times New Roman" w:cs="Times New Roman" w:eastAsia="Times New Roman" w:hint="default"/>
                <w:sz w:val="18"/>
                <w:szCs w:val="18"/>
              </w:rPr>
            </w:pPr>
            <w:r>
              <w:rPr>
                <w:rFonts w:ascii="宋体" w:hAnsi="宋体" w:cs="宋体" w:eastAsia="宋体" w:hint="default"/>
                <w:sz w:val="18"/>
                <w:szCs w:val="18"/>
              </w:rPr>
              <w:t>对上海我思教育科技有限公司的股权投 资（以下简称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我思教育</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(a)</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40,973,531.10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45"/>
              <w:ind w:left="15" w:right="92"/>
              <w:jc w:val="left"/>
              <w:rPr>
                <w:rFonts w:ascii="Times New Roman" w:hAnsi="Times New Roman" w:cs="Times New Roman" w:eastAsia="Times New Roman" w:hint="default"/>
                <w:sz w:val="18"/>
                <w:szCs w:val="18"/>
              </w:rPr>
            </w:pPr>
            <w:r>
              <w:rPr>
                <w:rFonts w:ascii="宋体" w:hAnsi="宋体" w:cs="宋体" w:eastAsia="宋体" w:hint="default"/>
                <w:sz w:val="18"/>
                <w:szCs w:val="18"/>
              </w:rPr>
              <w:t>对北京硬壳科技有限公司的投资（以下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硬壳科技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(b)</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30,000,000.00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基金投资</w:t>
            </w:r>
            <w:r>
              <w:rPr>
                <w:rFonts w:ascii="Times New Roman" w:hAnsi="Times New Roman" w:cs="Times New Roman" w:eastAsia="Times New Roman" w:hint="default"/>
                <w:sz w:val="18"/>
                <w:szCs w:val="18"/>
              </w:rPr>
              <w:t>(c)</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25,407,470.48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50,007,207.97</w:t>
            </w:r>
          </w:p>
        </w:tc>
      </w:tr>
      <w:tr>
        <w:trPr>
          <w:trHeight w:val="7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92"/>
              <w:jc w:val="left"/>
              <w:rPr>
                <w:rFonts w:ascii="Times New Roman" w:hAnsi="Times New Roman" w:cs="Times New Roman" w:eastAsia="Times New Roman" w:hint="default"/>
                <w:sz w:val="18"/>
                <w:szCs w:val="18"/>
              </w:rPr>
            </w:pPr>
            <w:r>
              <w:rPr>
                <w:rFonts w:ascii="宋体" w:hAnsi="宋体" w:cs="宋体" w:eastAsia="宋体" w:hint="default"/>
                <w:sz w:val="18"/>
                <w:szCs w:val="18"/>
              </w:rPr>
              <w:t>对河南国都时代科技有限公司的股权投 资（以下简称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国都时代</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(d)</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45"/>
              <w:ind w:left="15" w:right="92"/>
              <w:jc w:val="left"/>
              <w:rPr>
                <w:rFonts w:ascii="Times New Roman" w:hAnsi="Times New Roman" w:cs="Times New Roman" w:eastAsia="Times New Roman" w:hint="default"/>
                <w:sz w:val="18"/>
                <w:szCs w:val="18"/>
              </w:rPr>
            </w:pPr>
            <w:r>
              <w:rPr>
                <w:rFonts w:ascii="宋体" w:hAnsi="宋体" w:cs="宋体" w:eastAsia="宋体" w:hint="default"/>
                <w:sz w:val="18"/>
                <w:szCs w:val="18"/>
              </w:rPr>
              <w:t>对智屏时代（北京）文化传播有限公司 的投资（以下简称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智屏时代</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(e)</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对数联领航的可转债投资</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111,381,001.58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90,007,207.97</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both"/>
      </w:pPr>
      <w:r>
        <w:rPr/>
        <w:t>其他说明：</w:t>
      </w:r>
    </w:p>
    <w:p>
      <w:pPr>
        <w:pStyle w:val="BodyText"/>
        <w:spacing w:line="304" w:lineRule="auto" w:before="125"/>
        <w:ind w:right="1100"/>
        <w:jc w:val="both"/>
      </w:pPr>
      <w:r>
        <w:rPr>
          <w:rFonts w:ascii="Times New Roman" w:hAnsi="Times New Roman" w:cs="Times New Roman" w:eastAsia="Times New Roman" w:hint="default"/>
        </w:rPr>
        <w:t>(a)</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月，易视腾科技对我思教育投资</w:t>
      </w:r>
      <w:r>
        <w:rPr>
          <w:rFonts w:ascii="Times New Roman" w:hAnsi="Times New Roman" w:cs="Times New Roman" w:eastAsia="Times New Roman" w:hint="default"/>
        </w:rPr>
        <w:t>39,473,684.00</w:t>
      </w:r>
      <w:r>
        <w:rPr/>
        <w:t>元，持股比例</w:t>
      </w:r>
      <w:r>
        <w:rPr>
          <w:rFonts w:ascii="Times New Roman" w:hAnsi="Times New Roman" w:cs="Times New Roman" w:eastAsia="Times New Roman" w:hint="default"/>
        </w:rPr>
        <w:t>5%</w:t>
      </w:r>
      <w:r>
        <w:rPr/>
        <w:t>，由于易视腾科技对我思教育的投资无控制、共</w:t>
      </w:r>
      <w:r>
        <w:rPr>
          <w:w w:val="99"/>
        </w:rPr>
        <w:t> </w:t>
      </w:r>
      <w:r>
        <w:rPr>
          <w:spacing w:val="-2"/>
        </w:rPr>
        <w:t>同控制及重大影响，易视腾科技将指定为以公允价值计量且变动计入当期损益的金融资产，并根据其流动性计入其他非流动</w:t>
      </w:r>
      <w:r>
        <w:rPr>
          <w:spacing w:val="-73"/>
        </w:rPr>
        <w:t> </w:t>
      </w:r>
      <w:r>
        <w:rPr>
          <w:spacing w:val="-73"/>
        </w:rPr>
      </w:r>
      <w:r>
        <w:rPr/>
        <w:t>金融资产。</w:t>
      </w:r>
    </w:p>
    <w:p>
      <w:pPr>
        <w:spacing w:line="240" w:lineRule="auto" w:before="0"/>
        <w:rPr>
          <w:rFonts w:ascii="宋体" w:hAnsi="宋体" w:cs="宋体" w:eastAsia="宋体" w:hint="default"/>
          <w:sz w:val="18"/>
          <w:szCs w:val="18"/>
        </w:rPr>
      </w:pPr>
    </w:p>
    <w:p>
      <w:pPr>
        <w:pStyle w:val="BodyText"/>
        <w:spacing w:line="297" w:lineRule="auto" w:before="126"/>
        <w:ind w:right="1121"/>
        <w:jc w:val="both"/>
      </w:pPr>
      <w:r>
        <w:rPr>
          <w:rFonts w:ascii="Times New Roman" w:hAnsi="Times New Roman" w:cs="Times New Roman" w:eastAsia="Times New Roman" w:hint="default"/>
        </w:rPr>
        <w:t>(b)</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月，易视腾科技对硬壳科技投资</w:t>
      </w:r>
      <w:r>
        <w:rPr>
          <w:rFonts w:ascii="Times New Roman" w:hAnsi="Times New Roman" w:cs="Times New Roman" w:eastAsia="Times New Roman" w:hint="default"/>
        </w:rPr>
        <w:t>30,000,000.00</w:t>
      </w:r>
      <w:r>
        <w:rPr/>
        <w:t>元，持股比例</w:t>
      </w:r>
      <w:r>
        <w:rPr>
          <w:rFonts w:ascii="Times New Roman" w:hAnsi="Times New Roman" w:cs="Times New Roman" w:eastAsia="Times New Roman" w:hint="default"/>
        </w:rPr>
        <w:t>5%</w:t>
      </w:r>
      <w:r>
        <w:rPr/>
        <w:t>，协议约定如果硬壳科技未在增资的交割日</w:t>
      </w:r>
      <w:r>
        <w:rPr>
          <w:rFonts w:ascii="Times New Roman" w:hAnsi="Times New Roman" w:cs="Times New Roman" w:eastAsia="Times New Roman" w:hint="default"/>
        </w:rPr>
        <w:t>5</w:t>
      </w:r>
      <w:r>
        <w:rPr/>
        <w:t>年</w:t>
      </w:r>
      <w:r>
        <w:rPr>
          <w:spacing w:val="-41"/>
        </w:rPr>
        <w:t> </w:t>
      </w:r>
      <w:r>
        <w:rPr>
          <w:spacing w:val="-2"/>
        </w:rPr>
        <w:t>内完成合格上市或未被上市公司整体收购，易视腾科技有权要求创始股东回购本公司的投资，本集团将该投资及相关回购协</w:t>
      </w:r>
      <w:r>
        <w:rPr>
          <w:spacing w:val="-73"/>
        </w:rPr>
        <w:t> </w:t>
      </w:r>
      <w:r>
        <w:rPr>
          <w:spacing w:val="-73"/>
        </w:rPr>
      </w:r>
      <w:r>
        <w:rPr/>
        <w:t>议划分为以公允价值计量且其变动计入当期损益的金融资产，并根据其流动性计入其他非流动金融资产。</w:t>
      </w:r>
    </w:p>
    <w:p>
      <w:pPr>
        <w:spacing w:line="240" w:lineRule="auto" w:before="0"/>
        <w:rPr>
          <w:rFonts w:ascii="宋体" w:hAnsi="宋体" w:cs="宋体" w:eastAsia="宋体" w:hint="default"/>
          <w:sz w:val="18"/>
          <w:szCs w:val="18"/>
        </w:rPr>
      </w:pPr>
    </w:p>
    <w:p>
      <w:pPr>
        <w:pStyle w:val="BodyText"/>
        <w:spacing w:line="288" w:lineRule="auto" w:before="131"/>
        <w:ind w:right="1102"/>
        <w:jc w:val="both"/>
      </w:pPr>
      <w:r>
        <w:rPr>
          <w:rFonts w:ascii="Times New Roman" w:hAnsi="Times New Roman" w:cs="Times New Roman" w:eastAsia="Times New Roman" w:hint="default"/>
        </w:rPr>
        <w:t>(c)</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日，朗新科技作为有限合伙人同其他三方共同设立深圳保腾电力科技创业投资企业（有限合伙）（以下简</w:t>
      </w:r>
      <w:r>
        <w:rPr>
          <w:w w:val="99"/>
        </w:rPr>
        <w:t> </w:t>
      </w:r>
      <w:r>
        <w:rPr>
          <w:spacing w:val="-1"/>
        </w:rPr>
        <w:t>称</w:t>
      </w:r>
      <w:r>
        <w:rPr>
          <w:rFonts w:ascii="Times New Roman" w:hAnsi="Times New Roman" w:cs="Times New Roman" w:eastAsia="Times New Roman" w:hint="default"/>
          <w:spacing w:val="-1"/>
        </w:rPr>
        <w:t>“</w:t>
      </w:r>
      <w:r>
        <w:rPr>
          <w:spacing w:val="-1"/>
        </w:rPr>
        <w:t>深圳保腾</w:t>
      </w:r>
      <w:r>
        <w:rPr>
          <w:rFonts w:ascii="Times New Roman" w:hAnsi="Times New Roman" w:cs="Times New Roman" w:eastAsia="Times New Roman" w:hint="default"/>
          <w:spacing w:val="-1"/>
        </w:rPr>
        <w:t>”</w:t>
      </w:r>
      <w:r>
        <w:rPr>
          <w:spacing w:val="-1"/>
        </w:rPr>
        <w:t>），持股比例</w:t>
      </w:r>
      <w:r>
        <w:rPr>
          <w:rFonts w:ascii="Times New Roman" w:hAnsi="Times New Roman" w:cs="Times New Roman" w:eastAsia="Times New Roman" w:hint="default"/>
          <w:spacing w:val="-1"/>
        </w:rPr>
        <w:t>42.08%</w:t>
      </w:r>
      <w:r>
        <w:rPr>
          <w:spacing w:val="-1"/>
        </w:rPr>
        <w:t>，朗新科技将其划分为以公允价值计量且其变动计入当期损益的金融资产，并根据其流动</w:t>
      </w:r>
      <w:r>
        <w:rPr>
          <w:spacing w:val="-86"/>
        </w:rPr>
        <w:t> </w:t>
      </w:r>
      <w:r>
        <w:rPr>
          <w:spacing w:val="-86"/>
        </w:rPr>
      </w:r>
      <w:r>
        <w:rPr/>
        <w:t>性计入其他非流动金融资产。</w:t>
      </w:r>
    </w:p>
    <w:p>
      <w:pPr>
        <w:spacing w:line="240" w:lineRule="auto" w:before="0"/>
        <w:rPr>
          <w:rFonts w:ascii="宋体" w:hAnsi="宋体" w:cs="宋体" w:eastAsia="宋体" w:hint="default"/>
          <w:sz w:val="18"/>
          <w:szCs w:val="18"/>
        </w:rPr>
      </w:pPr>
    </w:p>
    <w:p>
      <w:pPr>
        <w:pStyle w:val="BodyText"/>
        <w:spacing w:line="300" w:lineRule="auto" w:before="138"/>
        <w:ind w:right="1095"/>
        <w:jc w:val="both"/>
      </w:pPr>
      <w:r>
        <w:rPr>
          <w:spacing w:val="-4"/>
        </w:rPr>
        <w:t>于</w:t>
      </w:r>
      <w:r>
        <w:rPr>
          <w:rFonts w:ascii="Times New Roman" w:hAnsi="Times New Roman" w:cs="Times New Roman" w:eastAsia="Times New Roman" w:hint="default"/>
          <w:spacing w:val="-4"/>
        </w:rPr>
        <w:t>2018</w:t>
      </w:r>
      <w:r>
        <w:rPr>
          <w:spacing w:val="-4"/>
        </w:rPr>
        <w:t>年末，本公司之子公司易视腾投资管理无锡有限公司（以下简称</w:t>
      </w:r>
      <w:r>
        <w:rPr>
          <w:rFonts w:ascii="Times New Roman" w:hAnsi="Times New Roman" w:cs="Times New Roman" w:eastAsia="Times New Roman" w:hint="default"/>
          <w:spacing w:val="-4"/>
        </w:rPr>
        <w:t>“</w:t>
      </w:r>
      <w:r>
        <w:rPr>
          <w:spacing w:val="-4"/>
        </w:rPr>
        <w:t>易视腾投资</w:t>
      </w:r>
      <w:r>
        <w:rPr>
          <w:rFonts w:ascii="Times New Roman" w:hAnsi="Times New Roman" w:cs="Times New Roman" w:eastAsia="Times New Roman" w:hint="default"/>
          <w:spacing w:val="-4"/>
        </w:rPr>
        <w:t>”</w:t>
      </w:r>
      <w:r>
        <w:rPr>
          <w:spacing w:val="-4"/>
        </w:rPr>
        <w:t>）与赣州泰诺新科投资管理合伙企业（有</w:t>
      </w:r>
      <w:r>
        <w:rPr>
          <w:spacing w:val="-86"/>
        </w:rPr>
        <w:t> </w:t>
      </w:r>
      <w:r>
        <w:rPr>
          <w:spacing w:val="-86"/>
        </w:rPr>
      </w:r>
      <w:r>
        <w:rPr>
          <w:spacing w:val="-1"/>
        </w:rPr>
        <w:t>限合伙）（以下简称</w:t>
      </w:r>
      <w:r>
        <w:rPr>
          <w:rFonts w:ascii="Times New Roman" w:hAnsi="Times New Roman" w:cs="Times New Roman" w:eastAsia="Times New Roman" w:hint="default"/>
          <w:spacing w:val="-1"/>
        </w:rPr>
        <w:t>“</w:t>
      </w:r>
      <w:r>
        <w:rPr>
          <w:spacing w:val="-1"/>
        </w:rPr>
        <w:t>赣州泰诺</w:t>
      </w:r>
      <w:r>
        <w:rPr>
          <w:rFonts w:ascii="Times New Roman" w:hAnsi="Times New Roman" w:cs="Times New Roman" w:eastAsia="Times New Roman" w:hint="default"/>
          <w:spacing w:val="-1"/>
        </w:rPr>
        <w:t>”</w:t>
      </w:r>
      <w:r>
        <w:rPr>
          <w:spacing w:val="-1"/>
        </w:rPr>
        <w:t>）、共青城派瑞新媒体投资管理合伙企业（有限合伙）（以下简称</w:t>
      </w:r>
      <w:r>
        <w:rPr>
          <w:rFonts w:ascii="Times New Roman" w:hAnsi="Times New Roman" w:cs="Times New Roman" w:eastAsia="Times New Roman" w:hint="default"/>
          <w:spacing w:val="-1"/>
        </w:rPr>
        <w:t>“</w:t>
      </w:r>
      <w:r>
        <w:rPr>
          <w:spacing w:val="-1"/>
        </w:rPr>
        <w:t>共青城派瑞</w:t>
      </w:r>
      <w:r>
        <w:rPr>
          <w:rFonts w:ascii="Times New Roman" w:hAnsi="Times New Roman" w:cs="Times New Roman" w:eastAsia="Times New Roman" w:hint="default"/>
          <w:spacing w:val="-1"/>
        </w:rPr>
        <w:t>”</w:t>
      </w:r>
      <w:r>
        <w:rPr>
          <w:spacing w:val="-1"/>
        </w:rPr>
        <w:t>）共同设立</w:t>
      </w:r>
      <w:r>
        <w:rPr>
          <w:spacing w:val="-44"/>
        </w:rPr>
        <w:t> </w:t>
      </w:r>
      <w:r>
        <w:rPr/>
        <w:t>派瑞无锡，易视腾投资出资</w:t>
      </w:r>
      <w:r>
        <w:rPr>
          <w:rFonts w:ascii="Times New Roman" w:hAnsi="Times New Roman" w:cs="Times New Roman" w:eastAsia="Times New Roman" w:hint="default"/>
        </w:rPr>
        <w:t>50,000,000.00</w:t>
      </w:r>
      <w:r>
        <w:rPr/>
        <w:t>元，占总认缴出资额的比例为</w:t>
      </w:r>
      <w:r>
        <w:rPr>
          <w:rFonts w:ascii="Times New Roman" w:hAnsi="Times New Roman" w:cs="Times New Roman" w:eastAsia="Times New Roman" w:hint="default"/>
        </w:rPr>
        <w:t>46%</w:t>
      </w:r>
      <w:r>
        <w:rPr/>
        <w:t>；由于赣州泰诺一直未按照合伙协议缴纳出资款</w:t>
      </w:r>
      <w:r>
        <w:rPr>
          <w:spacing w:val="-85"/>
        </w:rPr>
        <w:t> </w:t>
      </w:r>
      <w:r>
        <w:rPr>
          <w:spacing w:val="-1"/>
        </w:rPr>
        <w:t>项，于</w:t>
      </w:r>
      <w:r>
        <w:rPr>
          <w:rFonts w:ascii="Times New Roman" w:hAnsi="Times New Roman" w:cs="Times New Roman" w:eastAsia="Times New Roman" w:hint="default"/>
          <w:spacing w:val="-1"/>
        </w:rPr>
        <w:t>2019</w:t>
      </w:r>
      <w:r>
        <w:rPr>
          <w:spacing w:val="-1"/>
        </w:rPr>
        <w:t>年，易视腾投资与共青城派瑞重新签订协议，易视腾投资作为派瑞无锡的唯一有限合伙人，占总出资额的比例为</w:t>
      </w:r>
      <w:r>
        <w:rPr/>
        <w:t> </w:t>
      </w:r>
      <w:r>
        <w:rPr>
          <w:rFonts w:ascii="Times New Roman" w:hAnsi="Times New Roman" w:cs="Times New Roman" w:eastAsia="Times New Roman" w:hint="default"/>
        </w:rPr>
        <w:t>98%</w:t>
      </w:r>
      <w:r>
        <w:rPr/>
        <w:t>，并向派瑞无锡增资</w:t>
      </w:r>
      <w:r>
        <w:rPr>
          <w:rFonts w:ascii="Times New Roman" w:hAnsi="Times New Roman" w:cs="Times New Roman" w:eastAsia="Times New Roman" w:hint="default"/>
        </w:rPr>
        <w:t>3,000,000.00</w:t>
      </w:r>
      <w:r>
        <w:rPr/>
        <w:t>元，本公司将派瑞无锡纳入合并范围。</w:t>
      </w:r>
    </w:p>
    <w:p>
      <w:pPr>
        <w:spacing w:line="240" w:lineRule="auto" w:before="4"/>
        <w:rPr>
          <w:rFonts w:ascii="宋体" w:hAnsi="宋体" w:cs="宋体" w:eastAsia="宋体" w:hint="default"/>
          <w:sz w:val="25"/>
          <w:szCs w:val="25"/>
        </w:rPr>
      </w:pPr>
    </w:p>
    <w:p>
      <w:pPr>
        <w:pStyle w:val="BodyText"/>
        <w:spacing w:line="297" w:lineRule="auto"/>
        <w:ind w:right="1128"/>
        <w:jc w:val="both"/>
      </w:pPr>
      <w:r>
        <w:rPr>
          <w:rFonts w:ascii="Times New Roman" w:hAnsi="Times New Roman" w:cs="Times New Roman" w:eastAsia="Times New Roman" w:hint="default"/>
        </w:rPr>
        <w:t>(d)</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日，朗新科技之子公司邦道科技向国都时代投资</w:t>
      </w:r>
      <w:r>
        <w:rPr>
          <w:rFonts w:ascii="Times New Roman" w:hAnsi="Times New Roman" w:cs="Times New Roman" w:eastAsia="Times New Roman" w:hint="default"/>
        </w:rPr>
        <w:t>1,000</w:t>
      </w:r>
      <w:r>
        <w:rPr/>
        <w:t>万元，持股</w:t>
      </w:r>
      <w:r>
        <w:rPr>
          <w:rFonts w:ascii="Times New Roman" w:hAnsi="Times New Roman" w:cs="Times New Roman" w:eastAsia="Times New Roman" w:hint="default"/>
        </w:rPr>
        <w:t>10%</w:t>
      </w:r>
      <w:r>
        <w:rPr/>
        <w:t>，协议中约定邦道科技拥有反稀释保</w:t>
      </w:r>
      <w:r>
        <w:rPr>
          <w:spacing w:val="-44"/>
        </w:rPr>
        <w:t> </w:t>
      </w:r>
      <w:r>
        <w:rPr>
          <w:spacing w:val="-44"/>
        </w:rPr>
      </w:r>
      <w:r>
        <w:rPr>
          <w:spacing w:val="-2"/>
        </w:rPr>
        <w:t>护权，本集团将该投资整体指定为以公允价值计量且其变动计入当期损益的金融资产，并根据其流动性计入其他非流动金融</w:t>
      </w:r>
      <w:r>
        <w:rPr>
          <w:spacing w:val="-66"/>
        </w:rPr>
        <w:t> </w:t>
      </w:r>
      <w:r>
        <w:rPr>
          <w:spacing w:val="-66"/>
        </w:rPr>
      </w:r>
      <w:r>
        <w:rPr/>
        <w:t>资产。</w:t>
      </w:r>
    </w:p>
    <w:p>
      <w:pPr>
        <w:spacing w:line="240" w:lineRule="auto" w:before="0"/>
        <w:rPr>
          <w:rFonts w:ascii="宋体" w:hAnsi="宋体" w:cs="宋体" w:eastAsia="宋体" w:hint="default"/>
          <w:sz w:val="18"/>
          <w:szCs w:val="18"/>
        </w:rPr>
      </w:pPr>
    </w:p>
    <w:p>
      <w:pPr>
        <w:pStyle w:val="BodyText"/>
        <w:spacing w:line="288" w:lineRule="auto" w:before="131"/>
        <w:ind w:right="1126"/>
        <w:jc w:val="both"/>
      </w:pPr>
      <w:r>
        <w:rPr>
          <w:rFonts w:ascii="Times New Roman" w:hAnsi="Times New Roman" w:cs="Times New Roman" w:eastAsia="Times New Roman" w:hint="default"/>
        </w:rPr>
        <w:t>(e)</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月，易视腾科技对智屏时代投资</w:t>
      </w:r>
      <w:r>
        <w:rPr>
          <w:rFonts w:ascii="Times New Roman" w:hAnsi="Times New Roman" w:cs="Times New Roman" w:eastAsia="Times New Roman" w:hint="default"/>
        </w:rPr>
        <w:t>5,000,000.00</w:t>
      </w:r>
      <w:r>
        <w:rPr/>
        <w:t>元，持股比例</w:t>
      </w:r>
      <w:r>
        <w:rPr>
          <w:rFonts w:ascii="Times New Roman" w:hAnsi="Times New Roman" w:cs="Times New Roman" w:eastAsia="Times New Roman" w:hint="default"/>
        </w:rPr>
        <w:t>20%</w:t>
      </w:r>
      <w:r>
        <w:rPr/>
        <w:t>，协议中约定易视腾科技拥有反稀释权，本集</w:t>
      </w:r>
      <w:r>
        <w:rPr>
          <w:spacing w:val="-36"/>
        </w:rPr>
        <w:t> </w:t>
      </w:r>
      <w:r>
        <w:rPr>
          <w:spacing w:val="-36"/>
        </w:rPr>
      </w:r>
      <w:r>
        <w:rPr/>
        <w:t>团将该投资整体划分为以公允价值计量且其变动计入当期损益的金融资产，并根据其流动性计入其他非流动金融资产。</w:t>
      </w:r>
    </w:p>
    <w:p>
      <w:pPr>
        <w:spacing w:line="240" w:lineRule="auto" w:before="0"/>
        <w:rPr>
          <w:rFonts w:ascii="宋体" w:hAnsi="宋体" w:cs="宋体" w:eastAsia="宋体" w:hint="default"/>
          <w:sz w:val="18"/>
          <w:szCs w:val="18"/>
        </w:rPr>
      </w:pPr>
    </w:p>
    <w:p>
      <w:pPr>
        <w:pStyle w:val="BodyText"/>
        <w:spacing w:line="304" w:lineRule="auto" w:before="123"/>
        <w:ind w:right="1126"/>
        <w:jc w:val="both"/>
      </w:pPr>
      <w:r>
        <w:rPr>
          <w:spacing w:val="-1"/>
        </w:rPr>
        <w:t>上述投资公允价值为第三层次：资产和负债并非依据可观察市场数据的输入值</w:t>
      </w:r>
      <w:r>
        <w:rPr>
          <w:rFonts w:ascii="Times New Roman" w:hAnsi="Times New Roman" w:cs="Times New Roman" w:eastAsia="Times New Roman" w:hint="default"/>
          <w:spacing w:val="-1"/>
        </w:rPr>
        <w:t>(</w:t>
      </w:r>
      <w:r>
        <w:rPr>
          <w:spacing w:val="-1"/>
        </w:rPr>
        <w:t>即不可观察输入值</w:t>
      </w:r>
      <w:r>
        <w:rPr>
          <w:rFonts w:ascii="Times New Roman" w:hAnsi="Times New Roman" w:cs="Times New Roman" w:eastAsia="Times New Roman" w:hint="default"/>
          <w:spacing w:val="-1"/>
        </w:rPr>
        <w:t>)</w:t>
      </w:r>
      <w:r>
        <w:rPr>
          <w:spacing w:val="-1"/>
        </w:rPr>
        <w:t>。公允价值以管理层预期</w:t>
      </w:r>
      <w:r>
        <w:rPr>
          <w:spacing w:val="-56"/>
        </w:rPr>
        <w:t> </w:t>
      </w:r>
      <w:r>
        <w:rPr>
          <w:spacing w:val="-56"/>
        </w:rPr>
      </w:r>
      <w:r>
        <w:rPr/>
        <w:t>的可获取收益折现后的现金流量确定（见附注十一</w:t>
      </w:r>
      <w:r>
        <w:rPr>
          <w:rFonts w:ascii="Times New Roman" w:hAnsi="Times New Roman" w:cs="Times New Roman" w:eastAsia="Times New Roman" w:hint="default"/>
        </w:rPr>
        <w:t>(1)</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both"/>
        <w:rPr>
          <w:b w:val="0"/>
          <w:bCs w:val="0"/>
        </w:rPr>
      </w:pPr>
      <w:bookmarkStart w:name="20、投资性房地产" w:id="292"/>
      <w:bookmarkEnd w:id="292"/>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both"/>
        <w:rPr>
          <w:b w:val="0"/>
          <w:bCs w:val="0"/>
        </w:rPr>
      </w:pPr>
      <w:bookmarkStart w:name="（1）采用成本计量模式的投资性房地产" w:id="293"/>
      <w:bookmarkEnd w:id="293"/>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both"/>
        <w:rPr>
          <w:b w:val="0"/>
          <w:bCs w:val="0"/>
        </w:rPr>
      </w:pPr>
      <w:bookmarkStart w:name="（2）采用公允价值计量模式的投资性房地产" w:id="294"/>
      <w:bookmarkEnd w:id="294"/>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5"/>
        <w:ind w:right="0"/>
        <w:jc w:val="both"/>
        <w:rPr>
          <w:b w:val="0"/>
          <w:bCs w:val="0"/>
        </w:rPr>
      </w:pPr>
      <w:bookmarkStart w:name="（3）未办妥产权证书的投资性房地产情况" w:id="295"/>
      <w:bookmarkEnd w:id="295"/>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21、固定资产" w:id="296"/>
      <w:bookmarkEnd w:id="296"/>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46,311,993.18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37,140,169.13</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46,311,993.18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37,140,169.13</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1）固定资产情况" w:id="297"/>
      <w:bookmarkEnd w:id="29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577"/>
        <w:gridCol w:w="1614"/>
        <w:gridCol w:w="1592"/>
        <w:gridCol w:w="1592"/>
        <w:gridCol w:w="1592"/>
        <w:gridCol w:w="1607"/>
      </w:tblGrid>
      <w:tr>
        <w:trPr>
          <w:trHeight w:val="39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8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right"/>
              <w:rPr>
                <w:rFonts w:ascii="宋体" w:hAnsi="宋体" w:cs="宋体" w:eastAsia="宋体" w:hint="default"/>
                <w:sz w:val="18"/>
                <w:szCs w:val="18"/>
              </w:rPr>
            </w:pPr>
            <w:r>
              <w:rPr>
                <w:rFonts w:ascii="宋体" w:hAnsi="宋体" w:cs="宋体" w:eastAsia="宋体" w:hint="default"/>
                <w:sz w:val="18"/>
                <w:szCs w:val="18"/>
              </w:rPr>
              <w:t>服务器及电子设备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65"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光伏发电设备</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351,500.00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68,291,523.39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15,284,746.93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6,774,994.63</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90,702,764.95</w:t>
            </w: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57"/>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547,991.43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23,189,652.12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4,118,795.57</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27,856,439.12</w:t>
            </w:r>
          </w:p>
        </w:tc>
      </w:tr>
      <w:tr>
        <w:trPr>
          <w:trHeight w:val="7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1,890,645.96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199,277.60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2,089,923.56</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6,155,265.07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1,011,225.65</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7,166,490.72</w:t>
            </w: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重分类</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142,893.77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-142,893.77</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899,491.43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87,073,662.63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18,734,488.22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6,774,994.63</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113,482,636.91</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36,156.66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41,188,215.84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11,726,526.68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611,696.64</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53,562,595.82</w:t>
            </w: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57"/>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122,780.32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15,616,378.55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2,004,628.40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338,749.84</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18,082,537.11</w:t>
            </w:r>
          </w:p>
        </w:tc>
      </w:tr>
      <w:tr>
        <w:trPr>
          <w:trHeight w:val="39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5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3,532,340.39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942,148.81</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4,474,489.20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70"/>
        <w:gridCol w:w="1630"/>
        <w:gridCol w:w="1592"/>
        <w:gridCol w:w="1592"/>
        <w:gridCol w:w="1592"/>
        <w:gridCol w:w="1607"/>
      </w:tblGrid>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）重分类</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130,558.86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-130,558.86</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158,936.98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53,141,695.14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12,919,565.13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950,446.48</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67,170,643.73</w:t>
            </w: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740,554.45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33,931,967.49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5,814,923.09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5,824,548.15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46,311,993.18</w:t>
            </w:r>
          </w:p>
        </w:tc>
      </w:tr>
      <w:tr>
        <w:trPr>
          <w:trHeight w:val="39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315,343.34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27,103,307.55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3,558,220.25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6,163,297.99</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37,140,169.13</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2）暂时闲置的固定资产情况" w:id="298"/>
      <w:bookmarkEnd w:id="298"/>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3）通过融资租赁租入的固定资产情况" w:id="299"/>
      <w:bookmarkEnd w:id="299"/>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4）通过经营租赁租出的固定资产" w:id="300"/>
      <w:bookmarkEnd w:id="300"/>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5）未办妥产权证书的固定资产情况" w:id="301"/>
      <w:bookmarkEnd w:id="301"/>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4"/>
        <w:ind w:right="1105"/>
        <w:jc w:val="left"/>
      </w:pPr>
      <w:r>
        <w:rPr/>
        <w:t>其他说明</w:t>
      </w:r>
    </w:p>
    <w:p>
      <w:pPr>
        <w:pStyle w:val="BodyText"/>
        <w:spacing w:line="240" w:lineRule="auto" w:before="125"/>
        <w:ind w:right="1094"/>
        <w:jc w:val="left"/>
      </w:pPr>
      <w:r>
        <w:rPr>
          <w:rFonts w:ascii="Times New Roman" w:hAnsi="Times New Roman" w:cs="Times New Roman" w:eastAsia="Times New Roman" w:hint="default"/>
        </w:rPr>
        <w:t>2019</w:t>
      </w:r>
      <w:r>
        <w:rPr/>
        <w:t>年度，固定资产计提的折旧金额为</w:t>
      </w:r>
      <w:r>
        <w:rPr>
          <w:rFonts w:ascii="Times New Roman" w:hAnsi="Times New Roman" w:cs="Times New Roman" w:eastAsia="Times New Roman" w:hint="default"/>
        </w:rPr>
        <w:t>18,082,537.11</w:t>
      </w:r>
      <w:r>
        <w:rPr/>
        <w:t>元（</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16,602,987.94</w:t>
      </w:r>
      <w:r>
        <w:rPr/>
        <w:t>元），其中计入营业成本、销售费用、管</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before="44"/>
        <w:ind w:right="1094"/>
        <w:jc w:val="left"/>
        <w:rPr>
          <w:rFonts w:ascii="Times New Roman" w:hAnsi="Times New Roman" w:cs="Times New Roman" w:eastAsia="Times New Roman" w:hint="default"/>
        </w:rPr>
      </w:pPr>
      <w:r>
        <w:rPr>
          <w:spacing w:val="-3"/>
        </w:rPr>
        <w:t>理费用及研发费用的折旧费用分别为</w:t>
      </w:r>
      <w:r>
        <w:rPr>
          <w:rFonts w:ascii="Times New Roman" w:hAnsi="Times New Roman" w:cs="Times New Roman" w:eastAsia="Times New Roman" w:hint="default"/>
          <w:spacing w:val="-3"/>
        </w:rPr>
        <w:t>9,052,521.09</w:t>
      </w:r>
      <w:r>
        <w:rPr>
          <w:spacing w:val="-3"/>
        </w:rPr>
        <w:t>元、</w:t>
      </w:r>
      <w:r>
        <w:rPr>
          <w:rFonts w:ascii="Times New Roman" w:hAnsi="Times New Roman" w:cs="Times New Roman" w:eastAsia="Times New Roman" w:hint="default"/>
          <w:spacing w:val="-3"/>
        </w:rPr>
        <w:t>954,002.33</w:t>
      </w:r>
      <w:r>
        <w:rPr>
          <w:spacing w:val="-3"/>
        </w:rPr>
        <w:t>元、</w:t>
      </w:r>
      <w:r>
        <w:rPr>
          <w:rFonts w:ascii="Times New Roman" w:hAnsi="Times New Roman" w:cs="Times New Roman" w:eastAsia="Times New Roman" w:hint="default"/>
          <w:spacing w:val="-3"/>
        </w:rPr>
        <w:t>2,867,475.07</w:t>
      </w:r>
      <w:r>
        <w:rPr>
          <w:spacing w:val="-3"/>
        </w:rPr>
        <w:t>元及</w:t>
      </w:r>
      <w:r>
        <w:rPr>
          <w:rFonts w:ascii="Times New Roman" w:hAnsi="Times New Roman" w:cs="Times New Roman" w:eastAsia="Times New Roman" w:hint="default"/>
          <w:spacing w:val="-3"/>
        </w:rPr>
        <w:t>5,077,508.64</w:t>
      </w:r>
      <w:r>
        <w:rPr>
          <w:spacing w:val="-3"/>
        </w:rPr>
        <w:t>元（</w:t>
      </w:r>
      <w:r>
        <w:rPr>
          <w:rFonts w:ascii="Times New Roman" w:hAnsi="Times New Roman" w:cs="Times New Roman" w:eastAsia="Times New Roman" w:hint="default"/>
          <w:spacing w:val="-3"/>
        </w:rPr>
        <w:t>2018</w:t>
      </w:r>
      <w:r>
        <w:rPr>
          <w:spacing w:val="-3"/>
        </w:rPr>
        <w:t>年度：</w:t>
      </w:r>
      <w:r>
        <w:rPr>
          <w:rFonts w:ascii="Times New Roman" w:hAnsi="Times New Roman" w:cs="Times New Roman" w:eastAsia="Times New Roman" w:hint="default"/>
          <w:spacing w:val="-3"/>
        </w:rPr>
        <w:t>12,047,085.23</w:t>
      </w:r>
    </w:p>
    <w:p>
      <w:pPr>
        <w:pStyle w:val="BodyText"/>
        <w:spacing w:line="240" w:lineRule="auto" w:before="66"/>
        <w:ind w:right="1105"/>
        <w:jc w:val="left"/>
      </w:pPr>
      <w:r>
        <w:rPr/>
        <w:t>元、</w:t>
      </w:r>
      <w:r>
        <w:rPr>
          <w:rFonts w:ascii="Times New Roman" w:hAnsi="Times New Roman" w:cs="Times New Roman" w:eastAsia="Times New Roman" w:hint="default"/>
        </w:rPr>
        <w:t>520,862.29</w:t>
      </w:r>
      <w:r>
        <w:rPr/>
        <w:t>元、</w:t>
      </w:r>
      <w:r>
        <w:rPr>
          <w:rFonts w:ascii="Times New Roman" w:hAnsi="Times New Roman" w:cs="Times New Roman" w:eastAsia="Times New Roman" w:hint="default"/>
        </w:rPr>
        <w:t>2,033,922.96</w:t>
      </w:r>
      <w:r>
        <w:rPr/>
        <w:t>元及</w:t>
      </w:r>
      <w:r>
        <w:rPr>
          <w:rFonts w:ascii="Times New Roman" w:hAnsi="Times New Roman" w:cs="Times New Roman" w:eastAsia="Times New Roman" w:hint="default"/>
        </w:rPr>
        <w:t>1,861,797.91</w:t>
      </w:r>
      <w:r>
        <w:rPr/>
        <w:t>元）。</w:t>
      </w:r>
    </w:p>
    <w:p>
      <w:pPr>
        <w:spacing w:line="240" w:lineRule="auto" w:before="0"/>
        <w:rPr>
          <w:rFonts w:ascii="宋体" w:hAnsi="宋体" w:cs="宋体" w:eastAsia="宋体" w:hint="default"/>
          <w:sz w:val="18"/>
          <w:szCs w:val="18"/>
        </w:rPr>
      </w:pPr>
    </w:p>
    <w:p>
      <w:pPr>
        <w:pStyle w:val="BodyText"/>
        <w:spacing w:line="240" w:lineRule="auto" w:before="131"/>
        <w:ind w:right="1105"/>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日，本集团无暂时闲置、融资租入、未办妥产权证书或抵押的固定资产。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1105"/>
        <w:jc w:val="left"/>
        <w:rPr>
          <w:b w:val="0"/>
          <w:bCs w:val="0"/>
        </w:rPr>
      </w:pPr>
      <w:bookmarkStart w:name="（6）固定资产清理" w:id="302"/>
      <w:bookmarkEnd w:id="302"/>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22、在建工程" w:id="303"/>
      <w:bookmarkEnd w:id="303"/>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6,332,967.19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2,443,276.04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6,332,967.19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2,443,276.04</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1）在建工程情况" w:id="304"/>
      <w:bookmarkEnd w:id="304"/>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小型分布式光伏 电站</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3,843,107.17</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3,843,107.17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2,383,446.98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2,383,446.98</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产业园一期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1,484,031.42</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1,484,031.42</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装修工程</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945,999.54</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945,999.54</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人力资源管理系 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59,829.06</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59,829.06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59,829.06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59,829.06</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6,332,967.19</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6,332,967.19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2,443,276.04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2,443,276.04</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2）重要在建工程项目本期变动情况" w:id="305"/>
      <w:bookmarkEnd w:id="305"/>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1336"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255" w:right="105"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255" w:right="103"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75" w:right="103"/>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75" w:right="105"/>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90" w:right="90"/>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270" w:right="90" w:hanging="181"/>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90" w:right="90"/>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270" w:right="88"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90" w:right="88"/>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30" w:right="14"/>
              <w:jc w:val="center"/>
              <w:rPr>
                <w:rFonts w:ascii="宋体" w:hAnsi="宋体" w:cs="宋体" w:eastAsia="宋体" w:hint="default"/>
                <w:sz w:val="18"/>
                <w:szCs w:val="18"/>
              </w:rPr>
            </w:pPr>
            <w:r>
              <w:rPr>
                <w:rFonts w:ascii="宋体" w:hAnsi="宋体" w:cs="宋体" w:eastAsia="宋体" w:hint="default"/>
                <w:spacing w:val="-12"/>
                <w:sz w:val="18"/>
                <w:szCs w:val="18"/>
              </w:rPr>
              <w:t>其中：本</w:t>
            </w:r>
            <w:r>
              <w:rPr>
                <w:rFonts w:ascii="宋体" w:hAnsi="宋体" w:cs="宋体" w:eastAsia="宋体" w:hint="default"/>
                <w:sz w:val="18"/>
                <w:szCs w:val="18"/>
              </w:rPr>
              <w:t> 期利息 资本化 金额</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90" w:right="103"/>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255" w:right="103" w:hanging="181"/>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04"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720"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65"/>
              <w:jc w:val="left"/>
              <w:rPr>
                <w:rFonts w:ascii="宋体" w:hAnsi="宋体" w:cs="宋体" w:eastAsia="宋体" w:hint="default"/>
                <w:sz w:val="18"/>
                <w:szCs w:val="18"/>
              </w:rPr>
            </w:pPr>
            <w:r>
              <w:rPr>
                <w:rFonts w:ascii="宋体" w:hAnsi="宋体" w:cs="宋体" w:eastAsia="宋体" w:hint="default"/>
                <w:sz w:val="18"/>
                <w:szCs w:val="18"/>
              </w:rPr>
              <w:t>产业园 一期</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409,710,</w:t>
            </w:r>
          </w:p>
          <w:p>
            <w:pPr>
              <w:pStyle w:val="TableParagraph"/>
              <w:spacing w:line="240" w:lineRule="auto" w:before="93"/>
              <w:ind w:left="164"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1,484,03</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1.42</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1,484,03</w:t>
            </w:r>
          </w:p>
          <w:p>
            <w:pPr>
              <w:pStyle w:val="TableParagraph"/>
              <w:spacing w:line="240" w:lineRule="auto" w:before="93"/>
              <w:ind w:left="390" w:right="0"/>
              <w:jc w:val="left"/>
              <w:rPr>
                <w:rFonts w:ascii="Times New Roman" w:hAnsi="Times New Roman" w:cs="Times New Roman" w:eastAsia="Times New Roman" w:hint="default"/>
                <w:sz w:val="18"/>
                <w:szCs w:val="18"/>
              </w:rPr>
            </w:pPr>
            <w:r>
              <w:rPr>
                <w:rFonts w:ascii="Times New Roman"/>
                <w:sz w:val="18"/>
              </w:rPr>
              <w:t>1.42</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0.36%</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48"/>
              <w:jc w:val="left"/>
              <w:rPr>
                <w:rFonts w:ascii="宋体" w:hAnsi="宋体" w:cs="宋体" w:eastAsia="宋体" w:hint="default"/>
                <w:sz w:val="18"/>
                <w:szCs w:val="18"/>
              </w:rPr>
            </w:pPr>
            <w:r>
              <w:rPr>
                <w:rFonts w:ascii="宋体" w:hAnsi="宋体" w:cs="宋体" w:eastAsia="宋体" w:hint="default"/>
                <w:sz w:val="18"/>
                <w:szCs w:val="18"/>
              </w:rPr>
              <w:t>前期开 发</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63"/>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705"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center"/>
              <w:rPr>
                <w:rFonts w:ascii="Times New Roman" w:hAnsi="Times New Roman" w:cs="Times New Roman" w:eastAsia="Times New Roman" w:hint="default"/>
                <w:sz w:val="18"/>
                <w:szCs w:val="18"/>
              </w:rPr>
            </w:pPr>
            <w:r>
              <w:rPr>
                <w:rFonts w:ascii="Times New Roman"/>
                <w:sz w:val="18"/>
              </w:rPr>
              <w:t>409,710,</w:t>
            </w:r>
          </w:p>
          <w:p>
            <w:pPr>
              <w:pStyle w:val="TableParagraph"/>
              <w:spacing w:line="240" w:lineRule="auto" w:before="108"/>
              <w:ind w:left="164"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1,484,03</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1.42</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1,484,03</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1.42</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3）本期计提在建工程减值准备情况" w:id="306"/>
      <w:bookmarkEnd w:id="306"/>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35"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1105"/>
        <w:jc w:val="left"/>
        <w:rPr>
          <w:b w:val="0"/>
          <w:bCs w:val="0"/>
        </w:rPr>
      </w:pPr>
      <w:bookmarkStart w:name="（4）工程物资" w:id="307"/>
      <w:bookmarkEnd w:id="307"/>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132"/>
        <w:gridCol w:w="1337"/>
        <w:gridCol w:w="1322"/>
        <w:gridCol w:w="1201"/>
        <w:gridCol w:w="1201"/>
        <w:gridCol w:w="1187"/>
        <w:gridCol w:w="1205"/>
      </w:tblGrid>
      <w:tr>
        <w:trPr>
          <w:trHeight w:val="390" w:hRule="exact"/>
        </w:trPr>
        <w:tc>
          <w:tcPr>
            <w:tcW w:w="213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86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93"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2132" w:type="dxa"/>
            <w:vMerge/>
            <w:tcBorders>
              <w:left w:val="single" w:sz="6" w:space="0" w:color="000000"/>
              <w:bottom w:val="single" w:sz="6" w:space="0" w:color="000000"/>
              <w:right w:val="single" w:sz="6" w:space="0" w:color="000000"/>
            </w:tcBorders>
            <w:shd w:val="clear" w:color="auto" w:fill="D2D2D2"/>
          </w:tcPr>
          <w:p>
            <w:pP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5"/>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23、生产性生物资产" w:id="308"/>
      <w:bookmarkEnd w:id="308"/>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1105"/>
        <w:jc w:val="left"/>
        <w:rPr>
          <w:b w:val="0"/>
          <w:bCs w:val="0"/>
        </w:rPr>
      </w:pPr>
      <w:bookmarkStart w:name="（1）采用成本计量模式的生产性生物资产" w:id="309"/>
      <w:bookmarkEnd w:id="309"/>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05"/>
        <w:jc w:val="left"/>
        <w:rPr>
          <w:b w:val="0"/>
          <w:bCs w:val="0"/>
        </w:rPr>
      </w:pPr>
      <w:bookmarkStart w:name="（2）采用公允价值计量模式的生产性生物资产" w:id="310"/>
      <w:bookmarkEnd w:id="310"/>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05"/>
        <w:jc w:val="left"/>
        <w:rPr>
          <w:b w:val="0"/>
          <w:bCs w:val="0"/>
        </w:rPr>
      </w:pPr>
      <w:bookmarkStart w:name="24、油气资产" w:id="311"/>
      <w:bookmarkEnd w:id="311"/>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6"/>
        <w:ind w:right="1105"/>
        <w:jc w:val="left"/>
        <w:rPr>
          <w:b w:val="0"/>
          <w:bCs w:val="0"/>
        </w:rPr>
      </w:pPr>
      <w:bookmarkStart w:name="25、使用权资产" w:id="312"/>
      <w:bookmarkEnd w:id="312"/>
      <w:r>
        <w:rPr>
          <w:b w:val="0"/>
          <w:bCs w:val="0"/>
        </w:rPr>
      </w:r>
      <w:r>
        <w:rPr>
          <w:rFonts w:ascii="Times New Roman" w:hAnsi="Times New Roman" w:cs="Times New Roman" w:eastAsia="Times New Roman" w:hint="default"/>
        </w:rPr>
        <w:t>25</w:t>
      </w:r>
      <w:r>
        <w:rPr/>
        <w:t>、使用权资产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pStyle w:val="BodyText"/>
        <w:spacing w:line="240" w:lineRule="auto" w:before="45"/>
        <w:ind w:right="1105"/>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1105"/>
        <w:jc w:val="left"/>
        <w:rPr>
          <w:b w:val="0"/>
          <w:bCs w:val="0"/>
        </w:rPr>
      </w:pPr>
      <w:bookmarkStart w:name="26、无形资产" w:id="313"/>
      <w:bookmarkEnd w:id="313"/>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1105"/>
        <w:jc w:val="left"/>
        <w:rPr>
          <w:b w:val="0"/>
          <w:bCs w:val="0"/>
        </w:rPr>
      </w:pPr>
      <w:bookmarkStart w:name="（1）无形资产情况" w:id="314"/>
      <w:bookmarkEnd w:id="31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179"/>
        <w:gridCol w:w="1202"/>
        <w:gridCol w:w="1201"/>
        <w:gridCol w:w="1202"/>
        <w:gridCol w:w="1201"/>
        <w:gridCol w:w="1186"/>
        <w:gridCol w:w="1202"/>
        <w:gridCol w:w="1201"/>
      </w:tblGrid>
      <w:tr>
        <w:trPr>
          <w:trHeight w:val="406"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5"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3,100,000.00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56,349,261.19</w:t>
            </w: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59,449,261.19</w:t>
            </w:r>
          </w:p>
        </w:tc>
      </w:tr>
      <w:tr>
        <w:trPr>
          <w:trHeight w:val="720"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7" w:right="12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32"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34,327,044.72</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328,729.91</w:t>
            </w: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34,655,774.63</w:t>
            </w:r>
          </w:p>
        </w:tc>
      </w:tr>
      <w:tr>
        <w:trPr>
          <w:trHeight w:val="705"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28" w:firstLine="525"/>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890,094.20</w:t>
            </w: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890,094.20</w:t>
            </w:r>
          </w:p>
        </w:tc>
      </w:tr>
      <w:tr>
        <w:trPr>
          <w:trHeight w:val="721"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28" w:firstLine="525"/>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8,992,063.30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8,992,063.30</w:t>
            </w:r>
          </w:p>
        </w:tc>
      </w:tr>
      <w:tr>
        <w:trPr>
          <w:trHeight w:val="405"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73,803.91</w:t>
            </w: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73,803.91</w:t>
            </w:r>
          </w:p>
        </w:tc>
      </w:tr>
      <w:tr>
        <w:trPr>
          <w:trHeight w:val="705"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12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532"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34,327,044.72</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3,100,000.00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57,641,889.21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8,992,063.30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104,060,997.23</w:t>
            </w:r>
          </w:p>
        </w:tc>
      </w:tr>
      <w:tr>
        <w:trPr>
          <w:trHeight w:val="406"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1,550,000.04</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50,737,597.76</w:t>
            </w: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52,287,597.80</w:t>
            </w:r>
          </w:p>
        </w:tc>
      </w:tr>
      <w:tr>
        <w:trPr>
          <w:trHeight w:val="706"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12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32"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20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171,635.22</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387,500.04</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2,336,913.45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1,144,444.42</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4,040,493.13</w:t>
            </w:r>
          </w:p>
        </w:tc>
      </w:tr>
      <w:tr>
        <w:trPr>
          <w:trHeight w:val="405"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12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32"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02"/>
        <w:gridCol w:w="1187"/>
        <w:gridCol w:w="1201"/>
        <w:gridCol w:w="1202"/>
        <w:gridCol w:w="1201"/>
        <w:gridCol w:w="1186"/>
        <w:gridCol w:w="1202"/>
        <w:gridCol w:w="1201"/>
      </w:tblGrid>
      <w:tr>
        <w:trPr>
          <w:trHeight w:val="7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171,635.22</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1,937,500.08</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53,074,511.21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1,144,444.42</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56,328,090.93</w:t>
            </w:r>
          </w:p>
        </w:tc>
      </w:tr>
      <w:tr>
        <w:trPr>
          <w:trHeight w:val="39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13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0"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13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0"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13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34,155,409.50</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1,162,499.92</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4,567,378.00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7,847,618.88</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47,732,906.30</w:t>
            </w: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13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1,549,999.96</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5,611,663.43</w:t>
            </w: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7,161,663.39</w:t>
            </w:r>
          </w:p>
        </w:tc>
      </w:tr>
    </w:tbl>
    <w:p>
      <w:pPr>
        <w:pStyle w:val="BodyText"/>
        <w:spacing w:line="240" w:lineRule="auto" w:before="60"/>
        <w:ind w:right="1105"/>
        <w:jc w:val="left"/>
      </w:pPr>
      <w:r>
        <w:rPr/>
        <w:t>本期末通过公司内部研发形成的无形资产占无形资产余额的比例</w:t>
      </w:r>
      <w:r>
        <w:rPr>
          <w:spacing w:val="-39"/>
        </w:rPr>
        <w:t> </w:t>
      </w:r>
      <w:r>
        <w:rPr>
          <w:rFonts w:ascii="Times New Roman" w:hAnsi="Times New Roman" w:cs="Times New Roman" w:eastAsia="Times New Roman" w:hint="default"/>
        </w:rPr>
        <w:t>12.97%</w:t>
      </w:r>
      <w:r>
        <w:rPr/>
        <w:t>。</w:t>
      </w:r>
    </w:p>
    <w:p>
      <w:pPr>
        <w:spacing w:line="240" w:lineRule="auto" w:before="0"/>
        <w:rPr>
          <w:rFonts w:ascii="宋体" w:hAnsi="宋体" w:cs="宋体" w:eastAsia="宋体" w:hint="default"/>
          <w:sz w:val="18"/>
          <w:szCs w:val="18"/>
        </w:rPr>
      </w:pPr>
    </w:p>
    <w:p>
      <w:pPr>
        <w:pStyle w:val="Heading3"/>
        <w:spacing w:line="240" w:lineRule="auto" w:before="126"/>
        <w:ind w:right="1105"/>
        <w:jc w:val="left"/>
        <w:rPr>
          <w:b w:val="0"/>
          <w:bCs w:val="0"/>
        </w:rPr>
      </w:pPr>
      <w:bookmarkStart w:name="（2）未办妥产权证书的土地使用权情况" w:id="315"/>
      <w:bookmarkEnd w:id="315"/>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9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4"/>
        <w:ind w:right="1105"/>
        <w:jc w:val="left"/>
      </w:pPr>
      <w:r>
        <w:rPr/>
        <w:t>其他说明：</w:t>
      </w:r>
    </w:p>
    <w:p>
      <w:pPr>
        <w:pStyle w:val="BodyText"/>
        <w:spacing w:line="302" w:lineRule="auto" w:before="125"/>
        <w:ind w:right="1119"/>
        <w:jc w:val="left"/>
      </w:pPr>
      <w:r>
        <w:rPr>
          <w:rFonts w:ascii="Times New Roman" w:hAnsi="Times New Roman" w:cs="Times New Roman" w:eastAsia="Times New Roman" w:hint="default"/>
        </w:rPr>
        <w:t>2019</w:t>
      </w:r>
      <w:r>
        <w:rPr/>
        <w:t>年度，无形资产的摊销金额为</w:t>
      </w:r>
      <w:r>
        <w:rPr>
          <w:rFonts w:ascii="Times New Roman" w:hAnsi="Times New Roman" w:cs="Times New Roman" w:eastAsia="Times New Roman" w:hint="default"/>
        </w:rPr>
        <w:t>4,040,493.13</w:t>
      </w:r>
      <w:r>
        <w:rPr/>
        <w:t>元（</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3,129,580.89</w:t>
      </w:r>
      <w:r>
        <w:rPr/>
        <w:t>元）。其中计入营业成本、管理费用及在建工程</w:t>
      </w:r>
      <w:r>
        <w:rPr>
          <w:spacing w:val="-86"/>
        </w:rPr>
        <w:t> </w:t>
      </w:r>
      <w:r>
        <w:rPr/>
        <w:t>的摊销金额分别为</w:t>
      </w:r>
      <w:r>
        <w:rPr>
          <w:rFonts w:ascii="Times New Roman" w:hAnsi="Times New Roman" w:cs="Times New Roman" w:eastAsia="Times New Roman" w:hint="default"/>
        </w:rPr>
        <w:t>1,153,256.70</w:t>
      </w:r>
      <w:r>
        <w:rPr/>
        <w:t>元、</w:t>
      </w:r>
      <w:r>
        <w:rPr>
          <w:rFonts w:ascii="Times New Roman" w:hAnsi="Times New Roman" w:cs="Times New Roman" w:eastAsia="Times New Roman" w:hint="default"/>
        </w:rPr>
        <w:t>2,715,601.21</w:t>
      </w:r>
      <w:r>
        <w:rPr/>
        <w:t>元及</w:t>
      </w:r>
      <w:r>
        <w:rPr>
          <w:rFonts w:ascii="Times New Roman" w:hAnsi="Times New Roman" w:cs="Times New Roman" w:eastAsia="Times New Roman" w:hint="default"/>
        </w:rPr>
        <w:t>171,635.22</w:t>
      </w:r>
      <w:r>
        <w:rPr/>
        <w:t>元（</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0.00</w:t>
      </w:r>
      <w:r>
        <w:rPr/>
        <w:t>元、</w:t>
      </w:r>
      <w:r>
        <w:rPr>
          <w:rFonts w:ascii="Times New Roman" w:hAnsi="Times New Roman" w:cs="Times New Roman" w:eastAsia="Times New Roman" w:hint="default"/>
        </w:rPr>
        <w:t>3,129,580.89</w:t>
      </w:r>
      <w:r>
        <w:rPr/>
        <w:t>元及</w:t>
      </w:r>
      <w:r>
        <w:rPr>
          <w:rFonts w:ascii="Times New Roman" w:hAnsi="Times New Roman" w:cs="Times New Roman" w:eastAsia="Times New Roman" w:hint="default"/>
        </w:rPr>
        <w:t>0.00</w:t>
      </w:r>
      <w:r>
        <w:rPr/>
        <w:t>元）。</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right="1105"/>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日，本集团无用于抵押或担保的无形资产，无未办妥产权证书的无形资产。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Heading3"/>
        <w:spacing w:line="240" w:lineRule="auto"/>
        <w:ind w:right="1105"/>
        <w:jc w:val="left"/>
        <w:rPr>
          <w:b w:val="0"/>
          <w:bCs w:val="0"/>
        </w:rPr>
      </w:pPr>
      <w:bookmarkStart w:name="27、开发支出" w:id="316"/>
      <w:bookmarkEnd w:id="316"/>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3184"/>
        <w:gridCol w:w="3199"/>
        <w:gridCol w:w="1066"/>
      </w:tblGrid>
      <w:tr>
        <w:trPr>
          <w:trHeight w:val="390"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3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51"/>
        <w:gridCol w:w="1066"/>
        <w:gridCol w:w="1067"/>
        <w:gridCol w:w="1066"/>
        <w:gridCol w:w="1067"/>
        <w:gridCol w:w="1066"/>
      </w:tblGrid>
      <w:tr>
        <w:trPr>
          <w:trHeight w:val="720"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20" w:right="89" w:hanging="361"/>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45" w:right="74" w:hanging="271"/>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35" w:right="73" w:hanging="361"/>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5"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33"/>
              <w:jc w:val="left"/>
              <w:rPr>
                <w:rFonts w:ascii="宋体" w:hAnsi="宋体" w:cs="宋体" w:eastAsia="宋体" w:hint="default"/>
                <w:sz w:val="18"/>
                <w:szCs w:val="18"/>
              </w:rPr>
            </w:pPr>
            <w:r>
              <w:rPr>
                <w:rFonts w:ascii="宋体" w:hAnsi="宋体" w:cs="宋体" w:eastAsia="宋体" w:hint="default"/>
                <w:sz w:val="18"/>
                <w:szCs w:val="18"/>
              </w:rPr>
              <w:t>瀚云工业互 联网平台</w:t>
            </w:r>
          </w:p>
        </w:tc>
        <w:tc>
          <w:tcPr>
            <w:tcW w:w="10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10,054,348.6</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7</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15,607,715.3</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5</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25,662,064.0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2</w:t>
            </w:r>
          </w:p>
        </w:tc>
      </w:tr>
      <w:tr>
        <w:trPr>
          <w:trHeight w:val="70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10,054,348.6</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7</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15,607,715.3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5</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25,662,064.0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5"/>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1105"/>
        <w:jc w:val="left"/>
        <w:rPr>
          <w:b w:val="0"/>
          <w:bCs w:val="0"/>
        </w:rPr>
      </w:pPr>
      <w:bookmarkStart w:name="28、商誉" w:id="317"/>
      <w:bookmarkEnd w:id="317"/>
      <w:r>
        <w:rPr>
          <w:b w:val="0"/>
          <w:bCs w:val="0"/>
        </w:rPr>
      </w:r>
      <w:r>
        <w:rPr>
          <w:rFonts w:ascii="Times New Roman" w:hAnsi="Times New Roman" w:cs="Times New Roman" w:eastAsia="Times New Roman" w:hint="default"/>
        </w:rPr>
        <w:t>28</w:t>
      </w:r>
      <w:r>
        <w:rPr/>
        <w:t>、商誉</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1105"/>
        <w:jc w:val="left"/>
        <w:rPr>
          <w:b w:val="0"/>
          <w:bCs w:val="0"/>
        </w:rPr>
      </w:pPr>
      <w:bookmarkStart w:name="（1）商誉账面原值" w:id="318"/>
      <w:bookmarkEnd w:id="31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67"/>
        <w:gridCol w:w="1382"/>
        <w:gridCol w:w="1366"/>
        <w:gridCol w:w="1367"/>
        <w:gridCol w:w="1367"/>
      </w:tblGrid>
      <w:tr>
        <w:trPr>
          <w:trHeight w:val="323"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5"/>
              <w:ind w:left="22" w:right="53"/>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5" w:type="dxa"/>
            <w:tcBorders>
              <w:top w:val="single" w:sz="6" w:space="0" w:color="000000"/>
              <w:left w:val="single" w:sz="6" w:space="0" w:color="000000"/>
              <w:bottom w:val="nil" w:sz="6" w:space="0" w:color="auto"/>
              <w:right w:val="single" w:sz="6" w:space="0" w:color="000000"/>
            </w:tcBorders>
            <w:shd w:val="clear" w:color="auto" w:fill="D2D2D2"/>
          </w:tcPr>
          <w:p>
            <w:pPr/>
          </w:p>
        </w:tc>
        <w:tc>
          <w:tcPr>
            <w:tcW w:w="274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5" w:hRule="exact"/>
        </w:trPr>
        <w:tc>
          <w:tcPr>
            <w:tcW w:w="1352" w:type="dxa"/>
            <w:vMerge/>
            <w:tcBorders>
              <w:left w:val="single" w:sz="6" w:space="0" w:color="000000"/>
              <w:right w:val="single" w:sz="6" w:space="0" w:color="000000"/>
            </w:tcBorders>
            <w:shd w:val="clear" w:color="auto" w:fill="D2D2D2"/>
          </w:tcPr>
          <w:p>
            <w:pPr/>
          </w:p>
        </w:tc>
        <w:tc>
          <w:tcPr>
            <w:tcW w:w="137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vMerge/>
            <w:tcBorders>
              <w:left w:val="single" w:sz="6" w:space="0" w:color="000000"/>
              <w:bottom w:val="single" w:sz="6" w:space="0" w:color="000000"/>
              <w:right w:val="single" w:sz="6" w:space="0" w:color="000000"/>
            </w:tcBorders>
            <w:shd w:val="clear" w:color="auto" w:fill="D2D2D2"/>
          </w:tcPr>
          <w:p>
            <w:pPr/>
          </w:p>
        </w:tc>
        <w:tc>
          <w:tcPr>
            <w:tcW w:w="2733" w:type="dxa"/>
            <w:gridSpan w:val="2"/>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255" w:hRule="exact"/>
        </w:trPr>
        <w:tc>
          <w:tcPr>
            <w:tcW w:w="1352" w:type="dxa"/>
            <w:vMerge/>
            <w:tcBorders>
              <w:left w:val="single" w:sz="6" w:space="0" w:color="000000"/>
              <w:right w:val="single" w:sz="6" w:space="0" w:color="000000"/>
            </w:tcBorders>
            <w:shd w:val="clear" w:color="auto" w:fill="D2D2D2"/>
          </w:tcPr>
          <w:p>
            <w:pPr/>
          </w:p>
        </w:tc>
        <w:tc>
          <w:tcPr>
            <w:tcW w:w="1375" w:type="dxa"/>
            <w:vMerge/>
            <w:tcBorders>
              <w:left w:val="single" w:sz="6" w:space="0" w:color="000000"/>
              <w:bottom w:val="nil" w:sz="6" w:space="0" w:color="auto"/>
              <w:right w:val="single" w:sz="6" w:space="0" w:color="000000"/>
            </w:tcBorders>
            <w:shd w:val="clear" w:color="auto" w:fill="D2D2D2"/>
          </w:tcPr>
          <w:p>
            <w:pP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left="45"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14"/>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28"/>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6" w:space="0" w:color="000000"/>
              <w:left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323"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39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从兴电力业务</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8,520,081.59</w:t>
            </w:r>
          </w:p>
        </w:tc>
        <w:tc>
          <w:tcPr>
            <w:tcW w:w="1367" w:type="dxa"/>
            <w:tcBorders>
              <w:top w:val="single" w:sz="54" w:space="0" w:color="D2D2D2"/>
              <w:left w:val="single" w:sz="6" w:space="0" w:color="000000"/>
              <w:bottom w:val="single" w:sz="6" w:space="0" w:color="000000"/>
              <w:right w:val="single" w:sz="6" w:space="0" w:color="000000"/>
            </w:tcBorders>
          </w:tcPr>
          <w:p>
            <w:pPr/>
          </w:p>
        </w:tc>
        <w:tc>
          <w:tcPr>
            <w:tcW w:w="1382" w:type="dxa"/>
            <w:tcBorders>
              <w:top w:val="single" w:sz="54" w:space="0" w:color="D2D2D2"/>
              <w:left w:val="single" w:sz="6" w:space="0" w:color="000000"/>
              <w:bottom w:val="single" w:sz="6" w:space="0" w:color="000000"/>
              <w:right w:val="single" w:sz="6" w:space="0" w:color="000000"/>
            </w:tcBorders>
          </w:tcPr>
          <w:p>
            <w:pPr/>
          </w:p>
        </w:tc>
        <w:tc>
          <w:tcPr>
            <w:tcW w:w="1366" w:type="dxa"/>
            <w:tcBorders>
              <w:top w:val="single" w:sz="54" w:space="0" w:color="D2D2D2"/>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8,520,081.59</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朗新金关</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7,875,967.88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7,875,967.88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68"/>
              <w:jc w:val="left"/>
              <w:rPr>
                <w:rFonts w:ascii="宋体" w:hAnsi="宋体" w:cs="宋体" w:eastAsia="宋体" w:hint="default"/>
                <w:sz w:val="18"/>
                <w:szCs w:val="18"/>
              </w:rPr>
            </w:pPr>
            <w:r>
              <w:rPr>
                <w:rFonts w:ascii="宋体" w:hAnsi="宋体" w:cs="宋体" w:eastAsia="宋体" w:hint="default"/>
                <w:sz w:val="18"/>
                <w:szCs w:val="18"/>
              </w:rPr>
              <w:t>天正信华电力业 务</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15,008,803.02</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15,008,803.02</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邦道科技</w:t>
            </w:r>
            <w:r>
              <w:rPr>
                <w:rFonts w:ascii="Times New Roman" w:hAnsi="Times New Roman" w:cs="Times New Roman" w:eastAsia="Times New Roman" w:hint="default"/>
                <w:sz w:val="18"/>
                <w:szCs w:val="18"/>
              </w:rPr>
              <w:t>(a)</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1,114,085,408.60</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1,114,085,408.60</w:t>
            </w:r>
          </w:p>
        </w:tc>
      </w:tr>
      <w:tr>
        <w:trPr>
          <w:trHeight w:val="39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易天气</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6,600,000.00</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6,600,000.00</w:t>
            </w: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数联领航</w:t>
            </w:r>
            <w:r>
              <w:rPr>
                <w:rFonts w:ascii="Times New Roman" w:hAnsi="Times New Roman" w:cs="Times New Roman" w:eastAsia="Times New Roman" w:hint="default"/>
                <w:sz w:val="18"/>
                <w:szCs w:val="18"/>
              </w:rPr>
              <w:t>(b)</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15,316,070.23</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15,316,070.23</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大米视讯</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22,250,974.64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22,250,974.64</w:t>
            </w: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53,655,827.13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1,129,401,478.83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6,600,000.00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7,875,967.88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1,181,781,338.08</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2）商誉减值准备" w:id="319"/>
      <w:bookmarkEnd w:id="31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67"/>
        <w:gridCol w:w="1382"/>
        <w:gridCol w:w="1366"/>
        <w:gridCol w:w="1367"/>
        <w:gridCol w:w="1367"/>
      </w:tblGrid>
      <w:tr>
        <w:trPr>
          <w:trHeight w:val="307"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22" w:right="53"/>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5" w:type="dxa"/>
            <w:tcBorders>
              <w:top w:val="single" w:sz="6" w:space="0" w:color="000000"/>
              <w:left w:val="single" w:sz="6" w:space="0" w:color="000000"/>
              <w:bottom w:val="nil" w:sz="6" w:space="0" w:color="auto"/>
              <w:right w:val="single" w:sz="6" w:space="0" w:color="000000"/>
            </w:tcBorders>
            <w:shd w:val="clear" w:color="auto" w:fill="D2D2D2"/>
          </w:tcPr>
          <w:p>
            <w:pPr/>
          </w:p>
        </w:tc>
        <w:tc>
          <w:tcPr>
            <w:tcW w:w="274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0" w:hRule="exact"/>
        </w:trPr>
        <w:tc>
          <w:tcPr>
            <w:tcW w:w="1352" w:type="dxa"/>
            <w:vMerge/>
            <w:tcBorders>
              <w:left w:val="single" w:sz="6" w:space="0" w:color="000000"/>
              <w:right w:val="single" w:sz="6" w:space="0" w:color="000000"/>
            </w:tcBorders>
            <w:shd w:val="clear" w:color="auto" w:fill="D2D2D2"/>
          </w:tcPr>
          <w:p>
            <w:pPr/>
          </w:p>
        </w:tc>
        <w:tc>
          <w:tcPr>
            <w:tcW w:w="137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vMerge/>
            <w:tcBorders>
              <w:left w:val="single" w:sz="6" w:space="0" w:color="000000"/>
              <w:bottom w:val="single" w:sz="6" w:space="0" w:color="000000"/>
              <w:right w:val="single" w:sz="6" w:space="0" w:color="000000"/>
            </w:tcBorders>
            <w:shd w:val="clear" w:color="auto" w:fill="D2D2D2"/>
          </w:tcPr>
          <w:p>
            <w:pPr/>
          </w:p>
        </w:tc>
        <w:tc>
          <w:tcPr>
            <w:tcW w:w="2733" w:type="dxa"/>
            <w:gridSpan w:val="2"/>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240" w:hRule="exact"/>
        </w:trPr>
        <w:tc>
          <w:tcPr>
            <w:tcW w:w="1352" w:type="dxa"/>
            <w:vMerge/>
            <w:tcBorders>
              <w:left w:val="single" w:sz="6" w:space="0" w:color="000000"/>
              <w:right w:val="single" w:sz="6" w:space="0" w:color="000000"/>
            </w:tcBorders>
            <w:shd w:val="clear" w:color="auto" w:fill="D2D2D2"/>
          </w:tcPr>
          <w:p>
            <w:pPr/>
          </w:p>
        </w:tc>
        <w:tc>
          <w:tcPr>
            <w:tcW w:w="1375" w:type="dxa"/>
            <w:vMerge/>
            <w:tcBorders>
              <w:left w:val="single" w:sz="6" w:space="0" w:color="000000"/>
              <w:bottom w:val="nil" w:sz="6" w:space="0" w:color="auto"/>
              <w:right w:val="single" w:sz="6" w:space="0" w:color="000000"/>
            </w:tcBorders>
            <w:shd w:val="clear" w:color="auto" w:fill="D2D2D2"/>
          </w:tcPr>
          <w:p>
            <w:pP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82" w:type="dxa"/>
            <w:vMerge w:val="restart"/>
            <w:tcBorders>
              <w:top w:val="single" w:sz="6" w:space="0" w:color="000000"/>
              <w:left w:val="single" w:sz="6" w:space="0" w:color="000000"/>
              <w:right w:val="single" w:sz="6" w:space="0" w:color="000000"/>
            </w:tcBorders>
            <w:shd w:val="clear" w:color="auto" w:fill="D2D2D2"/>
          </w:tcPr>
          <w:p>
            <w:pP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28"/>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6" w:space="0" w:color="000000"/>
              <w:left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323"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大米视讯</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22,250,974.64</w:t>
            </w:r>
          </w:p>
        </w:tc>
        <w:tc>
          <w:tcPr>
            <w:tcW w:w="1367" w:type="dxa"/>
            <w:tcBorders>
              <w:top w:val="single" w:sz="48" w:space="0" w:color="D2D2D2"/>
              <w:left w:val="single" w:sz="6" w:space="0" w:color="000000"/>
              <w:bottom w:val="single" w:sz="6" w:space="0" w:color="000000"/>
              <w:right w:val="single" w:sz="6" w:space="0" w:color="000000"/>
            </w:tcBorders>
          </w:tcPr>
          <w:p>
            <w:pPr/>
          </w:p>
        </w:tc>
        <w:tc>
          <w:tcPr>
            <w:tcW w:w="1382" w:type="dxa"/>
            <w:tcBorders>
              <w:top w:val="single" w:sz="48" w:space="0" w:color="D2D2D2"/>
              <w:left w:val="single" w:sz="6" w:space="0" w:color="000000"/>
              <w:bottom w:val="single" w:sz="6" w:space="0" w:color="000000"/>
              <w:right w:val="single" w:sz="6" w:space="0" w:color="000000"/>
            </w:tcBorders>
          </w:tcPr>
          <w:p>
            <w:pPr/>
          </w:p>
        </w:tc>
        <w:tc>
          <w:tcPr>
            <w:tcW w:w="1366" w:type="dxa"/>
            <w:tcBorders>
              <w:top w:val="single" w:sz="48" w:space="0" w:color="D2D2D2"/>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22,250,974.64</w:t>
            </w: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22,250,974.64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22,250,974.64</w:t>
            </w:r>
          </w:p>
        </w:tc>
      </w:tr>
    </w:tbl>
    <w:p>
      <w:pPr>
        <w:pStyle w:val="BodyText"/>
        <w:spacing w:line="240" w:lineRule="auto" w:before="44"/>
        <w:ind w:right="1105"/>
        <w:jc w:val="left"/>
      </w:pPr>
      <w:r>
        <w:rPr/>
        <w:t>商誉所在资产组或资产组组合的相关信息</w:t>
      </w:r>
    </w:p>
    <w:p>
      <w:pPr>
        <w:pStyle w:val="BodyText"/>
        <w:spacing w:line="304" w:lineRule="auto" w:before="125"/>
        <w:ind w:right="1105"/>
        <w:jc w:val="left"/>
      </w:pPr>
      <w:r>
        <w:rPr>
          <w:spacing w:val="-2"/>
        </w:rPr>
        <w:t>说明商誉减值测试过程、关键参数（如预计未来现金流量现值时的预测期增长率、稳定期增长率、利润率、折现率、预测期</w:t>
      </w:r>
      <w:r>
        <w:rPr>
          <w:spacing w:val="-72"/>
        </w:rPr>
        <w:t> </w:t>
      </w:r>
      <w:r>
        <w:rPr>
          <w:spacing w:val="-72"/>
        </w:rPr>
      </w:r>
      <w:r>
        <w:rPr/>
        <w:t>等）及商誉减值损失的确认方法：</w:t>
      </w:r>
    </w:p>
    <w:p>
      <w:pPr>
        <w:pStyle w:val="BodyText"/>
        <w:spacing w:line="321" w:lineRule="auto" w:before="76"/>
        <w:ind w:right="1105"/>
        <w:jc w:val="left"/>
      </w:pPr>
      <w:r>
        <w:rPr>
          <w:spacing w:val="-2"/>
        </w:rPr>
        <w:t>资产组的可收回金额是依据管理层批准的每个资产负债表日的五年期预算，采用现金流量预测方法计算，此外超过该五年期</w:t>
      </w:r>
      <w:r>
        <w:rPr>
          <w:spacing w:val="-69"/>
        </w:rPr>
        <w:t> </w:t>
      </w:r>
      <w:r>
        <w:rPr>
          <w:spacing w:val="-69"/>
        </w:rPr>
      </w:r>
      <w:r>
        <w:rPr/>
        <w:t>的现金流量增长率为零作出推算。</w:t>
      </w:r>
    </w:p>
    <w:p>
      <w:pPr>
        <w:spacing w:after="0" w:line="321"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1105"/>
        <w:jc w:val="left"/>
      </w:pPr>
      <w:r>
        <w:rPr/>
        <w:t>采用未来现金流量折现方法的主要假设</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2072"/>
        <w:gridCol w:w="1998"/>
        <w:gridCol w:w="2313"/>
        <w:gridCol w:w="1682"/>
        <w:gridCol w:w="1562"/>
      </w:tblGrid>
      <w:tr>
        <w:trPr>
          <w:trHeight w:val="345" w:hRule="exact"/>
        </w:trPr>
        <w:tc>
          <w:tcPr>
            <w:tcW w:w="2072" w:type="dxa"/>
            <w:vMerge w:val="restart"/>
            <w:tcBorders>
              <w:top w:val="single" w:sz="6" w:space="0" w:color="000000"/>
              <w:left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755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5" w:hRule="exact"/>
        </w:trPr>
        <w:tc>
          <w:tcPr>
            <w:tcW w:w="2072" w:type="dxa"/>
            <w:vMerge/>
            <w:tcBorders>
              <w:left w:val="single" w:sz="6" w:space="0" w:color="000000"/>
              <w:bottom w:val="single" w:sz="6" w:space="0" w:color="000000"/>
              <w:right w:val="single" w:sz="6" w:space="0" w:color="000000"/>
            </w:tcBorders>
          </w:tcPr>
          <w:p>
            <w:pP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16" w:right="0"/>
              <w:jc w:val="left"/>
              <w:rPr>
                <w:rFonts w:ascii="宋体" w:hAnsi="宋体" w:cs="宋体" w:eastAsia="宋体" w:hint="default"/>
                <w:sz w:val="18"/>
                <w:szCs w:val="18"/>
              </w:rPr>
            </w:pPr>
            <w:r>
              <w:rPr>
                <w:rFonts w:ascii="宋体" w:hAnsi="宋体" w:cs="宋体" w:eastAsia="宋体" w:hint="default"/>
                <w:sz w:val="18"/>
                <w:szCs w:val="18"/>
              </w:rPr>
              <w:t>从兴电力</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20" w:right="0"/>
              <w:jc w:val="left"/>
              <w:rPr>
                <w:rFonts w:ascii="宋体" w:hAnsi="宋体" w:cs="宋体" w:eastAsia="宋体" w:hint="default"/>
                <w:sz w:val="18"/>
                <w:szCs w:val="18"/>
              </w:rPr>
            </w:pPr>
            <w:r>
              <w:rPr>
                <w:rFonts w:ascii="宋体" w:hAnsi="宋体" w:cs="宋体" w:eastAsia="宋体" w:hint="default"/>
                <w:sz w:val="18"/>
                <w:szCs w:val="18"/>
              </w:rPr>
              <w:t>天正信华电力业务</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80" w:right="0"/>
              <w:jc w:val="left"/>
              <w:rPr>
                <w:rFonts w:ascii="宋体" w:hAnsi="宋体" w:cs="宋体" w:eastAsia="宋体" w:hint="default"/>
                <w:sz w:val="18"/>
                <w:szCs w:val="18"/>
              </w:rPr>
            </w:pPr>
            <w:r>
              <w:rPr>
                <w:rFonts w:ascii="宋体" w:hAnsi="宋体" w:cs="宋体" w:eastAsia="宋体" w:hint="default"/>
                <w:sz w:val="18"/>
                <w:szCs w:val="18"/>
              </w:rPr>
              <w:t>邦道科技</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20" w:right="0"/>
              <w:jc w:val="left"/>
              <w:rPr>
                <w:rFonts w:ascii="宋体" w:hAnsi="宋体" w:cs="宋体" w:eastAsia="宋体" w:hint="default"/>
                <w:sz w:val="18"/>
                <w:szCs w:val="18"/>
              </w:rPr>
            </w:pPr>
            <w:r>
              <w:rPr>
                <w:rFonts w:ascii="宋体" w:hAnsi="宋体" w:cs="宋体" w:eastAsia="宋体" w:hint="default"/>
                <w:sz w:val="18"/>
                <w:szCs w:val="18"/>
              </w:rPr>
              <w:t>数联领航</w:t>
            </w:r>
          </w:p>
        </w:tc>
      </w:tr>
      <w:tr>
        <w:trPr>
          <w:trHeight w:val="435" w:hRule="exact"/>
        </w:trPr>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收入增长率</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3"/>
              <w:jc w:val="right"/>
              <w:rPr>
                <w:rFonts w:ascii="Times New Roman" w:hAnsi="Times New Roman" w:cs="Times New Roman" w:eastAsia="Times New Roman" w:hint="default"/>
                <w:sz w:val="18"/>
                <w:szCs w:val="18"/>
              </w:rPr>
            </w:pPr>
            <w:r>
              <w:rPr>
                <w:rFonts w:ascii="Times New Roman"/>
                <w:sz w:val="18"/>
              </w:rPr>
              <w:t>12%</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284"/>
              <w:jc w:val="right"/>
              <w:rPr>
                <w:rFonts w:ascii="Times New Roman" w:hAnsi="Times New Roman" w:cs="Times New Roman" w:eastAsia="Times New Roman" w:hint="default"/>
                <w:sz w:val="18"/>
                <w:szCs w:val="18"/>
              </w:rPr>
            </w:pPr>
            <w:r>
              <w:rPr>
                <w:rFonts w:ascii="Times New Roman"/>
                <w:w w:val="95"/>
                <w:sz w:val="18"/>
              </w:rPr>
              <w:t>3%</w:t>
            </w:r>
            <w:r>
              <w:rPr>
                <w:rFonts w:ascii="Times New Roman"/>
                <w:sz w:val="18"/>
              </w:rPr>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5"/>
              <w:jc w:val="right"/>
              <w:rPr>
                <w:rFonts w:ascii="Times New Roman" w:hAnsi="Times New Roman" w:cs="Times New Roman" w:eastAsia="Times New Roman" w:hint="default"/>
                <w:sz w:val="18"/>
                <w:szCs w:val="18"/>
              </w:rPr>
            </w:pPr>
            <w:r>
              <w:rPr>
                <w:rFonts w:ascii="Times New Roman"/>
                <w:sz w:val="18"/>
              </w:rPr>
              <w:t>5%-13%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5"/>
              <w:jc w:val="right"/>
              <w:rPr>
                <w:rFonts w:ascii="Times New Roman" w:hAnsi="Times New Roman" w:cs="Times New Roman" w:eastAsia="Times New Roman" w:hint="default"/>
                <w:sz w:val="18"/>
                <w:szCs w:val="18"/>
              </w:rPr>
            </w:pPr>
            <w:r>
              <w:rPr>
                <w:rFonts w:ascii="Times New Roman"/>
                <w:sz w:val="18"/>
              </w:rPr>
              <w:t>5%-70%</w:t>
            </w:r>
          </w:p>
        </w:tc>
      </w:tr>
      <w:tr>
        <w:trPr>
          <w:trHeight w:val="421" w:hRule="exact"/>
        </w:trPr>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平均毛利率</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43%</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44%</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62%-69%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81%-84%</w:t>
            </w:r>
          </w:p>
        </w:tc>
      </w:tr>
      <w:tr>
        <w:trPr>
          <w:trHeight w:val="420" w:hRule="exact"/>
        </w:trPr>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折现率</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3"/>
              <w:jc w:val="right"/>
              <w:rPr>
                <w:rFonts w:ascii="Times New Roman" w:hAnsi="Times New Roman" w:cs="Times New Roman" w:eastAsia="Times New Roman" w:hint="default"/>
                <w:sz w:val="18"/>
                <w:szCs w:val="18"/>
              </w:rPr>
            </w:pPr>
            <w:r>
              <w:rPr>
                <w:rFonts w:ascii="Times New Roman"/>
                <w:w w:val="95"/>
                <w:sz w:val="18"/>
              </w:rPr>
              <w:t>13.62%</w:t>
            </w:r>
            <w:r>
              <w:rPr>
                <w:rFonts w:ascii="Times New Roman"/>
                <w:sz w:val="18"/>
              </w:rPr>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w w:val="95"/>
                <w:sz w:val="18"/>
              </w:rPr>
              <w:t>13.62%</w:t>
            </w:r>
            <w:r>
              <w:rPr>
                <w:rFonts w:ascii="Times New Roman"/>
                <w:sz w:val="18"/>
              </w:rPr>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5"/>
              <w:jc w:val="right"/>
              <w:rPr>
                <w:rFonts w:ascii="Times New Roman" w:hAnsi="Times New Roman" w:cs="Times New Roman" w:eastAsia="Times New Roman" w:hint="default"/>
                <w:sz w:val="18"/>
                <w:szCs w:val="18"/>
              </w:rPr>
            </w:pPr>
            <w:r>
              <w:rPr>
                <w:rFonts w:ascii="Times New Roman"/>
                <w:w w:val="95"/>
                <w:sz w:val="18"/>
              </w:rPr>
              <w:t>17.30%</w:t>
            </w:r>
            <w:r>
              <w:rPr>
                <w:rFonts w:ascii="Times New Roman"/>
                <w:sz w:val="18"/>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5"/>
              <w:jc w:val="right"/>
              <w:rPr>
                <w:rFonts w:ascii="Times New Roman" w:hAnsi="Times New Roman" w:cs="Times New Roman" w:eastAsia="Times New Roman" w:hint="default"/>
                <w:sz w:val="18"/>
                <w:szCs w:val="18"/>
              </w:rPr>
            </w:pPr>
            <w:r>
              <w:rPr>
                <w:rFonts w:ascii="Times New Roman"/>
                <w:w w:val="95"/>
                <w:sz w:val="18"/>
              </w:rPr>
              <w:t>16.34%</w:t>
            </w:r>
            <w:r>
              <w:rPr>
                <w:rFonts w:ascii="Times New Roman"/>
                <w:sz w:val="18"/>
              </w:rPr>
            </w:r>
          </w:p>
        </w:tc>
      </w:tr>
    </w:tbl>
    <w:p>
      <w:pPr>
        <w:spacing w:line="240" w:lineRule="auto" w:before="9"/>
        <w:rPr>
          <w:rFonts w:ascii="宋体" w:hAnsi="宋体" w:cs="宋体" w:eastAsia="宋体" w:hint="default"/>
          <w:sz w:val="20"/>
          <w:szCs w:val="20"/>
        </w:rPr>
      </w:pPr>
    </w:p>
    <w:p>
      <w:pPr>
        <w:pStyle w:val="BodyText"/>
        <w:spacing w:line="321" w:lineRule="auto" w:before="44"/>
        <w:ind w:right="1105"/>
        <w:jc w:val="left"/>
      </w:pPr>
      <w:r>
        <w:rPr/>
        <w:t>本集团根据历史经验及对市场发展的预测确定增长率和毛利率，并采用能够反映相关资产组的特定风险的税前利率为折现</w:t>
      </w:r>
      <w:r>
        <w:rPr>
          <w:spacing w:val="2"/>
        </w:rPr>
        <w:t> </w:t>
      </w:r>
      <w:r>
        <w:rPr>
          <w:spacing w:val="2"/>
        </w:rPr>
      </w:r>
      <w:r>
        <w:rPr/>
        <w:t>率，稳定期增长率为本集团预测五年期预算后的现金流量所采用的平均增长率。</w:t>
      </w:r>
    </w:p>
    <w:p>
      <w:pPr>
        <w:pStyle w:val="BodyText"/>
        <w:spacing w:line="646" w:lineRule="exact" w:before="42"/>
        <w:ind w:right="6609"/>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日，未发现上述其他商誉存在减值。 商誉减值测试的影响</w:t>
      </w:r>
    </w:p>
    <w:p>
      <w:pPr>
        <w:pStyle w:val="BodyText"/>
        <w:spacing w:line="240" w:lineRule="auto" w:before="6"/>
        <w:ind w:right="1105"/>
        <w:jc w:val="left"/>
      </w:pPr>
      <w:r>
        <w:rPr/>
        <w:t>其他说明</w:t>
      </w:r>
    </w:p>
    <w:p>
      <w:pPr>
        <w:pStyle w:val="BodyText"/>
        <w:spacing w:line="302" w:lineRule="auto" w:before="140"/>
        <w:ind w:right="1105"/>
        <w:jc w:val="left"/>
      </w:pPr>
      <w:r>
        <w:rPr>
          <w:rFonts w:ascii="Times New Roman" w:hAnsi="Times New Roman" w:cs="Times New Roman" w:eastAsia="Times New Roman" w:hint="default"/>
          <w:spacing w:val="-1"/>
        </w:rPr>
        <w:t>(a)</w:t>
      </w:r>
      <w:r>
        <w:rPr>
          <w:spacing w:val="-1"/>
        </w:rPr>
        <w:t>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31</w:t>
      </w:r>
      <w:r>
        <w:rPr>
          <w:spacing w:val="-1"/>
        </w:rPr>
        <w:t>日，本公司以发行股份方式完成对邦道科技的收购，合并对价与合并日邦道科技可辨认净资产公允价值的</w:t>
      </w:r>
      <w:r>
        <w:rPr>
          <w:spacing w:val="-38"/>
        </w:rPr>
        <w:t> </w:t>
      </w:r>
      <w:r>
        <w:rPr/>
        <w:t>差额确认为商誉，具体详见附注八</w:t>
      </w:r>
      <w:r>
        <w:rPr>
          <w:rFonts w:ascii="Times New Roman" w:hAnsi="Times New Roman" w:cs="Times New Roman" w:eastAsia="Times New Roman" w:hint="default"/>
        </w:rPr>
        <w:t>(1)</w:t>
      </w:r>
      <w:r>
        <w:rPr/>
        <w:t>。</w:t>
      </w:r>
    </w:p>
    <w:p>
      <w:pPr>
        <w:spacing w:line="240" w:lineRule="auto" w:before="1"/>
        <w:rPr>
          <w:rFonts w:ascii="宋体" w:hAnsi="宋体" w:cs="宋体" w:eastAsia="宋体" w:hint="default"/>
          <w:sz w:val="24"/>
          <w:szCs w:val="24"/>
        </w:rPr>
      </w:pPr>
    </w:p>
    <w:p>
      <w:pPr>
        <w:pStyle w:val="BodyText"/>
        <w:spacing w:line="304" w:lineRule="auto"/>
        <w:ind w:right="1105"/>
        <w:jc w:val="left"/>
      </w:pPr>
      <w:r>
        <w:rPr>
          <w:rFonts w:ascii="Times New Roman" w:hAnsi="Times New Roman" w:cs="Times New Roman" w:eastAsia="Times New Roman" w:hint="default"/>
        </w:rPr>
        <w:t>(b)</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日，本公司子公司易视腾以增资方式完成对数联领航的增资，合并对价与合并日数联领航可辨认净资产</w:t>
      </w:r>
      <w:r>
        <w:rPr>
          <w:spacing w:val="-27"/>
        </w:rPr>
        <w:t> </w:t>
      </w:r>
      <w:r>
        <w:rPr>
          <w:spacing w:val="-27"/>
        </w:rPr>
      </w:r>
      <w:r>
        <w:rPr/>
        <w:t>公允价值的差额确认为商誉，具体详见附注八</w:t>
      </w:r>
      <w:r>
        <w:rPr>
          <w:rFonts w:ascii="Times New Roman" w:hAnsi="Times New Roman" w:cs="Times New Roman" w:eastAsia="Times New Roman" w:hint="default"/>
        </w:rPr>
        <w:t>(1)</w:t>
      </w:r>
      <w:r>
        <w:rPr/>
        <w:t>。</w:t>
      </w:r>
    </w:p>
    <w:p>
      <w:pPr>
        <w:spacing w:line="240" w:lineRule="auto" w:before="0"/>
        <w:rPr>
          <w:rFonts w:ascii="宋体" w:hAnsi="宋体" w:cs="宋体" w:eastAsia="宋体" w:hint="default"/>
          <w:sz w:val="25"/>
          <w:szCs w:val="25"/>
        </w:rPr>
      </w:pPr>
    </w:p>
    <w:p>
      <w:pPr>
        <w:pStyle w:val="BodyText"/>
        <w:spacing w:line="578" w:lineRule="auto"/>
        <w:ind w:right="2829"/>
        <w:jc w:val="left"/>
      </w:pPr>
      <w:r>
        <w:rPr>
          <w:rFonts w:ascii="Times New Roman" w:hAnsi="Times New Roman" w:cs="Times New Roman" w:eastAsia="Times New Roman" w:hint="default"/>
        </w:rPr>
        <w:t>(c)</w:t>
      </w:r>
      <w:r>
        <w:rPr/>
        <w:t>减值</w:t>
      </w:r>
      <w:r>
        <w:rPr>
          <w:w w:val="99"/>
        </w:rPr>
        <w:t> </w:t>
      </w:r>
      <w:r>
        <w:rPr/>
        <w:t>本集团的所有商誉已于购买日分摊至相关的资产组或资产组组合，分摊情况根据经营分部汇总如下：</w:t>
      </w:r>
    </w:p>
    <w:p>
      <w:pPr>
        <w:spacing w:line="240" w:lineRule="auto" w:before="11"/>
        <w:rPr>
          <w:rFonts w:ascii="宋体" w:hAnsi="宋体" w:cs="宋体" w:eastAsia="宋体" w:hint="default"/>
          <w:sz w:val="10"/>
          <w:szCs w:val="10"/>
        </w:rPr>
      </w:pPr>
    </w:p>
    <w:tbl>
      <w:tblPr>
        <w:tblW w:w="0" w:type="auto"/>
        <w:jc w:val="left"/>
        <w:tblInd w:w="126" w:type="dxa"/>
        <w:tblLayout w:type="fixed"/>
        <w:tblCellMar>
          <w:top w:w="0" w:type="dxa"/>
          <w:left w:w="0" w:type="dxa"/>
          <w:bottom w:w="0" w:type="dxa"/>
          <w:right w:w="0" w:type="dxa"/>
        </w:tblCellMar>
        <w:tblLook w:val="01E0"/>
      </w:tblPr>
      <w:tblGrid>
        <w:gridCol w:w="2072"/>
        <w:gridCol w:w="2298"/>
        <w:gridCol w:w="2298"/>
      </w:tblGrid>
      <w:tr>
        <w:trPr>
          <w:trHeight w:val="345" w:hRule="exact"/>
        </w:trPr>
        <w:tc>
          <w:tcPr>
            <w:tcW w:w="2072" w:type="dxa"/>
            <w:tcBorders>
              <w:top w:val="single" w:sz="6" w:space="0" w:color="000000"/>
              <w:left w:val="single" w:sz="6" w:space="0" w:color="000000"/>
              <w:bottom w:val="single" w:sz="6" w:space="0" w:color="000000"/>
              <w:right w:val="single" w:sz="6" w:space="0" w:color="000000"/>
            </w:tcBorders>
          </w:tcPr>
          <w:p>
            <w:pP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5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6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420" w:hRule="exact"/>
        </w:trPr>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从兴电力业务</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8,520,081.59</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89"/>
              <w:jc w:val="right"/>
              <w:rPr>
                <w:rFonts w:ascii="Times New Roman" w:hAnsi="Times New Roman" w:cs="Times New Roman" w:eastAsia="Times New Roman" w:hint="default"/>
                <w:sz w:val="18"/>
                <w:szCs w:val="18"/>
              </w:rPr>
            </w:pPr>
            <w:r>
              <w:rPr>
                <w:rFonts w:ascii="Times New Roman"/>
                <w:sz w:val="18"/>
              </w:rPr>
              <w:t>8,520,081.59</w:t>
            </w:r>
          </w:p>
        </w:tc>
      </w:tr>
      <w:tr>
        <w:trPr>
          <w:trHeight w:val="436" w:hRule="exact"/>
        </w:trPr>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天正信华电力业务</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15,008,803.02</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15,008,803.02</w:t>
            </w:r>
          </w:p>
        </w:tc>
      </w:tr>
      <w:tr>
        <w:trPr>
          <w:trHeight w:val="420" w:hRule="exact"/>
        </w:trPr>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朗新金关</w:t>
            </w:r>
          </w:p>
        </w:tc>
        <w:tc>
          <w:tcPr>
            <w:tcW w:w="2298" w:type="dxa"/>
            <w:tcBorders>
              <w:top w:val="single" w:sz="6" w:space="0" w:color="000000"/>
              <w:left w:val="single" w:sz="6" w:space="0" w:color="000000"/>
              <w:bottom w:val="single" w:sz="6" w:space="0" w:color="000000"/>
              <w:right w:val="single" w:sz="6" w:space="0" w:color="000000"/>
            </w:tcBorders>
          </w:tcPr>
          <w:p>
            <w:pP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1"/>
              <w:jc w:val="right"/>
              <w:rPr>
                <w:rFonts w:ascii="Times New Roman" w:hAnsi="Times New Roman" w:cs="Times New Roman" w:eastAsia="Times New Roman" w:hint="default"/>
                <w:sz w:val="18"/>
                <w:szCs w:val="18"/>
              </w:rPr>
            </w:pPr>
            <w:r>
              <w:rPr>
                <w:rFonts w:ascii="Times New Roman"/>
                <w:sz w:val="18"/>
              </w:rPr>
              <w:t>7,875,967.88</w:t>
            </w:r>
          </w:p>
        </w:tc>
      </w:tr>
      <w:tr>
        <w:trPr>
          <w:trHeight w:val="435" w:hRule="exact"/>
        </w:trPr>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邦道科技</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1,114,085,408.60</w:t>
            </w:r>
          </w:p>
        </w:tc>
        <w:tc>
          <w:tcPr>
            <w:tcW w:w="2298" w:type="dxa"/>
            <w:tcBorders>
              <w:top w:val="single" w:sz="6" w:space="0" w:color="000000"/>
              <w:left w:val="single" w:sz="6" w:space="0" w:color="000000"/>
              <w:bottom w:val="single" w:sz="6" w:space="0" w:color="000000"/>
              <w:right w:val="single" w:sz="6" w:space="0" w:color="000000"/>
            </w:tcBorders>
          </w:tcPr>
          <w:p>
            <w:pPr/>
          </w:p>
        </w:tc>
      </w:tr>
      <w:tr>
        <w:trPr>
          <w:trHeight w:val="421" w:hRule="exact"/>
        </w:trPr>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易天气</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6,600,000.00</w:t>
            </w:r>
          </w:p>
        </w:tc>
        <w:tc>
          <w:tcPr>
            <w:tcW w:w="2298" w:type="dxa"/>
            <w:tcBorders>
              <w:top w:val="single" w:sz="6" w:space="0" w:color="000000"/>
              <w:left w:val="single" w:sz="6" w:space="0" w:color="000000"/>
              <w:bottom w:val="single" w:sz="6" w:space="0" w:color="000000"/>
              <w:right w:val="single" w:sz="6" w:space="0" w:color="000000"/>
            </w:tcBorders>
          </w:tcPr>
          <w:p>
            <w:pPr/>
          </w:p>
        </w:tc>
      </w:tr>
      <w:tr>
        <w:trPr>
          <w:trHeight w:val="435" w:hRule="exact"/>
        </w:trPr>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数联领航</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z w:val="18"/>
              </w:rPr>
              <w:t>15,316,070.23</w:t>
            </w:r>
          </w:p>
        </w:tc>
        <w:tc>
          <w:tcPr>
            <w:tcW w:w="2298" w:type="dxa"/>
            <w:tcBorders>
              <w:top w:val="single" w:sz="6" w:space="0" w:color="000000"/>
              <w:left w:val="single" w:sz="6" w:space="0" w:color="000000"/>
              <w:bottom w:val="single" w:sz="6" w:space="0" w:color="000000"/>
              <w:right w:val="single" w:sz="6" w:space="0" w:color="000000"/>
            </w:tcBorders>
          </w:tcPr>
          <w:p>
            <w:pPr/>
          </w:p>
        </w:tc>
      </w:tr>
      <w:tr>
        <w:trPr>
          <w:trHeight w:val="421" w:hRule="exact"/>
        </w:trPr>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1,159,530,363.44</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31,404,852.49</w:t>
            </w:r>
          </w:p>
        </w:tc>
      </w:tr>
    </w:tbl>
    <w:p>
      <w:pPr>
        <w:spacing w:line="240" w:lineRule="auto" w:before="11"/>
        <w:rPr>
          <w:rFonts w:ascii="宋体" w:hAnsi="宋体" w:cs="宋体" w:eastAsia="宋体" w:hint="default"/>
          <w:sz w:val="21"/>
          <w:szCs w:val="21"/>
        </w:rPr>
      </w:pPr>
    </w:p>
    <w:p>
      <w:pPr>
        <w:pStyle w:val="BodyText"/>
        <w:spacing w:line="240" w:lineRule="auto" w:before="44"/>
        <w:ind w:right="1105"/>
        <w:jc w:val="left"/>
      </w:pPr>
      <w:r>
        <w:rPr/>
        <w:t>本集团的商誉分摊于</w:t>
      </w:r>
      <w:r>
        <w:rPr>
          <w:rFonts w:ascii="Times New Roman" w:hAnsi="Times New Roman" w:cs="Times New Roman" w:eastAsia="Times New Roman" w:hint="default"/>
        </w:rPr>
        <w:t>2019</w:t>
      </w:r>
      <w:r>
        <w:rPr/>
        <w:t>年度未发生变化。</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BodyText"/>
        <w:spacing w:line="304" w:lineRule="auto"/>
        <w:ind w:right="0"/>
        <w:jc w:val="left"/>
      </w:pPr>
      <w:r>
        <w:rPr>
          <w:spacing w:val="-4"/>
        </w:rPr>
        <w:t>在进行商誉减值测试时，本集团将相关资产（含商誉）的账面价值与其可收回金额进行比较，如果可收回金额低于账面价值，</w:t>
      </w:r>
      <w:r>
        <w:rPr>
          <w:spacing w:val="-50"/>
        </w:rPr>
        <w:t> </w:t>
      </w:r>
      <w:r>
        <w:rPr>
          <w:spacing w:val="-50"/>
        </w:rPr>
      </w:r>
      <w:r>
        <w:rPr/>
        <w:t>相关差额计入当期损益。</w:t>
      </w:r>
    </w:p>
    <w:p>
      <w:pPr>
        <w:spacing w:after="0" w:line="304"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1105"/>
        <w:jc w:val="left"/>
        <w:rPr>
          <w:b w:val="0"/>
          <w:bCs w:val="0"/>
        </w:rPr>
      </w:pPr>
      <w:bookmarkStart w:name="29、长期待摊费用" w:id="320"/>
      <w:bookmarkEnd w:id="320"/>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3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20"/>
              <w:jc w:val="left"/>
              <w:rPr>
                <w:rFonts w:ascii="宋体" w:hAnsi="宋体" w:cs="宋体" w:eastAsia="宋体" w:hint="default"/>
                <w:sz w:val="18"/>
                <w:szCs w:val="18"/>
              </w:rPr>
            </w:pPr>
            <w:r>
              <w:rPr>
                <w:rFonts w:ascii="宋体" w:hAnsi="宋体" w:cs="宋体" w:eastAsia="宋体" w:hint="default"/>
                <w:sz w:val="18"/>
                <w:szCs w:val="18"/>
              </w:rPr>
              <w:t>经营租入固定资产 改良</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9,264,070.08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12,101,693.77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6,040,545.85</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15,325,218.00</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售后维修终端</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7,122,412.02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2,172,537.41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3,516,694.14</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5,778,255.29</w:t>
            </w:r>
          </w:p>
        </w:tc>
      </w:tr>
      <w:tr>
        <w:trPr>
          <w:trHeight w:val="39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域名摊销费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15,036.75</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3,922.68</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11,114.07</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16,401,518.85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14,274,231.18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9,561,162.67</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21,114,587.36</w:t>
            </w:r>
          </w:p>
        </w:tc>
      </w:tr>
    </w:tbl>
    <w:p>
      <w:pPr>
        <w:pStyle w:val="BodyText"/>
        <w:spacing w:line="240" w:lineRule="auto" w:before="45"/>
        <w:ind w:right="1105"/>
        <w:jc w:val="left"/>
      </w:pPr>
      <w:r>
        <w:rPr/>
        <w:t>其他说明</w:t>
      </w:r>
    </w:p>
    <w:p>
      <w:pPr>
        <w:pStyle w:val="BodyText"/>
        <w:spacing w:line="240" w:lineRule="auto" w:before="124"/>
        <w:ind w:right="1105"/>
        <w:jc w:val="left"/>
      </w:pPr>
      <w:r>
        <w:rPr/>
        <w:t>经营租入固定资产改良本期增加额，其中</w:t>
      </w:r>
      <w:r>
        <w:rPr>
          <w:rFonts w:ascii="Times New Roman" w:hAnsi="Times New Roman" w:cs="Times New Roman" w:eastAsia="Times New Roman" w:hint="default"/>
        </w:rPr>
        <w:t>“</w:t>
      </w:r>
      <w:r>
        <w:rPr/>
        <w:t>非同一控制下企业合并</w:t>
      </w:r>
      <w:r>
        <w:rPr>
          <w:rFonts w:ascii="Times New Roman" w:hAnsi="Times New Roman" w:cs="Times New Roman" w:eastAsia="Times New Roman" w:hint="default"/>
        </w:rPr>
        <w:t>”</w:t>
      </w:r>
      <w:r>
        <w:rPr/>
        <w:t>增加金额是</w:t>
      </w:r>
      <w:r>
        <w:rPr>
          <w:rFonts w:ascii="Times New Roman" w:hAnsi="Times New Roman" w:cs="Times New Roman" w:eastAsia="Times New Roman" w:hint="default"/>
        </w:rPr>
        <w:t>517,616.15</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Heading3"/>
        <w:spacing w:line="240" w:lineRule="auto"/>
        <w:ind w:right="1105"/>
        <w:jc w:val="left"/>
        <w:rPr>
          <w:b w:val="0"/>
          <w:bCs w:val="0"/>
        </w:rPr>
      </w:pPr>
      <w:bookmarkStart w:name="30、递延所得税资产/递延所得税负债" w:id="321"/>
      <w:bookmarkEnd w:id="321"/>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1）未经抵销的递延所得税资产" w:id="322"/>
      <w:bookmarkEnd w:id="32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218" w:hRule="exact"/>
        </w:trPr>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3845"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8" w:hRule="exact"/>
        </w:trPr>
        <w:tc>
          <w:tcPr>
            <w:tcW w:w="190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5"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203" w:hRule="exact"/>
        </w:trPr>
        <w:tc>
          <w:tcPr>
            <w:tcW w:w="1907" w:type="dxa"/>
            <w:vMerge/>
            <w:tcBorders>
              <w:left w:val="single" w:sz="6" w:space="0" w:color="000000"/>
              <w:bottom w:val="nil" w:sz="6" w:space="0" w:color="auto"/>
              <w:right w:val="single" w:sz="6" w:space="0" w:color="000000"/>
            </w:tcBorders>
            <w:shd w:val="clear" w:color="auto" w:fill="D2D2D2"/>
          </w:tcPr>
          <w:p>
            <w:pP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3" w:hRule="exact"/>
        </w:trPr>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68,900,269.58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7,758,340.51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51,052,994.19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5,768,504.82</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3,251,103.67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487,665.55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5,797,474.20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869,621.13</w:t>
            </w:r>
          </w:p>
        </w:tc>
      </w:tr>
      <w:tr>
        <w:trPr>
          <w:trHeight w:val="391"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21,825,079.20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4,601,282.98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4,936,524.27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1,234,131.07</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亏损合同</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457,325.67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45,732.57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638,488.01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63,848.80</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36,569,514.18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3,656,951.43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17,406,652.17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1,740,665.22</w:t>
            </w:r>
          </w:p>
        </w:tc>
      </w:tr>
      <w:tr>
        <w:trPr>
          <w:trHeight w:val="721"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5"/>
              <w:jc w:val="left"/>
              <w:rPr>
                <w:rFonts w:ascii="宋体" w:hAnsi="宋体" w:cs="宋体" w:eastAsia="宋体" w:hint="default"/>
                <w:sz w:val="18"/>
                <w:szCs w:val="18"/>
              </w:rPr>
            </w:pPr>
            <w:r>
              <w:rPr>
                <w:rFonts w:ascii="宋体" w:hAnsi="宋体" w:cs="宋体" w:eastAsia="宋体" w:hint="default"/>
                <w:sz w:val="18"/>
                <w:szCs w:val="18"/>
              </w:rPr>
              <w:t>已纳税收入及成本确认 时点差异</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2,995,957.39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299,595.74</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27,250,977.25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3,148,646.59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15,279,409.26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1,643,911.39</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92,846,622.14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9,284,662.22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20,953,050.94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2,095,305.10</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8,123,089.92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1,218,463.49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6,720,777.60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1,008,116.64</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259,223,981.61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30,201,745.34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125,781,328.03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14,723,699.91</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2）未经抵销的递延所得税负债" w:id="323"/>
      <w:bookmarkEnd w:id="32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6" w:hRule="exact"/>
        </w:trPr>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2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72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75"/>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9,010,118.88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1,302,470.21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1,550,000.00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232,500.00</w:t>
            </w:r>
          </w:p>
        </w:tc>
      </w:tr>
      <w:tr>
        <w:trPr>
          <w:trHeight w:val="705"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5"/>
              <w:jc w:val="left"/>
              <w:rPr>
                <w:rFonts w:ascii="宋体" w:hAnsi="宋体" w:cs="宋体" w:eastAsia="宋体" w:hint="default"/>
                <w:sz w:val="18"/>
                <w:szCs w:val="18"/>
              </w:rPr>
            </w:pPr>
            <w:r>
              <w:rPr>
                <w:rFonts w:ascii="宋体" w:hAnsi="宋体" w:cs="宋体" w:eastAsia="宋体" w:hint="default"/>
                <w:sz w:val="18"/>
                <w:szCs w:val="18"/>
              </w:rPr>
              <w:t>交易性金融资产公允价 值变动</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1,499,847.10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224,977.07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1,509,166.66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226,375.00</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1,902,912.62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475,728.16</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12,412,878.60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2,003,175.44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3,059,166.66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458,875.00</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3）以抵销后净额列示的递延所得税资产或负债" w:id="324"/>
      <w:bookmarkEnd w:id="32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15"/>
        <w:gridCol w:w="1915"/>
        <w:gridCol w:w="1923"/>
        <w:gridCol w:w="1907"/>
        <w:gridCol w:w="1922"/>
      </w:tblGrid>
      <w:tr>
        <w:trPr>
          <w:trHeight w:val="158" w:hRule="exact"/>
        </w:trPr>
        <w:tc>
          <w:tcPr>
            <w:tcW w:w="1915" w:type="dxa"/>
            <w:tcBorders>
              <w:top w:val="single" w:sz="6" w:space="0" w:color="000000"/>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413" w:right="46"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330" w:right="46"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405" w:right="45"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330" w:right="45" w:hanging="271"/>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vMerge/>
            <w:tcBorders>
              <w:left w:val="single" w:sz="6" w:space="0" w:color="000000"/>
              <w:right w:val="single" w:sz="6" w:space="0" w:color="000000"/>
            </w:tcBorders>
            <w:shd w:val="clear" w:color="auto" w:fill="D2D2D2"/>
          </w:tcPr>
          <w:p>
            <w:pPr/>
          </w:p>
        </w:tc>
        <w:tc>
          <w:tcPr>
            <w:tcW w:w="1923" w:type="dxa"/>
            <w:vMerge/>
            <w:tcBorders>
              <w:left w:val="single" w:sz="6" w:space="0" w:color="000000"/>
              <w:right w:val="single" w:sz="6" w:space="0" w:color="000000"/>
            </w:tcBorders>
            <w:shd w:val="clear" w:color="auto" w:fill="D2D2D2"/>
          </w:tcPr>
          <w:p>
            <w:pPr/>
          </w:p>
        </w:tc>
        <w:tc>
          <w:tcPr>
            <w:tcW w:w="1907" w:type="dxa"/>
            <w:vMerge/>
            <w:tcBorders>
              <w:left w:val="single" w:sz="6" w:space="0" w:color="000000"/>
              <w:right w:val="single" w:sz="6" w:space="0" w:color="000000"/>
            </w:tcBorders>
            <w:shd w:val="clear" w:color="auto" w:fill="D2D2D2"/>
          </w:tcPr>
          <w:p>
            <w:pPr/>
          </w:p>
        </w:tc>
        <w:tc>
          <w:tcPr>
            <w:tcW w:w="1922" w:type="dxa"/>
            <w:vMerge/>
            <w:tcBorders>
              <w:left w:val="single" w:sz="6" w:space="0" w:color="000000"/>
              <w:right w:val="single" w:sz="6" w:space="0" w:color="000000"/>
            </w:tcBorders>
            <w:shd w:val="clear" w:color="auto" w:fill="D2D2D2"/>
          </w:tcPr>
          <w:p>
            <w:pPr/>
          </w:p>
        </w:tc>
      </w:tr>
      <w:tr>
        <w:trPr>
          <w:trHeight w:val="158" w:hRule="exact"/>
        </w:trPr>
        <w:tc>
          <w:tcPr>
            <w:tcW w:w="1915"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-224,977.07</w:t>
            </w:r>
            <w:r>
              <w:rPr>
                <w:rFonts w:ascii="Times New Roman"/>
                <w:sz w:val="18"/>
              </w:rPr>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29,976,768.27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-226,375.00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14,497,324.91</w:t>
            </w:r>
          </w:p>
        </w:tc>
      </w:tr>
      <w:tr>
        <w:trPr>
          <w:trHeight w:val="405"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224,977.07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1,778,198.37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226,375.00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232,500.00</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4）未确认递延所得税资产明细" w:id="325"/>
      <w:bookmarkEnd w:id="32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4,443,745.59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4,028,810.45</w:t>
            </w:r>
          </w:p>
        </w:tc>
      </w:tr>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208,072,249.03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70,055,186.33</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212,515,994.62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74,083,996.78</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5）未确认递延所得税资产的可抵扣亏损将于以下年度到期" w:id="326"/>
      <w:bookmarkEnd w:id="32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年度</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6,370,131.52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6,370,131.52</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年度</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3,002,702.00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3,044,879.61</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年度</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5,716,748.42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5,725,798.46</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年度</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54,914,376.74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54,914,376.74</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 </w:t>
            </w:r>
            <w:r>
              <w:rPr>
                <w:rFonts w:ascii="宋体" w:hAnsi="宋体" w:cs="宋体" w:eastAsia="宋体" w:hint="default"/>
                <w:sz w:val="18"/>
                <w:szCs w:val="18"/>
              </w:rPr>
              <w:t>年度</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138,068,290.35</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208,072,249.03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70,055,186.33</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31、其他非流动资产" w:id="327"/>
      <w:bookmarkEnd w:id="327"/>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1105"/>
        <w:jc w:val="left"/>
      </w:pPr>
      <w:r>
        <w:rPr/>
        <w:t>是否已执行新收入准则</w:t>
      </w:r>
    </w:p>
    <w:p>
      <w:pPr>
        <w:pStyle w:val="BodyText"/>
        <w:spacing w:line="240" w:lineRule="auto" w:before="125"/>
        <w:ind w:right="110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受监管资金</w:t>
            </w:r>
            <w:r>
              <w:rPr>
                <w:rFonts w:ascii="Times New Roman" w:hAnsi="Times New Roman" w:cs="Times New Roman" w:eastAsia="Times New Roman" w:hint="default"/>
                <w:sz w:val="18"/>
                <w:szCs w:val="18"/>
              </w:rPr>
              <w:t>(a)</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80,000,000.00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80,000,000.00</w:t>
            </w:r>
          </w:p>
        </w:tc>
      </w:tr>
    </w:tbl>
    <w:p>
      <w:pPr>
        <w:pStyle w:val="BodyText"/>
        <w:spacing w:line="240" w:lineRule="auto" w:before="45"/>
        <w:ind w:right="1105"/>
        <w:jc w:val="left"/>
      </w:pPr>
      <w:r>
        <w:rPr/>
        <w:t>其他说明：</w:t>
      </w:r>
    </w:p>
    <w:p>
      <w:pPr>
        <w:pStyle w:val="BodyText"/>
        <w:spacing w:line="290" w:lineRule="auto" w:before="124"/>
        <w:ind w:right="1105"/>
        <w:jc w:val="left"/>
      </w:pPr>
      <w:r>
        <w:rPr>
          <w:rFonts w:ascii="Times New Roman" w:hAnsi="Times New Roman" w:cs="Times New Roman" w:eastAsia="Times New Roman" w:hint="default"/>
          <w:spacing w:val="-1"/>
        </w:rPr>
        <w:t>(a)8000</w:t>
      </w:r>
      <w:r>
        <w:rPr>
          <w:spacing w:val="-1"/>
        </w:rPr>
        <w:t>万元银行存款由中国银行北京市分行进行监管，作为北京易视腾文化与中国银行北京市分行借款合同项下债权实现</w:t>
      </w:r>
      <w:r>
        <w:rPr>
          <w:spacing w:val="-39"/>
        </w:rPr>
        <w:t> </w:t>
      </w:r>
      <w:r>
        <w:rPr/>
        <w:t>的保障。账户监管于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日经双方一致同意协议解除。</w:t>
      </w:r>
    </w:p>
    <w:p>
      <w:pPr>
        <w:spacing w:line="240" w:lineRule="auto" w:before="4"/>
        <w:rPr>
          <w:rFonts w:ascii="宋体" w:hAnsi="宋体" w:cs="宋体" w:eastAsia="宋体" w:hint="default"/>
          <w:sz w:val="23"/>
          <w:szCs w:val="23"/>
        </w:rPr>
      </w:pPr>
    </w:p>
    <w:p>
      <w:pPr>
        <w:pStyle w:val="Heading3"/>
        <w:spacing w:line="240" w:lineRule="auto"/>
        <w:ind w:right="1105"/>
        <w:jc w:val="left"/>
        <w:rPr>
          <w:b w:val="0"/>
          <w:bCs w:val="0"/>
        </w:rPr>
      </w:pPr>
      <w:bookmarkStart w:name="32、短期借款" w:id="328"/>
      <w:bookmarkEnd w:id="328"/>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1）短期借款分类" w:id="329"/>
      <w:bookmarkEnd w:id="32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40,401,648.00</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20,000,000.00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4,989,000.00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110,050,000.00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已贴现的票据</w:t>
            </w:r>
          </w:p>
        </w:tc>
        <w:tc>
          <w:tcPr>
            <w:tcW w:w="3207"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110,000,000.00</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4,989,000.00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280,451,648.00</w:t>
            </w:r>
          </w:p>
        </w:tc>
      </w:tr>
    </w:tbl>
    <w:p>
      <w:pPr>
        <w:pStyle w:val="BodyText"/>
        <w:spacing w:line="367" w:lineRule="auto" w:before="44"/>
        <w:ind w:right="1974"/>
        <w:jc w:val="left"/>
      </w:pPr>
      <w:r>
        <w:rPr/>
        <w:t>短期借款分类的说明： 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日，短期借款的利率为</w:t>
      </w:r>
      <w:r>
        <w:rPr>
          <w:rFonts w:ascii="Times New Roman" w:hAnsi="Times New Roman" w:cs="Times New Roman" w:eastAsia="Times New Roman" w:hint="default"/>
        </w:rPr>
        <w:t>4.7850%</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日：短期借款的利率区间为</w:t>
      </w:r>
      <w:r>
        <w:rPr>
          <w:rFonts w:ascii="Times New Roman" w:hAnsi="Times New Roman" w:cs="Times New Roman" w:eastAsia="Times New Roman" w:hint="default"/>
        </w:rPr>
        <w:t>5.0025%</w:t>
      </w:r>
      <w:r>
        <w:rPr/>
        <w:t>至</w:t>
      </w:r>
      <w:r>
        <w:rPr>
          <w:rFonts w:ascii="Times New Roman" w:hAnsi="Times New Roman" w:cs="Times New Roman" w:eastAsia="Times New Roman" w:hint="default"/>
        </w:rPr>
        <w:t>5.4625%</w:t>
      </w:r>
      <w:r>
        <w:rPr/>
        <w:t>）。</w:t>
      </w:r>
    </w:p>
    <w:p>
      <w:pPr>
        <w:spacing w:line="240" w:lineRule="auto" w:before="5"/>
        <w:rPr>
          <w:rFonts w:ascii="宋体" w:hAnsi="宋体" w:cs="宋体" w:eastAsia="宋体" w:hint="default"/>
          <w:sz w:val="18"/>
          <w:szCs w:val="18"/>
        </w:rPr>
      </w:pPr>
    </w:p>
    <w:p>
      <w:pPr>
        <w:pStyle w:val="Heading3"/>
        <w:spacing w:line="240" w:lineRule="auto"/>
        <w:ind w:right="1105"/>
        <w:jc w:val="left"/>
        <w:rPr>
          <w:b w:val="0"/>
          <w:bCs w:val="0"/>
        </w:rPr>
      </w:pPr>
      <w:bookmarkStart w:name="（2）已逾期未偿还的短期借款情况" w:id="330"/>
      <w:bookmarkEnd w:id="330"/>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right="1105"/>
        <w:jc w:val="left"/>
      </w:pPr>
      <w:r>
        <w:rPr/>
        <w:t>本期末已逾期未偿还的短期借款总额为元，其中重要的已逾期未偿还的短期借款情况如下：</w:t>
      </w:r>
    </w:p>
    <w:p>
      <w:pPr>
        <w:pStyle w:val="BodyText"/>
        <w:spacing w:line="240" w:lineRule="auto" w:before="10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6"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45"/>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33、交易性金融负债" w:id="331"/>
      <w:bookmarkEnd w:id="331"/>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45"/>
        <w:ind w:right="1105"/>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1105"/>
        <w:jc w:val="left"/>
        <w:rPr>
          <w:b w:val="0"/>
          <w:bCs w:val="0"/>
        </w:rPr>
      </w:pPr>
      <w:bookmarkStart w:name="34、衍生金融负债" w:id="332"/>
      <w:bookmarkEnd w:id="332"/>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1105"/>
        <w:jc w:val="left"/>
        <w:rPr>
          <w:b w:val="0"/>
          <w:bCs w:val="0"/>
        </w:rPr>
      </w:pPr>
      <w:bookmarkStart w:name="35、应付票据" w:id="333"/>
      <w:bookmarkEnd w:id="333"/>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种类</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4,700,000.00</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4,700,000.00</w:t>
            </w:r>
          </w:p>
        </w:tc>
      </w:tr>
    </w:tbl>
    <w:p>
      <w:pPr>
        <w:pStyle w:val="BodyText"/>
        <w:spacing w:line="240" w:lineRule="auto" w:before="59"/>
        <w:ind w:right="1105"/>
        <w:jc w:val="left"/>
      </w:pPr>
      <w:r>
        <w:rPr/>
        <w:t>本期末已到期未支付的应付票据总额为</w:t>
      </w:r>
      <w:r>
        <w:rPr>
          <w:spacing w:val="-42"/>
        </w:rPr>
        <w:t> </w:t>
      </w:r>
      <w:r>
        <w:rPr>
          <w:rFonts w:ascii="Times New Roman" w:hAnsi="Times New Roman" w:cs="Times New Roman" w:eastAsia="Times New Roman" w:hint="default"/>
        </w:rPr>
        <w:t>0.00 </w:t>
      </w:r>
      <w:r>
        <w:rPr/>
        <w:t>元。</w:t>
      </w:r>
    </w:p>
    <w:p>
      <w:pPr>
        <w:spacing w:line="240" w:lineRule="auto" w:before="7"/>
        <w:rPr>
          <w:rFonts w:ascii="宋体" w:hAnsi="宋体" w:cs="宋体" w:eastAsia="宋体" w:hint="default"/>
          <w:sz w:val="26"/>
          <w:szCs w:val="26"/>
        </w:rPr>
      </w:pPr>
    </w:p>
    <w:p>
      <w:pPr>
        <w:pStyle w:val="Heading3"/>
        <w:spacing w:line="240" w:lineRule="auto"/>
        <w:ind w:right="1105"/>
        <w:jc w:val="left"/>
        <w:rPr>
          <w:b w:val="0"/>
          <w:bCs w:val="0"/>
        </w:rPr>
      </w:pPr>
      <w:bookmarkStart w:name="36、应付账款" w:id="334"/>
      <w:bookmarkEnd w:id="334"/>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1105"/>
        <w:jc w:val="left"/>
        <w:rPr>
          <w:b w:val="0"/>
          <w:bCs w:val="0"/>
        </w:rPr>
      </w:pPr>
      <w:bookmarkStart w:name="（1）应付账款列示" w:id="335"/>
      <w:bookmarkEnd w:id="33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应付项目外包款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252,653,047.71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161,861,104.17</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应付硬件物资等采购款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163,675,001.76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258,286,196.90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应付安装服务费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20,099,224.35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3,291,405.53</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应付人力外包款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11,126,791.18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4,409,055.86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应付加工费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3,095,051.29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9,312,715.68</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450,649,116.29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437,160,478.14</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2）账龄超过1年的重要应付账款" w:id="336"/>
      <w:bookmarkEnd w:id="336"/>
      <w:r>
        <w:rPr>
          <w:b w:val="0"/>
          <w:bCs w:val="0"/>
        </w:rPr>
      </w:r>
      <w:r>
        <w:rPr/>
        <w:t>（</w:t>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年的重要应付账款</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项目外包款及货款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82,198,430.72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91"/>
              <w:jc w:val="left"/>
              <w:rPr>
                <w:rFonts w:ascii="宋体" w:hAnsi="宋体" w:cs="宋体" w:eastAsia="宋体" w:hint="default"/>
                <w:sz w:val="18"/>
                <w:szCs w:val="18"/>
              </w:rPr>
            </w:pPr>
            <w:r>
              <w:rPr>
                <w:rFonts w:ascii="宋体" w:hAnsi="宋体" w:cs="宋体" w:eastAsia="宋体" w:hint="default"/>
                <w:sz w:val="18"/>
                <w:szCs w:val="18"/>
              </w:rPr>
              <w:t>主要为项目外包款及货款，由于长期合 作，项目外包款项尚未进行最后清算</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82,198,430.72</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37、预收款项" w:id="337"/>
      <w:bookmarkEnd w:id="337"/>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1105"/>
        <w:jc w:val="left"/>
      </w:pPr>
      <w:r>
        <w:rPr/>
        <w:t>是否已执行新收入准则</w:t>
      </w:r>
    </w:p>
    <w:p>
      <w:pPr>
        <w:pStyle w:val="BodyText"/>
        <w:spacing w:line="240" w:lineRule="auto" w:before="140"/>
        <w:ind w:right="110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1105"/>
        <w:jc w:val="left"/>
        <w:rPr>
          <w:b w:val="0"/>
          <w:bCs w:val="0"/>
        </w:rPr>
      </w:pPr>
      <w:bookmarkStart w:name="（1）预收款项列示" w:id="338"/>
      <w:bookmarkEnd w:id="33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预收项目款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112,088,274.95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64,084,068.11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2,106,565.64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1,229,753.80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114,194,840.59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65,313,821.91</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2）账龄超过1年的重要预收款项" w:id="339"/>
      <w:bookmarkEnd w:id="339"/>
      <w:r>
        <w:rPr>
          <w:b w:val="0"/>
          <w:bCs w:val="0"/>
        </w:rPr>
      </w:r>
      <w:r>
        <w:rPr/>
        <w:t>（</w:t>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年的重要预收款项</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2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预收项目款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19,658,614.30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91"/>
              <w:jc w:val="left"/>
              <w:rPr>
                <w:rFonts w:ascii="宋体" w:hAnsi="宋体" w:cs="宋体" w:eastAsia="宋体" w:hint="default"/>
                <w:sz w:val="18"/>
                <w:szCs w:val="18"/>
              </w:rPr>
            </w:pPr>
            <w:r>
              <w:rPr>
                <w:rFonts w:ascii="宋体" w:hAnsi="宋体" w:cs="宋体" w:eastAsia="宋体" w:hint="default"/>
                <w:sz w:val="18"/>
                <w:szCs w:val="18"/>
              </w:rPr>
              <w:t>主要为定制软件开发项目的预收款，鉴 于项目尚未完成，该款项尚未结转收入</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19,658,614.30</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3）期末建造合同形成的已结算未完工项目情况" w:id="340"/>
      <w:bookmarkEnd w:id="340"/>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1105"/>
        <w:jc w:val="left"/>
        <w:rPr>
          <w:b w:val="0"/>
          <w:bCs w:val="0"/>
        </w:rPr>
      </w:pPr>
      <w:bookmarkStart w:name="38、合同负债" w:id="341"/>
      <w:bookmarkEnd w:id="341"/>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4"/>
        <w:ind w:right="1105"/>
        <w:jc w:val="left"/>
      </w:pPr>
      <w:r>
        <w:rPr/>
        <w:t>报告期内账面价值发生重大变动的金额和原因</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207"/>
        <w:gridCol w:w="2418"/>
        <w:gridCol w:w="4956"/>
      </w:tblGrid>
      <w:tr>
        <w:trPr>
          <w:trHeight w:val="406"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39、应付职工薪酬" w:id="342"/>
      <w:bookmarkEnd w:id="342"/>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1105"/>
        <w:jc w:val="left"/>
        <w:rPr>
          <w:b w:val="0"/>
          <w:bCs w:val="0"/>
        </w:rPr>
      </w:pPr>
      <w:bookmarkStart w:name="（1）应付职工薪酬列示" w:id="343"/>
      <w:bookmarkEnd w:id="343"/>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789"/>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157,103,079.04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840,301,602.57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760,950,376.09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236,454,305.52</w:t>
            </w:r>
          </w:p>
        </w:tc>
      </w:tr>
      <w:tr>
        <w:trPr>
          <w:trHeight w:val="72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7" w:right="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2,123,893.06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63,042,026.16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61,632,596.56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3,533,322.66</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154,100.00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1,749,634.34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1,860,332.14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43,402.20</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159,381,072.10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905,093,263.07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824,443,304.79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240,031,030.38</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2）短期薪酬列示" w:id="344"/>
      <w:bookmarkEnd w:id="344"/>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2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补贴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155,414,708.99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750,686,777.52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671,617,543.50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234,483,943.01</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794,315.59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794,315.59</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1,449,242.62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37,544,863.78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37,478,261.64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1,515,844.76</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1,350,987.11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33,219,682.70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33,169,812.73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1,400,857.08</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15,876.04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1,022,161.75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1,063,009.48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-24,971.69</w:t>
            </w:r>
            <w:r>
              <w:rPr>
                <w:rFonts w:ascii="Times New Roman"/>
                <w:sz w:val="18"/>
              </w:rPr>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82,379.47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3,303,019.33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3,245,439.43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139,959.37</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92,359.42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51,035,961.37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50,834,837.35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293,483.44</w:t>
            </w:r>
          </w:p>
        </w:tc>
      </w:tr>
      <w:tr>
        <w:trPr>
          <w:trHeight w:val="7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146,768.01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239,684.31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225,418.01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161,034.31</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157,103,079.04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840,301,602.57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760,950,376.09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236,454,305.52</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3）设定提存计划列示" w:id="345"/>
      <w:bookmarkEnd w:id="345"/>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07"/>
        <w:gridCol w:w="1915"/>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1,985,537.47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60,726,154.06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59,353,526.78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3,358,164.75</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138,355.59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2,315,872.10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2,279,069.78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175,157.91</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2,123,893.06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63,042,026.16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61,632,596.56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3,533,322.66</w:t>
            </w:r>
          </w:p>
        </w:tc>
      </w:tr>
    </w:tbl>
    <w:p>
      <w:pPr>
        <w:pStyle w:val="BodyText"/>
        <w:spacing w:line="367" w:lineRule="auto" w:before="45"/>
        <w:ind w:right="4179"/>
        <w:jc w:val="left"/>
      </w:pPr>
      <w:r>
        <w:rPr/>
        <w:t>其他说明： 本期增加额中包括了非同一控制下合并邦道科技截止收购日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日的余额。</w:t>
      </w:r>
    </w:p>
    <w:p>
      <w:pPr>
        <w:spacing w:line="240" w:lineRule="auto" w:before="5"/>
        <w:rPr>
          <w:rFonts w:ascii="宋体" w:hAnsi="宋体" w:cs="宋体" w:eastAsia="宋体" w:hint="default"/>
          <w:sz w:val="18"/>
          <w:szCs w:val="18"/>
        </w:rPr>
      </w:pPr>
    </w:p>
    <w:p>
      <w:pPr>
        <w:pStyle w:val="Heading3"/>
        <w:spacing w:line="240" w:lineRule="auto"/>
        <w:ind w:right="1105"/>
        <w:jc w:val="left"/>
        <w:rPr>
          <w:b w:val="0"/>
          <w:bCs w:val="0"/>
        </w:rPr>
      </w:pPr>
      <w:bookmarkStart w:name="40、应交税费" w:id="346"/>
      <w:bookmarkEnd w:id="346"/>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15,037,150.42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29,313,242.40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59,735,405.65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31,035,274.37</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3,077,893.54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1,714,315.79</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1,803,414.87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1,532,953.14</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772,927.30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656,979.92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504,597.23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437,986.60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271,251.26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166,497.24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81,202,640.27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64,857,249.46</w:t>
            </w:r>
          </w:p>
        </w:tc>
      </w:tr>
    </w:tbl>
    <w:p>
      <w:pPr>
        <w:pStyle w:val="BodyText"/>
        <w:spacing w:line="240" w:lineRule="auto" w:before="45"/>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41、其他应付款" w:id="347"/>
      <w:bookmarkEnd w:id="347"/>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23,127.66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447,357.70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206,961,258.55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254,984,912.80</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206,984,386.21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255,432,270.50</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1）应付利息" w:id="348"/>
      <w:bookmarkEnd w:id="348"/>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276,904.11</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23,127.66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170,453.59</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23,127.66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447,357.70</w:t>
            </w:r>
          </w:p>
        </w:tc>
      </w:tr>
    </w:tbl>
    <w:p>
      <w:pPr>
        <w:pStyle w:val="BodyText"/>
        <w:spacing w:line="240" w:lineRule="auto" w:before="45"/>
        <w:ind w:right="1105"/>
        <w:jc w:val="left"/>
      </w:pPr>
      <w:r>
        <w:rPr/>
        <w:t>重要的已逾期未支付的利息情况：</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5"/>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2）应付股利" w:id="349"/>
      <w:bookmarkEnd w:id="349"/>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9"/>
        <w:ind w:right="1105"/>
        <w:jc w:val="left"/>
      </w:pPr>
      <w:r>
        <w:rPr/>
        <w:t>其他说明，包括重要的超过</w:t>
      </w:r>
      <w:r>
        <w:rPr>
          <w:spacing w:val="-43"/>
        </w:rPr>
        <w:t> </w:t>
      </w:r>
      <w:r>
        <w:rPr>
          <w:rFonts w:ascii="Times New Roman" w:hAnsi="Times New Roman" w:cs="Times New Roman" w:eastAsia="Times New Roman" w:hint="default"/>
        </w:rPr>
        <w:t>1 </w:t>
      </w:r>
      <w:r>
        <w:rPr/>
        <w:t>年未支付的应付股利，应披露未支付原因：</w:t>
      </w:r>
    </w:p>
    <w:p>
      <w:pPr>
        <w:spacing w:line="240" w:lineRule="auto" w:before="6"/>
        <w:rPr>
          <w:rFonts w:ascii="宋体" w:hAnsi="宋体" w:cs="宋体" w:eastAsia="宋体" w:hint="default"/>
          <w:sz w:val="26"/>
          <w:szCs w:val="26"/>
        </w:rPr>
      </w:pPr>
    </w:p>
    <w:p>
      <w:pPr>
        <w:pStyle w:val="Heading3"/>
        <w:spacing w:line="496" w:lineRule="auto"/>
        <w:ind w:right="7903"/>
        <w:jc w:val="left"/>
        <w:rPr>
          <w:b w:val="0"/>
          <w:bCs w:val="0"/>
        </w:rPr>
      </w:pPr>
      <w:bookmarkStart w:name="（3）其他应付款" w:id="350"/>
      <w:bookmarkEnd w:id="350"/>
      <w:r>
        <w:rPr>
          <w:b w:val="0"/>
          <w:bCs w:val="0"/>
        </w:rPr>
      </w:r>
      <w:r>
        <w:rPr/>
        <w:t>（</w:t>
      </w:r>
      <w:r>
        <w:rPr>
          <w:rFonts w:ascii="Times New Roman" w:hAnsi="Times New Roman" w:cs="Times New Roman" w:eastAsia="Times New Roman" w:hint="default"/>
        </w:rPr>
        <w:t>3</w:t>
      </w:r>
      <w:r>
        <w:rPr/>
        <w:t>）其他应付款</w:t>
      </w:r>
      <w:r>
        <w:rPr>
          <w:w w:val="99"/>
        </w:rPr>
        <w:t> </w:t>
      </w:r>
      <w:bookmarkStart w:name="1）按款项性质列示其他应付款" w:id="351"/>
      <w:bookmarkEnd w:id="351"/>
      <w:r>
        <w:rPr>
          <w:w w:val="99"/>
        </w:rPr>
      </w:r>
      <w:r>
        <w:rPr>
          <w:rFonts w:ascii="Times New Roman" w:hAnsi="Times New Roman" w:cs="Times New Roman" w:eastAsia="Times New Roman" w:hint="default"/>
        </w:rPr>
        <w:t>1</w:t>
      </w:r>
      <w:r>
        <w:rPr/>
        <w:t>）按款项性质列示其他应付款</w:t>
      </w:r>
      <w:r>
        <w:rPr>
          <w:b w:val="0"/>
          <w:bCs w:val="0"/>
        </w:rPr>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限制性股票回购款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164,350,662.88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224,603,670.16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暂收款及保证金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13,605,015.77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9,628,182.87</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应付员工代垫款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12,224,598.77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1,420,341.67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应付中介机构服务费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8,865,535.91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5,843,213.21</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应付网络通讯费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623,788.71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421,243.96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应付装修费及租金物业</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557,474.01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1,165,705.12</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应付技术服务及开发费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2,311,137.15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369,403.96</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应付设备费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297,442.02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3,058,932.24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应付营销服务费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147,000.00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2,306,000.00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应付融资服务费</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2,311,320.75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3,978,603.33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3,856,898.86</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206,961,258.55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254,984,912.80</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2）账龄超过1年的重要其他应付款" w:id="352"/>
      <w:bookmarkEnd w:id="352"/>
      <w:r>
        <w:rPr>
          <w:b w:val="0"/>
          <w:bCs w:val="0"/>
        </w:rPr>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年的重要其他应付款</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6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限制性股票回购款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155,915,305.10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主要为限制性股票回购款项</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155,915,305.10</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1105"/>
        <w:jc w:val="left"/>
        <w:rPr>
          <w:b w:val="0"/>
          <w:bCs w:val="0"/>
        </w:rPr>
      </w:pPr>
      <w:bookmarkStart w:name="42、持有待售负债" w:id="353"/>
      <w:bookmarkEnd w:id="353"/>
      <w:r>
        <w:rPr>
          <w:b w:val="0"/>
          <w:bCs w:val="0"/>
        </w:rPr>
      </w:r>
      <w:r>
        <w:rPr>
          <w:rFonts w:ascii="Times New Roman" w:hAnsi="Times New Roman" w:cs="Times New Roman" w:eastAsia="Times New Roman" w:hint="default"/>
        </w:rPr>
        <w:t>42</w:t>
      </w:r>
      <w:r>
        <w:rPr/>
        <w:t>、持有待售负债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1105"/>
        <w:jc w:val="left"/>
        <w:rPr>
          <w:b w:val="0"/>
          <w:bCs w:val="0"/>
        </w:rPr>
      </w:pPr>
      <w:bookmarkStart w:name="43、一年内到期的非流动负债" w:id="354"/>
      <w:bookmarkEnd w:id="354"/>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99,000,000.00</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99,000,000.00</w:t>
            </w:r>
          </w:p>
        </w:tc>
      </w:tr>
    </w:tbl>
    <w:p>
      <w:pPr>
        <w:pStyle w:val="BodyText"/>
        <w:spacing w:line="367" w:lineRule="auto" w:before="44"/>
        <w:ind w:right="4449"/>
        <w:jc w:val="left"/>
      </w:pPr>
      <w:r>
        <w:rPr/>
        <w:t>其他说明： 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日，本集团一年内到期的长期借款为保证借款，具体明细如下：</w:t>
      </w:r>
    </w:p>
    <w:p>
      <w:pPr>
        <w:spacing w:line="240" w:lineRule="auto" w:before="12"/>
        <w:rPr>
          <w:rFonts w:ascii="宋体" w:hAnsi="宋体" w:cs="宋体" w:eastAsia="宋体" w:hint="default"/>
          <w:sz w:val="19"/>
          <w:szCs w:val="19"/>
        </w:rPr>
      </w:pPr>
    </w:p>
    <w:tbl>
      <w:tblPr>
        <w:tblW w:w="0" w:type="auto"/>
        <w:jc w:val="left"/>
        <w:tblInd w:w="126" w:type="dxa"/>
        <w:tblLayout w:type="fixed"/>
        <w:tblCellMar>
          <w:top w:w="0" w:type="dxa"/>
          <w:left w:w="0" w:type="dxa"/>
          <w:bottom w:w="0" w:type="dxa"/>
          <w:right w:w="0" w:type="dxa"/>
        </w:tblCellMar>
        <w:tblLook w:val="01E0"/>
      </w:tblPr>
      <w:tblGrid>
        <w:gridCol w:w="2155"/>
        <w:gridCol w:w="2268"/>
        <w:gridCol w:w="2133"/>
        <w:gridCol w:w="2133"/>
      </w:tblGrid>
      <w:tr>
        <w:trPr>
          <w:trHeight w:val="338" w:hRule="exact"/>
        </w:trPr>
        <w:tc>
          <w:tcPr>
            <w:tcW w:w="2155" w:type="dxa"/>
            <w:tcBorders>
              <w:top w:val="nil" w:sz="6" w:space="0" w:color="auto"/>
              <w:left w:val="nil" w:sz="6" w:space="0" w:color="auto"/>
              <w:bottom w:val="single" w:sz="6" w:space="0" w:color="000000"/>
              <w:right w:val="single" w:sz="6" w:space="0" w:color="000000"/>
            </w:tcBorders>
          </w:tcPr>
          <w:p>
            <w:pPr>
              <w:pStyle w:val="TableParagraph"/>
              <w:spacing w:line="240" w:lineRule="auto" w:before="15"/>
              <w:ind w:right="13"/>
              <w:jc w:val="center"/>
              <w:rPr>
                <w:rFonts w:ascii="宋体" w:hAnsi="宋体" w:cs="宋体" w:eastAsia="宋体" w:hint="default"/>
                <w:sz w:val="18"/>
                <w:szCs w:val="18"/>
              </w:rPr>
            </w:pPr>
            <w:r>
              <w:rPr>
                <w:rFonts w:ascii="宋体" w:hAnsi="宋体" w:cs="宋体" w:eastAsia="宋体" w:hint="default"/>
                <w:sz w:val="18"/>
                <w:szCs w:val="18"/>
              </w:rPr>
              <w:t>银行</w:t>
            </w:r>
          </w:p>
        </w:tc>
        <w:tc>
          <w:tcPr>
            <w:tcW w:w="226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5"/>
              <w:ind w:left="5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3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5"/>
              <w:ind w:left="44"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213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5"/>
              <w:ind w:left="73" w:right="0"/>
              <w:jc w:val="center"/>
              <w:rPr>
                <w:rFonts w:ascii="宋体" w:hAnsi="宋体" w:cs="宋体" w:eastAsia="宋体" w:hint="default"/>
                <w:sz w:val="18"/>
                <w:szCs w:val="18"/>
              </w:rPr>
            </w:pPr>
            <w:r>
              <w:rPr>
                <w:rFonts w:ascii="宋体" w:hAnsi="宋体" w:cs="宋体" w:eastAsia="宋体" w:hint="default"/>
                <w:sz w:val="18"/>
                <w:szCs w:val="18"/>
              </w:rPr>
              <w:t>保证人</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12"/>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2155"/>
        <w:gridCol w:w="2268"/>
        <w:gridCol w:w="2133"/>
        <w:gridCol w:w="2133"/>
      </w:tblGrid>
      <w:tr>
        <w:trPr>
          <w:trHeight w:val="653" w:hRule="exact"/>
        </w:trPr>
        <w:tc>
          <w:tcPr>
            <w:tcW w:w="2155" w:type="dxa"/>
            <w:tcBorders>
              <w:top w:val="nil" w:sz="6" w:space="0" w:color="auto"/>
              <w:left w:val="nil" w:sz="6" w:space="0" w:color="auto"/>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宁波银行无锡新区支行</w:t>
            </w:r>
          </w:p>
        </w:tc>
        <w:tc>
          <w:tcPr>
            <w:tcW w:w="226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72"/>
              <w:ind w:left="1216" w:right="0"/>
              <w:jc w:val="left"/>
              <w:rPr>
                <w:rFonts w:ascii="Times New Roman" w:hAnsi="Times New Roman" w:cs="Times New Roman" w:eastAsia="Times New Roman" w:hint="default"/>
                <w:sz w:val="18"/>
                <w:szCs w:val="18"/>
              </w:rPr>
            </w:pPr>
            <w:r>
              <w:rPr>
                <w:rFonts w:ascii="Times New Roman"/>
                <w:sz w:val="18"/>
              </w:rPr>
              <w:t>10,000,000.00</w:t>
            </w:r>
          </w:p>
        </w:tc>
        <w:tc>
          <w:tcPr>
            <w:tcW w:w="213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9"/>
              <w:ind w:left="855"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133" w:type="dxa"/>
            <w:tcBorders>
              <w:top w:val="nil" w:sz="6" w:space="0" w:color="auto"/>
              <w:left w:val="single" w:sz="6" w:space="0" w:color="000000"/>
              <w:bottom w:val="single" w:sz="6" w:space="0" w:color="000000"/>
              <w:right w:val="single" w:sz="6" w:space="0" w:color="000000"/>
            </w:tcBorders>
          </w:tcPr>
          <w:p>
            <w:pPr>
              <w:pStyle w:val="TableParagraph"/>
              <w:spacing w:line="304" w:lineRule="auto" w:before="14"/>
              <w:ind w:right="135"/>
              <w:jc w:val="left"/>
              <w:rPr>
                <w:rFonts w:ascii="宋体" w:hAnsi="宋体" w:cs="宋体" w:eastAsia="宋体" w:hint="default"/>
                <w:sz w:val="18"/>
                <w:szCs w:val="18"/>
              </w:rPr>
            </w:pPr>
            <w:r>
              <w:rPr>
                <w:rFonts w:ascii="宋体" w:hAnsi="宋体" w:cs="宋体" w:eastAsia="宋体" w:hint="default"/>
                <w:sz w:val="18"/>
                <w:szCs w:val="18"/>
              </w:rPr>
              <w:t>本集团实际控制人徐长军 及其配偶秦峰</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3"/>
        <w:spacing w:line="240" w:lineRule="auto" w:before="35"/>
        <w:ind w:right="1105"/>
        <w:jc w:val="left"/>
        <w:rPr>
          <w:b w:val="0"/>
          <w:bCs w:val="0"/>
        </w:rPr>
      </w:pPr>
      <w:bookmarkStart w:name="44、其他流动负债" w:id="355"/>
      <w:bookmarkEnd w:id="355"/>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731" w:footer="981" w:top="1040" w:bottom="1180" w:left="1000" w:right="0"/>
        </w:sectPr>
      </w:pPr>
    </w:p>
    <w:p>
      <w:pPr>
        <w:pStyle w:val="BodyText"/>
        <w:spacing w:line="240" w:lineRule="auto" w:before="44"/>
        <w:ind w:right="-20"/>
        <w:jc w:val="left"/>
      </w:pPr>
      <w:r>
        <w:rPr/>
        <w:t>是否已执行新收入准则</w:t>
      </w:r>
    </w:p>
    <w:p>
      <w:pPr>
        <w:pStyle w:val="BodyText"/>
        <w:spacing w:line="240" w:lineRule="auto" w:before="12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待转销项税额（注）</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40,141,316.86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18,766,378.51</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亏损合同</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457,325.67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638,488.01</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40,598,642.53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19,404,866.52</w:t>
            </w:r>
          </w:p>
        </w:tc>
      </w:tr>
    </w:tbl>
    <w:p>
      <w:pPr>
        <w:pStyle w:val="BodyText"/>
        <w:spacing w:line="240" w:lineRule="auto" w:before="44"/>
        <w:ind w:right="1105"/>
        <w:jc w:val="left"/>
      </w:pPr>
      <w:r>
        <w:rPr/>
        <w:t>短期应付债券的增减变动：</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811"/>
        <w:gridCol w:w="796"/>
        <w:gridCol w:w="796"/>
        <w:gridCol w:w="796"/>
        <w:gridCol w:w="796"/>
        <w:gridCol w:w="811"/>
        <w:gridCol w:w="796"/>
        <w:gridCol w:w="796"/>
        <w:gridCol w:w="796"/>
        <w:gridCol w:w="796"/>
      </w:tblGrid>
      <w:tr>
        <w:trPr>
          <w:trHeight w:val="721"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19" w:right="44"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285" w:right="43" w:hanging="271"/>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0" w:lineRule="auto" w:before="45"/>
        <w:ind w:right="1105"/>
        <w:jc w:val="left"/>
      </w:pPr>
      <w:r>
        <w:rPr/>
        <w:t>其他说明： </w:t>
      </w:r>
      <w:r>
        <w:rPr>
          <w:spacing w:val="-2"/>
        </w:rPr>
        <w:t>注：本集团以收讫服务款项、开具发票或者依据合同取得服务收入款项收款权利孰早的时点作为确认增值税销项税额的纳税</w:t>
      </w:r>
    </w:p>
    <w:p>
      <w:pPr>
        <w:pStyle w:val="BodyText"/>
        <w:spacing w:line="273" w:lineRule="auto" w:before="12"/>
        <w:ind w:right="1105"/>
        <w:jc w:val="left"/>
      </w:pPr>
      <w:r>
        <w:rPr>
          <w:spacing w:val="-1"/>
        </w:rPr>
        <w:t>义务时点；同时本集团根据附注五</w:t>
      </w:r>
      <w:r>
        <w:rPr>
          <w:rFonts w:ascii="Times New Roman" w:hAnsi="Times New Roman" w:cs="Times New Roman" w:eastAsia="Times New Roman" w:hint="default"/>
          <w:spacing w:val="-1"/>
        </w:rPr>
        <w:t>(39)</w:t>
      </w:r>
      <w:r>
        <w:rPr>
          <w:spacing w:val="-1"/>
        </w:rPr>
        <w:t>的收入确认政策确认定制软件开发的劳务收入，部分收入确认时点会快于其增值税销</w:t>
      </w:r>
      <w:r>
        <w:rPr>
          <w:spacing w:val="-61"/>
        </w:rPr>
        <w:t> </w:t>
      </w:r>
      <w:r>
        <w:rPr>
          <w:spacing w:val="-61"/>
        </w:rPr>
      </w:r>
      <w:r>
        <w:rPr>
          <w:spacing w:val="-2"/>
        </w:rPr>
        <w:t>项税额纳税义务时点，故该等收入所对应的增值税销项税额因尚未满足增值税销项税额纳税义务时点（但需于以后期间确认</w:t>
      </w:r>
    </w:p>
    <w:p>
      <w:pPr>
        <w:pStyle w:val="BodyText"/>
        <w:spacing w:line="240" w:lineRule="auto" w:before="70"/>
        <w:ind w:right="1105"/>
        <w:jc w:val="left"/>
      </w:pPr>
      <w:r>
        <w:rPr/>
        <w:t>的销项税额）在</w:t>
      </w:r>
      <w:r>
        <w:rPr>
          <w:rFonts w:ascii="Times New Roman" w:hAnsi="Times New Roman" w:cs="Times New Roman" w:eastAsia="Times New Roman" w:hint="default"/>
        </w:rPr>
        <w:t>“</w:t>
      </w:r>
      <w:r>
        <w:rPr/>
        <w:t>待转销项税额</w:t>
      </w:r>
      <w:r>
        <w:rPr>
          <w:rFonts w:ascii="Times New Roman" w:hAnsi="Times New Roman" w:cs="Times New Roman" w:eastAsia="Times New Roman" w:hint="default"/>
        </w:rPr>
        <w:t>”</w:t>
      </w:r>
      <w:r>
        <w:rPr/>
        <w:t>下核算。</w:t>
      </w:r>
    </w:p>
    <w:p>
      <w:pPr>
        <w:spacing w:line="240" w:lineRule="auto" w:before="6"/>
        <w:rPr>
          <w:rFonts w:ascii="宋体" w:hAnsi="宋体" w:cs="宋体" w:eastAsia="宋体" w:hint="default"/>
          <w:sz w:val="26"/>
          <w:szCs w:val="26"/>
        </w:rPr>
      </w:pPr>
    </w:p>
    <w:p>
      <w:pPr>
        <w:pStyle w:val="Heading3"/>
        <w:spacing w:line="240" w:lineRule="auto"/>
        <w:ind w:right="1105"/>
        <w:jc w:val="left"/>
        <w:rPr>
          <w:b w:val="0"/>
          <w:bCs w:val="0"/>
        </w:rPr>
      </w:pPr>
      <w:bookmarkStart w:name="45、长期借款" w:id="356"/>
      <w:bookmarkEnd w:id="356"/>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1）长期借款分类" w:id="357"/>
      <w:bookmarkEnd w:id="357"/>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18,000,000.00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40,000,000.00</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58,000,000.00</w:t>
            </w:r>
          </w:p>
        </w:tc>
      </w:tr>
    </w:tbl>
    <w:p>
      <w:pPr>
        <w:pStyle w:val="BodyText"/>
        <w:spacing w:line="350" w:lineRule="auto" w:before="45"/>
        <w:ind w:right="8589"/>
        <w:jc w:val="left"/>
      </w:pPr>
      <w:r>
        <w:rPr/>
        <w:t>长期借款分类的说明： 其他说明，包括利率区间：</w:t>
      </w:r>
    </w:p>
    <w:p>
      <w:pPr>
        <w:spacing w:line="240" w:lineRule="auto" w:before="6"/>
        <w:rPr>
          <w:rFonts w:ascii="宋体" w:hAnsi="宋体" w:cs="宋体" w:eastAsia="宋体" w:hint="default"/>
          <w:sz w:val="23"/>
          <w:szCs w:val="23"/>
        </w:rPr>
      </w:pPr>
    </w:p>
    <w:p>
      <w:pPr>
        <w:pStyle w:val="Heading3"/>
        <w:spacing w:line="240" w:lineRule="auto"/>
        <w:ind w:right="1105"/>
        <w:jc w:val="left"/>
        <w:rPr>
          <w:b w:val="0"/>
          <w:bCs w:val="0"/>
        </w:rPr>
      </w:pPr>
      <w:bookmarkStart w:name="46、应付债券" w:id="358"/>
      <w:bookmarkEnd w:id="358"/>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1105"/>
        <w:jc w:val="left"/>
        <w:rPr>
          <w:b w:val="0"/>
          <w:bCs w:val="0"/>
        </w:rPr>
      </w:pPr>
      <w:bookmarkStart w:name="（1）应付债券" w:id="359"/>
      <w:bookmarkEnd w:id="359"/>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after="0" w:line="240" w:lineRule="auto"/>
        <w:jc w:val="right"/>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2）应付债券的增减变动（不包括划分为金融负债的优先股、永续债等其他金融工具）" w:id="360"/>
      <w:bookmarkEnd w:id="360"/>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89"/>
        <w:gridCol w:w="804"/>
        <w:gridCol w:w="811"/>
        <w:gridCol w:w="796"/>
        <w:gridCol w:w="796"/>
        <w:gridCol w:w="796"/>
        <w:gridCol w:w="796"/>
        <w:gridCol w:w="811"/>
        <w:gridCol w:w="796"/>
        <w:gridCol w:w="796"/>
        <w:gridCol w:w="796"/>
        <w:gridCol w:w="796"/>
      </w:tblGrid>
      <w:tr>
        <w:trPr>
          <w:trHeight w:val="158" w:hRule="exact"/>
        </w:trPr>
        <w:tc>
          <w:tcPr>
            <w:tcW w:w="789" w:type="dxa"/>
            <w:tcBorders>
              <w:top w:val="single" w:sz="6" w:space="0" w:color="000000"/>
              <w:left w:val="single" w:sz="6" w:space="0" w:color="000000"/>
              <w:bottom w:val="nil" w:sz="6" w:space="0" w:color="auto"/>
              <w:right w:val="single" w:sz="6" w:space="0" w:color="000000"/>
            </w:tcBorders>
            <w:shd w:val="clear" w:color="auto" w:fill="D2D2D2"/>
          </w:tcPr>
          <w:p>
            <w:pPr/>
          </w:p>
        </w:tc>
        <w:tc>
          <w:tcPr>
            <w:tcW w:w="804" w:type="dxa"/>
            <w:tcBorders>
              <w:top w:val="single" w:sz="6" w:space="0" w:color="000000"/>
              <w:left w:val="single" w:sz="6" w:space="0" w:color="000000"/>
              <w:bottom w:val="nil" w:sz="6" w:space="0" w:color="auto"/>
              <w:right w:val="single" w:sz="6" w:space="0" w:color="000000"/>
            </w:tcBorders>
            <w:shd w:val="clear" w:color="auto" w:fill="D2D2D2"/>
          </w:tcPr>
          <w:p>
            <w:pPr/>
          </w:p>
        </w:tc>
        <w:tc>
          <w:tcPr>
            <w:tcW w:w="81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81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119" w:right="44"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285" w:right="43" w:hanging="271"/>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6" w:type="dxa"/>
            <w:vMerge w:val="restart"/>
            <w:tcBorders>
              <w:top w:val="single" w:sz="6" w:space="0" w:color="000000"/>
              <w:left w:val="single" w:sz="6" w:space="0" w:color="000000"/>
              <w:right w:val="single" w:sz="6" w:space="0" w:color="000000"/>
            </w:tcBorders>
            <w:shd w:val="clear" w:color="auto" w:fill="D2D2D2"/>
          </w:tcPr>
          <w:p>
            <w:pP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78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80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81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811"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r>
      <w:tr>
        <w:trPr>
          <w:trHeight w:val="158" w:hRule="exact"/>
        </w:trPr>
        <w:tc>
          <w:tcPr>
            <w:tcW w:w="789" w:type="dxa"/>
            <w:vMerge/>
            <w:tcBorders>
              <w:left w:val="single" w:sz="6" w:space="0" w:color="000000"/>
              <w:bottom w:val="single" w:sz="6" w:space="0" w:color="000000"/>
              <w:right w:val="single" w:sz="6" w:space="0" w:color="000000"/>
            </w:tcBorders>
            <w:shd w:val="clear" w:color="auto" w:fill="D2D2D2"/>
          </w:tcPr>
          <w:p>
            <w:pPr/>
          </w:p>
        </w:tc>
        <w:tc>
          <w:tcPr>
            <w:tcW w:w="804" w:type="dxa"/>
            <w:tcBorders>
              <w:top w:val="nil" w:sz="6" w:space="0" w:color="auto"/>
              <w:left w:val="single" w:sz="6" w:space="0" w:color="000000"/>
              <w:bottom w:val="single" w:sz="6" w:space="0" w:color="000000"/>
              <w:right w:val="single" w:sz="6" w:space="0" w:color="000000"/>
            </w:tcBorders>
            <w:shd w:val="clear" w:color="auto" w:fill="D2D2D2"/>
          </w:tcPr>
          <w:p>
            <w:pPr/>
          </w:p>
        </w:tc>
        <w:tc>
          <w:tcPr>
            <w:tcW w:w="81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811"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78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804" w:type="dxa"/>
            <w:tcBorders>
              <w:top w:val="single" w:sz="6" w:space="0" w:color="000000"/>
              <w:left w:val="single" w:sz="12"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7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12"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3）可转换公司债券的转股条件、转股时间说明" w:id="361"/>
      <w:bookmarkEnd w:id="361"/>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4）划分为金融负债的其他金融工具说明" w:id="362"/>
      <w:bookmarkEnd w:id="362"/>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1105"/>
        <w:jc w:val="left"/>
      </w:pPr>
      <w:r>
        <w:rPr/>
        <w:t>期末发行在外的优先股、永续债等其他金融工具基本情况</w:t>
      </w:r>
    </w:p>
    <w:p>
      <w:pPr>
        <w:pStyle w:val="BodyText"/>
        <w:spacing w:line="240" w:lineRule="auto" w:before="125"/>
        <w:ind w:right="1105"/>
        <w:jc w:val="left"/>
      </w:pPr>
      <w:r>
        <w:rPr/>
        <w:t>期末发行在外的优先股、永续债等金融工具变动情况表</w:t>
      </w:r>
    </w:p>
    <w:p>
      <w:pPr>
        <w:pStyle w:val="BodyText"/>
        <w:spacing w:line="240" w:lineRule="auto" w:before="10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66"/>
        <w:gridCol w:w="1067"/>
        <w:gridCol w:w="1051"/>
        <w:gridCol w:w="1067"/>
        <w:gridCol w:w="1066"/>
      </w:tblGrid>
      <w:tr>
        <w:trPr>
          <w:trHeight w:val="405" w:hRule="exact"/>
        </w:trPr>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89"/>
              <w:ind w:left="150" w:right="88"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期初</w:t>
            </w:r>
          </w:p>
        </w:tc>
        <w:tc>
          <w:tcPr>
            <w:tcW w:w="21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90"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0" w:lineRule="auto" w:before="45"/>
        <w:ind w:right="7509"/>
        <w:jc w:val="left"/>
      </w:pPr>
      <w:r>
        <w:rPr/>
        <w:t>其他金融工具划分为金融负债的依据说明 其他说明</w:t>
      </w:r>
    </w:p>
    <w:p>
      <w:pPr>
        <w:spacing w:line="240" w:lineRule="auto" w:before="6"/>
        <w:rPr>
          <w:rFonts w:ascii="宋体" w:hAnsi="宋体" w:cs="宋体" w:eastAsia="宋体" w:hint="default"/>
          <w:sz w:val="23"/>
          <w:szCs w:val="23"/>
        </w:rPr>
      </w:pPr>
    </w:p>
    <w:p>
      <w:pPr>
        <w:pStyle w:val="Heading3"/>
        <w:spacing w:line="240" w:lineRule="auto"/>
        <w:ind w:right="1105"/>
        <w:jc w:val="left"/>
        <w:rPr>
          <w:b w:val="0"/>
          <w:bCs w:val="0"/>
        </w:rPr>
      </w:pPr>
      <w:bookmarkStart w:name="47、租赁负债" w:id="363"/>
      <w:bookmarkEnd w:id="363"/>
      <w:r>
        <w:rPr>
          <w:b w:val="0"/>
          <w:bCs w:val="0"/>
        </w:rPr>
      </w:r>
      <w:r>
        <w:rPr>
          <w:rFonts w:ascii="Times New Roman" w:hAnsi="Times New Roman" w:cs="Times New Roman" w:eastAsia="Times New Roman" w:hint="default"/>
        </w:rPr>
        <w:t>47</w:t>
      </w:r>
      <w:r>
        <w:rPr/>
        <w:t>、租赁负债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11"/>
        <w:jc w:val="right"/>
      </w:pPr>
      <w:r>
        <w:rPr/>
        <w:t>单位：</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48、长期应付款" w:id="364"/>
      <w:bookmarkEnd w:id="364"/>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1）按款项性质列示长期应付款" w:id="365"/>
      <w:bookmarkEnd w:id="365"/>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1105"/>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1105"/>
        <w:jc w:val="left"/>
        <w:rPr>
          <w:b w:val="0"/>
          <w:bCs w:val="0"/>
        </w:rPr>
      </w:pPr>
      <w:bookmarkStart w:name="（2）专项应付款" w:id="366"/>
      <w:bookmarkEnd w:id="366"/>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1105"/>
        <w:jc w:val="left"/>
        <w:rPr>
          <w:b w:val="0"/>
          <w:bCs w:val="0"/>
        </w:rPr>
      </w:pPr>
      <w:bookmarkStart w:name="49、长期应付职工薪酬" w:id="367"/>
      <w:bookmarkEnd w:id="367"/>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1105"/>
        <w:jc w:val="left"/>
        <w:rPr>
          <w:b w:val="0"/>
          <w:bCs w:val="0"/>
        </w:rPr>
      </w:pPr>
      <w:bookmarkStart w:name="（1）长期应付职工薪酬表" w:id="368"/>
      <w:bookmarkEnd w:id="368"/>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2）设定受益计划变动情况" w:id="369"/>
      <w:bookmarkEnd w:id="369"/>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right="1105"/>
        <w:jc w:val="left"/>
      </w:pPr>
      <w:r>
        <w:rPr/>
        <w:t>设定受益计划义务现值：</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5"/>
        <w:ind w:right="1105"/>
        <w:jc w:val="left"/>
      </w:pPr>
      <w:r>
        <w:rPr/>
        <w:t>计划资产：</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5"/>
        <w:ind w:right="1105"/>
        <w:jc w:val="left"/>
      </w:pPr>
      <w:r>
        <w:rPr/>
        <w:t>设定受益计划净负债（净资产）</w:t>
      </w:r>
    </w:p>
    <w:p>
      <w:pPr>
        <w:pStyle w:val="BodyText"/>
        <w:spacing w:line="240" w:lineRule="auto" w:before="10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7" w:lineRule="auto" w:before="45"/>
        <w:ind w:right="3549"/>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1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50、预计负债" w:id="370"/>
      <w:bookmarkEnd w:id="370"/>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731" w:footer="981" w:top="1040" w:bottom="1180" w:left="1000" w:right="0"/>
        </w:sectPr>
      </w:pPr>
    </w:p>
    <w:p>
      <w:pPr>
        <w:pStyle w:val="BodyText"/>
        <w:spacing w:line="240" w:lineRule="auto" w:before="44"/>
        <w:ind w:right="-20"/>
        <w:jc w:val="left"/>
      </w:pPr>
      <w:r>
        <w:rPr/>
        <w:t>是否已执行新收入准则</w:t>
      </w:r>
    </w:p>
    <w:p>
      <w:pPr>
        <w:pStyle w:val="BodyText"/>
        <w:spacing w:line="240" w:lineRule="auto" w:before="12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预计维修义务</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8,123,089.92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6,720,777.60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8,123,089.92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6,720,777.60</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2" w:lineRule="auto" w:before="45"/>
        <w:ind w:right="1389"/>
        <w:jc w:val="left"/>
      </w:pPr>
      <w:r>
        <w:rPr/>
        <w:t>其他说明，包括重要预计负债的相关重要假设、估计说明： 易视腾科技电视智能终端质保期为两至三年，根据以往年度维修情况，按照终端销售收入的一定比例确认为预计负债。</w:t>
      </w:r>
    </w:p>
    <w:p>
      <w:pPr>
        <w:spacing w:after="0" w:line="352" w:lineRule="auto"/>
        <w:jc w:val="left"/>
        <w:sectPr>
          <w:type w:val="continuous"/>
          <w:pgSz w:w="11910" w:h="16850"/>
          <w:pgMar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1105"/>
        <w:jc w:val="left"/>
        <w:rPr>
          <w:b w:val="0"/>
          <w:bCs w:val="0"/>
        </w:rPr>
      </w:pPr>
      <w:bookmarkStart w:name="51、递延收益" w:id="371"/>
      <w:bookmarkEnd w:id="371"/>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577"/>
        <w:gridCol w:w="1614"/>
        <w:gridCol w:w="1592"/>
        <w:gridCol w:w="1592"/>
        <w:gridCol w:w="1592"/>
        <w:gridCol w:w="1607"/>
      </w:tblGrid>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4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17,779,409.26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10,952,500.00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3,388,432.01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25,343,477.25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政府补贴</w:t>
            </w:r>
          </w:p>
        </w:tc>
      </w:tr>
      <w:tr>
        <w:trPr>
          <w:trHeight w:val="39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17,779,409.26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10,952,500.00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3,388,432.01</w:t>
            </w:r>
          </w:p>
        </w:tc>
        <w:tc>
          <w:tcPr>
            <w:tcW w:w="1592"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25,343,477.25</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1105"/>
        <w:jc w:val="left"/>
      </w:pPr>
      <w:r>
        <w:rPr/>
        <w:t>涉及政府补助的项目：</w:t>
      </w:r>
    </w:p>
    <w:p>
      <w:pPr>
        <w:pStyle w:val="BodyText"/>
        <w:spacing w:line="240" w:lineRule="auto" w:before="12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06"/>
        <w:gridCol w:w="1262"/>
        <w:gridCol w:w="1006"/>
        <w:gridCol w:w="1006"/>
        <w:gridCol w:w="1021"/>
        <w:gridCol w:w="1007"/>
        <w:gridCol w:w="1006"/>
        <w:gridCol w:w="1262"/>
        <w:gridCol w:w="1006"/>
      </w:tblGrid>
      <w:tr>
        <w:trPr>
          <w:trHeight w:val="1021" w:hRule="exact"/>
        </w:trPr>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25" w:right="4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59" w:right="29"/>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60" w:right="45"/>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5" w:right="44"/>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90" w:lineRule="auto"/>
              <w:ind w:left="45" w:right="24" w:hanging="3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51"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73"/>
              <w:jc w:val="both"/>
              <w:rPr>
                <w:rFonts w:ascii="宋体" w:hAnsi="宋体" w:cs="宋体" w:eastAsia="宋体" w:hint="default"/>
                <w:sz w:val="18"/>
                <w:szCs w:val="18"/>
              </w:rPr>
            </w:pPr>
            <w:r>
              <w:rPr>
                <w:rFonts w:ascii="宋体" w:hAnsi="宋体" w:cs="宋体" w:eastAsia="宋体" w:hint="default"/>
                <w:sz w:val="18"/>
                <w:szCs w:val="18"/>
              </w:rPr>
              <w:t>江苏省现代 服务业专项 资金项目补 贴</w:t>
            </w:r>
          </w:p>
        </w:tc>
        <w:tc>
          <w:tcPr>
            <w:tcW w:w="1262"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272,500.00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272,500.00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年无锡 市新区第二 十批产业升 级基金</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11,000,000.00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11,000,000.00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3"/>
              <w:jc w:val="both"/>
              <w:rPr>
                <w:rFonts w:ascii="宋体" w:hAnsi="宋体" w:cs="宋体" w:eastAsia="宋体" w:hint="default"/>
                <w:sz w:val="18"/>
                <w:szCs w:val="18"/>
              </w:rPr>
            </w:pPr>
            <w:r>
              <w:rPr>
                <w:rFonts w:ascii="宋体" w:hAnsi="宋体" w:cs="宋体" w:eastAsia="宋体" w:hint="default"/>
                <w:sz w:val="18"/>
                <w:szCs w:val="18"/>
              </w:rPr>
              <w:t>无锡市区科 技创新创业 领军人才及 团队拨款</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1,960,000.00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3,640,000.00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5,600,000.00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3"/>
              <w:jc w:val="left"/>
              <w:rPr>
                <w:rFonts w:ascii="宋体" w:hAnsi="宋体" w:cs="宋体" w:eastAsia="宋体" w:hint="default"/>
                <w:sz w:val="18"/>
                <w:szCs w:val="18"/>
              </w:rPr>
            </w:pPr>
            <w:r>
              <w:rPr>
                <w:rFonts w:ascii="宋体" w:hAnsi="宋体" w:cs="宋体" w:eastAsia="宋体" w:hint="default"/>
                <w:sz w:val="18"/>
                <w:szCs w:val="18"/>
              </w:rPr>
              <w:t>嘉兴电站建 设装修补助</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2,500,000.00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1,846,130.00</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653,870.00</w:t>
            </w:r>
          </w:p>
        </w:tc>
        <w:tc>
          <w:tcPr>
            <w:tcW w:w="1262"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1"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3"/>
              <w:jc w:val="both"/>
              <w:rPr>
                <w:rFonts w:ascii="宋体" w:hAnsi="宋体" w:cs="宋体" w:eastAsia="宋体" w:hint="default"/>
                <w:sz w:val="18"/>
                <w:szCs w:val="18"/>
              </w:rPr>
            </w:pPr>
            <w:r>
              <w:rPr>
                <w:rFonts w:ascii="宋体" w:hAnsi="宋体" w:cs="宋体" w:eastAsia="宋体" w:hint="default"/>
                <w:sz w:val="18"/>
                <w:szCs w:val="18"/>
              </w:rPr>
              <w:t>省级企业创 新与成果转 化专项资金</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209,572.84</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209,572.84</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1"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3"/>
              <w:jc w:val="both"/>
              <w:rPr>
                <w:rFonts w:ascii="宋体" w:hAnsi="宋体" w:cs="宋体" w:eastAsia="宋体" w:hint="default"/>
                <w:sz w:val="18"/>
                <w:szCs w:val="18"/>
              </w:rPr>
            </w:pPr>
            <w:r>
              <w:rPr>
                <w:rFonts w:ascii="宋体" w:hAnsi="宋体" w:cs="宋体" w:eastAsia="宋体" w:hint="default"/>
                <w:sz w:val="18"/>
                <w:szCs w:val="18"/>
              </w:rPr>
              <w:t>无锡市云计 算产业扶持 资金</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52,525.84</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52,525.84</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51"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73"/>
              <w:jc w:val="both"/>
              <w:rPr>
                <w:rFonts w:ascii="宋体" w:hAnsi="宋体" w:cs="宋体" w:eastAsia="宋体" w:hint="default"/>
                <w:sz w:val="18"/>
                <w:szCs w:val="18"/>
              </w:rPr>
            </w:pPr>
            <w:r>
              <w:rPr>
                <w:rFonts w:ascii="宋体" w:hAnsi="宋体" w:cs="宋体" w:eastAsia="宋体" w:hint="default"/>
                <w:sz w:val="18"/>
                <w:szCs w:val="18"/>
              </w:rPr>
              <w:t>无锡市文化 产业发展政 策第二批扶 持项目资金</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362,866.14</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293,000.00</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69,866.14</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21"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73"/>
              <w:jc w:val="both"/>
              <w:rPr>
                <w:rFonts w:ascii="宋体" w:hAnsi="宋体" w:cs="宋体" w:eastAsia="宋体" w:hint="default"/>
                <w:sz w:val="18"/>
                <w:szCs w:val="18"/>
              </w:rPr>
            </w:pPr>
            <w:r>
              <w:rPr>
                <w:rFonts w:ascii="宋体" w:hAnsi="宋体" w:cs="宋体" w:eastAsia="宋体" w:hint="default"/>
                <w:sz w:val="18"/>
                <w:szCs w:val="18"/>
              </w:rPr>
              <w:t>无锡市文化 产业发展政 策第一批扶 持项目资金</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694,444.44</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333,333.33</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361,111.11</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006"/>
        <w:gridCol w:w="1262"/>
        <w:gridCol w:w="1006"/>
        <w:gridCol w:w="1006"/>
        <w:gridCol w:w="1021"/>
        <w:gridCol w:w="1007"/>
        <w:gridCol w:w="1006"/>
        <w:gridCol w:w="1262"/>
        <w:gridCol w:w="1006"/>
      </w:tblGrid>
      <w:tr>
        <w:trPr>
          <w:trHeight w:val="1020"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3"/>
              <w:jc w:val="both"/>
              <w:rPr>
                <w:rFonts w:ascii="宋体" w:hAnsi="宋体" w:cs="宋体" w:eastAsia="宋体" w:hint="default"/>
                <w:sz w:val="18"/>
                <w:szCs w:val="18"/>
              </w:rPr>
            </w:pPr>
            <w:r>
              <w:rPr>
                <w:rFonts w:ascii="宋体" w:hAnsi="宋体" w:cs="宋体" w:eastAsia="宋体" w:hint="default"/>
                <w:sz w:val="18"/>
                <w:szCs w:val="18"/>
              </w:rPr>
              <w:t>无锡市新兴 文化产业项 目投资资助</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1,000,000.00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1,000,000.00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3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3"/>
              <w:jc w:val="both"/>
              <w:rPr>
                <w:rFonts w:ascii="宋体" w:hAnsi="宋体" w:cs="宋体" w:eastAsia="宋体" w:hint="default"/>
                <w:sz w:val="18"/>
                <w:szCs w:val="18"/>
              </w:rPr>
            </w:pPr>
            <w:r>
              <w:rPr>
                <w:rFonts w:ascii="宋体" w:hAnsi="宋体" w:cs="宋体" w:eastAsia="宋体" w:hint="default"/>
                <w:sz w:val="18"/>
                <w:szCs w:val="18"/>
              </w:rPr>
              <w:t>省级战略性 新兴产业发 展专项资金</w:t>
            </w:r>
          </w:p>
        </w:tc>
        <w:tc>
          <w:tcPr>
            <w:tcW w:w="1262"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7,000,000.00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7,000,000.00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3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15" w:right="73"/>
              <w:jc w:val="both"/>
              <w:rPr>
                <w:rFonts w:ascii="宋体" w:hAnsi="宋体" w:cs="宋体" w:eastAsia="宋体" w:hint="default"/>
                <w:sz w:val="18"/>
                <w:szCs w:val="18"/>
              </w:rPr>
            </w:pPr>
            <w:r>
              <w:rPr>
                <w:rFonts w:ascii="宋体" w:hAnsi="宋体" w:cs="宋体" w:eastAsia="宋体" w:hint="default"/>
                <w:sz w:val="18"/>
                <w:szCs w:val="18"/>
              </w:rPr>
              <w:t>江苏省人力 资源和社保 保障厅第十 六批六大人 才高峰补贴</w:t>
            </w:r>
          </w:p>
        </w:tc>
        <w:tc>
          <w:tcPr>
            <w:tcW w:w="1262"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40,000.00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40,000.00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381" w:lineRule="auto" w:before="45"/>
        <w:ind w:right="5079"/>
        <w:jc w:val="left"/>
      </w:pPr>
      <w:r>
        <w:rPr/>
        <w:t>其他说明： 本期增加中包括非同一控制下企业合并邦道科技递延收益</w:t>
      </w:r>
      <w:r>
        <w:rPr>
          <w:rFonts w:ascii="Times New Roman" w:hAnsi="Times New Roman" w:cs="Times New Roman" w:eastAsia="Times New Roman" w:hint="default"/>
        </w:rPr>
        <w:t>272,500.00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1105"/>
        <w:jc w:val="left"/>
        <w:rPr>
          <w:b w:val="0"/>
          <w:bCs w:val="0"/>
        </w:rPr>
      </w:pPr>
      <w:bookmarkStart w:name="52、其他非流动负债" w:id="372"/>
      <w:bookmarkEnd w:id="372"/>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731" w:footer="981" w:top="1040" w:bottom="1180" w:left="1000" w:right="0"/>
        </w:sectPr>
      </w:pPr>
    </w:p>
    <w:p>
      <w:pPr>
        <w:pStyle w:val="BodyText"/>
        <w:spacing w:line="240" w:lineRule="auto" w:before="44"/>
        <w:ind w:right="-20"/>
        <w:jc w:val="left"/>
      </w:pPr>
      <w:r>
        <w:rPr/>
        <w:t>是否已执行新收入准则</w:t>
      </w:r>
    </w:p>
    <w:p>
      <w:pPr>
        <w:pStyle w:val="BodyText"/>
        <w:spacing w:line="240" w:lineRule="auto" w:before="12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994,733.57</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994,733.57</w:t>
            </w: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1105"/>
        <w:jc w:val="left"/>
        <w:rPr>
          <w:b w:val="0"/>
          <w:bCs w:val="0"/>
        </w:rPr>
      </w:pPr>
      <w:bookmarkStart w:name="53、股本" w:id="373"/>
      <w:bookmarkEnd w:id="373"/>
      <w:r>
        <w:rPr>
          <w:b w:val="0"/>
          <w:bCs w:val="0"/>
        </w:rPr>
      </w:r>
      <w:r>
        <w:rPr>
          <w:rFonts w:ascii="Times New Roman" w:hAnsi="Times New Roman" w:cs="Times New Roman" w:eastAsia="Times New Roman" w:hint="default"/>
        </w:rPr>
        <w:t>53</w:t>
      </w:r>
      <w:r>
        <w:rPr/>
        <w:t>、股本</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194"/>
        <w:gridCol w:w="1194"/>
        <w:gridCol w:w="1194"/>
        <w:gridCol w:w="1202"/>
        <w:gridCol w:w="1201"/>
        <w:gridCol w:w="1186"/>
        <w:gridCol w:w="1194"/>
        <w:gridCol w:w="1209"/>
      </w:tblGrid>
      <w:tr>
        <w:trPr>
          <w:trHeight w:val="202" w:hRule="exact"/>
        </w:trPr>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5977" w:type="dxa"/>
            <w:gridSpan w:val="5"/>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9"/>
              <w:ind w:left="14"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9"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3" w:hRule="exact"/>
        </w:trPr>
        <w:tc>
          <w:tcPr>
            <w:tcW w:w="1194" w:type="dxa"/>
            <w:vMerge w:val="restart"/>
            <w:tcBorders>
              <w:top w:val="nil" w:sz="6" w:space="0" w:color="auto"/>
              <w:left w:val="single" w:sz="6" w:space="0" w:color="000000"/>
              <w:right w:val="single" w:sz="6" w:space="0" w:color="000000"/>
            </w:tcBorders>
            <w:shd w:val="clear" w:color="auto" w:fill="D2D2D2"/>
          </w:tcPr>
          <w:p>
            <w:pPr/>
          </w:p>
        </w:tc>
        <w:tc>
          <w:tcPr>
            <w:tcW w:w="119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77" w:type="dxa"/>
            <w:gridSpan w:val="5"/>
            <w:vMerge/>
            <w:tcBorders>
              <w:left w:val="single" w:sz="6" w:space="0" w:color="000000"/>
              <w:bottom w:val="single" w:sz="6" w:space="0" w:color="000000"/>
              <w:right w:val="single" w:sz="6" w:space="0" w:color="000000"/>
            </w:tcBorders>
            <w:shd w:val="clear" w:color="auto" w:fill="D2D2D2"/>
          </w:tcPr>
          <w:p>
            <w:pPr/>
          </w:p>
        </w:tc>
        <w:tc>
          <w:tcPr>
            <w:tcW w:w="120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8" w:hRule="exact"/>
        </w:trPr>
        <w:tc>
          <w:tcPr>
            <w:tcW w:w="1194" w:type="dxa"/>
            <w:vMerge/>
            <w:tcBorders>
              <w:left w:val="single" w:sz="6" w:space="0" w:color="000000"/>
              <w:bottom w:val="nil" w:sz="6" w:space="0" w:color="auto"/>
              <w:right w:val="single" w:sz="6" w:space="0" w:color="000000"/>
            </w:tcBorders>
            <w:shd w:val="clear" w:color="auto" w:fill="D2D2D2"/>
          </w:tcPr>
          <w:p>
            <w:pPr/>
          </w:p>
        </w:tc>
        <w:tc>
          <w:tcPr>
            <w:tcW w:w="1194" w:type="dxa"/>
            <w:vMerge/>
            <w:tcBorders>
              <w:left w:val="single" w:sz="6" w:space="0" w:color="000000"/>
              <w:bottom w:val="nil" w:sz="6" w:space="0" w:color="auto"/>
              <w:right w:val="single" w:sz="6" w:space="0" w:color="000000"/>
            </w:tcBorders>
            <w:shd w:val="clear" w:color="auto" w:fill="D2D2D2"/>
          </w:tcPr>
          <w:p>
            <w:pPr/>
          </w:p>
        </w:tc>
        <w:tc>
          <w:tcPr>
            <w:tcW w:w="11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2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8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9" w:type="dxa"/>
            <w:vMerge/>
            <w:tcBorders>
              <w:left w:val="single" w:sz="6" w:space="0" w:color="000000"/>
              <w:bottom w:val="nil" w:sz="6" w:space="0" w:color="auto"/>
              <w:right w:val="single" w:sz="6" w:space="0" w:color="000000"/>
            </w:tcBorders>
            <w:shd w:val="clear" w:color="auto" w:fill="D2D2D2"/>
          </w:tcPr>
          <w:p>
            <w:pPr/>
          </w:p>
        </w:tc>
      </w:tr>
      <w:tr>
        <w:trPr>
          <w:trHeight w:val="218" w:hRule="exact"/>
        </w:trPr>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4" w:type="dxa"/>
            <w:vMerge/>
            <w:tcBorders>
              <w:left w:val="single" w:sz="6" w:space="0" w:color="000000"/>
              <w:bottom w:val="single" w:sz="6" w:space="0" w:color="000000"/>
              <w:right w:val="single" w:sz="6" w:space="0" w:color="000000"/>
            </w:tcBorders>
            <w:shd w:val="clear" w:color="auto" w:fill="D2D2D2"/>
          </w:tcPr>
          <w:p>
            <w:pPr/>
          </w:p>
        </w:tc>
        <w:tc>
          <w:tcPr>
            <w:tcW w:w="1202" w:type="dxa"/>
            <w:vMerge/>
            <w:tcBorders>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186" w:type="dxa"/>
            <w:vMerge/>
            <w:tcBorders>
              <w:left w:val="single" w:sz="6" w:space="0" w:color="000000"/>
              <w:bottom w:val="single" w:sz="6" w:space="0" w:color="000000"/>
              <w:right w:val="single" w:sz="6" w:space="0" w:color="000000"/>
            </w:tcBorders>
            <w:shd w:val="clear" w:color="auto" w:fill="D2D2D2"/>
          </w:tcPr>
          <w:p>
            <w:pPr/>
          </w:p>
        </w:tc>
        <w:tc>
          <w:tcPr>
            <w:tcW w:w="1194" w:type="dxa"/>
            <w:vMerge/>
            <w:tcBorders>
              <w:left w:val="single" w:sz="6" w:space="0" w:color="000000"/>
              <w:bottom w:val="single" w:sz="6" w:space="0" w:color="000000"/>
              <w:right w:val="single" w:sz="6" w:space="0" w:color="000000"/>
            </w:tcBorders>
            <w:shd w:val="clear" w:color="auto" w:fill="D2D2D2"/>
          </w:tcPr>
          <w:p>
            <w:pPr/>
          </w:p>
        </w:tc>
        <w:tc>
          <w:tcPr>
            <w:tcW w:w="1209"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90"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429,220,300.00</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7" w:right="0"/>
              <w:jc w:val="left"/>
              <w:rPr>
                <w:rFonts w:ascii="Times New Roman" w:hAnsi="Times New Roman" w:cs="Times New Roman" w:eastAsia="Times New Roman" w:hint="default"/>
                <w:sz w:val="18"/>
                <w:szCs w:val="18"/>
              </w:rPr>
            </w:pPr>
            <w:r>
              <w:rPr>
                <w:rFonts w:ascii="Times New Roman"/>
                <w:sz w:val="18"/>
              </w:rPr>
              <w:t>250,712,191.00</w:t>
            </w: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45" w:right="0"/>
              <w:jc w:val="left"/>
              <w:rPr>
                <w:rFonts w:ascii="Times New Roman" w:hAnsi="Times New Roman" w:cs="Times New Roman" w:eastAsia="Times New Roman" w:hint="default"/>
                <w:sz w:val="18"/>
                <w:szCs w:val="18"/>
              </w:rPr>
            </w:pPr>
            <w:r>
              <w:rPr>
                <w:rFonts w:ascii="Times New Roman"/>
                <w:sz w:val="18"/>
              </w:rPr>
              <w:t>399,502.00</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6"/>
              <w:jc w:val="left"/>
              <w:rPr>
                <w:rFonts w:ascii="Times New Roman" w:hAnsi="Times New Roman" w:cs="Times New Roman" w:eastAsia="Times New Roman" w:hint="default"/>
                <w:sz w:val="18"/>
                <w:szCs w:val="18"/>
              </w:rPr>
            </w:pPr>
            <w:r>
              <w:rPr>
                <w:rFonts w:ascii="Times New Roman"/>
                <w:sz w:val="18"/>
              </w:rPr>
              <w:t>251,111,693.00</w:t>
            </w:r>
          </w:p>
        </w:tc>
        <w:tc>
          <w:tcPr>
            <w:tcW w:w="1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2" w:right="0"/>
              <w:jc w:val="left"/>
              <w:rPr>
                <w:rFonts w:ascii="Times New Roman" w:hAnsi="Times New Roman" w:cs="Times New Roman" w:eastAsia="Times New Roman" w:hint="default"/>
                <w:sz w:val="18"/>
                <w:szCs w:val="18"/>
              </w:rPr>
            </w:pPr>
            <w:r>
              <w:rPr>
                <w:rFonts w:ascii="Times New Roman"/>
                <w:sz w:val="18"/>
              </w:rPr>
              <w:t>680,331,993.00</w:t>
            </w:r>
          </w:p>
        </w:tc>
      </w:tr>
    </w:tbl>
    <w:p>
      <w:pPr>
        <w:pStyle w:val="BodyText"/>
        <w:spacing w:line="240" w:lineRule="auto" w:before="44"/>
        <w:ind w:right="0"/>
        <w:jc w:val="both"/>
      </w:pPr>
      <w:r>
        <w:rPr/>
        <w:t>其他说明：</w:t>
      </w:r>
    </w:p>
    <w:p>
      <w:pPr>
        <w:pStyle w:val="BodyText"/>
        <w:spacing w:line="300" w:lineRule="auto" w:before="125"/>
        <w:ind w:right="1127"/>
        <w:jc w:val="both"/>
      </w:pPr>
      <w:r>
        <w:rPr>
          <w:rFonts w:ascii="Times New Roman" w:hAnsi="Times New Roman" w:cs="Times New Roman" w:eastAsia="Times New Roman" w:hint="default"/>
        </w:rPr>
        <w:t>(a)</w:t>
      </w: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日完成了通过非公开发行人民币</w:t>
      </w:r>
      <w:r>
        <w:rPr>
          <w:rFonts w:ascii="Times New Roman" w:hAnsi="Times New Roman" w:cs="Times New Roman" w:eastAsia="Times New Roman" w:hint="default"/>
        </w:rPr>
        <w:t>A</w:t>
      </w:r>
      <w:r>
        <w:rPr/>
        <w:t>股普通股股份方式向易视腾科技的</w:t>
      </w:r>
      <w:r>
        <w:rPr>
          <w:rFonts w:ascii="Times New Roman" w:hAnsi="Times New Roman" w:cs="Times New Roman" w:eastAsia="Times New Roman" w:hint="default"/>
        </w:rPr>
        <w:t>20</w:t>
      </w:r>
      <w:r>
        <w:rPr/>
        <w:t>名股东购买其持有的易视腾</w:t>
      </w:r>
      <w:r>
        <w:rPr>
          <w:spacing w:val="-57"/>
        </w:rPr>
        <w:t> </w:t>
      </w:r>
      <w:r>
        <w:rPr>
          <w:spacing w:val="-57"/>
        </w:rPr>
      </w:r>
      <w:r>
        <w:rPr/>
        <w:t>科技</w:t>
      </w:r>
      <w:r>
        <w:rPr>
          <w:rFonts w:ascii="Times New Roman" w:hAnsi="Times New Roman" w:cs="Times New Roman" w:eastAsia="Times New Roman" w:hint="default"/>
        </w:rPr>
        <w:t>96%</w:t>
      </w:r>
      <w:r>
        <w:rPr/>
        <w:t>股份以及向邦道科技的</w:t>
      </w:r>
      <w:r>
        <w:rPr>
          <w:rFonts w:ascii="Times New Roman" w:hAnsi="Times New Roman" w:cs="Times New Roman" w:eastAsia="Times New Roman" w:hint="default"/>
        </w:rPr>
        <w:t>2</w:t>
      </w:r>
      <w:r>
        <w:rPr/>
        <w:t>名股东购买其持有的邦道科技</w:t>
      </w:r>
      <w:r>
        <w:rPr>
          <w:rFonts w:ascii="Times New Roman" w:hAnsi="Times New Roman" w:cs="Times New Roman" w:eastAsia="Times New Roman" w:hint="default"/>
        </w:rPr>
        <w:t>50%</w:t>
      </w:r>
      <w:r>
        <w:rPr/>
        <w:t>股份的工作，合计发行股份</w:t>
      </w:r>
      <w:r>
        <w:rPr>
          <w:rFonts w:ascii="Times New Roman" w:hAnsi="Times New Roman" w:cs="Times New Roman" w:eastAsia="Times New Roman" w:hint="default"/>
        </w:rPr>
        <w:t>248,211,629.00</w:t>
      </w:r>
      <w:r>
        <w:rPr/>
        <w:t>股。上述股本</w:t>
      </w:r>
      <w:r>
        <w:rPr>
          <w:spacing w:val="-69"/>
        </w:rPr>
        <w:t> </w:t>
      </w:r>
      <w:r>
        <w:rPr>
          <w:spacing w:val="-1"/>
        </w:rPr>
        <w:t>增加已由普华永道中天会计师事务所（特殊普通合伙）于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5</w:t>
      </w:r>
      <w:r>
        <w:rPr>
          <w:spacing w:val="-1"/>
        </w:rPr>
        <w:t>日出具的普华永道中天验字</w:t>
      </w:r>
      <w:r>
        <w:rPr>
          <w:rFonts w:ascii="Times New Roman" w:hAnsi="Times New Roman" w:cs="Times New Roman" w:eastAsia="Times New Roman" w:hint="default"/>
          <w:spacing w:val="-1"/>
        </w:rPr>
        <w:t>(2019)</w:t>
      </w:r>
      <w:r>
        <w:rPr>
          <w:spacing w:val="-1"/>
        </w:rPr>
        <w:t>第</w:t>
      </w:r>
      <w:r>
        <w:rPr>
          <w:rFonts w:ascii="Times New Roman" w:hAnsi="Times New Roman" w:cs="Times New Roman" w:eastAsia="Times New Roman" w:hint="default"/>
          <w:spacing w:val="-1"/>
        </w:rPr>
        <w:t>0338</w:t>
      </w:r>
      <w:r>
        <w:rPr>
          <w:spacing w:val="-1"/>
        </w:rPr>
        <w:t>号验资报告所</w:t>
      </w:r>
      <w:r>
        <w:rPr>
          <w:spacing w:val="-51"/>
        </w:rPr>
        <w:t> </w:t>
      </w:r>
      <w:r>
        <w:rPr/>
        <w:t>验证。</w:t>
      </w:r>
    </w:p>
    <w:p>
      <w:pPr>
        <w:spacing w:line="240" w:lineRule="auto" w:before="10"/>
        <w:rPr>
          <w:rFonts w:ascii="宋体" w:hAnsi="宋体" w:cs="宋体" w:eastAsia="宋体" w:hint="default"/>
          <w:sz w:val="26"/>
          <w:szCs w:val="26"/>
        </w:rPr>
      </w:pPr>
    </w:p>
    <w:p>
      <w:pPr>
        <w:pStyle w:val="BodyText"/>
        <w:spacing w:line="304" w:lineRule="auto"/>
        <w:ind w:right="1127"/>
        <w:jc w:val="both"/>
      </w:pPr>
      <w:r>
        <w:rPr/>
        <w:t>如附注七</w:t>
      </w:r>
      <w:r>
        <w:rPr>
          <w:rFonts w:ascii="Times New Roman" w:hAnsi="Times New Roman" w:cs="Times New Roman" w:eastAsia="Times New Roman" w:hint="default"/>
        </w:rPr>
        <w:t>(55)(a)</w:t>
      </w:r>
      <w:r>
        <w:rPr/>
        <w:t>所述，本公司于</w:t>
      </w:r>
      <w:r>
        <w:rPr>
          <w:rFonts w:ascii="Times New Roman" w:hAnsi="Times New Roman" w:cs="Times New Roman" w:eastAsia="Times New Roman" w:hint="default"/>
        </w:rPr>
        <w:t>2019</w:t>
      </w:r>
      <w:r>
        <w:rPr/>
        <w:t>年度从预留限制性股票激励对象处收到全部募集股款人民币</w:t>
      </w:r>
      <w:r>
        <w:rPr>
          <w:rFonts w:ascii="Times New Roman" w:hAnsi="Times New Roman" w:cs="Times New Roman" w:eastAsia="Times New Roman" w:hint="default"/>
        </w:rPr>
        <w:t>21,154,754.52</w:t>
      </w:r>
      <w:r>
        <w:rPr/>
        <w:t>元，增加股本</w:t>
      </w:r>
      <w:r>
        <w:rPr>
          <w:spacing w:val="-86"/>
        </w:rPr>
        <w:t> </w:t>
      </w:r>
      <w:r>
        <w:rPr>
          <w:spacing w:val="-1"/>
        </w:rPr>
        <w:t>人民币</w:t>
      </w:r>
      <w:r>
        <w:rPr>
          <w:rFonts w:ascii="Times New Roman" w:hAnsi="Times New Roman" w:cs="Times New Roman" w:eastAsia="Times New Roman" w:hint="default"/>
          <w:spacing w:val="-1"/>
        </w:rPr>
        <w:t>2,500,562.00</w:t>
      </w:r>
      <w:r>
        <w:rPr>
          <w:spacing w:val="-1"/>
        </w:rPr>
        <w:t>元，上述股本增加已由普华永道中天会计师事务所（特殊普通合伙）于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16</w:t>
      </w:r>
      <w:r>
        <w:rPr>
          <w:spacing w:val="-1"/>
        </w:rPr>
        <w:t>日出具的普华永道中</w:t>
      </w:r>
      <w:r>
        <w:rPr>
          <w:spacing w:val="-64"/>
        </w:rPr>
        <w:t> </w:t>
      </w:r>
      <w:r>
        <w:rPr/>
        <w:t>天验字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0008</w:t>
      </w:r>
      <w:r>
        <w:rPr/>
        <w:t>号验资报告所验证。</w:t>
      </w:r>
    </w:p>
    <w:p>
      <w:pPr>
        <w:spacing w:after="0" w:line="304" w:lineRule="auto"/>
        <w:jc w:val="both"/>
        <w:sectPr>
          <w:type w:val="continuous"/>
          <w:pgSz w:w="11910" w:h="16850"/>
          <w:pgMar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97" w:lineRule="auto"/>
        <w:ind w:right="1124"/>
        <w:jc w:val="both"/>
      </w:pPr>
      <w:r>
        <w:rPr>
          <w:rFonts w:ascii="Times New Roman" w:hAnsi="Times New Roman" w:cs="Times New Roman" w:eastAsia="Times New Roman" w:hint="default"/>
          <w:spacing w:val="-1"/>
        </w:rPr>
        <w:t>(b)</w:t>
      </w:r>
      <w:r>
        <w:rPr>
          <w:spacing w:val="-1"/>
        </w:rPr>
        <w:t>如附注七</w:t>
      </w:r>
      <w:r>
        <w:rPr>
          <w:rFonts w:ascii="Times New Roman" w:hAnsi="Times New Roman" w:cs="Times New Roman" w:eastAsia="Times New Roman" w:hint="default"/>
          <w:spacing w:val="-1"/>
        </w:rPr>
        <w:t>(55)(a)</w:t>
      </w:r>
      <w:r>
        <w:rPr>
          <w:spacing w:val="-1"/>
        </w:rPr>
        <w:t>所述</w:t>
      </w:r>
      <w:r>
        <w:rPr>
          <w:rFonts w:ascii="Times New Roman" w:hAnsi="Times New Roman" w:cs="Times New Roman" w:eastAsia="Times New Roman" w:hint="default"/>
          <w:spacing w:val="-1"/>
        </w:rPr>
        <w:t>,</w:t>
      </w:r>
      <w:r>
        <w:rPr>
          <w:spacing w:val="-1"/>
        </w:rPr>
        <w:t>本公司于</w:t>
      </w:r>
      <w:r>
        <w:rPr>
          <w:rFonts w:ascii="Times New Roman" w:hAnsi="Times New Roman" w:cs="Times New Roman" w:eastAsia="Times New Roman" w:hint="default"/>
          <w:spacing w:val="-1"/>
        </w:rPr>
        <w:t>2019</w:t>
      </w:r>
      <w:r>
        <w:rPr>
          <w:spacing w:val="-1"/>
        </w:rPr>
        <w:t>年度因员工自主行权增加股本</w:t>
      </w:r>
      <w:r>
        <w:rPr>
          <w:rFonts w:ascii="Times New Roman" w:hAnsi="Times New Roman" w:cs="Times New Roman" w:eastAsia="Times New Roman" w:hint="default"/>
          <w:spacing w:val="-1"/>
        </w:rPr>
        <w:t>436,302.00</w:t>
      </w:r>
      <w:r>
        <w:rPr>
          <w:spacing w:val="-1"/>
        </w:rPr>
        <w:t>元，此股本根据中登公司到账资金折算；因限</w:t>
      </w:r>
      <w:r>
        <w:rPr>
          <w:spacing w:val="-51"/>
        </w:rPr>
        <w:t> </w:t>
      </w:r>
      <w:r>
        <w:rPr>
          <w:spacing w:val="-51"/>
        </w:rPr>
      </w:r>
      <w:r>
        <w:rPr/>
        <w:t>制性股票回购减少股本</w:t>
      </w:r>
      <w:r>
        <w:rPr>
          <w:rFonts w:ascii="Times New Roman" w:hAnsi="Times New Roman" w:cs="Times New Roman" w:eastAsia="Times New Roman" w:hint="default"/>
        </w:rPr>
        <w:t>36,800.00</w:t>
      </w:r>
      <w:r>
        <w:rPr/>
        <w:t>元，上述股本减少已由普华永道中天会计师事务所（特殊普通合伙）于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日出具</w:t>
      </w:r>
      <w:r>
        <w:rPr>
          <w:spacing w:val="-81"/>
        </w:rPr>
        <w:t> </w:t>
      </w:r>
      <w:r>
        <w:rPr/>
        <w:t>的普华永道中天验字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0426</w:t>
      </w:r>
      <w:r>
        <w:rPr/>
        <w:t>号验资报告所验证。</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bookmarkStart w:name="54、其他权益工具" w:id="374"/>
      <w:bookmarkEnd w:id="374"/>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both"/>
        <w:rPr>
          <w:b w:val="0"/>
          <w:bCs w:val="0"/>
        </w:rPr>
      </w:pPr>
      <w:bookmarkStart w:name="（1）期末发行在外的优先股、永续债等其他金融工具基本情况" w:id="375"/>
      <w:bookmarkEnd w:id="375"/>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both"/>
        <w:rPr>
          <w:b w:val="0"/>
          <w:bCs w:val="0"/>
        </w:rPr>
      </w:pPr>
      <w:bookmarkStart w:name="（2）期末发行在外的优先股、永续债等金融工具变动情况表" w:id="376"/>
      <w:bookmarkEnd w:id="376"/>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66"/>
        <w:gridCol w:w="1067"/>
        <w:gridCol w:w="1051"/>
        <w:gridCol w:w="1067"/>
        <w:gridCol w:w="1066"/>
      </w:tblGrid>
      <w:tr>
        <w:trPr>
          <w:trHeight w:val="406" w:hRule="exact"/>
        </w:trPr>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0"/>
              <w:ind w:left="150" w:right="88"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期初</w:t>
            </w:r>
          </w:p>
        </w:tc>
        <w:tc>
          <w:tcPr>
            <w:tcW w:w="21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6"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2" w:lineRule="auto" w:before="44"/>
        <w:ind w:right="4629"/>
        <w:jc w:val="left"/>
      </w:pPr>
      <w:r>
        <w:rPr/>
        <w:t>其他权益工具本期增减变动情况、变动原因说明，以及相关会计处理的依据： 其他说明：</w:t>
      </w:r>
    </w:p>
    <w:p>
      <w:pPr>
        <w:spacing w:line="240" w:lineRule="auto" w:before="3"/>
        <w:rPr>
          <w:rFonts w:ascii="宋体" w:hAnsi="宋体" w:cs="宋体" w:eastAsia="宋体" w:hint="default"/>
          <w:sz w:val="22"/>
          <w:szCs w:val="22"/>
        </w:rPr>
      </w:pPr>
    </w:p>
    <w:p>
      <w:pPr>
        <w:pStyle w:val="Heading3"/>
        <w:spacing w:line="240" w:lineRule="auto"/>
        <w:ind w:right="1105"/>
        <w:jc w:val="left"/>
        <w:rPr>
          <w:b w:val="0"/>
          <w:bCs w:val="0"/>
        </w:rPr>
      </w:pPr>
      <w:bookmarkStart w:name="55、资本公积" w:id="377"/>
      <w:bookmarkEnd w:id="377"/>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556,197,901.94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1,662,246,748.32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11,521,338.08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2,206,923,312.18</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302,701,907.75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66,958,252.20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53,421,840.00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316,238,319.95</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858,899,809.69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1,729,205,000.52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64,943,178.08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2,523,161,632.13</w:t>
            </w:r>
          </w:p>
        </w:tc>
      </w:tr>
    </w:tbl>
    <w:p>
      <w:pPr>
        <w:pStyle w:val="BodyText"/>
        <w:spacing w:line="240" w:lineRule="auto" w:before="44"/>
        <w:ind w:right="0"/>
        <w:jc w:val="both"/>
      </w:pPr>
      <w:r>
        <w:rPr/>
        <w:t>其他说明，包括本期增减变动情况、变动原因说明：</w:t>
      </w:r>
    </w:p>
    <w:p>
      <w:pPr>
        <w:pStyle w:val="BodyText"/>
        <w:spacing w:line="295" w:lineRule="auto" w:before="125"/>
        <w:ind w:right="1042"/>
        <w:jc w:val="both"/>
      </w:pPr>
      <w:r>
        <w:rPr>
          <w:rFonts w:ascii="Times New Roman" w:hAnsi="Times New Roman" w:cs="Times New Roman" w:eastAsia="Times New Roman" w:hint="default"/>
        </w:rPr>
        <w:t>(a)</w:t>
      </w:r>
      <w:r>
        <w:rPr/>
        <w:t>就附注十三所述之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日所授予预留限制性股票，截至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日止，本公司从限制性股票激励对象处收到</w:t>
      </w:r>
      <w:r>
        <w:rPr>
          <w:w w:val="99"/>
        </w:rPr>
        <w:t> </w:t>
      </w:r>
      <w:r>
        <w:rPr/>
        <w:t>全部募集股款募集资金人民币</w:t>
      </w:r>
      <w:r>
        <w:rPr>
          <w:rFonts w:ascii="Times New Roman" w:hAnsi="Times New Roman" w:cs="Times New Roman" w:eastAsia="Times New Roman" w:hint="default"/>
        </w:rPr>
        <w:t>21,154,754.52</w:t>
      </w:r>
      <w:r>
        <w:rPr/>
        <w:t>元，其中增加股本人民币</w:t>
      </w:r>
      <w:r>
        <w:rPr>
          <w:rFonts w:ascii="Times New Roman" w:hAnsi="Times New Roman" w:cs="Times New Roman" w:eastAsia="Times New Roman" w:hint="default"/>
        </w:rPr>
        <w:t>2,500,562.00</w:t>
      </w:r>
      <w:r>
        <w:rPr/>
        <w:t>元，增加资本公积人民币</w:t>
      </w:r>
      <w:r>
        <w:rPr>
          <w:rFonts w:ascii="Times New Roman" w:hAnsi="Times New Roman" w:cs="Times New Roman" w:eastAsia="Times New Roman" w:hint="default"/>
        </w:rPr>
        <w:t>18,654,192.52</w:t>
      </w:r>
      <w:r>
        <w:rPr/>
        <w:t>元，</w:t>
      </w:r>
      <w:r>
        <w:rPr>
          <w:spacing w:val="-82"/>
        </w:rPr>
        <w:t> </w:t>
      </w:r>
      <w:r>
        <w:rPr/>
        <w:t>并就相关回购义务</w:t>
      </w:r>
      <w:r>
        <w:rPr>
          <w:rFonts w:ascii="Times New Roman" w:hAnsi="Times New Roman" w:cs="Times New Roman" w:eastAsia="Times New Roman" w:hint="default"/>
        </w:rPr>
        <w:t>21,154,754.52</w:t>
      </w:r>
      <w:r>
        <w:rPr/>
        <w:t>元确认为其他应付款并相应增加库存股。</w:t>
      </w:r>
    </w:p>
    <w:p>
      <w:pPr>
        <w:spacing w:line="240" w:lineRule="auto" w:before="8"/>
        <w:rPr>
          <w:rFonts w:ascii="宋体" w:hAnsi="宋体" w:cs="宋体" w:eastAsia="宋体" w:hint="default"/>
          <w:sz w:val="25"/>
          <w:szCs w:val="25"/>
        </w:rPr>
      </w:pPr>
    </w:p>
    <w:p>
      <w:pPr>
        <w:pStyle w:val="BodyText"/>
        <w:spacing w:line="304" w:lineRule="auto"/>
        <w:ind w:right="1042"/>
        <w:jc w:val="both"/>
      </w:pPr>
      <w:r>
        <w:rPr>
          <w:spacing w:val="-3"/>
        </w:rPr>
        <w:t>如附注十三所述，于</w:t>
      </w:r>
      <w:r>
        <w:rPr>
          <w:rFonts w:ascii="Times New Roman" w:hAnsi="Times New Roman" w:cs="Times New Roman" w:eastAsia="Times New Roman" w:hint="default"/>
          <w:spacing w:val="-3"/>
        </w:rPr>
        <w:t>2019</w:t>
      </w:r>
      <w:r>
        <w:rPr>
          <w:spacing w:val="-3"/>
        </w:rPr>
        <w:t>年度，</w:t>
      </w:r>
      <w:r>
        <w:rPr>
          <w:rFonts w:ascii="Times New Roman" w:hAnsi="Times New Roman" w:cs="Times New Roman" w:eastAsia="Times New Roman" w:hint="default"/>
          <w:spacing w:val="-3"/>
        </w:rPr>
        <w:t>2018</w:t>
      </w:r>
      <w:r>
        <w:rPr>
          <w:spacing w:val="-3"/>
        </w:rPr>
        <w:t>年度股票期权激励计划的第一个行权期行权条件达成且第一个行权期采用自主行权模式。</w:t>
      </w:r>
      <w:r>
        <w:rPr/>
        <w:t>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日止，员工自主行权增加股本</w:t>
      </w:r>
      <w:r>
        <w:rPr>
          <w:rFonts w:ascii="Times New Roman" w:hAnsi="Times New Roman" w:cs="Times New Roman" w:eastAsia="Times New Roman" w:hint="default"/>
        </w:rPr>
        <w:t>436,302.00</w:t>
      </w:r>
      <w:r>
        <w:rPr/>
        <w:t>元，增加资本公积</w:t>
      </w:r>
      <w:r>
        <w:rPr>
          <w:rFonts w:ascii="Times New Roman" w:hAnsi="Times New Roman" w:cs="Times New Roman" w:eastAsia="Times New Roman" w:hint="default"/>
        </w:rPr>
        <w:t>6,705,525.45</w:t>
      </w:r>
      <w:r>
        <w:rPr/>
        <w:t>元。</w:t>
      </w:r>
    </w:p>
    <w:p>
      <w:pPr>
        <w:spacing w:line="240" w:lineRule="auto" w:before="11"/>
        <w:rPr>
          <w:rFonts w:ascii="宋体" w:hAnsi="宋体" w:cs="宋体" w:eastAsia="宋体" w:hint="default"/>
          <w:sz w:val="23"/>
          <w:szCs w:val="23"/>
        </w:rPr>
      </w:pPr>
    </w:p>
    <w:p>
      <w:pPr>
        <w:pStyle w:val="BodyText"/>
        <w:spacing w:line="302" w:lineRule="auto"/>
        <w:ind w:right="1111"/>
        <w:jc w:val="both"/>
      </w:pPr>
      <w:r>
        <w:rPr/>
        <w:t>如附注十三所述，于</w:t>
      </w:r>
      <w:r>
        <w:rPr>
          <w:rFonts w:ascii="Times New Roman" w:hAnsi="Times New Roman" w:cs="Times New Roman" w:eastAsia="Times New Roman" w:hint="default"/>
        </w:rPr>
        <w:t>2019</w:t>
      </w:r>
      <w:r>
        <w:rPr/>
        <w:t>年度，</w:t>
      </w:r>
      <w:r>
        <w:rPr>
          <w:rFonts w:ascii="Times New Roman" w:hAnsi="Times New Roman" w:cs="Times New Roman" w:eastAsia="Times New Roman" w:hint="default"/>
        </w:rPr>
        <w:t>2017</w:t>
      </w:r>
      <w:r>
        <w:rPr/>
        <w:t>年度限制性股票激励计划第二批</w:t>
      </w:r>
      <w:r>
        <w:rPr>
          <w:rFonts w:ascii="Times New Roman" w:hAnsi="Times New Roman" w:cs="Times New Roman" w:eastAsia="Times New Roman" w:hint="default"/>
        </w:rPr>
        <w:t>40%</w:t>
      </w:r>
      <w:r>
        <w:rPr/>
        <w:t>限制性股票及</w:t>
      </w:r>
      <w:r>
        <w:rPr>
          <w:rFonts w:ascii="Times New Roman" w:hAnsi="Times New Roman" w:cs="Times New Roman" w:eastAsia="Times New Roman" w:hint="default"/>
        </w:rPr>
        <w:t>2018</w:t>
      </w:r>
      <w:r>
        <w:rPr/>
        <w:t>年度限制性股票激励计划首批</w:t>
      </w:r>
      <w:r>
        <w:rPr>
          <w:spacing w:val="28"/>
        </w:rPr>
        <w:t> </w:t>
      </w:r>
      <w:r>
        <w:rPr>
          <w:spacing w:val="28"/>
        </w:rPr>
      </w:r>
      <w:r>
        <w:rPr>
          <w:rFonts w:ascii="Times New Roman" w:hAnsi="Times New Roman" w:cs="Times New Roman" w:eastAsia="Times New Roman" w:hint="default"/>
        </w:rPr>
        <w:t>20%</w:t>
      </w:r>
      <w:r>
        <w:rPr>
          <w:rFonts w:ascii="Times New Roman" w:hAnsi="Times New Roman" w:cs="Times New Roman" w:eastAsia="Times New Roman" w:hint="default"/>
          <w:spacing w:val="-29"/>
        </w:rPr>
        <w:t> </w:t>
      </w:r>
      <w:r>
        <w:rPr>
          <w:spacing w:val="12"/>
        </w:rPr>
        <w:t>限制性股票的解</w:t>
      </w:r>
      <w:r>
        <w:rPr>
          <w:spacing w:val="-57"/>
        </w:rPr>
        <w:t> </w:t>
      </w:r>
      <w:r>
        <w:rPr>
          <w:spacing w:val="11"/>
        </w:rPr>
        <w:t>除限售条件已</w:t>
      </w:r>
      <w:r>
        <w:rPr>
          <w:spacing w:val="-57"/>
        </w:rPr>
        <w:t> </w:t>
      </w:r>
      <w:r>
        <w:rPr>
          <w:spacing w:val="11"/>
        </w:rPr>
        <w:t>达成，分别</w:t>
      </w:r>
      <w:r>
        <w:rPr>
          <w:spacing w:val="-57"/>
        </w:rPr>
        <w:t> </w:t>
      </w:r>
      <w:r>
        <w:rPr>
          <w:spacing w:val="11"/>
        </w:rPr>
        <w:t>结转资本公积</w:t>
      </w:r>
      <w:r>
        <w:rPr>
          <w:spacing w:val="-45"/>
        </w:rPr>
        <w:t> </w:t>
      </w:r>
      <w:r>
        <w:rPr>
          <w:rFonts w:ascii="Times New Roman" w:hAnsi="Times New Roman" w:cs="Times New Roman" w:eastAsia="Times New Roman" w:hint="default"/>
          <w:spacing w:val="11"/>
        </w:rPr>
        <w:t>-</w:t>
      </w:r>
      <w:r>
        <w:rPr>
          <w:spacing w:val="11"/>
        </w:rPr>
        <w:t>其他资本</w:t>
      </w:r>
      <w:r>
        <w:rPr>
          <w:spacing w:val="-57"/>
        </w:rPr>
        <w:t> </w:t>
      </w:r>
      <w:r>
        <w:rPr>
          <w:spacing w:val="11"/>
        </w:rPr>
        <w:t>公积至资本公</w:t>
      </w:r>
      <w:r>
        <w:rPr>
          <w:spacing w:val="-57"/>
        </w:rPr>
        <w:t> </w:t>
      </w:r>
      <w:r>
        <w:rPr>
          <w:spacing w:val="5"/>
        </w:rPr>
        <w:t>积</w:t>
      </w:r>
      <w:r>
        <w:rPr>
          <w:rFonts w:ascii="Times New Roman" w:hAnsi="Times New Roman" w:cs="Times New Roman" w:eastAsia="Times New Roman" w:hint="default"/>
          <w:spacing w:val="5"/>
        </w:rPr>
        <w:t>-</w:t>
      </w:r>
      <w:r>
        <w:rPr>
          <w:spacing w:val="5"/>
        </w:rPr>
        <w:t>股本溢价</w:t>
      </w:r>
      <w:r>
        <w:rPr>
          <w:rFonts w:ascii="Times New Roman" w:hAnsi="Times New Roman" w:cs="Times New Roman" w:eastAsia="Times New Roman" w:hint="default"/>
          <w:spacing w:val="5"/>
        </w:rPr>
        <w:t>42,311,208.00</w:t>
      </w:r>
      <w:r>
        <w:rPr>
          <w:rFonts w:ascii="Times New Roman" w:hAnsi="Times New Roman" w:cs="Times New Roman" w:eastAsia="Times New Roman" w:hint="default"/>
          <w:spacing w:val="-27"/>
        </w:rPr>
        <w:t> </w:t>
      </w:r>
      <w:r>
        <w:rPr>
          <w:spacing w:val="15"/>
        </w:rPr>
        <w:t>元和</w:t>
      </w:r>
      <w:r>
        <w:rPr/>
      </w:r>
    </w:p>
    <w:p>
      <w:pPr>
        <w:pStyle w:val="BodyText"/>
        <w:spacing w:line="240" w:lineRule="auto" w:before="14"/>
        <w:ind w:right="0"/>
        <w:jc w:val="both"/>
      </w:pPr>
      <w:r>
        <w:rPr>
          <w:rFonts w:ascii="Times New Roman" w:hAnsi="Times New Roman" w:cs="Times New Roman" w:eastAsia="Times New Roman" w:hint="default"/>
        </w:rPr>
        <w:t>11,110,632.00</w:t>
      </w:r>
      <w:r>
        <w:rPr/>
        <w:t>元。</w:t>
      </w:r>
    </w:p>
    <w:p>
      <w:pPr>
        <w:spacing w:line="240" w:lineRule="auto" w:before="0"/>
        <w:rPr>
          <w:rFonts w:ascii="宋体" w:hAnsi="宋体" w:cs="宋体" w:eastAsia="宋体" w:hint="default"/>
          <w:sz w:val="18"/>
          <w:szCs w:val="18"/>
        </w:rPr>
      </w:pPr>
    </w:p>
    <w:p>
      <w:pPr>
        <w:pStyle w:val="BodyText"/>
        <w:spacing w:line="300" w:lineRule="auto" w:before="145"/>
        <w:ind w:right="1126"/>
        <w:jc w:val="both"/>
      </w:pPr>
      <w:r>
        <w:rPr/>
        <w:t>如附注十三所述，本公司向易视腾科技的</w:t>
      </w:r>
      <w:r>
        <w:rPr>
          <w:rFonts w:ascii="Times New Roman" w:hAnsi="Times New Roman" w:cs="Times New Roman" w:eastAsia="Times New Roman" w:hint="default"/>
        </w:rPr>
        <w:t>20</w:t>
      </w:r>
      <w:r>
        <w:rPr/>
        <w:t>名股东按每股</w:t>
      </w:r>
      <w:r>
        <w:rPr>
          <w:rFonts w:ascii="Times New Roman" w:hAnsi="Times New Roman" w:cs="Times New Roman" w:eastAsia="Times New Roman" w:hint="default"/>
        </w:rPr>
        <w:t>15.12</w:t>
      </w:r>
      <w:r>
        <w:rPr/>
        <w:t>元的价格发行</w:t>
      </w:r>
      <w:r>
        <w:rPr>
          <w:rFonts w:ascii="Times New Roman" w:hAnsi="Times New Roman" w:cs="Times New Roman" w:eastAsia="Times New Roman" w:hint="default"/>
        </w:rPr>
        <w:t>195,301,577</w:t>
      </w:r>
      <w:r>
        <w:rPr/>
        <w:t>股普通股收购易视腾科技，将易视</w:t>
      </w:r>
      <w:r>
        <w:rPr>
          <w:spacing w:val="-42"/>
        </w:rPr>
        <w:t> </w:t>
      </w:r>
      <w:r>
        <w:rPr>
          <w:spacing w:val="-42"/>
        </w:rPr>
      </w:r>
      <w:r>
        <w:rPr>
          <w:spacing w:val="2"/>
        </w:rPr>
        <w:t>腾科技</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日净资产账面价值归属于</w:t>
      </w:r>
      <w:r>
        <w:rPr>
          <w:rFonts w:ascii="Times New Roman" w:hAnsi="Times New Roman" w:cs="Times New Roman" w:eastAsia="Times New Roman" w:hint="default"/>
          <w:spacing w:val="2"/>
        </w:rPr>
        <w:t>20</w:t>
      </w:r>
      <w:r>
        <w:rPr>
          <w:spacing w:val="2"/>
        </w:rPr>
        <w:t>名股东中除最终控制方徐长军和郑新标持有的部分人民币</w:t>
      </w:r>
      <w:r>
        <w:rPr>
          <w:rFonts w:ascii="Times New Roman" w:hAnsi="Times New Roman" w:cs="Times New Roman" w:eastAsia="Times New Roman" w:hint="default"/>
          <w:spacing w:val="2"/>
        </w:rPr>
        <w:t>1,031,676,819.35 </w:t>
      </w:r>
      <w:r>
        <w:rPr/>
        <w:t>元，与对应发行股份的面值总额人民币</w:t>
      </w:r>
      <w:r>
        <w:rPr>
          <w:rFonts w:ascii="Times New Roman" w:hAnsi="Times New Roman" w:cs="Times New Roman" w:eastAsia="Times New Roman" w:hint="default"/>
        </w:rPr>
        <w:t>146,446,448.08</w:t>
      </w:r>
      <w:r>
        <w:rPr/>
        <w:t>元的差额人民币</w:t>
      </w:r>
      <w:r>
        <w:rPr>
          <w:rFonts w:ascii="Times New Roman" w:hAnsi="Times New Roman" w:cs="Times New Roman" w:eastAsia="Times New Roman" w:hint="default"/>
        </w:rPr>
        <w:t>885,230,371.27</w:t>
      </w:r>
      <w:r>
        <w:rPr/>
        <w:t>元计入资本公积；同时，将向最终控制</w:t>
      </w:r>
      <w:r>
        <w:rPr>
          <w:spacing w:val="-85"/>
        </w:rPr>
        <w:t> </w:t>
      </w:r>
      <w:r>
        <w:rPr/>
        <w:t>方徐长军和郑新标持有的份额发行股份的面值</w:t>
      </w:r>
      <w:r>
        <w:rPr>
          <w:rFonts w:ascii="Times New Roman" w:hAnsi="Times New Roman" w:cs="Times New Roman" w:eastAsia="Times New Roman" w:hint="default"/>
        </w:rPr>
        <w:t>48,855,128.92</w:t>
      </w:r>
      <w:r>
        <w:rPr/>
        <w:t>元，冲减资本公积。本公司向邦道科技的</w:t>
      </w:r>
      <w:r>
        <w:rPr>
          <w:rFonts w:ascii="Times New Roman" w:hAnsi="Times New Roman" w:cs="Times New Roman" w:eastAsia="Times New Roman" w:hint="default"/>
        </w:rPr>
        <w:t>2</w:t>
      </w:r>
      <w:r>
        <w:rPr/>
        <w:t>名股东按每股</w:t>
      </w:r>
      <w:r>
        <w:rPr>
          <w:rFonts w:ascii="Times New Roman" w:hAnsi="Times New Roman" w:cs="Times New Roman" w:eastAsia="Times New Roman" w:hint="default"/>
        </w:rPr>
        <w:t>15.12</w:t>
      </w:r>
      <w:r>
        <w:rPr/>
        <w:t>元</w:t>
      </w:r>
      <w:r>
        <w:rPr>
          <w:spacing w:val="-81"/>
        </w:rPr>
        <w:t> </w:t>
      </w:r>
      <w:r>
        <w:rPr/>
        <w:t>的价格发行</w:t>
      </w:r>
      <w:r>
        <w:rPr>
          <w:rFonts w:ascii="Times New Roman" w:hAnsi="Times New Roman" w:cs="Times New Roman" w:eastAsia="Times New Roman" w:hint="default"/>
        </w:rPr>
        <w:t>52,910,052</w:t>
      </w:r>
      <w:r>
        <w:rPr/>
        <w:t>股普通股收购邦道科技，发行股份总价人民币</w:t>
      </w:r>
      <w:r>
        <w:rPr>
          <w:rFonts w:ascii="Times New Roman" w:hAnsi="Times New Roman" w:cs="Times New Roman" w:eastAsia="Times New Roman" w:hint="default"/>
        </w:rPr>
        <w:t>800,000,000.00</w:t>
      </w:r>
      <w:r>
        <w:rPr/>
        <w:t>元扣除股本</w:t>
      </w:r>
      <w:r>
        <w:rPr>
          <w:rFonts w:ascii="Times New Roman" w:hAnsi="Times New Roman" w:cs="Times New Roman" w:eastAsia="Times New Roman" w:hint="default"/>
        </w:rPr>
        <w:t>52,910,052.00</w:t>
      </w:r>
      <w:r>
        <w:rPr/>
        <w:t>元后的剩余金额</w:t>
      </w:r>
      <w:r>
        <w:rPr>
          <w:spacing w:val="-85"/>
        </w:rPr>
        <w:t> </w:t>
      </w:r>
      <w:r>
        <w:rPr>
          <w:rFonts w:ascii="Times New Roman" w:hAnsi="Times New Roman" w:cs="Times New Roman" w:eastAsia="Times New Roman" w:hint="default"/>
        </w:rPr>
        <w:t>747,089,948.00</w:t>
      </w:r>
      <w:r>
        <w:rPr/>
        <w:t>元计入资本公积。</w:t>
      </w:r>
    </w:p>
    <w:p>
      <w:pPr>
        <w:spacing w:after="0" w:line="300" w:lineRule="auto"/>
        <w:jc w:val="both"/>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97" w:lineRule="auto"/>
        <w:ind w:right="1111"/>
        <w:jc w:val="both"/>
      </w:pPr>
      <w:r>
        <w:rPr/>
        <w:t>如附注十三所述，截至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日止，本公司从</w:t>
      </w:r>
      <w:r>
        <w:rPr>
          <w:rFonts w:ascii="Times New Roman" w:hAnsi="Times New Roman" w:cs="Times New Roman" w:eastAsia="Times New Roman" w:hint="default"/>
        </w:rPr>
        <w:t>2</w:t>
      </w:r>
      <w:r>
        <w:rPr/>
        <w:t>名已离职激励对象处回购了其已获授权但尚未解除限售的全部限制性股</w:t>
      </w:r>
      <w:r>
        <w:rPr>
          <w:spacing w:val="-87"/>
        </w:rPr>
        <w:t> </w:t>
      </w:r>
      <w:r>
        <w:rPr/>
        <w:t>票</w:t>
      </w:r>
      <w:r>
        <w:rPr>
          <w:rFonts w:ascii="Times New Roman" w:hAnsi="Times New Roman" w:cs="Times New Roman" w:eastAsia="Times New Roman" w:hint="default"/>
        </w:rPr>
        <w:t>36,800.00</w:t>
      </w:r>
      <w:r>
        <w:rPr/>
        <w:t>股，回购价格为</w:t>
      </w:r>
      <w:r>
        <w:rPr>
          <w:rFonts w:ascii="Times New Roman" w:hAnsi="Times New Roman" w:cs="Times New Roman" w:eastAsia="Times New Roman" w:hint="default"/>
        </w:rPr>
        <w:t>12.898</w:t>
      </w:r>
      <w:r>
        <w:rPr/>
        <w:t>元</w:t>
      </w:r>
      <w:r>
        <w:rPr>
          <w:rFonts w:ascii="Times New Roman" w:hAnsi="Times New Roman" w:cs="Times New Roman" w:eastAsia="Times New Roman" w:hint="default"/>
        </w:rPr>
        <w:t>/</w:t>
      </w:r>
      <w:r>
        <w:rPr/>
        <w:t>股，股票回购款共计人民币</w:t>
      </w:r>
      <w:r>
        <w:rPr>
          <w:rFonts w:ascii="Times New Roman" w:hAnsi="Times New Roman" w:cs="Times New Roman" w:eastAsia="Times New Roman" w:hint="default"/>
        </w:rPr>
        <w:t>474,676.40</w:t>
      </w:r>
      <w:r>
        <w:rPr/>
        <w:t>元以现金支付，其中减少股本</w:t>
      </w:r>
      <w:r>
        <w:rPr>
          <w:rFonts w:ascii="Times New Roman" w:hAnsi="Times New Roman" w:cs="Times New Roman" w:eastAsia="Times New Roman" w:hint="default"/>
        </w:rPr>
        <w:t>36,800.00</w:t>
      </w:r>
      <w:r>
        <w:rPr/>
        <w:t>元，减少 资本公积</w:t>
      </w:r>
      <w:r>
        <w:rPr>
          <w:rFonts w:ascii="Times New Roman" w:hAnsi="Times New Roman" w:cs="Times New Roman" w:eastAsia="Times New Roman" w:hint="default"/>
        </w:rPr>
        <w:t>437,846.40</w:t>
      </w:r>
      <w:r>
        <w:rPr/>
        <w:t>元。</w:t>
      </w:r>
    </w:p>
    <w:p>
      <w:pPr>
        <w:spacing w:line="240" w:lineRule="auto" w:before="6"/>
        <w:rPr>
          <w:rFonts w:ascii="宋体" w:hAnsi="宋体" w:cs="宋体" w:eastAsia="宋体" w:hint="default"/>
          <w:sz w:val="25"/>
          <w:szCs w:val="25"/>
        </w:rPr>
      </w:pPr>
    </w:p>
    <w:p>
      <w:pPr>
        <w:pStyle w:val="BodyText"/>
        <w:spacing w:line="302" w:lineRule="auto"/>
        <w:ind w:right="1111"/>
        <w:jc w:val="both"/>
      </w:pPr>
      <w:r>
        <w:rPr>
          <w:rFonts w:ascii="Times New Roman" w:hAnsi="Times New Roman" w:cs="Times New Roman" w:eastAsia="Times New Roman" w:hint="default"/>
          <w:spacing w:val="-1"/>
        </w:rPr>
        <w:t>(b)</w:t>
      </w:r>
      <w:r>
        <w:rPr>
          <w:spacing w:val="-1"/>
        </w:rPr>
        <w:t>就附注十三所述之股份支付，于</w:t>
      </w:r>
      <w:r>
        <w:rPr>
          <w:rFonts w:ascii="Times New Roman" w:hAnsi="Times New Roman" w:cs="Times New Roman" w:eastAsia="Times New Roman" w:hint="default"/>
          <w:spacing w:val="-1"/>
        </w:rPr>
        <w:t>2019</w:t>
      </w:r>
      <w:r>
        <w:rPr>
          <w:spacing w:val="-1"/>
        </w:rPr>
        <w:t>年度本集团因取得的相关激励对象的服务而计入相关费用</w:t>
      </w:r>
      <w:r>
        <w:rPr>
          <w:rFonts w:ascii="Times New Roman" w:hAnsi="Times New Roman" w:cs="Times New Roman" w:eastAsia="Times New Roman" w:hint="default"/>
          <w:spacing w:val="-1"/>
        </w:rPr>
        <w:t>69,827,869.92</w:t>
      </w:r>
      <w:r>
        <w:rPr>
          <w:spacing w:val="-1"/>
        </w:rPr>
        <w:t>元，其中增加</w:t>
      </w:r>
      <w:r>
        <w:rPr>
          <w:spacing w:val="-79"/>
        </w:rPr>
        <w:t> </w:t>
      </w:r>
      <w:r>
        <w:rPr>
          <w:spacing w:val="-79"/>
        </w:rPr>
      </w:r>
      <w:r>
        <w:rPr/>
        <w:t>资本公积</w:t>
      </w:r>
      <w:r>
        <w:rPr>
          <w:rFonts w:ascii="Times New Roman" w:hAnsi="Times New Roman" w:cs="Times New Roman" w:eastAsia="Times New Roman" w:hint="default"/>
        </w:rPr>
        <w:t>66,760,767.98</w:t>
      </w:r>
      <w:r>
        <w:rPr/>
        <w:t>元，增加少数股东权益</w:t>
      </w:r>
      <w:r>
        <w:rPr>
          <w:rFonts w:ascii="Times New Roman" w:hAnsi="Times New Roman" w:cs="Times New Roman" w:eastAsia="Times New Roman" w:hint="default"/>
        </w:rPr>
        <w:t>3,067,101.94</w:t>
      </w:r>
      <w:r>
        <w:rPr/>
        <w:t>元。因合营企业其他权益变动增加资本公积</w:t>
      </w:r>
      <w:r>
        <w:rPr>
          <w:rFonts w:ascii="Times New Roman" w:hAnsi="Times New Roman" w:cs="Times New Roman" w:eastAsia="Times New Roman" w:hint="default"/>
        </w:rPr>
        <w:t>197,484.22</w:t>
      </w:r>
      <w:r>
        <w:rPr/>
        <w:t>元。</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bookmarkStart w:name="56、库存股" w:id="378"/>
      <w:bookmarkEnd w:id="378"/>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224,603,670.16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21,154,754.52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81,407,761.80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164,350,662.88</w:t>
            </w:r>
          </w:p>
        </w:tc>
      </w:tr>
      <w:tr>
        <w:trPr>
          <w:trHeight w:val="391"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224,603,670.16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21,154,754.52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81,407,761.80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164,350,662.88</w:t>
            </w:r>
          </w:p>
        </w:tc>
      </w:tr>
    </w:tbl>
    <w:p>
      <w:pPr>
        <w:pStyle w:val="BodyText"/>
        <w:spacing w:line="240" w:lineRule="auto" w:before="44"/>
        <w:ind w:right="0"/>
        <w:jc w:val="both"/>
      </w:pPr>
      <w:r>
        <w:rPr/>
        <w:t>其他说明，包括本期增减变动情况、变动原因说明：</w:t>
      </w:r>
    </w:p>
    <w:p>
      <w:pPr>
        <w:pStyle w:val="BodyText"/>
        <w:spacing w:line="288" w:lineRule="auto" w:before="125"/>
        <w:ind w:right="1129"/>
        <w:jc w:val="both"/>
      </w:pPr>
      <w:r>
        <w:rPr/>
        <w:t>如附注七</w:t>
      </w:r>
      <w:r>
        <w:rPr>
          <w:rFonts w:ascii="Times New Roman" w:hAnsi="Times New Roman" w:cs="Times New Roman" w:eastAsia="Times New Roman" w:hint="default"/>
        </w:rPr>
        <w:t>(55)(a)</w:t>
      </w:r>
      <w:r>
        <w:rPr/>
        <w:t>所述，本公司于</w:t>
      </w:r>
      <w:r>
        <w:rPr>
          <w:rFonts w:ascii="Times New Roman" w:hAnsi="Times New Roman" w:cs="Times New Roman" w:eastAsia="Times New Roman" w:hint="default"/>
        </w:rPr>
        <w:t>2019</w:t>
      </w:r>
      <w:r>
        <w:rPr/>
        <w:t>年度就相关预留限制性股票回购义务</w:t>
      </w:r>
      <w:r>
        <w:rPr>
          <w:rFonts w:ascii="Times New Roman" w:hAnsi="Times New Roman" w:cs="Times New Roman" w:eastAsia="Times New Roman" w:hint="default"/>
        </w:rPr>
        <w:t>21,154,754.52</w:t>
      </w:r>
      <w:r>
        <w:rPr/>
        <w:t>元确认为其他应付款并相应增加库存 股。</w:t>
      </w:r>
    </w:p>
    <w:p>
      <w:pPr>
        <w:spacing w:line="240" w:lineRule="auto" w:before="0"/>
        <w:rPr>
          <w:rFonts w:ascii="宋体" w:hAnsi="宋体" w:cs="宋体" w:eastAsia="宋体" w:hint="default"/>
          <w:sz w:val="18"/>
          <w:szCs w:val="18"/>
        </w:rPr>
      </w:pPr>
    </w:p>
    <w:p>
      <w:pPr>
        <w:pStyle w:val="BodyText"/>
        <w:spacing w:line="240" w:lineRule="auto" w:before="138"/>
        <w:ind w:right="0"/>
        <w:jc w:val="both"/>
      </w:pPr>
      <w:r>
        <w:rPr>
          <w:spacing w:val="3"/>
        </w:rPr>
        <w:t>根据</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22</w:t>
      </w:r>
      <w:r>
        <w:rPr>
          <w:spacing w:val="3"/>
        </w:rPr>
        <w:t>日股东大会决议，本公司向持有限制性股票股东派发可撤销现金股利，并相应减少其他应付款及库存股</w:t>
      </w:r>
    </w:p>
    <w:p>
      <w:pPr>
        <w:pStyle w:val="BodyText"/>
        <w:spacing w:line="240" w:lineRule="auto" w:before="51"/>
        <w:ind w:right="0"/>
        <w:jc w:val="both"/>
      </w:pPr>
      <w:r>
        <w:rPr>
          <w:rFonts w:ascii="Times New Roman" w:hAnsi="Times New Roman" w:cs="Times New Roman" w:eastAsia="Times New Roman" w:hint="default"/>
        </w:rPr>
        <w:t>1,974,261.76</w:t>
      </w:r>
      <w:r>
        <w:rPr/>
        <w:t>元。</w:t>
      </w:r>
    </w:p>
    <w:p>
      <w:pPr>
        <w:spacing w:line="240" w:lineRule="auto" w:before="0"/>
        <w:rPr>
          <w:rFonts w:ascii="宋体" w:hAnsi="宋体" w:cs="宋体" w:eastAsia="宋体" w:hint="default"/>
          <w:sz w:val="18"/>
          <w:szCs w:val="18"/>
        </w:rPr>
      </w:pPr>
    </w:p>
    <w:p>
      <w:pPr>
        <w:pStyle w:val="BodyText"/>
        <w:spacing w:line="240" w:lineRule="auto" w:before="145"/>
        <w:ind w:right="0"/>
        <w:jc w:val="both"/>
      </w:pPr>
      <w:r>
        <w:rPr/>
        <w:t>如附注七</w:t>
      </w:r>
      <w:r>
        <w:rPr>
          <w:rFonts w:ascii="Times New Roman" w:hAnsi="Times New Roman" w:cs="Times New Roman" w:eastAsia="Times New Roman" w:hint="default"/>
        </w:rPr>
        <w:t>(55)(a)</w:t>
      </w:r>
      <w:r>
        <w:rPr/>
        <w:t>所述，本公司于</w:t>
      </w:r>
      <w:r>
        <w:rPr>
          <w:rFonts w:ascii="Times New Roman" w:hAnsi="Times New Roman" w:cs="Times New Roman" w:eastAsia="Times New Roman" w:hint="default"/>
        </w:rPr>
        <w:t>2019</w:t>
      </w:r>
      <w:r>
        <w:rPr/>
        <w:t>年度因限制性股票回购减少库存股</w:t>
      </w:r>
      <w:r>
        <w:rPr>
          <w:rFonts w:ascii="Times New Roman" w:hAnsi="Times New Roman" w:cs="Times New Roman" w:eastAsia="Times New Roman" w:hint="default"/>
        </w:rPr>
        <w:t>474,676.40</w:t>
      </w:r>
      <w:r>
        <w:rPr/>
        <w:t>元。</w:t>
      </w:r>
    </w:p>
    <w:p>
      <w:pPr>
        <w:spacing w:line="240" w:lineRule="auto" w:before="0"/>
        <w:rPr>
          <w:rFonts w:ascii="宋体" w:hAnsi="宋体" w:cs="宋体" w:eastAsia="宋体" w:hint="default"/>
          <w:sz w:val="18"/>
          <w:szCs w:val="18"/>
        </w:rPr>
      </w:pPr>
    </w:p>
    <w:p>
      <w:pPr>
        <w:pStyle w:val="BodyText"/>
        <w:spacing w:line="295" w:lineRule="auto" w:before="146"/>
        <w:ind w:right="1109"/>
        <w:jc w:val="both"/>
      </w:pPr>
      <w:r>
        <w:rPr/>
        <w:t>如附注七</w:t>
      </w:r>
      <w:r>
        <w:rPr>
          <w:rFonts w:ascii="Times New Roman" w:hAnsi="Times New Roman" w:cs="Times New Roman" w:eastAsia="Times New Roman" w:hint="default"/>
        </w:rPr>
        <w:t>(55)(a)</w:t>
      </w:r>
      <w:r>
        <w:rPr/>
        <w:t>所述，于</w:t>
      </w:r>
      <w:r>
        <w:rPr>
          <w:rFonts w:ascii="Times New Roman" w:hAnsi="Times New Roman" w:cs="Times New Roman" w:eastAsia="Times New Roman" w:hint="default"/>
        </w:rPr>
        <w:t>2019</w:t>
      </w:r>
      <w:r>
        <w:rPr/>
        <w:t>年度，</w:t>
      </w:r>
      <w:r>
        <w:rPr>
          <w:rFonts w:ascii="Times New Roman" w:hAnsi="Times New Roman" w:cs="Times New Roman" w:eastAsia="Times New Roman" w:hint="default"/>
        </w:rPr>
        <w:t>2017</w:t>
      </w:r>
      <w:r>
        <w:rPr/>
        <w:t>年度限制性股票激励计划第二批</w:t>
      </w:r>
      <w:r>
        <w:rPr>
          <w:rFonts w:ascii="Times New Roman" w:hAnsi="Times New Roman" w:cs="Times New Roman" w:eastAsia="Times New Roman" w:hint="default"/>
        </w:rPr>
        <w:t>40%</w:t>
      </w:r>
      <w:r>
        <w:rPr/>
        <w:t>限制性股票及</w:t>
      </w:r>
      <w:r>
        <w:rPr>
          <w:rFonts w:ascii="Times New Roman" w:hAnsi="Times New Roman" w:cs="Times New Roman" w:eastAsia="Times New Roman" w:hint="default"/>
        </w:rPr>
        <w:t>2018</w:t>
      </w:r>
      <w:r>
        <w:rPr/>
        <w:t>年度限制性股票与期权激励 计划首批</w:t>
      </w:r>
      <w:r>
        <w:rPr>
          <w:rFonts w:ascii="Times New Roman" w:hAnsi="Times New Roman" w:cs="Times New Roman" w:eastAsia="Times New Roman" w:hint="default"/>
        </w:rPr>
        <w:t>20%</w:t>
      </w:r>
      <w:r>
        <w:rPr/>
        <w:t>限制性股票的解除限售条件已达成，本公司回购义务解除并分别相应减少其他应付款及库存股</w:t>
      </w:r>
      <w:r>
        <w:rPr>
          <w:rFonts w:ascii="Times New Roman" w:hAnsi="Times New Roman" w:cs="Times New Roman" w:eastAsia="Times New Roman" w:hint="default"/>
        </w:rPr>
        <w:t>58,703,699.24</w:t>
      </w:r>
      <w:r>
        <w:rPr/>
        <w:t>元</w:t>
      </w:r>
      <w:r>
        <w:rPr>
          <w:spacing w:val="-80"/>
        </w:rPr>
        <w:t> </w:t>
      </w:r>
      <w:r>
        <w:rPr/>
        <w:t>及</w:t>
      </w:r>
      <w:r>
        <w:rPr>
          <w:rFonts w:ascii="Times New Roman" w:hAnsi="Times New Roman" w:cs="Times New Roman" w:eastAsia="Times New Roman" w:hint="default"/>
        </w:rPr>
        <w:t>20,255,154.40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5"/>
        <w:ind w:right="0"/>
        <w:jc w:val="both"/>
        <w:rPr>
          <w:b w:val="0"/>
          <w:bCs w:val="0"/>
        </w:rPr>
      </w:pPr>
      <w:bookmarkStart w:name="57、其他综合收益" w:id="379"/>
      <w:bookmarkEnd w:id="379"/>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553"/>
        <w:gridCol w:w="976"/>
        <w:gridCol w:w="856"/>
        <w:gridCol w:w="1051"/>
        <w:gridCol w:w="857"/>
        <w:gridCol w:w="856"/>
        <w:gridCol w:w="856"/>
        <w:gridCol w:w="841"/>
        <w:gridCol w:w="736"/>
      </w:tblGrid>
      <w:tr>
        <w:trPr>
          <w:trHeight w:val="406" w:hRule="exact"/>
        </w:trPr>
        <w:tc>
          <w:tcPr>
            <w:tcW w:w="255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9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7"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321" w:lineRule="auto"/>
              <w:ind w:left="270" w:right="88" w:hanging="181"/>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651" w:hRule="exact"/>
        </w:trPr>
        <w:tc>
          <w:tcPr>
            <w:tcW w:w="2553" w:type="dxa"/>
            <w:vMerge/>
            <w:tcBorders>
              <w:left w:val="single" w:sz="6" w:space="0" w:color="000000"/>
              <w:bottom w:val="single" w:sz="6" w:space="0" w:color="000000"/>
              <w:right w:val="single" w:sz="6" w:space="0" w:color="000000"/>
            </w:tcBorders>
            <w:shd w:val="clear" w:color="auto" w:fill="D2D2D2"/>
          </w:tcPr>
          <w:p>
            <w:pPr/>
          </w:p>
        </w:tc>
        <w:tc>
          <w:tcPr>
            <w:tcW w:w="976" w:type="dxa"/>
            <w:vMerge/>
            <w:tcBorders>
              <w:left w:val="single" w:sz="6" w:space="0" w:color="000000"/>
              <w:bottom w:val="single" w:sz="6" w:space="0" w:color="000000"/>
              <w:right w:val="single" w:sz="6" w:space="0" w:color="000000"/>
            </w:tcBorders>
            <w:shd w:val="clear" w:color="auto" w:fill="D2D2D2"/>
          </w:tcPr>
          <w:p>
            <w:pP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60" w:right="60"/>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30" w:right="15"/>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60"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07" w:lineRule="auto"/>
              <w:ind w:left="135" w:right="73" w:hanging="90"/>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07" w:lineRule="auto"/>
              <w:ind w:left="45" w:right="74"/>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45" w:right="60"/>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36" w:type="dxa"/>
            <w:vMerge/>
            <w:tcBorders>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44"/>
        <w:ind w:right="1105"/>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58、专项储备" w:id="380"/>
      <w:bookmarkEnd w:id="380"/>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5"/>
        <w:ind w:right="1105"/>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54"/>
        <w:ind w:right="1105"/>
        <w:jc w:val="left"/>
        <w:rPr>
          <w:b w:val="0"/>
          <w:bCs w:val="0"/>
        </w:rPr>
      </w:pPr>
      <w:bookmarkStart w:name="59、盈余公积" w:id="381"/>
      <w:bookmarkEnd w:id="381"/>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77,272,995.53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28,943,787.55</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106,216,783.08</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77,272,995.53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28,943,787.55</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106,216,783.08</w:t>
            </w:r>
          </w:p>
        </w:tc>
      </w:tr>
    </w:tbl>
    <w:p>
      <w:pPr>
        <w:pStyle w:val="BodyText"/>
        <w:spacing w:line="240" w:lineRule="auto" w:before="45"/>
        <w:ind w:right="0"/>
        <w:jc w:val="both"/>
      </w:pPr>
      <w:r>
        <w:rPr/>
        <w:t>盈余公积说明，包括本期增减变动情况、变动原因说明：</w:t>
      </w:r>
    </w:p>
    <w:p>
      <w:pPr>
        <w:pStyle w:val="BodyText"/>
        <w:spacing w:line="304" w:lineRule="auto" w:before="124"/>
        <w:ind w:right="1128"/>
        <w:jc w:val="both"/>
      </w:pPr>
      <w:r>
        <w:rPr>
          <w:spacing w:val="-1"/>
        </w:rPr>
        <w:t>根据《中华人民共和国公司法》及本公司章程，本公司按年度净利润的</w:t>
      </w:r>
      <w:r>
        <w:rPr>
          <w:rFonts w:ascii="Times New Roman" w:hAnsi="Times New Roman" w:cs="Times New Roman" w:eastAsia="Times New Roman" w:hint="default"/>
          <w:spacing w:val="-1"/>
        </w:rPr>
        <w:t>10%</w:t>
      </w:r>
      <w:r>
        <w:rPr>
          <w:spacing w:val="-1"/>
        </w:rPr>
        <w:t>提取法定盈余公积金，当法定盈余公积金累计额</w:t>
      </w:r>
      <w:r>
        <w:rPr/>
        <w:t> </w:t>
      </w:r>
      <w:r>
        <w:rPr>
          <w:spacing w:val="-2"/>
        </w:rPr>
        <w:t>达到注册资本的</w:t>
      </w:r>
      <w:r>
        <w:rPr>
          <w:rFonts w:ascii="Times New Roman" w:hAnsi="Times New Roman" w:cs="Times New Roman" w:eastAsia="Times New Roman" w:hint="default"/>
          <w:spacing w:val="-2"/>
        </w:rPr>
        <w:t>50%</w:t>
      </w:r>
      <w:r>
        <w:rPr>
          <w:spacing w:val="-2"/>
        </w:rPr>
        <w:t>以上时，可不再提取。法定盈余公积金经批准后可用于弥补亏损，或者增加股本。经董事会决议，本公</w:t>
      </w:r>
      <w:r>
        <w:rPr>
          <w:spacing w:val="-40"/>
        </w:rPr>
        <w:t> </w:t>
      </w:r>
      <w:r>
        <w:rPr>
          <w:spacing w:val="-40"/>
        </w:rPr>
      </w:r>
      <w:r>
        <w:rPr/>
        <w:t>司</w:t>
      </w:r>
      <w:r>
        <w:rPr>
          <w:rFonts w:ascii="Times New Roman" w:hAnsi="Times New Roman" w:cs="Times New Roman" w:eastAsia="Times New Roman" w:hint="default"/>
        </w:rPr>
        <w:t>2019</w:t>
      </w:r>
      <w:r>
        <w:rPr/>
        <w:t>年按净利润的</w:t>
      </w:r>
      <w:r>
        <w:rPr>
          <w:rFonts w:ascii="Times New Roman" w:hAnsi="Times New Roman" w:cs="Times New Roman" w:eastAsia="Times New Roman" w:hint="default"/>
        </w:rPr>
        <w:t>10%</w:t>
      </w:r>
      <w:r>
        <w:rPr/>
        <w:t>提取法定盈余公积金</w:t>
      </w:r>
      <w:r>
        <w:rPr>
          <w:rFonts w:ascii="Times New Roman" w:hAnsi="Times New Roman" w:cs="Times New Roman" w:eastAsia="Times New Roman" w:hint="default"/>
        </w:rPr>
        <w:t>28,943,787.55</w:t>
      </w:r>
      <w:r>
        <w:rPr/>
        <w:t>元。</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bookmarkStart w:name="60、未分配利润" w:id="382"/>
      <w:bookmarkEnd w:id="382"/>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710"/>
        <w:gridCol w:w="2936"/>
        <w:gridCol w:w="2929"/>
      </w:tblGrid>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537,096,360.41</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387,686,835.65</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308,057.49</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537,404,417.90</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1,020,167,786.95</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187,391,547.30</w:t>
            </w:r>
          </w:p>
        </w:tc>
      </w:tr>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28,943,787.55</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16,727,248.09</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34,969,389.22</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21,254,774.45</w:t>
            </w:r>
          </w:p>
        </w:tc>
      </w:tr>
      <w:tr>
        <w:trPr>
          <w:trHeight w:val="390"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1,493,659,028.08</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537,096,360.41</w:t>
            </w:r>
          </w:p>
        </w:tc>
      </w:tr>
    </w:tbl>
    <w:p>
      <w:pPr>
        <w:pStyle w:val="BodyText"/>
        <w:spacing w:line="240" w:lineRule="auto" w:before="45"/>
        <w:ind w:right="1105"/>
        <w:jc w:val="left"/>
      </w:pPr>
      <w:r>
        <w:rPr/>
        <w:t>调整期初未分配利润明细：</w:t>
      </w:r>
    </w:p>
    <w:p>
      <w:pPr>
        <w:pStyle w:val="BodyText"/>
        <w:spacing w:line="240" w:lineRule="auto" w:before="125"/>
        <w:ind w:right="1105"/>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11"/>
        <w:ind w:right="1105"/>
        <w:jc w:val="left"/>
      </w:pPr>
      <w:r>
        <w:rPr>
          <w:rFonts w:ascii="Times New Roman" w:hAnsi="Times New Roman" w:cs="Times New Roman" w:eastAsia="Times New Roman" w:hint="default"/>
        </w:rPr>
        <w:t>2)</w:t>
      </w:r>
      <w:r>
        <w:rPr/>
        <w:t>、由于会计政策变更，影响期初未分配利润</w:t>
      </w:r>
      <w:r>
        <w:rPr>
          <w:spacing w:val="-42"/>
        </w:rPr>
        <w:t> </w:t>
      </w:r>
      <w:r>
        <w:rPr>
          <w:rFonts w:ascii="Times New Roman" w:hAnsi="Times New Roman" w:cs="Times New Roman" w:eastAsia="Times New Roman" w:hint="default"/>
        </w:rPr>
        <w:t>308,057.49</w:t>
      </w:r>
      <w:r>
        <w:rPr>
          <w:rFonts w:ascii="Times New Roman" w:hAnsi="Times New Roman" w:cs="Times New Roman" w:eastAsia="Times New Roman" w:hint="default"/>
          <w:spacing w:val="1"/>
        </w:rPr>
        <w:t> </w:t>
      </w:r>
      <w:r>
        <w:rPr/>
        <w:t>元。</w:t>
      </w:r>
    </w:p>
    <w:p>
      <w:pPr>
        <w:pStyle w:val="BodyText"/>
        <w:spacing w:line="240" w:lineRule="auto" w:before="96"/>
        <w:ind w:right="1105"/>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11"/>
        <w:ind w:right="1105"/>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96"/>
        <w:ind w:right="1105"/>
        <w:jc w:val="left"/>
      </w:pPr>
      <w:r>
        <w:rPr>
          <w:rFonts w:ascii="Times New Roman" w:hAnsi="Times New Roman" w:cs="Times New Roman" w:eastAsia="Times New Roman" w:hint="default"/>
        </w:rPr>
        <w:t>5)</w:t>
      </w:r>
      <w:r>
        <w:rPr/>
        <w:t>、其他调整合计影响期初未分配利润元。</w:t>
      </w:r>
    </w:p>
    <w:p>
      <w:pPr>
        <w:spacing w:line="240" w:lineRule="auto" w:before="0"/>
        <w:rPr>
          <w:rFonts w:ascii="宋体" w:hAnsi="宋体" w:cs="宋体" w:eastAsia="宋体" w:hint="default"/>
          <w:sz w:val="18"/>
          <w:szCs w:val="18"/>
        </w:rPr>
      </w:pPr>
    </w:p>
    <w:p>
      <w:pPr>
        <w:pStyle w:val="Heading3"/>
        <w:spacing w:line="240" w:lineRule="auto" w:before="126"/>
        <w:ind w:right="1105"/>
        <w:jc w:val="left"/>
        <w:rPr>
          <w:b w:val="0"/>
          <w:bCs w:val="0"/>
        </w:rPr>
      </w:pPr>
      <w:bookmarkStart w:name="61、营业收入和营业成本" w:id="383"/>
      <w:bookmarkEnd w:id="383"/>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07"/>
        <w:gridCol w:w="1915"/>
        <w:gridCol w:w="1923"/>
        <w:gridCol w:w="1907"/>
        <w:gridCol w:w="1915"/>
      </w:tblGrid>
      <w:tr>
        <w:trPr>
          <w:trHeight w:val="218" w:hRule="exact"/>
        </w:trPr>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88" w:hRule="exact"/>
        </w:trPr>
        <w:tc>
          <w:tcPr>
            <w:tcW w:w="190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837" w:type="dxa"/>
            <w:gridSpan w:val="2"/>
            <w:vMerge/>
            <w:tcBorders>
              <w:left w:val="single" w:sz="6" w:space="0" w:color="000000"/>
              <w:bottom w:val="single" w:sz="6" w:space="0" w:color="000000"/>
              <w:right w:val="single" w:sz="6" w:space="0" w:color="000000"/>
            </w:tcBorders>
            <w:shd w:val="clear" w:color="auto" w:fill="D2D2D2"/>
          </w:tcPr>
          <w:p>
            <w:pPr/>
          </w:p>
        </w:tc>
        <w:tc>
          <w:tcPr>
            <w:tcW w:w="3822" w:type="dxa"/>
            <w:gridSpan w:val="2"/>
            <w:vMerge/>
            <w:tcBorders>
              <w:left w:val="single" w:sz="6" w:space="0" w:color="000000"/>
              <w:bottom w:val="single" w:sz="6" w:space="0" w:color="000000"/>
              <w:right w:val="single" w:sz="6" w:space="0" w:color="000000"/>
            </w:tcBorders>
            <w:shd w:val="clear" w:color="auto" w:fill="D2D2D2"/>
          </w:tcPr>
          <w:p>
            <w:pPr/>
          </w:p>
        </w:tc>
      </w:tr>
      <w:tr>
        <w:trPr>
          <w:trHeight w:val="203" w:hRule="exact"/>
        </w:trPr>
        <w:tc>
          <w:tcPr>
            <w:tcW w:w="1907" w:type="dxa"/>
            <w:vMerge/>
            <w:tcBorders>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7"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2"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3" w:hRule="exact"/>
        </w:trPr>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615" w:right="0"/>
              <w:jc w:val="left"/>
              <w:rPr>
                <w:rFonts w:ascii="Times New Roman" w:hAnsi="Times New Roman" w:cs="Times New Roman" w:eastAsia="Times New Roman" w:hint="default"/>
                <w:sz w:val="18"/>
                <w:szCs w:val="18"/>
              </w:rPr>
            </w:pPr>
            <w:r>
              <w:rPr>
                <w:rFonts w:ascii="Times New Roman"/>
                <w:sz w:val="18"/>
              </w:rPr>
              <w:t>2,968,330,140.42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31" w:right="0"/>
              <w:jc w:val="left"/>
              <w:rPr>
                <w:rFonts w:ascii="Times New Roman" w:hAnsi="Times New Roman" w:cs="Times New Roman" w:eastAsia="Times New Roman" w:hint="default"/>
                <w:sz w:val="18"/>
                <w:szCs w:val="18"/>
              </w:rPr>
            </w:pPr>
            <w:r>
              <w:rPr>
                <w:rFonts w:ascii="Times New Roman"/>
                <w:sz w:val="18"/>
              </w:rPr>
              <w:t>1,646,429,473.53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16" w:right="0"/>
              <w:jc w:val="left"/>
              <w:rPr>
                <w:rFonts w:ascii="Times New Roman" w:hAnsi="Times New Roman" w:cs="Times New Roman" w:eastAsia="Times New Roman" w:hint="default"/>
                <w:sz w:val="18"/>
                <w:szCs w:val="18"/>
              </w:rPr>
            </w:pPr>
            <w:r>
              <w:rPr>
                <w:rFonts w:ascii="Times New Roman"/>
                <w:sz w:val="18"/>
              </w:rPr>
              <w:t>2,669,382,169.07</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31" w:right="0"/>
              <w:jc w:val="left"/>
              <w:rPr>
                <w:rFonts w:ascii="Times New Roman" w:hAnsi="Times New Roman" w:cs="Times New Roman" w:eastAsia="Times New Roman" w:hint="default"/>
                <w:sz w:val="18"/>
                <w:szCs w:val="18"/>
              </w:rPr>
            </w:pPr>
            <w:r>
              <w:rPr>
                <w:rFonts w:ascii="Times New Roman"/>
                <w:sz w:val="18"/>
              </w:rPr>
              <w:t>1,814,191,784.93</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2,297,905.78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2,297,905.78</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30" w:right="0"/>
              <w:jc w:val="left"/>
              <w:rPr>
                <w:rFonts w:ascii="Times New Roman" w:hAnsi="Times New Roman" w:cs="Times New Roman" w:eastAsia="Times New Roman" w:hint="default"/>
                <w:sz w:val="18"/>
                <w:szCs w:val="18"/>
              </w:rPr>
            </w:pPr>
            <w:r>
              <w:rPr>
                <w:rFonts w:ascii="Times New Roman"/>
                <w:sz w:val="18"/>
              </w:rPr>
              <w:t>2,968,330,140.42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31" w:right="0"/>
              <w:jc w:val="left"/>
              <w:rPr>
                <w:rFonts w:ascii="Times New Roman" w:hAnsi="Times New Roman" w:cs="Times New Roman" w:eastAsia="Times New Roman" w:hint="default"/>
                <w:sz w:val="18"/>
                <w:szCs w:val="18"/>
              </w:rPr>
            </w:pPr>
            <w:r>
              <w:rPr>
                <w:rFonts w:ascii="Times New Roman"/>
                <w:sz w:val="18"/>
              </w:rPr>
              <w:t>1,646,429,473.53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2,671,680,074.85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1,816,489,690.71</w:t>
            </w:r>
          </w:p>
        </w:tc>
      </w:tr>
    </w:tbl>
    <w:p>
      <w:pPr>
        <w:pStyle w:val="BodyText"/>
        <w:spacing w:line="240" w:lineRule="auto" w:before="44"/>
        <w:ind w:right="1105"/>
        <w:jc w:val="left"/>
      </w:pPr>
      <w:r>
        <w:rPr/>
        <w:t>是否已执行新收入准则</w:t>
      </w:r>
    </w:p>
    <w:p>
      <w:pPr>
        <w:pStyle w:val="BodyText"/>
        <w:spacing w:line="333" w:lineRule="auto" w:before="125"/>
        <w:ind w:right="93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其他说明</w:t>
      </w:r>
    </w:p>
    <w:p>
      <w:pPr>
        <w:spacing w:line="240" w:lineRule="auto" w:before="4"/>
        <w:rPr>
          <w:rFonts w:ascii="宋体" w:hAnsi="宋体" w:cs="宋体" w:eastAsia="宋体" w:hint="default"/>
          <w:sz w:val="23"/>
          <w:szCs w:val="23"/>
        </w:rPr>
      </w:pPr>
    </w:p>
    <w:p>
      <w:pPr>
        <w:pStyle w:val="Heading3"/>
        <w:spacing w:line="240" w:lineRule="auto"/>
        <w:ind w:right="1105"/>
        <w:jc w:val="left"/>
        <w:rPr>
          <w:b w:val="0"/>
          <w:bCs w:val="0"/>
        </w:rPr>
      </w:pPr>
      <w:bookmarkStart w:name="62、税金及附加" w:id="384"/>
      <w:bookmarkEnd w:id="384"/>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8,524,541.40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5,677,670.89</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6,074,536.36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4,055,479.20</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1,545,559.00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1,426,334.44</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16,144,636.76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11,159,484.53</w:t>
            </w:r>
          </w:p>
        </w:tc>
      </w:tr>
    </w:tbl>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63、销售费用" w:id="385"/>
      <w:bookmarkEnd w:id="385"/>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人工成本（含股权激励）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114,944,336.43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75,443,796.61</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会议及业务招待费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44,153,037.02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35,357,375.84</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11,833,014.06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8,487,411.09</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投标服务费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11,776,861.09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15,069,654.55</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6,276,592.47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10,075,349.81</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4,475,749.52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1,533,564.00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3,649,793.05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6,458,894.46</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办公及通信费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2,929,039.88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1,629,990.46</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976,050.70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520,862.29</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2,537,155.21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5,090,552.59</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203,551,629.43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159,667,451.70</w:t>
            </w:r>
          </w:p>
        </w:tc>
      </w:tr>
    </w:tbl>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64、管理费用" w:id="386"/>
      <w:bookmarkEnd w:id="386"/>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人工成本（含股权激励）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178,552,799.28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137,624,026.64</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第三方服务费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58,192,425.10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41,339,497.28</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33,192,970.84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23,196,825.27</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办公及通信费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14,523,433.24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8,527,813.08</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15,165,493.34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11,488,573.84</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12,172,469.58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9,801,757.11</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会议及业务招待费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6,588,193.12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3,274,745.72</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6,894,423.75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6,169,022.95</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325,282,208.25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241,422,261.89</w:t>
            </w:r>
          </w:p>
        </w:tc>
      </w:tr>
    </w:tbl>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1105"/>
        <w:jc w:val="left"/>
        <w:rPr>
          <w:b w:val="0"/>
          <w:bCs w:val="0"/>
        </w:rPr>
      </w:pPr>
      <w:bookmarkStart w:name="65、研发费用" w:id="387"/>
      <w:bookmarkEnd w:id="387"/>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人工成本（含股权激励）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259,697,551.38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148,702,344.29</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21,091,181.17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11,289,203.41</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9,000,326.25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5,628,308.55</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5,942,309.02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3,703,005.09</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3,319,687.77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1,861,797.91</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办公通信费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2,144,205.74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1,374,949.49</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会议费及业务招待费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1,051,123.34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451,489.23</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服务器托管</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5,022,586.35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1,839,151.84</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1,818,457.01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1,541,599.00</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309,087,428.03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176,391,848.81</w:t>
            </w:r>
          </w:p>
        </w:tc>
      </w:tr>
    </w:tbl>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66、财务费用" w:id="388"/>
      <w:bookmarkEnd w:id="388"/>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-2,636,074.21</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15,988,555.68</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43,394,248.49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11,000,120.37</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342,029.21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412,424.21</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-156,968.63</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-517,339.51</w:t>
            </w:r>
            <w:r>
              <w:rPr>
                <w:rFonts w:ascii="Times New Roman"/>
                <w:sz w:val="18"/>
              </w:rPr>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现金折扣</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-1,185,613.07</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-2,449,658.46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票据贴现</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6,750.00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4,041,395.00</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-47,024,125.19</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6,475,256.55</w:t>
            </w:r>
          </w:p>
        </w:tc>
      </w:tr>
    </w:tbl>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1105"/>
        <w:jc w:val="left"/>
        <w:rPr>
          <w:b w:val="0"/>
          <w:bCs w:val="0"/>
        </w:rPr>
      </w:pPr>
      <w:bookmarkStart w:name="67、其他收益" w:id="389"/>
      <w:bookmarkEnd w:id="389"/>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6"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年科技创新第三十二批扶持基金</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（科技发展专项）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65,520,000.00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无锡市新吴区科技企业规模补贴</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9,271,600.00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增值税退税（附注六</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6,281,071.66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6,764,101.02</w:t>
            </w:r>
          </w:p>
        </w:tc>
      </w:tr>
      <w:tr>
        <w:trPr>
          <w:trHeight w:val="72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5"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年科技创新第十五批扶持基金（科 技发展专项）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3,544,200.00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15"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年度无锡市智能制造（第二批）项 目扶持资金</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2,590,000.00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无锡市物联网产业化项目资金补贴</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2,015,900.00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嘉兴电站建设装修补助</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1,846,130.00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5" w:right="59"/>
              <w:jc w:val="left"/>
              <w:rPr>
                <w:rFonts w:ascii="宋体" w:hAnsi="宋体" w:cs="宋体" w:eastAsia="宋体" w:hint="default"/>
                <w:sz w:val="18"/>
                <w:szCs w:val="18"/>
              </w:rPr>
            </w:pPr>
            <w:r>
              <w:rPr>
                <w:rFonts w:ascii="宋体" w:hAnsi="宋体" w:cs="宋体" w:eastAsia="宋体" w:hint="default"/>
                <w:sz w:val="18"/>
                <w:szCs w:val="18"/>
              </w:rPr>
              <w:t>无锡高新区（新吴区）</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年度第二批 上市金融专项资金</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1,016,000.00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60"/>
              <w:ind w:left="15"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无锡市信息产业（软件和云计算） 扶持资金（第一批）项目资金</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福田区产业发展专项资金增长支持款</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1,000,000.00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光伏发电补贴</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708,743.65</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年太科园产业培育基金补贴</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2,262,500.00</w:t>
            </w:r>
          </w:p>
        </w:tc>
      </w:tr>
      <w:tr>
        <w:trPr>
          <w:trHeight w:val="72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07"/>
              <w:jc w:val="left"/>
              <w:rPr>
                <w:rFonts w:ascii="宋体" w:hAnsi="宋体" w:cs="宋体" w:eastAsia="宋体" w:hint="default"/>
                <w:sz w:val="18"/>
                <w:szCs w:val="18"/>
              </w:rPr>
            </w:pPr>
            <w:r>
              <w:rPr>
                <w:rFonts w:ascii="宋体" w:hAnsi="宋体" w:cs="宋体" w:eastAsia="宋体" w:hint="default"/>
                <w:sz w:val="18"/>
                <w:szCs w:val="18"/>
              </w:rPr>
              <w:t>省级高层次创新创业人才引进计划专项 资金</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5,500,000.00</w:t>
            </w:r>
          </w:p>
        </w:tc>
      </w:tr>
      <w:tr>
        <w:trPr>
          <w:trHeight w:val="72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5"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年第一批软件和云计算产业扶持资 金</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900,000.00</w:t>
            </w:r>
          </w:p>
        </w:tc>
      </w:tr>
      <w:tr>
        <w:trPr>
          <w:trHeight w:val="7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15" w:right="18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年度研发省级财政奖励</w:t>
            </w:r>
            <w:r>
              <w:rPr>
                <w:rFonts w:ascii="Times New Roman" w:hAnsi="Times New Roman" w:cs="Times New Roman" w:eastAsia="Times New Roman" w:hint="default"/>
                <w:sz w:val="18"/>
                <w:szCs w:val="18"/>
              </w:rPr>
              <w:t>-</w:t>
            </w:r>
            <w:r>
              <w:rPr>
                <w:rFonts w:ascii="宋体" w:hAnsi="宋体" w:cs="宋体" w:eastAsia="宋体" w:hint="default"/>
                <w:sz w:val="18"/>
                <w:szCs w:val="18"/>
              </w:rPr>
              <w:t>专项补助 资金</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年度现代服务业领军企业项目拨款</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w:t>
            </w:r>
          </w:p>
        </w:tc>
      </w:tr>
      <w:tr>
        <w:trPr>
          <w:trHeight w:val="72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5"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年度无锡市服务业提质增效扶持补 贴</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省级工业和信息产业转型升级专项资金</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3,000,000.00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无锡新区管委会产业基金补助</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3,983,600.00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7,298,878.20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5,019,988.90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27" w:right="0"/>
              <w:jc w:val="left"/>
              <w:rPr>
                <w:rFonts w:ascii="Times New Roman" w:hAnsi="Times New Roman" w:cs="Times New Roman" w:eastAsia="Times New Roman" w:hint="default"/>
                <w:sz w:val="18"/>
                <w:szCs w:val="18"/>
              </w:rPr>
            </w:pPr>
            <w:r>
              <w:rPr>
                <w:rFonts w:ascii="Times New Roman"/>
                <w:sz w:val="18"/>
              </w:rPr>
              <w:t>102,076,623.51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32,446,089.92</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68、投资收益" w:id="390"/>
      <w:bookmarkEnd w:id="390"/>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469"/>
        <w:gridCol w:w="3184"/>
        <w:gridCol w:w="2929"/>
      </w:tblGrid>
      <w:tr>
        <w:trPr>
          <w:trHeight w:val="405"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7"/>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31,407,941.23</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49,049,171.31</w:t>
            </w:r>
          </w:p>
        </w:tc>
      </w:tr>
      <w:tr>
        <w:trPr>
          <w:trHeight w:val="721"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97"/>
              <w:jc w:val="left"/>
              <w:rPr>
                <w:rFonts w:ascii="宋体" w:hAnsi="宋体" w:cs="宋体" w:eastAsia="宋体" w:hint="default"/>
                <w:sz w:val="18"/>
                <w:szCs w:val="18"/>
              </w:rPr>
            </w:pPr>
            <w:r>
              <w:rPr>
                <w:rFonts w:ascii="宋体" w:hAnsi="宋体" w:cs="宋体" w:eastAsia="宋体" w:hint="default"/>
                <w:sz w:val="18"/>
                <w:szCs w:val="18"/>
              </w:rPr>
              <w:t>非同一控制下原股权按公允价值重新计量 产生的利得</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499,885,773.84</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3,009,151.85</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14,382,038.18</w:t>
            </w:r>
          </w:p>
        </w:tc>
      </w:tr>
      <w:tr>
        <w:trPr>
          <w:trHeight w:val="40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70,595.02</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534,373,461.94</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63,431,209.49</w:t>
            </w:r>
          </w:p>
        </w:tc>
      </w:tr>
    </w:tbl>
    <w:p>
      <w:pPr>
        <w:pStyle w:val="BodyText"/>
        <w:spacing w:line="350" w:lineRule="auto" w:before="45"/>
        <w:ind w:right="7509"/>
        <w:jc w:val="left"/>
      </w:pPr>
      <w:r>
        <w:rPr/>
        <w:t>其他说明： 本集团不存在投资收益汇回的重大限制。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1105"/>
        <w:jc w:val="left"/>
        <w:rPr>
          <w:b w:val="0"/>
          <w:bCs w:val="0"/>
        </w:rPr>
      </w:pPr>
      <w:bookmarkStart w:name="69、净敞口套期收益" w:id="391"/>
      <w:bookmarkEnd w:id="391"/>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5"/>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70、公允价值变动收益" w:id="392"/>
      <w:bookmarkEnd w:id="392"/>
      <w:r>
        <w:rPr>
          <w:b w:val="0"/>
          <w:bCs w:val="0"/>
        </w:rPr>
      </w:r>
      <w:r>
        <w:rPr>
          <w:rFonts w:ascii="Times New Roman" w:hAnsi="Times New Roman" w:cs="Times New Roman" w:eastAsia="Times New Roman" w:hint="default"/>
        </w:rPr>
        <w:t>70</w:t>
      </w:r>
      <w:r>
        <w:rPr/>
        <w:t>、公允价值变动收益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1,412,584.01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7,207.97</w:t>
            </w:r>
          </w:p>
        </w:tc>
      </w:tr>
      <w:tr>
        <w:trPr>
          <w:trHeight w:val="72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84"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1,499,847.10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1,412,584.01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7,207.97</w:t>
            </w:r>
          </w:p>
        </w:tc>
      </w:tr>
    </w:tbl>
    <w:p>
      <w:pPr>
        <w:pStyle w:val="BodyText"/>
        <w:spacing w:line="240" w:lineRule="auto" w:before="45"/>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71、信用减值损失" w:id="393"/>
      <w:bookmarkEnd w:id="393"/>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1,087,737.96</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-16,960,636.19</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-15,872,898.23</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72、资产减值损失" w:id="394"/>
      <w:bookmarkEnd w:id="394"/>
      <w:r>
        <w:rPr>
          <w:b w:val="0"/>
          <w:bCs w:val="0"/>
        </w:rPr>
      </w:r>
      <w:r>
        <w:rPr>
          <w:rFonts w:ascii="Times New Roman" w:hAnsi="Times New Roman" w:cs="Times New Roman" w:eastAsia="Times New Roman" w:hint="default"/>
        </w:rPr>
        <w:t>72</w:t>
      </w:r>
      <w:r>
        <w:rPr/>
        <w:t>、资产减值损失</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731" w:footer="981" w:top="1040" w:bottom="1180" w:left="1000" w:right="0"/>
        </w:sectPr>
      </w:pPr>
    </w:p>
    <w:p>
      <w:pPr>
        <w:pStyle w:val="BodyText"/>
        <w:spacing w:line="240" w:lineRule="auto" w:before="44"/>
        <w:ind w:right="-20"/>
        <w:jc w:val="left"/>
      </w:pPr>
      <w:r>
        <w:rPr/>
        <w:t>是否已执行新收入准则</w:t>
      </w:r>
    </w:p>
    <w:p>
      <w:pPr>
        <w:pStyle w:val="BodyText"/>
        <w:spacing w:line="240" w:lineRule="auto" w:before="12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-18,277,942.62</w:t>
            </w:r>
            <w:r>
              <w:rPr>
                <w:rFonts w:ascii="Times New Roman"/>
                <w:sz w:val="18"/>
              </w:rPr>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-2,388,804.53</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-52,945.88</w:t>
            </w:r>
            <w:r>
              <w:rPr>
                <w:rFonts w:ascii="Times New Roman"/>
                <w:sz w:val="18"/>
              </w:rPr>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-2,388,804.53</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-18,330,888.50</w:t>
            </w:r>
            <w:r>
              <w:rPr>
                <w:rFonts w:ascii="Times New Roman"/>
                <w:sz w:val="18"/>
              </w:rPr>
            </w:r>
          </w:p>
        </w:tc>
      </w:tr>
    </w:tbl>
    <w:p>
      <w:pPr>
        <w:pStyle w:val="BodyText"/>
        <w:spacing w:line="240" w:lineRule="auto" w:before="45"/>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73、资产处置收益" w:id="395"/>
      <w:bookmarkEnd w:id="395"/>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66"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74、营业外收入" w:id="396"/>
      <w:bookmarkEnd w:id="396"/>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158" w:hRule="exact"/>
        </w:trPr>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1111" w:right="107"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0" w:hRule="exact"/>
        </w:trPr>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vMerge/>
            <w:tcBorders>
              <w:left w:val="single" w:sz="6" w:space="0" w:color="000000"/>
              <w:right w:val="single" w:sz="6" w:space="0" w:color="000000"/>
            </w:tcBorders>
            <w:shd w:val="clear" w:color="auto" w:fill="D2D2D2"/>
          </w:tcPr>
          <w:p>
            <w:pPr/>
          </w:p>
        </w:tc>
      </w:tr>
      <w:tr>
        <w:trPr>
          <w:trHeight w:val="158" w:hRule="exact"/>
        </w:trPr>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1,095,867.44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1,010,000.00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1,095,867.44</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固定资产报废净收益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47,735.00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28,115.75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47,735.00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诉讼和解</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2,194,823.28</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324,183.18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236,655.07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324,183.18</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1,467,785.62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3,469,594.10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1,467,785.62</w:t>
            </w:r>
          </w:p>
        </w:tc>
      </w:tr>
    </w:tbl>
    <w:p>
      <w:pPr>
        <w:pStyle w:val="BodyText"/>
        <w:spacing w:line="240" w:lineRule="auto" w:before="44"/>
        <w:ind w:right="1105"/>
        <w:jc w:val="left"/>
      </w:pPr>
      <w:r>
        <w:rPr/>
        <w:t>计入当期损益的政府补助：</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51"/>
        <w:gridCol w:w="1067"/>
        <w:gridCol w:w="1066"/>
        <w:gridCol w:w="1067"/>
        <w:gridCol w:w="1066"/>
      </w:tblGrid>
      <w:tr>
        <w:trPr>
          <w:trHeight w:val="72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59" w:right="75"/>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435" w:right="74" w:hanging="361"/>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435" w:right="73"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436"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75" w:right="39" w:hanging="1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67"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4" w:lineRule="auto"/>
              <w:ind w:left="15" w:right="42"/>
              <w:jc w:val="left"/>
              <w:rPr>
                <w:rFonts w:ascii="宋体" w:hAnsi="宋体" w:cs="宋体" w:eastAsia="宋体" w:hint="default"/>
                <w:sz w:val="18"/>
                <w:szCs w:val="18"/>
              </w:rPr>
            </w:pPr>
            <w:r>
              <w:rPr>
                <w:rFonts w:ascii="宋体" w:hAnsi="宋体" w:cs="宋体" w:eastAsia="宋体" w:hint="default"/>
                <w:sz w:val="18"/>
                <w:szCs w:val="18"/>
              </w:rPr>
              <w:t>杭州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经济工作先 进单位奖朗</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21" w:lineRule="auto"/>
              <w:ind w:left="15" w:right="135"/>
              <w:jc w:val="both"/>
              <w:rPr>
                <w:rFonts w:ascii="宋体" w:hAnsi="宋体" w:cs="宋体" w:eastAsia="宋体" w:hint="default"/>
                <w:sz w:val="18"/>
                <w:szCs w:val="18"/>
              </w:rPr>
            </w:pPr>
            <w:r>
              <w:rPr>
                <w:rFonts w:ascii="宋体" w:hAnsi="宋体" w:cs="宋体" w:eastAsia="宋体" w:hint="default"/>
                <w:sz w:val="18"/>
                <w:szCs w:val="18"/>
              </w:rPr>
              <w:t>杭州市下城 区长庆街道 办事处</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2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级政策规定 依法取得）</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10,000.00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51"/>
        <w:gridCol w:w="1067"/>
        <w:gridCol w:w="1066"/>
        <w:gridCol w:w="1067"/>
        <w:gridCol w:w="1066"/>
      </w:tblGrid>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杭州下城地 </w:t>
            </w:r>
            <w:r>
              <w:rPr>
                <w:rFonts w:ascii="宋体" w:hAnsi="宋体" w:cs="宋体" w:eastAsia="宋体" w:hint="default"/>
                <w:spacing w:val="-13"/>
                <w:sz w:val="18"/>
                <w:szCs w:val="18"/>
              </w:rPr>
              <w:t>税局、厦门市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社会保险管 理中心等</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1,085,867.44</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367" w:lineRule="auto" w:before="44"/>
        <w:ind w:right="4224"/>
        <w:jc w:val="left"/>
      </w:pPr>
      <w:r>
        <w:rPr/>
        <w:t>其他说明： 稳岗补贴是政府为了稳定就业岗位</w:t>
      </w:r>
      <w:r>
        <w:rPr>
          <w:rFonts w:ascii="Times New Roman" w:hAnsi="Times New Roman" w:cs="Times New Roman" w:eastAsia="Times New Roman" w:hint="default"/>
        </w:rPr>
        <w:t>,</w:t>
      </w:r>
      <w:r>
        <w:rPr/>
        <w:t>鼓励企业少裁员或不裁员而对企业发放的补助。</w:t>
      </w:r>
    </w:p>
    <w:p>
      <w:pPr>
        <w:spacing w:line="240" w:lineRule="auto" w:before="5"/>
        <w:rPr>
          <w:rFonts w:ascii="宋体" w:hAnsi="宋体" w:cs="宋体" w:eastAsia="宋体" w:hint="default"/>
          <w:sz w:val="18"/>
          <w:szCs w:val="18"/>
        </w:rPr>
      </w:pPr>
    </w:p>
    <w:p>
      <w:pPr>
        <w:pStyle w:val="Heading3"/>
        <w:spacing w:line="240" w:lineRule="auto"/>
        <w:ind w:right="1105"/>
        <w:jc w:val="left"/>
        <w:rPr>
          <w:b w:val="0"/>
          <w:bCs w:val="0"/>
        </w:rPr>
      </w:pPr>
      <w:bookmarkStart w:name="75、营业外支出" w:id="397"/>
      <w:bookmarkEnd w:id="397"/>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158" w:hRule="exact"/>
        </w:trPr>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1111" w:right="107"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0" w:hRule="exact"/>
        </w:trPr>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vMerge/>
            <w:tcBorders>
              <w:left w:val="single" w:sz="6" w:space="0" w:color="000000"/>
              <w:right w:val="single" w:sz="6" w:space="0" w:color="000000"/>
            </w:tcBorders>
            <w:shd w:val="clear" w:color="auto" w:fill="D2D2D2"/>
          </w:tcPr>
          <w:p>
            <w:pPr/>
          </w:p>
        </w:tc>
      </w:tr>
      <w:tr>
        <w:trPr>
          <w:trHeight w:val="173" w:hRule="exact"/>
        </w:trPr>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1,070,000.00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2,251,000.00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1,070,000.00</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亏损合同</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181,162.34</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94,727.56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94,727.56</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1,164,727.56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2,432,362.34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1,164,727.56</w:t>
            </w:r>
          </w:p>
        </w:tc>
      </w:tr>
    </w:tbl>
    <w:p>
      <w:pPr>
        <w:pStyle w:val="BodyText"/>
        <w:spacing w:line="240" w:lineRule="auto" w:before="45"/>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76、所得税费用" w:id="398"/>
      <w:bookmarkEnd w:id="398"/>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1105"/>
        <w:jc w:val="left"/>
        <w:rPr>
          <w:b w:val="0"/>
          <w:bCs w:val="0"/>
        </w:rPr>
      </w:pPr>
      <w:bookmarkStart w:name="（1）所得税费用表" w:id="399"/>
      <w:bookmarkEnd w:id="39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67,713,246.93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30,823,843.47</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-12,669,031.46</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8,509,165.69</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55,044,215.47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39,333,009.16</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2）会计利润与所得税费用调整过程" w:id="400"/>
      <w:bookmarkEnd w:id="40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1,134,761,987.96</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283,690,496.99</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12,812,331.08</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-909,344.55</w:t>
            </w:r>
            <w:r>
              <w:rPr>
                <w:rFonts w:ascii="Times New Roman"/>
                <w:sz w:val="18"/>
              </w:rPr>
            </w:r>
          </w:p>
        </w:tc>
      </w:tr>
      <w:tr>
        <w:trPr>
          <w:trHeight w:val="7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34,620,806.37</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免税投资收益</w:t>
            </w:r>
          </w:p>
        </w:tc>
        <w:tc>
          <w:tcPr>
            <w:tcW w:w="4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-132,843,192.91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-53,565,733.33</w:t>
            </w:r>
            <w:r>
              <w:rPr>
                <w:rFonts w:ascii="Times New Roman"/>
                <w:sz w:val="18"/>
              </w:rPr>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用于股权激励的限制性股票公允价值变动</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-18,180,832.76</w:t>
            </w:r>
            <w:r>
              <w:rPr>
                <w:rFonts w:ascii="Times New Roman"/>
                <w:sz w:val="18"/>
              </w:rPr>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优惠税率的影响</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-66,533,152.45</w:t>
            </w:r>
            <w:r>
              <w:rPr>
                <w:rFonts w:ascii="Times New Roman"/>
                <w:sz w:val="18"/>
              </w:rPr>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税率变动的影响</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-2,535,080.96</w:t>
            </w:r>
            <w:r>
              <w:rPr>
                <w:rFonts w:ascii="Times New Roman"/>
                <w:sz w:val="18"/>
              </w:rPr>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汇算清缴差异</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-1,512,082.01</w:t>
            </w:r>
            <w:r>
              <w:rPr>
                <w:rFonts w:ascii="Times New Roman"/>
                <w:sz w:val="18"/>
              </w:rPr>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55,044,215.47</w:t>
            </w:r>
          </w:p>
        </w:tc>
      </w:tr>
    </w:tbl>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1105"/>
        <w:jc w:val="left"/>
        <w:rPr>
          <w:b w:val="0"/>
          <w:bCs w:val="0"/>
        </w:rPr>
      </w:pPr>
      <w:bookmarkStart w:name="77、其他综合收益" w:id="401"/>
      <w:bookmarkEnd w:id="401"/>
      <w:r>
        <w:rPr>
          <w:b w:val="0"/>
          <w:bCs w:val="0"/>
        </w:rPr>
      </w:r>
      <w:r>
        <w:rPr>
          <w:rFonts w:ascii="Times New Roman" w:hAnsi="Times New Roman" w:cs="Times New Roman" w:eastAsia="Times New Roman" w:hint="default"/>
        </w:rPr>
        <w:t>77</w:t>
      </w:r>
      <w:r>
        <w:rPr/>
        <w:t>、其他综合收益</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1105"/>
        <w:jc w:val="left"/>
      </w:pPr>
      <w:r>
        <w:rPr/>
        <w:t>详见附注。</w:t>
      </w:r>
    </w:p>
    <w:p>
      <w:pPr>
        <w:spacing w:line="240" w:lineRule="auto" w:before="0"/>
        <w:rPr>
          <w:rFonts w:ascii="宋体" w:hAnsi="宋体" w:cs="宋体" w:eastAsia="宋体" w:hint="default"/>
          <w:sz w:val="18"/>
          <w:szCs w:val="18"/>
        </w:rPr>
      </w:pPr>
    </w:p>
    <w:p>
      <w:pPr>
        <w:pStyle w:val="Heading3"/>
        <w:spacing w:line="240" w:lineRule="auto" w:before="140"/>
        <w:ind w:right="1105"/>
        <w:jc w:val="left"/>
        <w:rPr>
          <w:b w:val="0"/>
          <w:bCs w:val="0"/>
        </w:rPr>
      </w:pPr>
      <w:bookmarkStart w:name="78、现金流量表项目" w:id="402"/>
      <w:bookmarkEnd w:id="402"/>
      <w:r>
        <w:rPr>
          <w:b w:val="0"/>
          <w:bCs w:val="0"/>
        </w:rPr>
      </w:r>
      <w:r>
        <w:rPr>
          <w:rFonts w:ascii="Times New Roman" w:hAnsi="Times New Roman" w:cs="Times New Roman" w:eastAsia="Times New Roman" w:hint="default"/>
        </w:rPr>
        <w:t>78</w:t>
      </w:r>
      <w:r>
        <w:rPr/>
        <w:t>、现金流量表项目</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1）收到的其他与经营活动有关的现金" w:id="403"/>
      <w:bookmarkEnd w:id="40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政府补助收入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110,702,987.28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17,801,500.00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35,718,324.49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9,410,522.62</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押金及投标保证金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48,947,767.17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40,058,813.10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收回诉讼冻结资金</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218,609.49</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195,587,688.43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77,270,835.72</w:t>
            </w:r>
          </w:p>
        </w:tc>
      </w:tr>
    </w:tbl>
    <w:p>
      <w:pPr>
        <w:pStyle w:val="BodyText"/>
        <w:spacing w:line="240" w:lineRule="auto" w:before="44"/>
        <w:ind w:right="1105"/>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2）支付的其他与经营活动有关的现金" w:id="404"/>
      <w:bookmarkEnd w:id="40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91,907,203.89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60,347,330.23</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会议费及业务招待费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53,690,819.24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43,990,078.68</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44,826,861.13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33,162,834.17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39,967,510.36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11,064,821.08</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办公通信费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21,338,465.24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13,533,850.14</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押金及投标保证金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21,233,276.75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22,271,057.20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20,423,365.60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15,069,654.55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1,126,000.00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6,212,685.30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3,476,072.38</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300,670,187.51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204,041,698.43</w:t>
            </w:r>
          </w:p>
        </w:tc>
      </w:tr>
    </w:tbl>
    <w:p>
      <w:pPr>
        <w:pStyle w:val="BodyText"/>
        <w:spacing w:line="240" w:lineRule="auto" w:before="44"/>
        <w:ind w:right="1105"/>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40"/>
        <w:ind w:right="1105"/>
        <w:jc w:val="left"/>
        <w:rPr>
          <w:b w:val="0"/>
          <w:bCs w:val="0"/>
        </w:rPr>
      </w:pPr>
      <w:bookmarkStart w:name="（3）收到的其他与投资活动有关的现金" w:id="405"/>
      <w:bookmarkEnd w:id="405"/>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收回对外借款及利息</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1,560,668.75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8,865,722.22</w:t>
            </w:r>
          </w:p>
        </w:tc>
      </w:tr>
      <w:tr>
        <w:trPr>
          <w:trHeight w:val="7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2"/>
              <w:jc w:val="left"/>
              <w:rPr>
                <w:rFonts w:ascii="宋体" w:hAnsi="宋体" w:cs="宋体" w:eastAsia="宋体" w:hint="default"/>
                <w:sz w:val="18"/>
                <w:szCs w:val="18"/>
              </w:rPr>
            </w:pPr>
            <w:r>
              <w:rPr>
                <w:rFonts w:ascii="宋体" w:hAnsi="宋体" w:cs="宋体" w:eastAsia="宋体" w:hint="default"/>
                <w:sz w:val="18"/>
                <w:szCs w:val="18"/>
              </w:rPr>
              <w:t>非同一控制下收购邦道科技和数联领航 收购日持有资金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166,927,173.40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168,487,842.15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8,865,722.22</w:t>
            </w:r>
          </w:p>
        </w:tc>
      </w:tr>
    </w:tbl>
    <w:p>
      <w:pPr>
        <w:pStyle w:val="BodyText"/>
        <w:spacing w:line="240" w:lineRule="auto" w:before="45"/>
        <w:ind w:right="1105"/>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4）支付的其他与投资活动有关的现金" w:id="406"/>
      <w:bookmarkEnd w:id="406"/>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支付基金管理费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670,890.41</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支付对外借款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10,100,000.00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共管账户受限制资金</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80,000,000.00</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2,170,890.41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90,100,000.00</w:t>
            </w:r>
          </w:p>
        </w:tc>
      </w:tr>
    </w:tbl>
    <w:p>
      <w:pPr>
        <w:pStyle w:val="BodyText"/>
        <w:spacing w:line="240" w:lineRule="auto" w:before="44"/>
        <w:ind w:right="1105"/>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5）收到的其他与筹资活动有关的现金" w:id="407"/>
      <w:bookmarkEnd w:id="407"/>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收紫金文化可转债</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40,000,000.00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收到票据贴现款</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146,360,253.00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186,360,253.00</w:t>
            </w:r>
          </w:p>
        </w:tc>
      </w:tr>
    </w:tbl>
    <w:p>
      <w:pPr>
        <w:pStyle w:val="BodyText"/>
        <w:spacing w:line="240" w:lineRule="auto" w:before="45"/>
        <w:ind w:right="1105"/>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6）支付的其他与筹资活动有关的现金" w:id="408"/>
      <w:bookmarkEnd w:id="408"/>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10"/>
              <w:jc w:val="right"/>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52"/>
              <w:jc w:val="right"/>
              <w:rPr>
                <w:rFonts w:ascii="宋体" w:hAnsi="宋体" w:cs="宋体" w:eastAsia="宋体" w:hint="default"/>
                <w:sz w:val="18"/>
                <w:szCs w:val="18"/>
              </w:rPr>
            </w:pPr>
            <w:r>
              <w:rPr>
                <w:rFonts w:ascii="宋体" w:hAnsi="宋体" w:cs="宋体" w:eastAsia="宋体" w:hint="default"/>
                <w:sz w:val="18"/>
                <w:szCs w:val="18"/>
              </w:rPr>
              <w:t>支付融资及重组服务费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8,553,419.92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4,234,987.00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r>
        <w:rPr/>
        <w:pict>
          <v:group style="position:absolute;margin-left:224.529999pt;margin-top:600.525024pt;width:150.2pt;height:19.55pt;mso-position-horizontal-relative:page;mso-position-vertical-relative:page;z-index:-1325224" coordorigin="4491,12011" coordsize="3004,391">
            <v:shape style="position:absolute;left:4491;top:12011;width:3004;height:391" coordorigin="4491,12011" coordsize="3004,391" path="m4491,12401l7495,12401,7495,12011,4491,12011,4491,12401xe" filled="true" fillcolor="#ffffff" stroked="false">
              <v:path arrowok="t"/>
              <v:fill type="solid"/>
            </v:shape>
            <w10:wrap type="none"/>
          </v:group>
        </w:pict>
      </w: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支付紫金文化可转债</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40,000,000.00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8,553,419.92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44,234,987.00</w:t>
            </w:r>
          </w:p>
        </w:tc>
      </w:tr>
    </w:tbl>
    <w:p>
      <w:pPr>
        <w:pStyle w:val="BodyText"/>
        <w:spacing w:line="240" w:lineRule="auto" w:before="44"/>
        <w:ind w:right="1105"/>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40"/>
        <w:ind w:right="1105"/>
        <w:jc w:val="left"/>
        <w:rPr>
          <w:b w:val="0"/>
          <w:bCs w:val="0"/>
        </w:rPr>
      </w:pPr>
      <w:bookmarkStart w:name="79、现金流量表补充资料" w:id="409"/>
      <w:bookmarkEnd w:id="409"/>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1）现金流量表补充资料" w:id="410"/>
      <w:bookmarkEnd w:id="41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4"/>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2"/>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1,079,717,772.49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299,217,868.61</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18,261,702.76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18,330,888.50</w:t>
            </w:r>
          </w:p>
        </w:tc>
      </w:tr>
      <w:tr>
        <w:trPr>
          <w:trHeight w:val="72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53" w:firstLine="721"/>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18,082,537.11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16,611,980.38</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4,040,493.13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3,129,580.89</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6,044,468.53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4,638,253.26</w:t>
            </w: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45"/>
              <w:ind w:left="7" w:right="53" w:firstLine="721"/>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926.41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85,937.78</w:t>
            </w: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-47,735.00</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-1,412,584.01</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-7,207.97</w:t>
            </w:r>
            <w:r>
              <w:rPr>
                <w:rFonts w:ascii="Times New Roman"/>
                <w:sz w:val="18"/>
              </w:rPr>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66"/>
              <w:jc w:val="righ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3,726,428.61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22,338,193.98</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66"/>
              <w:jc w:val="righ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-534,373,461.94</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-63,431,209.49</w:t>
            </w:r>
            <w:r>
              <w:rPr>
                <w:rFonts w:ascii="Times New Roman"/>
                <w:sz w:val="18"/>
              </w:rPr>
            </w:r>
          </w:p>
        </w:tc>
      </w:tr>
      <w:tr>
        <w:trPr>
          <w:trHeight w:val="7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9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-13,086,634.62</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8,604,378.02</w:t>
            </w: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9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417,603.16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-58,125.00</w:t>
            </w:r>
            <w:r>
              <w:rPr>
                <w:rFonts w:ascii="Times New Roman"/>
                <w:sz w:val="18"/>
              </w:rPr>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1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tabs>
                <w:tab w:pos="1982" w:val="left" w:leader="none"/>
              </w:tabs>
              <w:spacing w:line="240" w:lineRule="auto" w:before="60"/>
              <w:ind w:left="-136" w:right="2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80,097,506.34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-212,653,959.28</w:t>
            </w:r>
            <w:r>
              <w:rPr>
                <w:rFonts w:ascii="Times New Roman"/>
                <w:sz w:val="18"/>
              </w:rPr>
            </w:r>
          </w:p>
        </w:tc>
      </w:tr>
      <w:tr>
        <w:trPr>
          <w:trHeight w:val="7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9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-348,793,798.32</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-275,481,911.27</w:t>
            </w:r>
            <w:r>
              <w:rPr>
                <w:rFonts w:ascii="Times New Roman"/>
                <w:sz w:val="18"/>
              </w:rPr>
            </w:r>
          </w:p>
        </w:tc>
      </w:tr>
      <w:tr>
        <w:trPr>
          <w:trHeight w:val="72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9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180,718,843.13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149,525,503.78</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66,439,437.91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49,171,545.56</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33"/>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559,833,505.69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20,021,717.75</w:t>
            </w:r>
          </w:p>
        </w:tc>
      </w:tr>
      <w:tr>
        <w:trPr>
          <w:trHeight w:val="158" w:hRule="exact"/>
        </w:trPr>
        <w:tc>
          <w:tcPr>
            <w:tcW w:w="3319" w:type="dxa"/>
            <w:vMerge w:val="restart"/>
            <w:tcBorders>
              <w:top w:val="single" w:sz="6" w:space="0" w:color="000000"/>
              <w:left w:val="single" w:sz="6" w:space="0" w:color="000000"/>
              <w:right w:val="single" w:sz="6" w:space="0" w:color="000000"/>
            </w:tcBorders>
            <w:shd w:val="clear" w:color="auto" w:fill="D2D2D2"/>
          </w:tcPr>
          <w:p>
            <w:pPr>
              <w:pStyle w:val="TableParagraph"/>
              <w:spacing w:line="290" w:lineRule="auto" w:before="44"/>
              <w:ind w:left="7"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7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3319" w:type="dxa"/>
            <w:vMerge/>
            <w:tcBorders>
              <w:left w:val="single" w:sz="6" w:space="0" w:color="000000"/>
              <w:right w:val="single" w:sz="6" w:space="0" w:color="000000"/>
            </w:tcBorders>
            <w:shd w:val="clear" w:color="auto" w:fill="D2D2D2"/>
          </w:tcPr>
          <w:p>
            <w:pPr/>
          </w:p>
        </w:tc>
        <w:tc>
          <w:tcPr>
            <w:tcW w:w="30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318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158" w:hRule="exact"/>
        </w:trPr>
        <w:tc>
          <w:tcPr>
            <w:tcW w:w="3319" w:type="dxa"/>
            <w:vMerge/>
            <w:tcBorders>
              <w:left w:val="single" w:sz="6" w:space="0" w:color="000000"/>
              <w:bottom w:val="single" w:sz="6" w:space="0" w:color="000000"/>
              <w:right w:val="single" w:sz="6" w:space="0" w:color="000000"/>
            </w:tcBorders>
            <w:shd w:val="clear" w:color="auto" w:fill="D2D2D2"/>
          </w:tcPr>
          <w:p>
            <w:pPr/>
          </w:p>
        </w:tc>
        <w:tc>
          <w:tcPr>
            <w:tcW w:w="3072"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1,849,092,423.76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1,298,904,541.35</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1,298,904,541.35</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797,829,175.29</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550,187,882.41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501,075,366.06</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2）本期支付的取得子公司的现金净额" w:id="411"/>
      <w:bookmarkEnd w:id="411"/>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994"/>
        <w:gridCol w:w="4581"/>
      </w:tblGrid>
      <w:tr>
        <w:trPr>
          <w:trHeight w:val="405" w:hRule="exact"/>
        </w:trPr>
        <w:tc>
          <w:tcPr>
            <w:tcW w:w="499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5" w:hRule="exact"/>
        </w:trPr>
        <w:tc>
          <w:tcPr>
            <w:tcW w:w="4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4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166,927,173.40</w:t>
            </w:r>
          </w:p>
        </w:tc>
      </w:tr>
      <w:tr>
        <w:trPr>
          <w:trHeight w:val="390" w:hRule="exact"/>
        </w:trPr>
        <w:tc>
          <w:tcPr>
            <w:tcW w:w="4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4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邦道科技</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165,231,399.44</w:t>
            </w:r>
          </w:p>
        </w:tc>
      </w:tr>
      <w:tr>
        <w:trPr>
          <w:trHeight w:val="405" w:hRule="exact"/>
        </w:trPr>
        <w:tc>
          <w:tcPr>
            <w:tcW w:w="4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数联领航</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1,695,773.96</w:t>
            </w:r>
          </w:p>
        </w:tc>
      </w:tr>
      <w:tr>
        <w:trPr>
          <w:trHeight w:val="406" w:hRule="exact"/>
        </w:trPr>
        <w:tc>
          <w:tcPr>
            <w:tcW w:w="4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4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-166,927,173.40</w:t>
            </w:r>
            <w:r>
              <w:rPr>
                <w:rFonts w:ascii="Times New Roman"/>
                <w:sz w:val="18"/>
              </w:rPr>
            </w:r>
          </w:p>
        </w:tc>
      </w:tr>
    </w:tbl>
    <w:p>
      <w:pPr>
        <w:pStyle w:val="BodyText"/>
        <w:spacing w:line="350" w:lineRule="auto" w:before="45"/>
        <w:ind w:right="7149"/>
        <w:jc w:val="left"/>
      </w:pPr>
      <w:r>
        <w:rPr/>
        <w:t>其他说明： 不涉及现金收支的重大经营、投资和筹资活动</w:t>
      </w:r>
    </w:p>
    <w:p>
      <w:pPr>
        <w:spacing w:line="240" w:lineRule="auto" w:before="13"/>
        <w:rPr>
          <w:rFonts w:ascii="宋体" w:hAnsi="宋体" w:cs="宋体" w:eastAsia="宋体" w:hint="default"/>
          <w:sz w:val="24"/>
          <w:szCs w:val="24"/>
        </w:rPr>
      </w:pPr>
    </w:p>
    <w:p>
      <w:pPr>
        <w:pStyle w:val="BodyText"/>
        <w:spacing w:line="304" w:lineRule="auto"/>
        <w:ind w:right="1097"/>
        <w:jc w:val="both"/>
      </w:pPr>
      <w:r>
        <w:rPr>
          <w:spacing w:val="-1"/>
        </w:rPr>
        <w:t>于</w:t>
      </w:r>
      <w:r>
        <w:rPr>
          <w:rFonts w:ascii="Times New Roman" w:hAnsi="Times New Roman" w:cs="Times New Roman" w:eastAsia="Times New Roman" w:hint="default"/>
          <w:spacing w:val="-1"/>
        </w:rPr>
        <w:t>2018</w:t>
      </w:r>
      <w:r>
        <w:rPr>
          <w:spacing w:val="-1"/>
        </w:rPr>
        <w:t>年末，易视腾科技以应收中移物联网有限公司的银行承兑汇票</w:t>
      </w:r>
      <w:r>
        <w:rPr>
          <w:rFonts w:ascii="Times New Roman" w:hAnsi="Times New Roman" w:cs="Times New Roman" w:eastAsia="Times New Roman" w:hint="default"/>
          <w:spacing w:val="-1"/>
        </w:rPr>
        <w:t>40,401,648.00</w:t>
      </w:r>
      <w:r>
        <w:rPr>
          <w:spacing w:val="-1"/>
        </w:rPr>
        <w:t>元进行贴现，由于附带追索权，故易视腾</w:t>
      </w:r>
      <w:r>
        <w:rPr>
          <w:spacing w:val="-66"/>
        </w:rPr>
        <w:t> </w:t>
      </w:r>
      <w:r>
        <w:rPr>
          <w:spacing w:val="-66"/>
        </w:rPr>
      </w:r>
      <w:r>
        <w:rPr>
          <w:spacing w:val="-1"/>
        </w:rPr>
        <w:t>科技并未对应收票据进行终止确认，将扣除贴现息后收到的现金净额计入筹资活动。于</w:t>
      </w:r>
      <w:r>
        <w:rPr>
          <w:rFonts w:ascii="Times New Roman" w:hAnsi="Times New Roman" w:cs="Times New Roman" w:eastAsia="Times New Roman" w:hint="default"/>
          <w:spacing w:val="-1"/>
        </w:rPr>
        <w:t>2019</w:t>
      </w:r>
      <w:r>
        <w:rPr>
          <w:spacing w:val="-1"/>
        </w:rPr>
        <w:t>年，票据到期后，易视腾科技将</w:t>
      </w:r>
      <w:r>
        <w:rPr>
          <w:spacing w:val="-86"/>
        </w:rPr>
        <w:t> </w:t>
      </w:r>
      <w:r>
        <w:rPr>
          <w:spacing w:val="-86"/>
        </w:rPr>
      </w:r>
      <w:r>
        <w:rPr/>
        <w:t>应收票据的减少及短期借款的减少</w:t>
      </w:r>
      <w:r>
        <w:rPr>
          <w:rFonts w:ascii="Times New Roman" w:hAnsi="Times New Roman" w:cs="Times New Roman" w:eastAsia="Times New Roman" w:hint="default"/>
        </w:rPr>
        <w:t>40,401,648.00</w:t>
      </w:r>
      <w:r>
        <w:rPr/>
        <w:t>元由于不涉及真实现金流，未包括在现金流量表中。</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bookmarkStart w:name="（3）本期收到的处置子公司的现金净额" w:id="412"/>
      <w:bookmarkEnd w:id="412"/>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5001"/>
        <w:gridCol w:w="4581"/>
      </w:tblGrid>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90"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4）现金和现金等价物的构成" w:id="413"/>
      <w:bookmarkEnd w:id="413"/>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1,849,092,423.76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1,298,904,541.35</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180,346.59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78,085.88</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327"/>
        <w:gridCol w:w="3072"/>
        <w:gridCol w:w="3184"/>
      </w:tblGrid>
      <w:tr>
        <w:trPr>
          <w:trHeight w:val="405"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1,848,912,077.17</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1,298,826,455.47</w:t>
            </w:r>
          </w:p>
        </w:tc>
      </w:tr>
      <w:tr>
        <w:trPr>
          <w:trHeight w:val="390"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1,849,092,423.76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1,298,904,541.35</w:t>
            </w:r>
          </w:p>
        </w:tc>
      </w:tr>
    </w:tbl>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1105"/>
        <w:jc w:val="left"/>
        <w:rPr>
          <w:b w:val="0"/>
          <w:bCs w:val="0"/>
        </w:rPr>
      </w:pPr>
      <w:bookmarkStart w:name="80、所有者权益变动表项目注释" w:id="414"/>
      <w:bookmarkEnd w:id="414"/>
      <w:r>
        <w:rPr>
          <w:b w:val="0"/>
          <w:bCs w:val="0"/>
        </w:rPr>
      </w:r>
      <w:r>
        <w:rPr>
          <w:rFonts w:ascii="Times New Roman" w:hAnsi="Times New Roman" w:cs="Times New Roman" w:eastAsia="Times New Roman" w:hint="default"/>
        </w:rPr>
        <w:t>80</w:t>
      </w:r>
      <w:r>
        <w:rPr/>
        <w:t>、所有者权益变动表项目注释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5"/>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w:t>
      </w:r>
    </w:p>
    <w:p>
      <w:pPr>
        <w:spacing w:line="240" w:lineRule="auto" w:before="6"/>
        <w:rPr>
          <w:rFonts w:ascii="宋体" w:hAnsi="宋体" w:cs="宋体" w:eastAsia="宋体" w:hint="default"/>
          <w:sz w:val="26"/>
          <w:szCs w:val="26"/>
        </w:rPr>
      </w:pPr>
    </w:p>
    <w:p>
      <w:pPr>
        <w:pStyle w:val="Heading3"/>
        <w:spacing w:line="240" w:lineRule="auto"/>
        <w:ind w:right="1105"/>
        <w:jc w:val="left"/>
        <w:rPr>
          <w:b w:val="0"/>
          <w:bCs w:val="0"/>
        </w:rPr>
      </w:pPr>
      <w:bookmarkStart w:name="81、所有权或使用权受到限制的资产" w:id="415"/>
      <w:bookmarkEnd w:id="415"/>
      <w:r>
        <w:rPr>
          <w:b w:val="0"/>
          <w:bCs w:val="0"/>
        </w:rPr>
      </w:r>
      <w:r>
        <w:rPr>
          <w:rFonts w:ascii="Times New Roman" w:hAnsi="Times New Roman" w:cs="Times New Roman" w:eastAsia="Times New Roman" w:hint="default"/>
        </w:rPr>
        <w:t>81</w:t>
      </w:r>
      <w:r>
        <w:rPr/>
        <w:t>、所有权或使用权受到限制的资产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4,527,166.38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z w:val="18"/>
              </w:rPr>
              <w:t>4,527,166.38</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82、外币货币性项目" w:id="416"/>
      <w:bookmarkEnd w:id="416"/>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1105"/>
        <w:jc w:val="left"/>
        <w:rPr>
          <w:b w:val="0"/>
          <w:bCs w:val="0"/>
        </w:rPr>
      </w:pPr>
      <w:bookmarkStart w:name="（1）外币货币性项目" w:id="417"/>
      <w:bookmarkEnd w:id="417"/>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493"/>
        <w:gridCol w:w="2291"/>
        <w:gridCol w:w="2403"/>
        <w:gridCol w:w="2388"/>
      </w:tblGrid>
      <w:tr>
        <w:trPr>
          <w:trHeight w:val="391"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493"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1105"/>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86" w:lineRule="exact" w:before="51"/>
        <w:ind w:right="1105"/>
        <w:jc w:val="left"/>
        <w:rPr>
          <w:b w:val="0"/>
          <w:bCs w:val="0"/>
        </w:rPr>
      </w:pPr>
      <w:bookmarkStart w:name="（2）境外经营实体说明，包括对于重要的境外经营实体，应披露其境外主要经营地、记账" w:id="418"/>
      <w:bookmarkEnd w:id="418"/>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53"/>
        </w:rPr>
        <w:t> </w:t>
      </w:r>
      <w:r>
        <w:rPr>
          <w:spacing w:val="-53"/>
        </w:rPr>
      </w:r>
      <w:r>
        <w:rPr/>
        <w:t>依据，记账本位币发生变化的还应披露原因。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05"/>
        <w:jc w:val="left"/>
        <w:rPr>
          <w:b w:val="0"/>
          <w:bCs w:val="0"/>
        </w:rPr>
      </w:pPr>
      <w:bookmarkStart w:name="83、套期" w:id="419"/>
      <w:bookmarkEnd w:id="419"/>
      <w:r>
        <w:rPr>
          <w:b w:val="0"/>
          <w:bCs w:val="0"/>
        </w:rPr>
      </w:r>
      <w:r>
        <w:rPr>
          <w:rFonts w:ascii="Times New Roman" w:hAnsi="Times New Roman" w:cs="Times New Roman" w:eastAsia="Times New Roman" w:hint="default"/>
        </w:rPr>
        <w:t>83</w:t>
      </w:r>
      <w:r>
        <w:rPr/>
        <w:t>、套期</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1105"/>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3"/>
        <w:spacing w:line="240" w:lineRule="auto" w:before="154"/>
        <w:ind w:right="1105"/>
        <w:jc w:val="left"/>
        <w:rPr>
          <w:b w:val="0"/>
          <w:bCs w:val="0"/>
        </w:rPr>
      </w:pPr>
      <w:bookmarkStart w:name="84、政府补助" w:id="420"/>
      <w:bookmarkEnd w:id="420"/>
      <w:r>
        <w:rPr>
          <w:b w:val="0"/>
          <w:bCs w:val="0"/>
        </w:rPr>
      </w:r>
      <w:r>
        <w:rPr>
          <w:rFonts w:ascii="Times New Roman" w:hAnsi="Times New Roman" w:cs="Times New Roman" w:eastAsia="Times New Roman" w:hint="default"/>
        </w:rPr>
        <w:t>84</w:t>
      </w:r>
      <w:r>
        <w:rPr/>
        <w:t>、政府补助</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1105"/>
        <w:jc w:val="left"/>
        <w:rPr>
          <w:b w:val="0"/>
          <w:bCs w:val="0"/>
        </w:rPr>
      </w:pPr>
      <w:bookmarkStart w:name="（1）政府补助基本情况" w:id="421"/>
      <w:bookmarkEnd w:id="421"/>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2）政府补助退回情况" w:id="422"/>
      <w:bookmarkEnd w:id="422"/>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5"/>
        <w:rPr>
          <w:rFonts w:ascii="宋体" w:hAnsi="宋体" w:cs="宋体" w:eastAsia="宋体" w:hint="default"/>
          <w:sz w:val="25"/>
          <w:szCs w:val="25"/>
        </w:rPr>
      </w:pPr>
    </w:p>
    <w:p>
      <w:pPr>
        <w:spacing w:line="482" w:lineRule="auto" w:before="0"/>
        <w:ind w:left="141" w:right="8324" w:firstLine="0"/>
        <w:jc w:val="left"/>
        <w:rPr>
          <w:rFonts w:ascii="宋体" w:hAnsi="宋体" w:cs="宋体" w:eastAsia="宋体" w:hint="default"/>
          <w:sz w:val="21"/>
          <w:szCs w:val="21"/>
        </w:rPr>
      </w:pPr>
      <w:bookmarkStart w:name="85、其他" w:id="423"/>
      <w:bookmarkEnd w:id="423"/>
      <w:r>
        <w:rPr/>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24"/>
      <w:bookmarkEnd w:id="424"/>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spacing w:val="-115"/>
          <w:sz w:val="24"/>
          <w:szCs w:val="24"/>
        </w:rPr>
        <w:t> </w:t>
      </w:r>
      <w:r>
        <w:rPr>
          <w:rFonts w:ascii="宋体" w:hAnsi="宋体" w:cs="宋体" w:eastAsia="宋体" w:hint="default"/>
          <w:b/>
          <w:bCs/>
          <w:spacing w:val="-115"/>
          <w:sz w:val="24"/>
          <w:szCs w:val="24"/>
        </w:rPr>
      </w:r>
      <w:bookmarkStart w:name="1、非同一控制下企业合并" w:id="425"/>
      <w:bookmarkEnd w:id="425"/>
      <w:r>
        <w:rPr>
          <w:rFonts w:ascii="宋体" w:hAnsi="宋体" w:cs="宋体" w:eastAsia="宋体" w:hint="default"/>
          <w:b/>
          <w:bCs/>
          <w:spacing w:val="-11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90"/>
        <w:ind w:right="1105"/>
        <w:jc w:val="left"/>
        <w:rPr>
          <w:b w:val="0"/>
          <w:bCs w:val="0"/>
        </w:rPr>
      </w:pPr>
      <w:bookmarkStart w:name="（1）本期发生的非同一控制下企业合并" w:id="426"/>
      <w:bookmarkEnd w:id="426"/>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66"/>
        <w:gridCol w:w="1067"/>
        <w:gridCol w:w="1051"/>
        <w:gridCol w:w="1067"/>
        <w:gridCol w:w="1066"/>
      </w:tblGrid>
      <w:tr>
        <w:trPr>
          <w:trHeight w:val="103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20" w:right="88"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20" w:right="90" w:hanging="361"/>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20" w:right="89" w:hanging="361"/>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20" w:right="89" w:hanging="361"/>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20" w:right="90" w:hanging="361"/>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0"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40" w:right="73"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5"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05"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邦道科技</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1,440,000,00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4" w:right="135"/>
              <w:jc w:val="left"/>
              <w:rPr>
                <w:rFonts w:ascii="宋体" w:hAnsi="宋体" w:cs="宋体" w:eastAsia="宋体" w:hint="default"/>
                <w:sz w:val="18"/>
                <w:szCs w:val="18"/>
              </w:rPr>
            </w:pPr>
            <w:r>
              <w:rPr>
                <w:rFonts w:ascii="宋体" w:hAnsi="宋体" w:cs="宋体" w:eastAsia="宋体" w:hint="default"/>
                <w:sz w:val="18"/>
                <w:szCs w:val="18"/>
              </w:rPr>
              <w:t>发行股份收 购</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18"/>
              <w:jc w:val="left"/>
              <w:rPr>
                <w:rFonts w:ascii="宋体" w:hAnsi="宋体" w:cs="宋体" w:eastAsia="宋体" w:hint="default"/>
                <w:sz w:val="18"/>
                <w:szCs w:val="18"/>
              </w:rPr>
            </w:pPr>
            <w:r>
              <w:rPr>
                <w:rFonts w:ascii="宋体" w:hAnsi="宋体" w:cs="宋体" w:eastAsia="宋体" w:hint="default"/>
                <w:sz w:val="18"/>
                <w:szCs w:val="18"/>
              </w:rPr>
              <w:t>控制经营决 策</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296,279,698.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144,463,860.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33</w:t>
            </w:r>
          </w:p>
        </w:tc>
      </w:tr>
      <w:tr>
        <w:trPr>
          <w:trHeight w:val="70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数联领航</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25,301,920.0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51.11%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18"/>
              <w:jc w:val="left"/>
              <w:rPr>
                <w:rFonts w:ascii="宋体" w:hAnsi="宋体" w:cs="宋体" w:eastAsia="宋体" w:hint="default"/>
                <w:sz w:val="18"/>
                <w:szCs w:val="18"/>
              </w:rPr>
            </w:pPr>
            <w:r>
              <w:rPr>
                <w:rFonts w:ascii="宋体" w:hAnsi="宋体" w:cs="宋体" w:eastAsia="宋体" w:hint="default"/>
                <w:sz w:val="18"/>
                <w:szCs w:val="18"/>
              </w:rPr>
              <w:t>控制经营决 策</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3,159,376.17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344,531.92</w:t>
            </w:r>
          </w:p>
        </w:tc>
      </w:tr>
    </w:tbl>
    <w:p>
      <w:pPr>
        <w:pStyle w:val="BodyText"/>
        <w:spacing w:line="240" w:lineRule="auto" w:before="45"/>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1105"/>
        <w:jc w:val="left"/>
        <w:rPr>
          <w:b w:val="0"/>
          <w:bCs w:val="0"/>
        </w:rPr>
      </w:pPr>
      <w:bookmarkStart w:name="（2）合并成本及商誉" w:id="427"/>
      <w:bookmarkEnd w:id="427"/>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邦道科技</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数联领航</w:t>
            </w:r>
          </w:p>
        </w:tc>
      </w:tr>
    </w:tbl>
    <w:p>
      <w:pPr>
        <w:spacing w:after="0" w:line="240" w:lineRule="auto"/>
        <w:jc w:val="center"/>
        <w:rPr>
          <w:rFonts w:ascii="宋体" w:hAnsi="宋体" w:cs="宋体" w:eastAsia="宋体" w:hint="default"/>
          <w:sz w:val="18"/>
          <w:szCs w:val="18"/>
        </w:rPr>
        <w:sectPr>
          <w:footerReference w:type="default" r:id="rId25"/>
          <w:pgSz w:w="11910" w:h="16850"/>
          <w:pgMar w:footer="981" w:header="73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9"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3199"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5,000,000.00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800,000,000.00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w:t>
            </w:r>
            <w:r>
              <w:rPr>
                <w:rFonts w:ascii="宋体" w:hAnsi="宋体" w:cs="宋体" w:eastAsia="宋体" w:hint="default"/>
                <w:w w:val="99"/>
                <w:sz w:val="18"/>
                <w:szCs w:val="18"/>
              </w:rPr>
              <w:t> </w:t>
            </w:r>
            <w:r>
              <w:rPr>
                <w:rFonts w:ascii="宋体" w:hAnsi="宋体" w:cs="宋体" w:eastAsia="宋体" w:hint="default"/>
                <w:sz w:val="18"/>
                <w:szCs w:val="18"/>
              </w:rPr>
              <w:t>允价值</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640,000,000.00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6,301,920.00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9"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4,000,000.00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1,440,000,000.00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25,301,920.00</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325,914,591.40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9,985,849.77</w:t>
            </w:r>
          </w:p>
        </w:tc>
      </w:tr>
      <w:tr>
        <w:trPr>
          <w:trHeight w:val="72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15" w:right="46"/>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1,114,085,408.60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15,316,070.23</w:t>
            </w:r>
          </w:p>
        </w:tc>
      </w:tr>
    </w:tbl>
    <w:p>
      <w:pPr>
        <w:pStyle w:val="BodyText"/>
        <w:spacing w:line="240" w:lineRule="auto" w:before="45"/>
        <w:ind w:right="0"/>
        <w:jc w:val="both"/>
      </w:pPr>
      <w:r>
        <w:rPr/>
        <w:t>合并成本公允价值的确定方法、或有对价及其变动的说明：</w:t>
      </w:r>
    </w:p>
    <w:p>
      <w:pPr>
        <w:pStyle w:val="BodyText"/>
        <w:spacing w:line="290" w:lineRule="auto" w:before="124"/>
        <w:ind w:right="1097"/>
        <w:jc w:val="both"/>
      </w:pPr>
      <w:r>
        <w:rPr>
          <w:rFonts w:ascii="Times New Roman" w:hAnsi="Times New Roman" w:cs="Times New Roman" w:eastAsia="Times New Roman" w:hint="default"/>
        </w:rPr>
        <w:t>(1)</w:t>
      </w:r>
      <w:r>
        <w:rPr/>
        <w:t>本公司原持有邦道科技</w:t>
      </w:r>
      <w:r>
        <w:rPr>
          <w:rFonts w:ascii="Times New Roman" w:hAnsi="Times New Roman" w:cs="Times New Roman" w:eastAsia="Times New Roman" w:hint="default"/>
        </w:rPr>
        <w:t>40%</w:t>
      </w:r>
      <w:r>
        <w:rPr/>
        <w:t>的股权，本次发行股份购买邦道科技</w:t>
      </w:r>
      <w:r>
        <w:rPr>
          <w:rFonts w:ascii="Times New Roman" w:hAnsi="Times New Roman" w:cs="Times New Roman" w:eastAsia="Times New Roman" w:hint="default"/>
        </w:rPr>
        <w:t>50%</w:t>
      </w:r>
      <w:r>
        <w:rPr/>
        <w:t>的股权，收购后合计持有邦道科技</w:t>
      </w:r>
      <w:r>
        <w:rPr>
          <w:rFonts w:ascii="Times New Roman" w:hAnsi="Times New Roman" w:cs="Times New Roman" w:eastAsia="Times New Roman" w:hint="default"/>
        </w:rPr>
        <w:t>90%</w:t>
      </w:r>
      <w:r>
        <w:rPr/>
        <w:t>股权。考虑到</w:t>
      </w:r>
      <w:r>
        <w:rPr>
          <w:spacing w:val="-83"/>
        </w:rPr>
        <w:t> </w:t>
      </w:r>
      <w:r>
        <w:rPr>
          <w:spacing w:val="-3"/>
          <w:w w:val="99"/>
        </w:rPr>
        <w:t>本公司自</w:t>
      </w:r>
      <w:r>
        <w:rPr>
          <w:rFonts w:ascii="Times New Roman" w:hAnsi="Times New Roman" w:cs="Times New Roman" w:eastAsia="Times New Roman" w:hint="default"/>
          <w:spacing w:val="-3"/>
          <w:w w:val="99"/>
        </w:rPr>
        <w:t>2018</w:t>
      </w:r>
      <w:r>
        <w:rPr>
          <w:spacing w:val="-3"/>
          <w:w w:val="99"/>
        </w:rPr>
        <w:t>年</w:t>
      </w:r>
      <w:r>
        <w:rPr>
          <w:rFonts w:ascii="Times New Roman" w:hAnsi="Times New Roman" w:cs="Times New Roman" w:eastAsia="Times New Roman" w:hint="default"/>
          <w:spacing w:val="-3"/>
          <w:w w:val="99"/>
        </w:rPr>
        <w:t>10</w:t>
      </w:r>
      <w:r>
        <w:rPr>
          <w:spacing w:val="-3"/>
          <w:w w:val="99"/>
        </w:rPr>
        <w:t>月</w:t>
      </w:r>
      <w:r>
        <w:rPr>
          <w:rFonts w:ascii="Times New Roman" w:hAnsi="Times New Roman" w:cs="Times New Roman" w:eastAsia="Times New Roman" w:hint="default"/>
          <w:spacing w:val="-3"/>
          <w:w w:val="99"/>
        </w:rPr>
        <w:t>31</w:t>
      </w:r>
      <w:r>
        <w:rPr>
          <w:spacing w:val="-3"/>
          <w:w w:val="99"/>
        </w:rPr>
        <w:t>日董事会批准发行股份收购邦道科技至</w:t>
      </w:r>
      <w:r>
        <w:rPr>
          <w:rFonts w:ascii="Times New Roman" w:hAnsi="Times New Roman" w:cs="Times New Roman" w:eastAsia="Times New Roman" w:hint="default"/>
          <w:spacing w:val="-3"/>
          <w:w w:val="99"/>
        </w:rPr>
        <w:t>2019</w:t>
      </w:r>
      <w:r>
        <w:rPr>
          <w:spacing w:val="-3"/>
          <w:w w:val="99"/>
        </w:rPr>
        <w:t>年</w:t>
      </w:r>
      <w:r>
        <w:rPr>
          <w:rFonts w:ascii="Times New Roman" w:hAnsi="Times New Roman" w:cs="Times New Roman" w:eastAsia="Times New Roman" w:hint="default"/>
          <w:spacing w:val="-3"/>
          <w:w w:val="99"/>
        </w:rPr>
        <w:t>5</w:t>
      </w:r>
      <w:r>
        <w:rPr>
          <w:spacing w:val="-3"/>
          <w:w w:val="99"/>
        </w:rPr>
        <w:t>月</w:t>
      </w:r>
      <w:r>
        <w:rPr>
          <w:rFonts w:ascii="Times New Roman" w:hAnsi="Times New Roman" w:cs="Times New Roman" w:eastAsia="Times New Roman" w:hint="default"/>
          <w:spacing w:val="-3"/>
          <w:w w:val="99"/>
        </w:rPr>
        <w:t>31</w:t>
      </w:r>
      <w:r>
        <w:rPr>
          <w:spacing w:val="-3"/>
          <w:w w:val="99"/>
        </w:rPr>
        <w:t>日（以下简称“购买日”）完成对邦道科技的收购</w:t>
      </w:r>
      <w:r>
        <w:rPr>
          <w:spacing w:val="-82"/>
          <w:w w:val="99"/>
        </w:rPr>
        <w:t> </w:t>
      </w:r>
      <w:r>
        <w:rPr>
          <w:spacing w:val="-82"/>
          <w:w w:val="99"/>
        </w:rPr>
      </w:r>
      <w:r>
        <w:rPr>
          <w:spacing w:val="-2"/>
        </w:rPr>
        <w:t>之间时间间隔较长，本公司股票价格出现较大幅度波动，本公司以购买日邦道科技的公允价值为基础确定合并成本。根据北</w:t>
      </w:r>
    </w:p>
    <w:p>
      <w:pPr>
        <w:pStyle w:val="BodyText"/>
        <w:spacing w:line="319" w:lineRule="auto" w:before="42"/>
        <w:ind w:right="1126"/>
        <w:jc w:val="both"/>
      </w:pPr>
      <w:r>
        <w:rPr>
          <w:spacing w:val="-2"/>
        </w:rPr>
        <w:t>京卓信大华资产评估有限公司出具的《朗新科技股份有限公司为合并对价分摊涉及的邦道科技有限公司可辨认资产、负债公</w:t>
      </w:r>
      <w:r>
        <w:rPr>
          <w:spacing w:val="-72"/>
        </w:rPr>
        <w:t> </w:t>
      </w:r>
      <w:r>
        <w:rPr>
          <w:spacing w:val="-72"/>
        </w:rPr>
      </w:r>
      <w:r>
        <w:rPr>
          <w:spacing w:val="-2"/>
        </w:rPr>
        <w:t>允价值评估项目资产评估报告》中收益法评估结果，邦道科技于购买日的公允价值为</w:t>
      </w:r>
      <w:r>
        <w:rPr>
          <w:rFonts w:ascii="Times New Roman" w:hAnsi="Times New Roman" w:cs="Times New Roman" w:eastAsia="Times New Roman" w:hint="default"/>
          <w:spacing w:val="-2"/>
        </w:rPr>
        <w:t>1,600,000,000.00</w:t>
      </w:r>
      <w:r>
        <w:rPr>
          <w:spacing w:val="-2"/>
        </w:rPr>
        <w:t>元，本公司收购邦道科</w:t>
      </w:r>
      <w:r>
        <w:rPr>
          <w:spacing w:val="-47"/>
        </w:rPr>
        <w:t> </w:t>
      </w:r>
      <w:r>
        <w:rPr>
          <w:spacing w:val="-47"/>
        </w:rPr>
      </w:r>
      <w:r>
        <w:rPr>
          <w:spacing w:val="-4"/>
        </w:rPr>
        <w:t>技的合并成本为</w:t>
      </w:r>
      <w:r>
        <w:rPr>
          <w:rFonts w:ascii="Times New Roman" w:hAnsi="Times New Roman" w:cs="Times New Roman" w:eastAsia="Times New Roman" w:hint="default"/>
          <w:spacing w:val="-4"/>
        </w:rPr>
        <w:t>1,440,000,000.00</w:t>
      </w:r>
      <w:r>
        <w:rPr>
          <w:spacing w:val="-4"/>
        </w:rPr>
        <w:t>元。。</w:t>
      </w:r>
    </w:p>
    <w:p>
      <w:pPr>
        <w:spacing w:line="240" w:lineRule="auto" w:before="13"/>
        <w:rPr>
          <w:rFonts w:ascii="宋体" w:hAnsi="宋体" w:cs="宋体" w:eastAsia="宋体" w:hint="default"/>
          <w:sz w:val="22"/>
          <w:szCs w:val="22"/>
        </w:rPr>
      </w:pPr>
    </w:p>
    <w:p>
      <w:pPr>
        <w:pStyle w:val="BodyText"/>
        <w:spacing w:line="295" w:lineRule="auto"/>
        <w:ind w:right="1110"/>
        <w:jc w:val="both"/>
      </w:pPr>
      <w:r>
        <w:rPr>
          <w:rFonts w:ascii="Times New Roman" w:hAnsi="Times New Roman" w:cs="Times New Roman" w:eastAsia="Times New Roman" w:hint="default"/>
          <w:spacing w:val="-1"/>
        </w:rPr>
        <w:t>(2)</w:t>
      </w:r>
      <w:r>
        <w:rPr>
          <w:spacing w:val="-1"/>
        </w:rPr>
        <w:t>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31</w:t>
      </w:r>
      <w:r>
        <w:rPr>
          <w:spacing w:val="-1"/>
        </w:rPr>
        <w:t>日，本公司与数联领航及其原股东签订协议，以</w:t>
      </w:r>
      <w:r>
        <w:rPr>
          <w:rFonts w:ascii="Times New Roman" w:hAnsi="Times New Roman" w:cs="Times New Roman" w:eastAsia="Times New Roman" w:hint="default"/>
          <w:spacing w:val="-1"/>
        </w:rPr>
        <w:t>1400</w:t>
      </w:r>
      <w:r>
        <w:rPr>
          <w:spacing w:val="-1"/>
        </w:rPr>
        <w:t>万元增资以及账面</w:t>
      </w:r>
      <w:r>
        <w:rPr>
          <w:rFonts w:ascii="Times New Roman" w:hAnsi="Times New Roman" w:cs="Times New Roman" w:eastAsia="Times New Roman" w:hint="default"/>
          <w:spacing w:val="-1"/>
        </w:rPr>
        <w:t>500</w:t>
      </w:r>
      <w:r>
        <w:rPr>
          <w:spacing w:val="-1"/>
        </w:rPr>
        <w:t>万元对数联领航的可转债转股</w:t>
      </w:r>
      <w:r>
        <w:rPr>
          <w:spacing w:val="-55"/>
        </w:rPr>
        <w:t> </w:t>
      </w:r>
      <w:r>
        <w:rPr>
          <w:spacing w:val="-1"/>
        </w:rPr>
        <w:t>方式，连同原对数联领航</w:t>
      </w:r>
      <w:r>
        <w:rPr>
          <w:rFonts w:ascii="Times New Roman" w:hAnsi="Times New Roman" w:cs="Times New Roman" w:eastAsia="Times New Roman" w:hint="default"/>
          <w:spacing w:val="-1"/>
        </w:rPr>
        <w:t>20%</w:t>
      </w:r>
      <w:r>
        <w:rPr>
          <w:spacing w:val="-1"/>
        </w:rPr>
        <w:t>的股权投资，合计持有对数联领航</w:t>
      </w:r>
      <w:r>
        <w:rPr>
          <w:rFonts w:ascii="Times New Roman" w:hAnsi="Times New Roman" w:cs="Times New Roman" w:eastAsia="Times New Roman" w:hint="default"/>
          <w:spacing w:val="-1"/>
        </w:rPr>
        <w:t>51.11%</w:t>
      </w:r>
      <w:r>
        <w:rPr>
          <w:spacing w:val="-1"/>
        </w:rPr>
        <w:t>股权。本次交易的购买日为</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31</w:t>
      </w:r>
      <w:r>
        <w:rPr>
          <w:spacing w:val="-1"/>
        </w:rPr>
        <w:t>日，系本公</w:t>
      </w:r>
      <w:r>
        <w:rPr>
          <w:spacing w:val="-83"/>
        </w:rPr>
        <w:t> </w:t>
      </w:r>
      <w:r>
        <w:rPr>
          <w:spacing w:val="-83"/>
        </w:rPr>
      </w:r>
      <w:r>
        <w:rPr/>
        <w:t>司实际取得数联领航控制权的日期。</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350" w:lineRule="auto"/>
        <w:ind w:right="8589"/>
        <w:jc w:val="left"/>
      </w:pPr>
      <w:r>
        <w:rPr/>
        <w:t>大额商誉形成的主要原因： 其他说明：</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3）被购买方于购买日可辨认资产、负债" w:id="428"/>
      <w:bookmarkEnd w:id="428"/>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00"/>
        <w:gridCol w:w="1922"/>
        <w:gridCol w:w="1923"/>
        <w:gridCol w:w="1907"/>
        <w:gridCol w:w="1922"/>
      </w:tblGrid>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84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邦道科技</w:t>
            </w:r>
          </w:p>
        </w:tc>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数联领航</w:t>
            </w:r>
          </w:p>
        </w:tc>
      </w:tr>
      <w:tr>
        <w:trPr>
          <w:trHeight w:val="391"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3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3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15"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3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165,231,399.44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165,231,399.44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11,695,773.96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1,695,773.96</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261,794,168.65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261,794,168.65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18,333,678.43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14,333,678.43</w:t>
            </w: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4,676,191.07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4,676,191.07</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2,043,201.49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2,043,201.49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46,722.07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46,722.07</w:t>
            </w: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8,992,063.30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10,217,949.25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10,217,949.25</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517,616.15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517,616.15</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1,051,656.73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1,051,656.73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1,341,152.01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1,341,152.01</w:t>
            </w:r>
          </w:p>
        </w:tc>
      </w:tr>
    </w:tbl>
    <w:p>
      <w:pPr>
        <w:spacing w:after="0" w:line="240" w:lineRule="auto"/>
        <w:jc w:val="right"/>
        <w:rPr>
          <w:rFonts w:ascii="Times New Roman" w:hAnsi="Times New Roman" w:cs="Times New Roman" w:eastAsia="Times New Roman" w:hint="default"/>
          <w:sz w:val="18"/>
          <w:szCs w:val="18"/>
        </w:rPr>
        <w:sectPr>
          <w:footerReference w:type="default" r:id="rId26"/>
          <w:pgSz w:w="11910" w:h="16850"/>
          <w:pgMar w:footer="981" w:header="731" w:top="1040" w:bottom="1180" w:left="1000" w:right="0"/>
          <w:pgNumType w:start="201"/>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90,853,271.53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90,853,271.53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11,879,369.58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16,879,369.58</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1,271,150.77</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272,500.00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2,180,000.00</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362,127,323.78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352,498,911.25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19,537,956.89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537,956.89</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36,212,732.38</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9,552,107.12</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325,914,591.40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352,498,911.25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9,985,849.77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537,956.89</w:t>
            </w:r>
          </w:p>
        </w:tc>
      </w:tr>
    </w:tbl>
    <w:p>
      <w:pPr>
        <w:pStyle w:val="BodyText"/>
        <w:spacing w:line="240" w:lineRule="auto" w:before="44"/>
        <w:ind w:right="1105"/>
        <w:jc w:val="left"/>
      </w:pPr>
      <w:r>
        <w:rPr/>
        <w:t>可辨认资产、负债公允价值的确定方法：</w:t>
      </w:r>
    </w:p>
    <w:p>
      <w:pPr>
        <w:pStyle w:val="BodyText"/>
        <w:spacing w:line="288" w:lineRule="auto" w:before="140"/>
        <w:ind w:right="1105"/>
        <w:jc w:val="left"/>
      </w:pPr>
      <w:r>
        <w:rPr>
          <w:rFonts w:ascii="Times New Roman" w:hAnsi="Times New Roman" w:cs="Times New Roman" w:eastAsia="Times New Roman" w:hint="default"/>
        </w:rPr>
        <w:t>(1)</w:t>
      </w:r>
      <w:r>
        <w:rPr/>
        <w:t>邦道科技可辨认资产、负债公允价值系根据北京卓信大华资产评估有限公司出具的《朗新科技股份有限公司为合并对价</w:t>
      </w:r>
      <w:r>
        <w:rPr>
          <w:w w:val="99"/>
        </w:rPr>
        <w:t> </w:t>
      </w:r>
      <w:r>
        <w:rPr>
          <w:spacing w:val="-2"/>
        </w:rPr>
        <w:t>分摊涉及的邦道科技有限公司可辨认资产、负债公允价值估值项目估值报告》（卓信大华估报字（</w:t>
      </w:r>
      <w:r>
        <w:rPr>
          <w:rFonts w:ascii="Times New Roman" w:hAnsi="Times New Roman" w:cs="Times New Roman" w:eastAsia="Times New Roman" w:hint="default"/>
          <w:spacing w:val="-2"/>
        </w:rPr>
        <w:t>2018</w:t>
      </w:r>
      <w:r>
        <w:rPr>
          <w:spacing w:val="-2"/>
        </w:rPr>
        <w:t>）第</w:t>
      </w:r>
      <w:r>
        <w:rPr>
          <w:rFonts w:ascii="Times New Roman" w:hAnsi="Times New Roman" w:cs="Times New Roman" w:eastAsia="Times New Roman" w:hint="default"/>
          <w:spacing w:val="-2"/>
        </w:rPr>
        <w:t>2023</w:t>
      </w:r>
      <w:r>
        <w:rPr>
          <w:spacing w:val="-2"/>
        </w:rPr>
        <w:t>号）成本法</w:t>
      </w:r>
      <w:r>
        <w:rPr>
          <w:spacing w:val="-57"/>
        </w:rPr>
        <w:t> </w:t>
      </w:r>
      <w:r>
        <w:rPr>
          <w:spacing w:val="-57"/>
        </w:rPr>
      </w:r>
      <w:r>
        <w:rPr/>
        <w:t>进行估值。</w:t>
      </w:r>
    </w:p>
    <w:p>
      <w:pPr>
        <w:pStyle w:val="BodyText"/>
        <w:spacing w:line="302" w:lineRule="auto" w:before="59"/>
        <w:ind w:right="1105"/>
        <w:jc w:val="left"/>
      </w:pPr>
      <w:r>
        <w:rPr>
          <w:rFonts w:ascii="Times New Roman" w:hAnsi="Times New Roman" w:cs="Times New Roman" w:eastAsia="Times New Roman" w:hint="default"/>
        </w:rPr>
        <w:t>(2)</w:t>
      </w:r>
      <w:r>
        <w:rPr/>
        <w:t>数联领航可辨认资产、负债公允价值系根据北京卓信大华资产评估有限公司出具的《易视腾科技股份有限公司拟核实北</w:t>
      </w:r>
      <w:r>
        <w:rPr>
          <w:spacing w:val="-29"/>
        </w:rPr>
        <w:t> </w:t>
      </w:r>
      <w:r>
        <w:rPr>
          <w:spacing w:val="-29"/>
        </w:rPr>
      </w:r>
      <w:r>
        <w:rPr/>
        <w:t>京数联领航网络有限公司股权价值估值项目估值报告》（卓信大华估报字</w:t>
      </w:r>
      <w:r>
        <w:rPr>
          <w:rFonts w:ascii="Times New Roman" w:hAnsi="Times New Roman" w:cs="Times New Roman" w:eastAsia="Times New Roman" w:hint="default"/>
        </w:rPr>
        <w:t>(2020)</w:t>
      </w:r>
      <w:r>
        <w:rPr/>
        <w:t>第</w:t>
      </w:r>
      <w:r>
        <w:rPr>
          <w:rFonts w:ascii="Times New Roman" w:hAnsi="Times New Roman" w:cs="Times New Roman" w:eastAsia="Times New Roman" w:hint="default"/>
        </w:rPr>
        <w:t>2002</w:t>
      </w:r>
      <w:r>
        <w:rPr/>
        <w:t>号）收益法进行估值。</w:t>
      </w:r>
    </w:p>
    <w:p>
      <w:pPr>
        <w:spacing w:line="240" w:lineRule="auto" w:before="4"/>
        <w:rPr>
          <w:rFonts w:ascii="宋体" w:hAnsi="宋体" w:cs="宋体" w:eastAsia="宋体" w:hint="default"/>
          <w:sz w:val="26"/>
          <w:szCs w:val="26"/>
        </w:rPr>
      </w:pPr>
    </w:p>
    <w:p>
      <w:pPr>
        <w:pStyle w:val="BodyText"/>
        <w:spacing w:line="367" w:lineRule="auto"/>
        <w:ind w:right="7509"/>
        <w:jc w:val="left"/>
      </w:pPr>
      <w:r>
        <w:rPr/>
        <w:t>企业合并中承担的被购买方的或有负债： 其他说明：</w:t>
      </w:r>
    </w:p>
    <w:p>
      <w:pPr>
        <w:spacing w:line="240" w:lineRule="auto" w:before="5"/>
        <w:rPr>
          <w:rFonts w:ascii="宋体" w:hAnsi="宋体" w:cs="宋体" w:eastAsia="宋体" w:hint="default"/>
          <w:sz w:val="21"/>
          <w:szCs w:val="21"/>
        </w:rPr>
      </w:pPr>
    </w:p>
    <w:p>
      <w:pPr>
        <w:pStyle w:val="Heading3"/>
        <w:spacing w:line="240" w:lineRule="auto"/>
        <w:ind w:right="1105"/>
        <w:jc w:val="left"/>
        <w:rPr>
          <w:b w:val="0"/>
          <w:bCs w:val="0"/>
        </w:rPr>
      </w:pPr>
      <w:bookmarkStart w:name="（4）购买日之前持有的股权按照公允价值重新计量产生的利得或损失" w:id="429"/>
      <w:bookmarkEnd w:id="429"/>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1105"/>
        <w:jc w:val="left"/>
      </w:pPr>
      <w:r>
        <w:rPr/>
        <w:t>是否存在通过多次交易分步实现企业合并且在报告期内取得控制权的交易</w:t>
      </w:r>
    </w:p>
    <w:p>
      <w:pPr>
        <w:pStyle w:val="BodyText"/>
        <w:spacing w:line="240" w:lineRule="auto" w:before="140"/>
        <w:ind w:right="110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81"/>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592"/>
        <w:gridCol w:w="1607"/>
        <w:gridCol w:w="1592"/>
        <w:gridCol w:w="1592"/>
        <w:gridCol w:w="1607"/>
      </w:tblGrid>
      <w:tr>
        <w:trPr>
          <w:trHeight w:val="133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75" w:right="61"/>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股权在购买日的账 面价值</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74" w:right="75"/>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29"/>
              <w:ind w:left="60" w:right="76"/>
              <w:jc w:val="center"/>
              <w:rPr>
                <w:rFonts w:ascii="宋体" w:hAnsi="宋体" w:cs="宋体" w:eastAsia="宋体" w:hint="default"/>
                <w:sz w:val="18"/>
                <w:szCs w:val="18"/>
              </w:rPr>
            </w:pPr>
            <w:r>
              <w:rPr>
                <w:rFonts w:ascii="宋体" w:hAnsi="宋体" w:cs="宋体" w:eastAsia="宋体" w:hint="default"/>
                <w:sz w:val="18"/>
                <w:szCs w:val="18"/>
              </w:rPr>
              <w:t>购买日之前原持有 股权按照公允价值 重新计量产生的利 得或损失</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29"/>
              <w:ind w:left="60" w:right="76"/>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允价值的确定方法 及主要假设</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29"/>
              <w:ind w:left="74" w:right="74"/>
              <w:jc w:val="center"/>
              <w:rPr>
                <w:rFonts w:ascii="宋体" w:hAnsi="宋体" w:cs="宋体" w:eastAsia="宋体" w:hint="default"/>
                <w:sz w:val="18"/>
                <w:szCs w:val="18"/>
              </w:rPr>
            </w:pPr>
            <w:r>
              <w:rPr>
                <w:rFonts w:ascii="宋体" w:hAnsi="宋体" w:cs="宋体" w:eastAsia="宋体" w:hint="default"/>
                <w:sz w:val="18"/>
                <w:szCs w:val="18"/>
              </w:rPr>
              <w:t>购买日之前与原持 有股权相关的其他 综合收益转入投资 收益的金额</w:t>
            </w:r>
          </w:p>
        </w:tc>
      </w:tr>
      <w:tr>
        <w:trPr>
          <w:trHeight w:val="2582"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邦道科技</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140,999,564.50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640,000,000.00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499,000,435.50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9"/>
              <w:ind w:left="15" w:right="15"/>
              <w:jc w:val="left"/>
              <w:rPr>
                <w:rFonts w:ascii="宋体" w:hAnsi="宋体" w:cs="宋体" w:eastAsia="宋体" w:hint="default"/>
                <w:sz w:val="18"/>
                <w:szCs w:val="18"/>
              </w:rPr>
            </w:pPr>
            <w:r>
              <w:rPr>
                <w:rFonts w:ascii="宋体" w:hAnsi="宋体" w:cs="宋体" w:eastAsia="宋体" w:hint="default"/>
                <w:sz w:val="18"/>
                <w:szCs w:val="18"/>
              </w:rPr>
              <w:t>对于购买日之前持 有的被购买方的股 </w:t>
            </w:r>
            <w:r>
              <w:rPr>
                <w:rFonts w:ascii="宋体" w:hAnsi="宋体" w:cs="宋体" w:eastAsia="宋体" w:hint="default"/>
                <w:spacing w:val="-9"/>
                <w:sz w:val="18"/>
                <w:szCs w:val="18"/>
              </w:rPr>
              <w:t>权，应当按照该股权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在购买日的公允价 </w:t>
            </w:r>
            <w:r>
              <w:rPr>
                <w:rFonts w:ascii="宋体" w:hAnsi="宋体" w:cs="宋体" w:eastAsia="宋体" w:hint="default"/>
                <w:spacing w:val="-9"/>
                <w:sz w:val="18"/>
                <w:szCs w:val="18"/>
              </w:rPr>
              <w:t>值进行重新计量，公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允价值与其账面价 值之间的差额计入 当期投资收益</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2583"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数联领航</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5,416,581.66</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6,301,920.00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885,338.34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15"/>
              <w:jc w:val="left"/>
              <w:rPr>
                <w:rFonts w:ascii="宋体" w:hAnsi="宋体" w:cs="宋体" w:eastAsia="宋体" w:hint="default"/>
                <w:sz w:val="18"/>
                <w:szCs w:val="18"/>
              </w:rPr>
            </w:pPr>
            <w:r>
              <w:rPr>
                <w:rFonts w:ascii="宋体" w:hAnsi="宋体" w:cs="宋体" w:eastAsia="宋体" w:hint="default"/>
                <w:sz w:val="18"/>
                <w:szCs w:val="18"/>
              </w:rPr>
              <w:t>对于购买日之前持 有的被购买方的股 </w:t>
            </w:r>
            <w:r>
              <w:rPr>
                <w:rFonts w:ascii="宋体" w:hAnsi="宋体" w:cs="宋体" w:eastAsia="宋体" w:hint="default"/>
                <w:spacing w:val="-9"/>
                <w:sz w:val="18"/>
                <w:szCs w:val="18"/>
              </w:rPr>
              <w:t>权，应当按照该股权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在购买日的公允价</w:t>
            </w:r>
            <w:r>
              <w:rPr>
                <w:rFonts w:ascii="宋体" w:hAnsi="宋体" w:cs="宋体" w:eastAsia="宋体" w:hint="default"/>
                <w:sz w:val="18"/>
                <w:szCs w:val="18"/>
              </w:rPr>
              <w:t> </w:t>
            </w:r>
            <w:r>
              <w:rPr>
                <w:rFonts w:ascii="宋体" w:hAnsi="宋体" w:cs="宋体" w:eastAsia="宋体" w:hint="default"/>
                <w:spacing w:val="-9"/>
                <w:sz w:val="18"/>
                <w:szCs w:val="18"/>
              </w:rPr>
              <w:t>值进行重新计量，公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允价值与其账面价 值之间的差额计入 当期投资收益</w:t>
            </w:r>
          </w:p>
        </w:tc>
        <w:tc>
          <w:tcPr>
            <w:tcW w:w="160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5）购买日或合并当期期末无法合理确定合并对价或被购买方可辨认资产、负债公允价值" w:id="430"/>
      <w:bookmarkEnd w:id="430"/>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1"/>
        <w:rPr>
          <w:rFonts w:ascii="宋体" w:hAnsi="宋体" w:cs="宋体" w:eastAsia="宋体" w:hint="default"/>
          <w:b/>
          <w:bCs/>
          <w:sz w:val="24"/>
          <w:szCs w:val="24"/>
        </w:rPr>
      </w:pPr>
    </w:p>
    <w:p>
      <w:pPr>
        <w:pStyle w:val="Heading3"/>
        <w:spacing w:line="508" w:lineRule="auto"/>
        <w:ind w:right="8535"/>
        <w:jc w:val="left"/>
        <w:rPr>
          <w:b w:val="0"/>
          <w:bCs w:val="0"/>
        </w:rPr>
      </w:pPr>
      <w:bookmarkStart w:name="（6）其他说明" w:id="431"/>
      <w:bookmarkEnd w:id="431"/>
      <w:r>
        <w:rPr>
          <w:b w:val="0"/>
          <w:bCs w:val="0"/>
        </w:rPr>
      </w:r>
      <w:r>
        <w:rPr/>
        <w:t>（</w:t>
      </w:r>
      <w:r>
        <w:rPr>
          <w:rFonts w:ascii="Times New Roman" w:hAnsi="Times New Roman" w:cs="Times New Roman" w:eastAsia="Times New Roman" w:hint="default"/>
        </w:rPr>
        <w:t>6</w:t>
      </w:r>
      <w:r>
        <w:rPr/>
        <w:t>）其他说明</w:t>
      </w:r>
      <w:r>
        <w:rPr>
          <w:w w:val="99"/>
        </w:rPr>
        <w:t> </w:t>
      </w:r>
      <w:bookmarkStart w:name="2、同一控制下企业合并" w:id="432"/>
      <w:bookmarkEnd w:id="432"/>
      <w:r>
        <w:rPr>
          <w:w w:val="99"/>
        </w:rPr>
      </w:r>
      <w:r>
        <w:rPr>
          <w:rFonts w:ascii="Times New Roman" w:hAnsi="Times New Roman" w:cs="Times New Roman" w:eastAsia="Times New Roman" w:hint="default"/>
        </w:rPr>
        <w:t>2</w:t>
      </w:r>
      <w:r>
        <w:rPr/>
        <w:t>、同一控制下企业合并</w:t>
      </w:r>
      <w:r>
        <w:rPr>
          <w:b w:val="0"/>
          <w:bCs w:val="0"/>
        </w:rPr>
      </w:r>
    </w:p>
    <w:p>
      <w:pPr>
        <w:pStyle w:val="Heading3"/>
        <w:spacing w:line="240" w:lineRule="auto" w:before="49"/>
        <w:ind w:right="1105"/>
        <w:jc w:val="left"/>
        <w:rPr>
          <w:b w:val="0"/>
          <w:bCs w:val="0"/>
        </w:rPr>
      </w:pPr>
      <w:bookmarkStart w:name="（1）本期发生的同一控制下企业合并" w:id="433"/>
      <w:bookmarkEnd w:id="433"/>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66"/>
        <w:gridCol w:w="1051"/>
        <w:gridCol w:w="1067"/>
        <w:gridCol w:w="1066"/>
        <w:gridCol w:w="1066"/>
        <w:gridCol w:w="1067"/>
        <w:gridCol w:w="1066"/>
        <w:gridCol w:w="1067"/>
        <w:gridCol w:w="1066"/>
      </w:tblGrid>
      <w:tr>
        <w:trPr>
          <w:trHeight w:val="133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420" w:right="88"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75"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5"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5" w:right="73"/>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75"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89"/>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r>
        <w:trPr>
          <w:trHeight w:val="705"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易视腾科技</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96.00%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19"/>
              <w:jc w:val="left"/>
              <w:rPr>
                <w:rFonts w:ascii="宋体" w:hAnsi="宋体" w:cs="宋体" w:eastAsia="宋体" w:hint="default"/>
                <w:sz w:val="18"/>
                <w:szCs w:val="18"/>
              </w:rPr>
            </w:pPr>
            <w:r>
              <w:rPr>
                <w:rFonts w:ascii="宋体" w:hAnsi="宋体" w:cs="宋体" w:eastAsia="宋体" w:hint="default"/>
                <w:sz w:val="18"/>
                <w:szCs w:val="18"/>
              </w:rPr>
              <w:t>同受实际控 制人控制</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51"/>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20"/>
              <w:jc w:val="left"/>
              <w:rPr>
                <w:rFonts w:ascii="宋体" w:hAnsi="宋体" w:cs="宋体" w:eastAsia="宋体" w:hint="default"/>
                <w:sz w:val="18"/>
                <w:szCs w:val="18"/>
              </w:rPr>
            </w:pPr>
            <w:r>
              <w:rPr>
                <w:rFonts w:ascii="宋体" w:hAnsi="宋体" w:cs="宋体" w:eastAsia="宋体" w:hint="default"/>
                <w:sz w:val="18"/>
                <w:szCs w:val="18"/>
              </w:rPr>
              <w:t>控制经营决 策</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538,081,736.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109,579,163.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43</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1,656,204,53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5.39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187,791,806.</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09</w:t>
            </w:r>
          </w:p>
        </w:tc>
      </w:tr>
    </w:tbl>
    <w:p>
      <w:pPr>
        <w:pStyle w:val="BodyText"/>
        <w:spacing w:line="240" w:lineRule="auto" w:before="45"/>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2）合并成本" w:id="434"/>
      <w:bookmarkEnd w:id="434"/>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784"/>
        <w:gridCol w:w="4791"/>
      </w:tblGrid>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6"/>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发行的权益性证券的面值</w:t>
            </w:r>
          </w:p>
        </w:tc>
        <w:tc>
          <w:tcPr>
            <w:tcW w:w="47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195,301,577.00</w:t>
            </w:r>
          </w:p>
        </w:tc>
      </w:tr>
    </w:tbl>
    <w:p>
      <w:pPr>
        <w:pStyle w:val="BodyText"/>
        <w:spacing w:line="352" w:lineRule="auto" w:before="45"/>
        <w:ind w:right="8589"/>
        <w:jc w:val="left"/>
      </w:pPr>
      <w:r>
        <w:rPr/>
        <w:t>或有对价及其变动的说明： 其他说明：</w:t>
      </w:r>
    </w:p>
    <w:p>
      <w:pPr>
        <w:spacing w:line="240" w:lineRule="auto" w:before="4"/>
        <w:rPr>
          <w:rFonts w:ascii="宋体" w:hAnsi="宋体" w:cs="宋体" w:eastAsia="宋体" w:hint="default"/>
          <w:sz w:val="23"/>
          <w:szCs w:val="23"/>
        </w:rPr>
      </w:pPr>
    </w:p>
    <w:p>
      <w:pPr>
        <w:pStyle w:val="Heading3"/>
        <w:spacing w:line="240" w:lineRule="auto"/>
        <w:ind w:right="1105"/>
        <w:jc w:val="left"/>
        <w:rPr>
          <w:b w:val="0"/>
          <w:bCs w:val="0"/>
        </w:rPr>
      </w:pPr>
      <w:bookmarkStart w:name="（3）合并日被合并方资产、负债的账面价值" w:id="435"/>
      <w:bookmarkEnd w:id="435"/>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39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易视腾科技</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合并日</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上期期末</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706,319,362.75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444,122,073.94</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403,037,244.90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659,033,935.90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281,560,264.38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298,954,141.16</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19,498,754.78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19,756,634.09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127,878.97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172,407.77</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80,364,712.33</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117,035,418.07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366,115,379.71</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41,167,977.50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43,953,911.91</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144,423,488.33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186,320,585.10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150,401,648.00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327,401,648.00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151,275,570.22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318,643,847.50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其他负债</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52,682,477.87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48,787,331.58</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1,439,175,405.92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1,323,596,242.50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63,327,016.24</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1,375,848,389.68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1,323,596,242.50</w:t>
            </w:r>
          </w:p>
        </w:tc>
      </w:tr>
    </w:tbl>
    <w:p>
      <w:pPr>
        <w:pStyle w:val="BodyText"/>
        <w:spacing w:line="352" w:lineRule="auto" w:before="44"/>
        <w:ind w:right="7509"/>
        <w:jc w:val="left"/>
      </w:pPr>
      <w:r>
        <w:rPr/>
        <w:t>企业合并中承担的被合并方的或有负债： 其他说明：</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bookmarkStart w:name="3、反向购买" w:id="436"/>
      <w:bookmarkEnd w:id="436"/>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1"/>
        <w:rPr>
          <w:rFonts w:ascii="宋体" w:hAnsi="宋体" w:cs="宋体" w:eastAsia="宋体" w:hint="default"/>
          <w:b/>
          <w:bCs/>
          <w:sz w:val="24"/>
          <w:szCs w:val="24"/>
        </w:rPr>
      </w:pPr>
    </w:p>
    <w:p>
      <w:pPr>
        <w:pStyle w:val="BodyText"/>
        <w:spacing w:line="321" w:lineRule="auto"/>
        <w:ind w:right="1105"/>
        <w:jc w:val="left"/>
      </w:pPr>
      <w:r>
        <w:rPr>
          <w:spacing w:val="-2"/>
        </w:rPr>
        <w:t>交易基本信息、交易构成反向购买的依据、上市公司保留的资产、负债是否构成业务及其依据、合并成本的确定、按照权益</w:t>
      </w:r>
      <w:r>
        <w:rPr>
          <w:spacing w:val="-57"/>
        </w:rPr>
        <w:t> </w:t>
      </w:r>
      <w:r>
        <w:rPr>
          <w:spacing w:val="-57"/>
        </w:rPr>
      </w:r>
      <w:r>
        <w:rPr/>
        <w:t>性交易处理时调整权益的金额及其计算：</w:t>
      </w:r>
    </w:p>
    <w:p>
      <w:pPr>
        <w:spacing w:line="240" w:lineRule="auto" w:before="13"/>
        <w:rPr>
          <w:rFonts w:ascii="宋体" w:hAnsi="宋体" w:cs="宋体" w:eastAsia="宋体" w:hint="default"/>
          <w:sz w:val="23"/>
          <w:szCs w:val="23"/>
        </w:rPr>
      </w:pPr>
    </w:p>
    <w:p>
      <w:pPr>
        <w:pStyle w:val="Heading3"/>
        <w:spacing w:line="240" w:lineRule="auto"/>
        <w:ind w:right="0"/>
        <w:jc w:val="both"/>
        <w:rPr>
          <w:b w:val="0"/>
          <w:bCs w:val="0"/>
        </w:rPr>
      </w:pPr>
      <w:bookmarkStart w:name="4、处置子公司" w:id="437"/>
      <w:bookmarkEnd w:id="437"/>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both"/>
      </w:pPr>
      <w:r>
        <w:rPr/>
        <w:t>是否存在单次处置对子公司投资即丧失控制权的情形</w:t>
      </w:r>
    </w:p>
    <w:p>
      <w:pPr>
        <w:pStyle w:val="BodyText"/>
        <w:spacing w:line="333" w:lineRule="auto" w:before="125"/>
        <w:ind w:right="49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是否存在通过多次交易分步处置对子公司投资且在本期丧失控制权的情形</w:t>
      </w:r>
    </w:p>
    <w:p>
      <w:pPr>
        <w:pStyle w:val="BodyText"/>
        <w:spacing w:line="240" w:lineRule="auto" w:before="54"/>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6"/>
        <w:rPr>
          <w:rFonts w:ascii="宋体" w:hAnsi="宋体" w:cs="宋体" w:eastAsia="宋体" w:hint="default"/>
          <w:sz w:val="26"/>
          <w:szCs w:val="26"/>
        </w:rPr>
      </w:pPr>
    </w:p>
    <w:p>
      <w:pPr>
        <w:pStyle w:val="Heading3"/>
        <w:spacing w:line="240" w:lineRule="auto"/>
        <w:ind w:right="0"/>
        <w:jc w:val="both"/>
        <w:rPr>
          <w:b w:val="0"/>
          <w:bCs w:val="0"/>
        </w:rPr>
      </w:pPr>
      <w:bookmarkStart w:name="5、其他原因的合并范围变动" w:id="438"/>
      <w:bookmarkEnd w:id="438"/>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both"/>
      </w:pPr>
      <w:r>
        <w:rPr/>
        <w:t>说明其他原因导致的合并范围变动（如，新设子公司、清算子公司等）及其相关情况：</w:t>
      </w:r>
    </w:p>
    <w:p>
      <w:pPr>
        <w:pStyle w:val="BodyText"/>
        <w:spacing w:line="240" w:lineRule="auto" w:before="125"/>
        <w:ind w:right="0"/>
        <w:jc w:val="both"/>
      </w:pPr>
      <w:r>
        <w:rPr>
          <w:rFonts w:ascii="Times New Roman" w:hAnsi="Times New Roman" w:cs="Times New Roman" w:eastAsia="Times New Roman" w:hint="default"/>
        </w:rPr>
        <w:t>(a)</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日，朗新科技与清大创新（厦门）投资管理有限公司分别以</w:t>
      </w:r>
      <w:r>
        <w:rPr>
          <w:rFonts w:ascii="Times New Roman" w:hAnsi="Times New Roman" w:cs="Times New Roman" w:eastAsia="Times New Roman" w:hint="default"/>
        </w:rPr>
        <w:t>81%</w:t>
      </w:r>
      <w:r>
        <w:rPr/>
        <w:t>及</w:t>
      </w:r>
      <w:r>
        <w:rPr>
          <w:rFonts w:ascii="Times New Roman" w:hAnsi="Times New Roman" w:cs="Times New Roman" w:eastAsia="Times New Roman" w:hint="default"/>
        </w:rPr>
        <w:t>19%</w:t>
      </w:r>
      <w:r>
        <w:rPr/>
        <w:t>的持股比例共同发起设立清大朗新</w:t>
      </w:r>
    </w:p>
    <w:p>
      <w:pPr>
        <w:pStyle w:val="BodyText"/>
        <w:spacing w:line="288" w:lineRule="auto" w:before="66"/>
        <w:ind w:right="1105"/>
        <w:jc w:val="left"/>
      </w:pPr>
      <w:r>
        <w:rPr/>
        <w:t>（厦门）科技有限公司（以下简称</w:t>
      </w:r>
      <w:r>
        <w:rPr>
          <w:rFonts w:ascii="Times New Roman" w:hAnsi="Times New Roman" w:cs="Times New Roman" w:eastAsia="Times New Roman" w:hint="default"/>
        </w:rPr>
        <w:t>“</w:t>
      </w:r>
      <w:r>
        <w:rPr/>
        <w:t>清大朗新</w:t>
      </w:r>
      <w:r>
        <w:rPr>
          <w:rFonts w:ascii="Times New Roman" w:hAnsi="Times New Roman" w:cs="Times New Roman" w:eastAsia="Times New Roman" w:hint="default"/>
        </w:rPr>
        <w:t>”</w:t>
      </w:r>
      <w:r>
        <w:rPr/>
        <w:t>），清大朗新注册资本</w:t>
      </w:r>
      <w:r>
        <w:rPr>
          <w:rFonts w:ascii="Times New Roman" w:hAnsi="Times New Roman" w:cs="Times New Roman" w:eastAsia="Times New Roman" w:hint="default"/>
        </w:rPr>
        <w:t>1,000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日已实缴出资</w:t>
      </w:r>
      <w:r>
        <w:rPr>
          <w:rFonts w:ascii="Times New Roman" w:hAnsi="Times New Roman" w:cs="Times New Roman" w:eastAsia="Times New Roman" w:hint="default"/>
        </w:rPr>
        <w:t>50</w:t>
      </w:r>
      <w:r>
        <w:rPr/>
        <w:t>万元，</w:t>
      </w:r>
      <w:r>
        <w:rPr>
          <w:spacing w:val="-22"/>
        </w:rPr>
        <w:t> </w:t>
      </w:r>
      <w:r>
        <w:rPr/>
        <w:t>为受朗新科技控制的子公司，纳入合并范围。</w:t>
      </w:r>
    </w:p>
    <w:p>
      <w:pPr>
        <w:spacing w:line="240" w:lineRule="auto" w:before="0"/>
        <w:rPr>
          <w:rFonts w:ascii="宋体" w:hAnsi="宋体" w:cs="宋体" w:eastAsia="宋体" w:hint="default"/>
          <w:sz w:val="18"/>
          <w:szCs w:val="18"/>
        </w:rPr>
      </w:pPr>
    </w:p>
    <w:p>
      <w:pPr>
        <w:pStyle w:val="BodyText"/>
        <w:spacing w:line="290" w:lineRule="auto" w:before="123"/>
        <w:ind w:right="1105"/>
        <w:jc w:val="left"/>
      </w:pPr>
      <w:r>
        <w:rPr>
          <w:rFonts w:ascii="Times New Roman" w:hAnsi="Times New Roman" w:cs="Times New Roman" w:eastAsia="Times New Roman" w:hint="default"/>
        </w:rPr>
        <w:t>(b)</w:t>
      </w:r>
      <w:r>
        <w:rPr/>
        <w:t>易视腾科技子公司易视腾投资管理于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月出资</w:t>
      </w:r>
      <w:r>
        <w:rPr>
          <w:rFonts w:ascii="Times New Roman" w:hAnsi="Times New Roman" w:cs="Times New Roman" w:eastAsia="Times New Roman" w:hint="default"/>
        </w:rPr>
        <w:t>20,000,000.00</w:t>
      </w:r>
      <w:r>
        <w:rPr/>
        <w:t>元设立无锡派瑞新媒体，作为有限合伙人，占股</w:t>
      </w:r>
      <w:r>
        <w:rPr>
          <w:rFonts w:ascii="Times New Roman" w:hAnsi="Times New Roman" w:cs="Times New Roman" w:eastAsia="Times New Roman" w:hint="default"/>
        </w:rPr>
        <w:t>99%</w:t>
      </w:r>
      <w:r>
        <w:rPr/>
        <w:t>，</w:t>
      </w:r>
      <w:r>
        <w:rPr>
          <w:spacing w:val="-38"/>
        </w:rPr>
        <w:t> </w:t>
      </w:r>
      <w:r>
        <w:rPr/>
        <w:t>由于普通合伙人尚未完成出资，易视腾投资管理能够对无锡派瑞新媒体投资实施控制，故纳入合并范围。</w:t>
      </w:r>
    </w:p>
    <w:p>
      <w:pPr>
        <w:spacing w:line="240" w:lineRule="auto" w:before="0"/>
        <w:rPr>
          <w:rFonts w:ascii="宋体" w:hAnsi="宋体" w:cs="宋体" w:eastAsia="宋体" w:hint="default"/>
          <w:sz w:val="18"/>
          <w:szCs w:val="18"/>
        </w:rPr>
      </w:pPr>
    </w:p>
    <w:p>
      <w:pPr>
        <w:pStyle w:val="BodyText"/>
        <w:spacing w:line="295" w:lineRule="auto" w:before="136"/>
        <w:ind w:right="1095"/>
        <w:jc w:val="both"/>
      </w:pPr>
      <w:r>
        <w:rPr>
          <w:rFonts w:ascii="Times New Roman" w:hAnsi="Times New Roman" w:cs="Times New Roman" w:eastAsia="Times New Roman" w:hint="default"/>
        </w:rPr>
        <w:t>(c)</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日，朗新科技与无锡智丰投资合伙企业（有限合伙）（以下简称</w:t>
      </w:r>
      <w:r>
        <w:rPr>
          <w:rFonts w:ascii="Times New Roman" w:hAnsi="Times New Roman" w:cs="Times New Roman" w:eastAsia="Times New Roman" w:hint="default"/>
        </w:rPr>
        <w:t>“</w:t>
      </w:r>
      <w:r>
        <w:rPr/>
        <w:t>无锡智丰</w:t>
      </w:r>
      <w:r>
        <w:rPr>
          <w:rFonts w:ascii="Times New Roman" w:hAnsi="Times New Roman" w:cs="Times New Roman" w:eastAsia="Times New Roman" w:hint="default"/>
        </w:rPr>
        <w:t>”</w:t>
      </w:r>
      <w:r>
        <w:rPr/>
        <w:t>）、无锡涵丰企业管理合伙企</w:t>
      </w:r>
      <w:r>
        <w:rPr>
          <w:spacing w:val="-86"/>
        </w:rPr>
        <w:t> </w:t>
      </w:r>
      <w:r>
        <w:rPr/>
        <w:t>业（有限合伙）及无锡智聚企业管理合伙企业（有限合伙）分别以</w:t>
      </w:r>
      <w:r>
        <w:rPr>
          <w:rFonts w:ascii="Times New Roman" w:hAnsi="Times New Roman" w:cs="Times New Roman" w:eastAsia="Times New Roman" w:hint="default"/>
        </w:rPr>
        <w:t>51%</w:t>
      </w:r>
      <w:r>
        <w:rPr/>
        <w:t>、</w:t>
      </w:r>
      <w:r>
        <w:rPr>
          <w:rFonts w:ascii="Times New Roman" w:hAnsi="Times New Roman" w:cs="Times New Roman" w:eastAsia="Times New Roman" w:hint="default"/>
        </w:rPr>
        <w:t>14%</w:t>
      </w:r>
      <w:r>
        <w:rPr/>
        <w:t>、</w:t>
      </w:r>
      <w:r>
        <w:rPr>
          <w:rFonts w:ascii="Times New Roman" w:hAnsi="Times New Roman" w:cs="Times New Roman" w:eastAsia="Times New Roman" w:hint="default"/>
        </w:rPr>
        <w:t>21%</w:t>
      </w:r>
      <w:r>
        <w:rPr/>
        <w:t>及</w:t>
      </w:r>
      <w:r>
        <w:rPr>
          <w:rFonts w:ascii="Times New Roman" w:hAnsi="Times New Roman" w:cs="Times New Roman" w:eastAsia="Times New Roman" w:hint="default"/>
        </w:rPr>
        <w:t>14%</w:t>
      </w:r>
      <w:r>
        <w:rPr/>
        <w:t>的持股比例共同发起设立涵谷科</w:t>
      </w:r>
      <w:r>
        <w:rPr>
          <w:spacing w:val="-57"/>
        </w:rPr>
        <w:t> </w:t>
      </w:r>
      <w:r>
        <w:rPr>
          <w:spacing w:val="-57"/>
        </w:rPr>
      </w:r>
      <w:r>
        <w:rPr/>
        <w:t>技有限公司（以下简称</w:t>
      </w:r>
      <w:r>
        <w:rPr>
          <w:rFonts w:ascii="Times New Roman" w:hAnsi="Times New Roman" w:cs="Times New Roman" w:eastAsia="Times New Roman" w:hint="default"/>
        </w:rPr>
        <w:t>“</w:t>
      </w:r>
      <w:r>
        <w:rPr/>
        <w:t>涵谷科技</w:t>
      </w:r>
      <w:r>
        <w:rPr>
          <w:rFonts w:ascii="Times New Roman" w:hAnsi="Times New Roman" w:cs="Times New Roman" w:eastAsia="Times New Roman" w:hint="default"/>
        </w:rPr>
        <w:t>”</w:t>
      </w:r>
      <w:r>
        <w:rPr/>
        <w:t>），涵谷科技注册资本</w:t>
      </w:r>
      <w:r>
        <w:rPr>
          <w:rFonts w:ascii="Times New Roman" w:hAnsi="Times New Roman" w:cs="Times New Roman" w:eastAsia="Times New Roman" w:hint="default"/>
        </w:rPr>
        <w:t>5,000</w:t>
      </w:r>
      <w:r>
        <w:rPr/>
        <w:t>万元，截至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日已实缴出资</w:t>
      </w:r>
      <w:r>
        <w:rPr>
          <w:rFonts w:ascii="宋体" w:hAnsi="宋体" w:cs="宋体" w:eastAsia="宋体" w:hint="default"/>
        </w:rPr>
        <w:t>255</w:t>
      </w:r>
      <w:r>
        <w:rPr/>
        <w:t>万元，为受朗新科</w:t>
      </w:r>
      <w:r>
        <w:rPr>
          <w:spacing w:val="-80"/>
        </w:rPr>
        <w:t> </w:t>
      </w:r>
      <w:r>
        <w:rPr/>
        <w:t>技控制的子公司，纳入合并范围。</w:t>
      </w:r>
    </w:p>
    <w:p>
      <w:pPr>
        <w:spacing w:line="240" w:lineRule="auto" w:before="0"/>
        <w:rPr>
          <w:rFonts w:ascii="宋体" w:hAnsi="宋体" w:cs="宋体" w:eastAsia="宋体" w:hint="default"/>
          <w:sz w:val="18"/>
          <w:szCs w:val="18"/>
        </w:rPr>
      </w:pPr>
    </w:p>
    <w:p>
      <w:pPr>
        <w:pStyle w:val="BodyText"/>
        <w:spacing w:line="297" w:lineRule="auto" w:before="133"/>
        <w:ind w:right="1126"/>
        <w:jc w:val="both"/>
      </w:pPr>
      <w:r>
        <w:rPr>
          <w:rFonts w:ascii="Times New Roman" w:hAnsi="Times New Roman" w:cs="Times New Roman" w:eastAsia="Times New Roman" w:hint="default"/>
        </w:rPr>
        <w:t>(d) </w:t>
      </w:r>
      <w:r>
        <w:rPr/>
        <w:t>易视腾科技于</w:t>
      </w:r>
      <w:r>
        <w:rPr>
          <w:rFonts w:ascii="宋体" w:hAnsi="宋体" w:cs="宋体" w:eastAsia="宋体" w:hint="default"/>
        </w:rPr>
        <w:t>2019</w:t>
      </w:r>
      <w:r>
        <w:rPr/>
        <w:t>年</w:t>
      </w:r>
      <w:r>
        <w:rPr>
          <w:rFonts w:ascii="宋体" w:hAnsi="宋体" w:cs="宋体" w:eastAsia="宋体" w:hint="default"/>
        </w:rPr>
        <w:t>5</w:t>
      </w:r>
      <w:r>
        <w:rPr/>
        <w:t>月与我思教育及无锡真吾齐思实业投资合伙企业（有限合伙）（以下简称“无锡真吾齐思”）共</w:t>
      </w:r>
      <w:r>
        <w:rPr>
          <w:spacing w:val="-79"/>
        </w:rPr>
        <w:t> </w:t>
      </w:r>
      <w:r>
        <w:rPr>
          <w:spacing w:val="-79"/>
        </w:rPr>
      </w:r>
      <w:r>
        <w:rPr>
          <w:spacing w:val="-2"/>
        </w:rPr>
        <w:t>同投资设立弘道科技，易视腾科技通过委派董事及通过真吾齐思委派的董事在弘道科技的董事会享有过半数的投票权，控制</w:t>
      </w:r>
      <w:r>
        <w:rPr>
          <w:spacing w:val="-65"/>
        </w:rPr>
        <w:t> </w:t>
      </w:r>
      <w:r>
        <w:rPr>
          <w:spacing w:val="-65"/>
        </w:rPr>
      </w:r>
      <w:r>
        <w:rPr/>
        <w:t>弘道科技。</w:t>
      </w:r>
    </w:p>
    <w:p>
      <w:pPr>
        <w:spacing w:line="240" w:lineRule="auto" w:before="0"/>
        <w:rPr>
          <w:rFonts w:ascii="宋体" w:hAnsi="宋体" w:cs="宋体" w:eastAsia="宋体" w:hint="default"/>
          <w:sz w:val="18"/>
          <w:szCs w:val="18"/>
        </w:rPr>
      </w:pPr>
    </w:p>
    <w:p>
      <w:pPr>
        <w:pStyle w:val="BodyText"/>
        <w:spacing w:line="240" w:lineRule="auto" w:before="131"/>
        <w:ind w:right="0"/>
        <w:jc w:val="both"/>
        <w:rPr>
          <w:rFonts w:ascii="Times New Roman" w:hAnsi="Times New Roman" w:cs="Times New Roman" w:eastAsia="Times New Roman" w:hint="default"/>
        </w:rPr>
      </w:pPr>
      <w:r>
        <w:rPr>
          <w:rFonts w:ascii="Times New Roman" w:hAnsi="Times New Roman" w:cs="Times New Roman" w:eastAsia="Times New Roman" w:hint="default"/>
        </w:rPr>
        <w:t>(e)</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月，无锡朗易投资管理有限公司将其全资子公司无锡朗易</w:t>
      </w:r>
      <w:r>
        <w:rPr>
          <w:rFonts w:ascii="Times New Roman" w:hAnsi="Times New Roman" w:cs="Times New Roman" w:eastAsia="Times New Roman" w:hint="default"/>
        </w:rPr>
        <w:t>100%</w:t>
      </w:r>
      <w:r>
        <w:rPr/>
        <w:t>股权转让给朗新科技，无锡朗易注册资本</w:t>
      </w:r>
      <w:r>
        <w:rPr>
          <w:rFonts w:ascii="Times New Roman" w:hAnsi="Times New Roman" w:cs="Times New Roman" w:eastAsia="Times New Roman" w:hint="default"/>
        </w:rPr>
        <w:t>10,000</w:t>
      </w:r>
    </w:p>
    <w:p>
      <w:pPr>
        <w:spacing w:after="0" w:line="240" w:lineRule="auto"/>
        <w:jc w:val="both"/>
        <w:rPr>
          <w:rFonts w:ascii="Times New Roman" w:hAnsi="Times New Roman" w:cs="Times New Roman" w:eastAsia="Times New Roman" w:hint="default"/>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4"/>
          <w:szCs w:val="14"/>
        </w:rPr>
      </w:pPr>
    </w:p>
    <w:p>
      <w:pPr>
        <w:pStyle w:val="BodyText"/>
        <w:spacing w:line="240" w:lineRule="auto"/>
        <w:ind w:right="1105"/>
        <w:jc w:val="left"/>
      </w:pP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日已实缴出资</w:t>
      </w:r>
      <w:r>
        <w:rPr>
          <w:rFonts w:ascii="Times New Roman" w:hAnsi="Times New Roman" w:cs="Times New Roman" w:eastAsia="Times New Roman" w:hint="default"/>
        </w:rPr>
        <w:t>4,000</w:t>
      </w:r>
      <w:r>
        <w:rPr/>
        <w:t>万元，为朗新科技控制的子公司，纳入合并范围。</w:t>
      </w:r>
    </w:p>
    <w:p>
      <w:pPr>
        <w:spacing w:line="240" w:lineRule="auto" w:before="0"/>
        <w:rPr>
          <w:rFonts w:ascii="宋体" w:hAnsi="宋体" w:cs="宋体" w:eastAsia="宋体" w:hint="default"/>
          <w:sz w:val="18"/>
          <w:szCs w:val="18"/>
        </w:rPr>
      </w:pPr>
    </w:p>
    <w:p>
      <w:pPr>
        <w:pStyle w:val="BodyText"/>
        <w:spacing w:line="297" w:lineRule="auto" w:before="145"/>
        <w:ind w:right="0"/>
        <w:jc w:val="left"/>
      </w:pPr>
      <w:r>
        <w:rPr>
          <w:rFonts w:ascii="Times New Roman" w:hAnsi="Times New Roman" w:cs="Times New Roman" w:eastAsia="Times New Roman" w:hint="default"/>
        </w:rPr>
        <w:t>(f)</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月，朗新科技与易视腾科技、无锡智睿投资合伙企业（有限合伙）（以下简称</w:t>
      </w:r>
      <w:r>
        <w:rPr>
          <w:rFonts w:ascii="Times New Roman" w:hAnsi="Times New Roman" w:cs="Times New Roman" w:eastAsia="Times New Roman" w:hint="default"/>
        </w:rPr>
        <w:t>“</w:t>
      </w:r>
      <w:r>
        <w:rPr/>
        <w:t>无锡智睿</w:t>
      </w:r>
      <w:r>
        <w:rPr>
          <w:rFonts w:ascii="Times New Roman" w:hAnsi="Times New Roman" w:cs="Times New Roman" w:eastAsia="Times New Roman" w:hint="default"/>
        </w:rPr>
        <w:t>”</w:t>
      </w:r>
      <w:r>
        <w:rPr/>
        <w:t>）及无锡易云投资合</w:t>
      </w:r>
      <w:r>
        <w:rPr>
          <w:spacing w:val="-64"/>
        </w:rPr>
        <w:t> </w:t>
      </w:r>
      <w:r>
        <w:rPr>
          <w:spacing w:val="-2"/>
        </w:rPr>
        <w:t>伙企业（有限合伙）（以下简称</w:t>
      </w:r>
      <w:r>
        <w:rPr>
          <w:rFonts w:ascii="Times New Roman" w:hAnsi="Times New Roman" w:cs="Times New Roman" w:eastAsia="Times New Roman" w:hint="default"/>
          <w:spacing w:val="-2"/>
        </w:rPr>
        <w:t>“</w:t>
      </w:r>
      <w:r>
        <w:rPr>
          <w:spacing w:val="-2"/>
        </w:rPr>
        <w:t>无锡易云</w:t>
      </w:r>
      <w:r>
        <w:rPr>
          <w:rFonts w:ascii="Times New Roman" w:hAnsi="Times New Roman" w:cs="Times New Roman" w:eastAsia="Times New Roman" w:hint="default"/>
          <w:spacing w:val="-2"/>
        </w:rPr>
        <w:t>”</w:t>
      </w:r>
      <w:r>
        <w:rPr>
          <w:spacing w:val="-2"/>
        </w:rPr>
        <w:t>）以</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45%</w:t>
      </w:r>
      <w:r>
        <w:rPr>
          <w:spacing w:val="-2"/>
        </w:rPr>
        <w:t>、</w:t>
      </w:r>
      <w:r>
        <w:rPr>
          <w:rFonts w:ascii="Times New Roman" w:hAnsi="Times New Roman" w:cs="Times New Roman" w:eastAsia="Times New Roman" w:hint="default"/>
          <w:spacing w:val="-2"/>
        </w:rPr>
        <w:t>15%</w:t>
      </w:r>
      <w:r>
        <w:rPr>
          <w:spacing w:val="-2"/>
        </w:rPr>
        <w:t>及</w:t>
      </w:r>
      <w:r>
        <w:rPr>
          <w:rFonts w:ascii="Times New Roman" w:hAnsi="Times New Roman" w:cs="Times New Roman" w:eastAsia="Times New Roman" w:hint="default"/>
          <w:spacing w:val="-2"/>
        </w:rPr>
        <w:t>10%</w:t>
      </w:r>
      <w:r>
        <w:rPr>
          <w:spacing w:val="-2"/>
        </w:rPr>
        <w:t>的持股比例共同发起设立视加慧联科技有限公司（以</w:t>
      </w:r>
      <w:r>
        <w:rPr>
          <w:spacing w:val="-68"/>
        </w:rPr>
        <w:t> </w:t>
      </w:r>
      <w:r>
        <w:rPr>
          <w:spacing w:val="-68"/>
        </w:rPr>
      </w:r>
      <w:r>
        <w:rPr/>
        <w:t>下简称</w:t>
      </w:r>
      <w:r>
        <w:rPr>
          <w:rFonts w:ascii="Times New Roman" w:hAnsi="Times New Roman" w:cs="Times New Roman" w:eastAsia="Times New Roman" w:hint="default"/>
        </w:rPr>
        <w:t>“</w:t>
      </w:r>
      <w:r>
        <w:rPr/>
        <w:t>视加慧联</w:t>
      </w:r>
      <w:r>
        <w:rPr>
          <w:rFonts w:ascii="Times New Roman" w:hAnsi="Times New Roman" w:cs="Times New Roman" w:eastAsia="Times New Roman" w:hint="default"/>
        </w:rPr>
        <w:t>”</w:t>
      </w:r>
      <w:r>
        <w:rPr/>
        <w:t>），视加慧联注册资本</w:t>
      </w:r>
      <w:r>
        <w:rPr>
          <w:rFonts w:ascii="Times New Roman" w:hAnsi="Times New Roman" w:cs="Times New Roman" w:eastAsia="Times New Roman" w:hint="default"/>
        </w:rPr>
        <w:t>5,000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日朗新科技已实缴出资</w:t>
      </w:r>
      <w:r>
        <w:rPr>
          <w:rFonts w:ascii="Times New Roman" w:hAnsi="Times New Roman" w:cs="Times New Roman" w:eastAsia="Times New Roman" w:hint="default"/>
        </w:rPr>
        <w:t>150</w:t>
      </w:r>
      <w:r>
        <w:rPr/>
        <w:t>万元，易视腾科技已实缴</w:t>
      </w:r>
      <w:r>
        <w:rPr>
          <w:spacing w:val="-80"/>
        </w:rPr>
        <w:t> </w:t>
      </w:r>
      <w:r>
        <w:rPr>
          <w:spacing w:val="-2"/>
        </w:rPr>
        <w:t>出资</w:t>
      </w:r>
      <w:r>
        <w:rPr>
          <w:rFonts w:ascii="宋体" w:hAnsi="宋体" w:cs="宋体" w:eastAsia="宋体" w:hint="default"/>
          <w:spacing w:val="-2"/>
        </w:rPr>
        <w:t>225</w:t>
      </w:r>
      <w:r>
        <w:rPr>
          <w:spacing w:val="-2"/>
        </w:rPr>
        <w:t>万元，无锡易云已实缴出资</w:t>
      </w:r>
      <w:r>
        <w:rPr>
          <w:rFonts w:ascii="宋体" w:hAnsi="宋体" w:cs="宋体" w:eastAsia="宋体" w:hint="default"/>
          <w:spacing w:val="-2"/>
        </w:rPr>
        <w:t>50</w:t>
      </w:r>
      <w:r>
        <w:rPr>
          <w:spacing w:val="-2"/>
        </w:rPr>
        <w:t>万元，由于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日收购易视腾</w:t>
      </w:r>
      <w:r>
        <w:rPr>
          <w:rFonts w:ascii="Times New Roman" w:hAnsi="Times New Roman" w:cs="Times New Roman" w:eastAsia="Times New Roman" w:hint="default"/>
          <w:spacing w:val="-2"/>
        </w:rPr>
        <w:t>96%</w:t>
      </w:r>
      <w:r>
        <w:rPr>
          <w:spacing w:val="-2"/>
        </w:rPr>
        <w:t>，朗新科技直接持股</w:t>
      </w:r>
      <w:r>
        <w:rPr>
          <w:rFonts w:ascii="Times New Roman" w:hAnsi="Times New Roman" w:cs="Times New Roman" w:eastAsia="Times New Roman" w:hint="default"/>
          <w:spacing w:val="-2"/>
        </w:rPr>
        <w:t>30%</w:t>
      </w:r>
      <w:r>
        <w:rPr>
          <w:spacing w:val="-2"/>
        </w:rPr>
        <w:t>，间接持股</w:t>
      </w:r>
      <w:r>
        <w:rPr>
          <w:rFonts w:ascii="Times New Roman" w:hAnsi="Times New Roman" w:cs="Times New Roman" w:eastAsia="Times New Roman" w:hint="default"/>
          <w:spacing w:val="-2"/>
        </w:rPr>
        <w:t>45.12%</w:t>
      </w:r>
      <w:r>
        <w:rPr>
          <w:spacing w:val="-2"/>
        </w:rPr>
        <w:t>，</w:t>
      </w:r>
      <w:r>
        <w:rPr>
          <w:spacing w:val="-74"/>
        </w:rPr>
        <w:t> </w:t>
      </w:r>
      <w:r>
        <w:rPr/>
        <w:t>为受朗新科技控制的子公司，纳入合并范围。</w:t>
      </w:r>
    </w:p>
    <w:p>
      <w:pPr>
        <w:spacing w:line="240" w:lineRule="auto" w:before="11"/>
        <w:rPr>
          <w:rFonts w:ascii="宋体" w:hAnsi="宋体" w:cs="宋体" w:eastAsia="宋体" w:hint="default"/>
          <w:sz w:val="26"/>
          <w:szCs w:val="26"/>
        </w:rPr>
      </w:pPr>
    </w:p>
    <w:p>
      <w:pPr>
        <w:pStyle w:val="BodyText"/>
        <w:spacing w:line="240" w:lineRule="auto"/>
        <w:ind w:right="0"/>
        <w:jc w:val="left"/>
        <w:rPr>
          <w:rFonts w:ascii="Times New Roman" w:hAnsi="Times New Roman" w:cs="Times New Roman" w:eastAsia="Times New Roman" w:hint="default"/>
        </w:rPr>
      </w:pPr>
      <w:r>
        <w:rPr>
          <w:rFonts w:ascii="Times New Roman" w:hAnsi="Times New Roman" w:cs="Times New Roman" w:eastAsia="Times New Roman" w:hint="default"/>
        </w:rPr>
        <w:t>(g)</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日，邦道科技与自然人吴学分别以</w:t>
      </w:r>
      <w:r>
        <w:rPr>
          <w:rFonts w:ascii="Times New Roman" w:hAnsi="Times New Roman" w:cs="Times New Roman" w:eastAsia="Times New Roman" w:hint="default"/>
        </w:rPr>
        <w:t>75%</w:t>
      </w:r>
      <w:r>
        <w:rPr/>
        <w:t>及</w:t>
      </w:r>
      <w:r>
        <w:rPr>
          <w:rFonts w:ascii="Times New Roman" w:hAnsi="Times New Roman" w:cs="Times New Roman" w:eastAsia="Times New Roman" w:hint="default"/>
        </w:rPr>
        <w:t>25%</w:t>
      </w:r>
      <w:r>
        <w:rPr/>
        <w:t>的持股比例共同发起设立河北邦道，河北邦道注册资本</w:t>
      </w:r>
      <w:r>
        <w:rPr>
          <w:rFonts w:ascii="Times New Roman" w:hAnsi="Times New Roman" w:cs="Times New Roman" w:eastAsia="Times New Roman" w:hint="default"/>
        </w:rPr>
        <w:t>1,000</w:t>
      </w:r>
    </w:p>
    <w:p>
      <w:pPr>
        <w:pStyle w:val="BodyText"/>
        <w:spacing w:line="240" w:lineRule="auto" w:before="66"/>
        <w:ind w:right="1105"/>
        <w:jc w:val="left"/>
      </w:pP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日已实缴出资</w:t>
      </w:r>
      <w:r>
        <w:rPr>
          <w:rFonts w:ascii="Times New Roman" w:hAnsi="Times New Roman" w:cs="Times New Roman" w:eastAsia="Times New Roman" w:hint="default"/>
        </w:rPr>
        <w:t>150</w:t>
      </w:r>
      <w:r>
        <w:rPr/>
        <w:t>万元，为受邦道科技控制的子公司，纳入合并范围。</w:t>
      </w:r>
    </w:p>
    <w:p>
      <w:pPr>
        <w:spacing w:line="240" w:lineRule="auto" w:before="0"/>
        <w:rPr>
          <w:rFonts w:ascii="宋体" w:hAnsi="宋体" w:cs="宋体" w:eastAsia="宋体" w:hint="default"/>
          <w:sz w:val="18"/>
          <w:szCs w:val="18"/>
        </w:rPr>
      </w:pPr>
    </w:p>
    <w:p>
      <w:pPr>
        <w:pStyle w:val="BodyText"/>
        <w:spacing w:line="290" w:lineRule="auto" w:before="145"/>
        <w:ind w:right="1097"/>
        <w:jc w:val="both"/>
      </w:pPr>
      <w:r>
        <w:rPr>
          <w:rFonts w:ascii="Times New Roman" w:hAnsi="Times New Roman" w:cs="Times New Roman" w:eastAsia="Times New Roman" w:hint="default"/>
        </w:rPr>
        <w:t>(h)</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日，邦道科技与无锡云路企业管理合伙企业（有限合伙）及无锡智丰分别以</w:t>
      </w:r>
      <w:r>
        <w:rPr>
          <w:rFonts w:ascii="Times New Roman" w:hAnsi="Times New Roman" w:cs="Times New Roman" w:eastAsia="Times New Roman" w:hint="default"/>
        </w:rPr>
        <w:t>60%</w:t>
      </w:r>
      <w:r>
        <w:rPr/>
        <w:t>、</w:t>
      </w:r>
      <w:r>
        <w:rPr>
          <w:rFonts w:ascii="Times New Roman" w:hAnsi="Times New Roman" w:cs="Times New Roman" w:eastAsia="Times New Roman" w:hint="default"/>
        </w:rPr>
        <w:t>30%</w:t>
      </w:r>
      <w:r>
        <w:rPr/>
        <w:t>及</w:t>
      </w:r>
      <w:r>
        <w:rPr>
          <w:rFonts w:ascii="Times New Roman" w:hAnsi="Times New Roman" w:cs="Times New Roman" w:eastAsia="Times New Roman" w:hint="default"/>
        </w:rPr>
        <w:t>10%</w:t>
      </w:r>
      <w:r>
        <w:rPr/>
        <w:t>的持股比例共</w:t>
      </w:r>
      <w:r>
        <w:rPr>
          <w:spacing w:val="-85"/>
        </w:rPr>
        <w:t> </w:t>
      </w:r>
      <w:r>
        <w:rPr/>
        <w:t>同发起设立众畅科技，众畅科技注册资本</w:t>
      </w:r>
      <w:r>
        <w:rPr>
          <w:rFonts w:ascii="Times New Roman" w:hAnsi="Times New Roman" w:cs="Times New Roman" w:eastAsia="Times New Roman" w:hint="default"/>
        </w:rPr>
        <w:t>5,000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日已实缴出资</w:t>
      </w:r>
      <w:r>
        <w:rPr>
          <w:rFonts w:ascii="Times New Roman" w:hAnsi="Times New Roman" w:cs="Times New Roman" w:eastAsia="Times New Roman" w:hint="default"/>
        </w:rPr>
        <w:t>1,200</w:t>
      </w:r>
      <w:r>
        <w:rPr/>
        <w:t>万元，为受邦道科技控制的子公</w:t>
      </w:r>
      <w:r>
        <w:rPr>
          <w:spacing w:val="-86"/>
        </w:rPr>
        <w:t> </w:t>
      </w:r>
      <w:r>
        <w:rPr/>
        <w:t>司，纳入合并范围。</w:t>
      </w:r>
    </w:p>
    <w:p>
      <w:pPr>
        <w:spacing w:line="240" w:lineRule="auto" w:before="0"/>
        <w:rPr>
          <w:rFonts w:ascii="宋体" w:hAnsi="宋体" w:cs="宋体" w:eastAsia="宋体" w:hint="default"/>
          <w:sz w:val="18"/>
          <w:szCs w:val="18"/>
        </w:rPr>
      </w:pPr>
    </w:p>
    <w:p>
      <w:pPr>
        <w:pStyle w:val="BodyText"/>
        <w:spacing w:line="304" w:lineRule="auto" w:before="136"/>
        <w:ind w:right="1038"/>
        <w:jc w:val="left"/>
      </w:pPr>
      <w:r>
        <w:rPr>
          <w:rFonts w:ascii="Times New Roman" w:hAnsi="Times New Roman" w:cs="Times New Roman" w:eastAsia="Times New Roman" w:hint="default"/>
        </w:rPr>
        <w:t>(i) </w:t>
      </w:r>
      <w:r>
        <w:rPr/>
        <w:t>易视腾科技子公司易视腾投资管理于</w:t>
      </w:r>
      <w:r>
        <w:rPr>
          <w:rFonts w:ascii="宋体" w:hAnsi="宋体" w:cs="宋体" w:eastAsia="宋体" w:hint="default"/>
        </w:rPr>
        <w:t>2018</w:t>
      </w:r>
      <w:r>
        <w:rPr/>
        <w:t>年出资</w:t>
      </w:r>
      <w:r>
        <w:rPr>
          <w:rFonts w:ascii="宋体" w:hAnsi="宋体" w:cs="宋体" w:eastAsia="宋体" w:hint="default"/>
        </w:rPr>
        <w:t>50,000,000.00</w:t>
      </w:r>
      <w:r>
        <w:rPr/>
        <w:t>元设立派瑞无锡，作为有限合伙人，持股比例为</w:t>
      </w:r>
      <w:r>
        <w:rPr>
          <w:rFonts w:ascii="宋体" w:hAnsi="宋体" w:cs="宋体" w:eastAsia="宋体" w:hint="default"/>
        </w:rPr>
        <w:t>98%</w:t>
      </w:r>
      <w:r>
        <w:rPr/>
        <w:t>，于</w:t>
      </w:r>
      <w:r>
        <w:rPr>
          <w:spacing w:val="-74"/>
        </w:rPr>
        <w:t> </w:t>
      </w:r>
      <w:r>
        <w:rPr>
          <w:rFonts w:ascii="宋体" w:hAnsi="宋体" w:cs="宋体" w:eastAsia="宋体" w:hint="default"/>
          <w:spacing w:val="-3"/>
          <w:w w:val="99"/>
        </w:rPr>
        <w:t>2019</w:t>
      </w:r>
      <w:r>
        <w:rPr>
          <w:spacing w:val="-3"/>
          <w:w w:val="99"/>
        </w:rPr>
        <w:t>年易视腾投资管理向派瑞无锡增资</w:t>
      </w:r>
      <w:r>
        <w:rPr>
          <w:rFonts w:ascii="宋体" w:hAnsi="宋体" w:cs="宋体" w:eastAsia="宋体" w:hint="default"/>
          <w:spacing w:val="-3"/>
          <w:w w:val="99"/>
        </w:rPr>
        <w:t>3,000,000.00</w:t>
      </w:r>
      <w:r>
        <w:rPr>
          <w:spacing w:val="-3"/>
          <w:w w:val="99"/>
        </w:rPr>
        <w:t>元，由于普通合伙人尚未完成出资，投资管理能够对派瑞无锡实施控制，</w:t>
      </w:r>
      <w:r>
        <w:rPr>
          <w:spacing w:val="-76"/>
          <w:w w:val="99"/>
        </w:rPr>
        <w:t> </w:t>
      </w:r>
      <w:r>
        <w:rPr>
          <w:spacing w:val="-76"/>
          <w:w w:val="99"/>
        </w:rPr>
      </w:r>
      <w:r>
        <w:rPr/>
        <w:t>故纳入合并范围。</w:t>
      </w:r>
    </w:p>
    <w:p>
      <w:pPr>
        <w:spacing w:line="240" w:lineRule="auto" w:before="10"/>
        <w:rPr>
          <w:rFonts w:ascii="宋体" w:hAnsi="宋体" w:cs="宋体" w:eastAsia="宋体" w:hint="default"/>
          <w:sz w:val="23"/>
          <w:szCs w:val="23"/>
        </w:rPr>
      </w:pPr>
    </w:p>
    <w:p>
      <w:pPr>
        <w:spacing w:line="487" w:lineRule="auto" w:before="0"/>
        <w:ind w:left="141" w:right="8098" w:firstLine="0"/>
        <w:jc w:val="left"/>
        <w:rPr>
          <w:rFonts w:ascii="宋体" w:hAnsi="宋体" w:cs="宋体" w:eastAsia="宋体" w:hint="default"/>
          <w:sz w:val="21"/>
          <w:szCs w:val="21"/>
        </w:rPr>
      </w:pPr>
      <w:bookmarkStart w:name="6、其他" w:id="439"/>
      <w:bookmarkEnd w:id="43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九、在其他主体中的权益" w:id="440"/>
      <w:bookmarkEnd w:id="440"/>
      <w:r>
        <w:rPr>
          <w:rFonts w:ascii="宋体" w:hAnsi="宋体" w:cs="宋体" w:eastAsia="宋体" w:hint="default"/>
          <w:b/>
          <w:bCs/>
          <w:w w:val="99"/>
          <w:sz w:val="21"/>
          <w:szCs w:val="21"/>
        </w:rPr>
      </w:r>
      <w:r>
        <w:rPr>
          <w:rFonts w:ascii="宋体" w:hAnsi="宋体" w:cs="宋体" w:eastAsia="宋体" w:hint="default"/>
          <w:b/>
          <w:bCs/>
          <w:sz w:val="24"/>
          <w:szCs w:val="24"/>
        </w:rPr>
        <w:t>九、在其他主体中的权益</w:t>
      </w:r>
      <w:r>
        <w:rPr>
          <w:rFonts w:ascii="宋体" w:hAnsi="宋体" w:cs="宋体" w:eastAsia="宋体" w:hint="default"/>
          <w:b/>
          <w:bCs/>
          <w:spacing w:val="-117"/>
          <w:sz w:val="24"/>
          <w:szCs w:val="24"/>
        </w:rPr>
        <w:t> </w:t>
      </w:r>
      <w:r>
        <w:rPr>
          <w:rFonts w:ascii="宋体" w:hAnsi="宋体" w:cs="宋体" w:eastAsia="宋体" w:hint="default"/>
          <w:b/>
          <w:bCs/>
          <w:spacing w:val="-117"/>
          <w:sz w:val="24"/>
          <w:szCs w:val="24"/>
        </w:rPr>
      </w:r>
      <w:bookmarkStart w:name="1、在子公司中的权益" w:id="441"/>
      <w:bookmarkEnd w:id="441"/>
      <w:r>
        <w:rPr>
          <w:rFonts w:ascii="宋体" w:hAnsi="宋体" w:cs="宋体" w:eastAsia="宋体" w:hint="default"/>
          <w:b/>
          <w:bCs/>
          <w:spacing w:val="-117"/>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5"/>
        <w:ind w:right="1105"/>
        <w:jc w:val="left"/>
        <w:rPr>
          <w:b w:val="0"/>
          <w:bCs w:val="0"/>
        </w:rPr>
      </w:pPr>
      <w:bookmarkStart w:name="（1）企业集团的构成" w:id="442"/>
      <w:bookmarkEnd w:id="44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6"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间接</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both"/>
              <w:rPr>
                <w:rFonts w:ascii="宋体" w:hAnsi="宋体" w:cs="宋体" w:eastAsia="宋体" w:hint="default"/>
                <w:sz w:val="18"/>
                <w:szCs w:val="18"/>
              </w:rPr>
            </w:pPr>
            <w:r>
              <w:rPr>
                <w:rFonts w:ascii="宋体" w:hAnsi="宋体" w:cs="宋体" w:eastAsia="宋体" w:hint="default"/>
                <w:sz w:val="18"/>
                <w:szCs w:val="18"/>
              </w:rPr>
              <w:t>北京朗新科技有 限公司（以下简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北京朗新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307" w:lineRule="auto"/>
              <w:ind w:left="15" w:right="76"/>
              <w:jc w:val="left"/>
              <w:rPr>
                <w:rFonts w:ascii="宋体" w:hAnsi="宋体" w:cs="宋体" w:eastAsia="宋体" w:hint="default"/>
                <w:sz w:val="18"/>
                <w:szCs w:val="18"/>
              </w:rPr>
            </w:pPr>
            <w:r>
              <w:rPr>
                <w:rFonts w:ascii="宋体" w:hAnsi="宋体" w:cs="宋体" w:eastAsia="宋体" w:hint="default"/>
                <w:sz w:val="18"/>
                <w:szCs w:val="18"/>
              </w:rPr>
              <w:t>技术开发及系统 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杭州智能</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中国浙江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暂无业务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朗新投资</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中国江苏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对外投资管理</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3"/>
              <w:jc w:val="both"/>
              <w:rPr>
                <w:rFonts w:ascii="宋体" w:hAnsi="宋体" w:cs="宋体" w:eastAsia="宋体" w:hint="default"/>
                <w:sz w:val="18"/>
                <w:szCs w:val="18"/>
              </w:rPr>
            </w:pPr>
            <w:r>
              <w:rPr>
                <w:rFonts w:ascii="宋体" w:hAnsi="宋体" w:cs="宋体" w:eastAsia="宋体" w:hint="default"/>
                <w:sz w:val="18"/>
                <w:szCs w:val="18"/>
              </w:rPr>
              <w:t>新耀能源科技有 限公司（以下简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新耀能源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中国浙江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15" w:right="76"/>
              <w:jc w:val="left"/>
              <w:rPr>
                <w:rFonts w:ascii="宋体" w:hAnsi="宋体" w:cs="宋体" w:eastAsia="宋体" w:hint="default"/>
                <w:sz w:val="18"/>
                <w:szCs w:val="18"/>
              </w:rPr>
            </w:pPr>
            <w:r>
              <w:rPr>
                <w:rFonts w:ascii="宋体" w:hAnsi="宋体" w:cs="宋体" w:eastAsia="宋体" w:hint="default"/>
                <w:sz w:val="18"/>
                <w:szCs w:val="18"/>
              </w:rPr>
              <w:t>能源技术开发、 建设及维护</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60.00%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3.00%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合肥新耀</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中国安徽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6"/>
              <w:jc w:val="left"/>
              <w:rPr>
                <w:rFonts w:ascii="宋体" w:hAnsi="宋体" w:cs="宋体" w:eastAsia="宋体" w:hint="default"/>
                <w:sz w:val="18"/>
                <w:szCs w:val="18"/>
              </w:rPr>
            </w:pPr>
            <w:r>
              <w:rPr>
                <w:rFonts w:ascii="宋体" w:hAnsi="宋体" w:cs="宋体" w:eastAsia="宋体" w:hint="default"/>
                <w:sz w:val="18"/>
                <w:szCs w:val="18"/>
              </w:rPr>
              <w:t>能源技术开发、 建设及维护</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63.00%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30"/>
              <w:ind w:left="15" w:right="14"/>
              <w:jc w:val="both"/>
              <w:rPr>
                <w:rFonts w:ascii="宋体" w:hAnsi="宋体" w:cs="宋体" w:eastAsia="宋体" w:hint="default"/>
                <w:sz w:val="18"/>
                <w:szCs w:val="18"/>
              </w:rPr>
            </w:pPr>
            <w:r>
              <w:rPr>
                <w:rFonts w:ascii="宋体" w:hAnsi="宋体" w:cs="宋体" w:eastAsia="宋体" w:hint="default"/>
                <w:sz w:val="18"/>
                <w:szCs w:val="18"/>
              </w:rPr>
              <w:t>瀚云科技有限公 </w:t>
            </w:r>
            <w:r>
              <w:rPr>
                <w:rFonts w:ascii="宋体" w:hAnsi="宋体" w:cs="宋体" w:eastAsia="宋体" w:hint="default"/>
                <w:spacing w:val="-3"/>
                <w:sz w:val="18"/>
                <w:szCs w:val="18"/>
              </w:rPr>
              <w:t>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瀚</w:t>
            </w:r>
            <w:r>
              <w:rPr>
                <w:rFonts w:ascii="宋体" w:hAnsi="宋体" w:cs="宋体" w:eastAsia="宋体" w:hint="default"/>
                <w:spacing w:val="-86"/>
                <w:sz w:val="18"/>
                <w:szCs w:val="18"/>
              </w:rPr>
              <w:t> </w:t>
            </w:r>
            <w:r>
              <w:rPr>
                <w:rFonts w:ascii="宋体" w:hAnsi="宋体" w:cs="宋体" w:eastAsia="宋体" w:hint="default"/>
                <w:sz w:val="18"/>
                <w:szCs w:val="18"/>
              </w:rPr>
              <w:t>云科技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中国江苏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15" w:right="76"/>
              <w:jc w:val="left"/>
              <w:rPr>
                <w:rFonts w:ascii="宋体" w:hAnsi="宋体" w:cs="宋体" w:eastAsia="宋体" w:hint="default"/>
                <w:sz w:val="18"/>
                <w:szCs w:val="18"/>
              </w:rPr>
            </w:pPr>
            <w:r>
              <w:rPr>
                <w:rFonts w:ascii="宋体" w:hAnsi="宋体" w:cs="宋体" w:eastAsia="宋体" w:hint="default"/>
                <w:sz w:val="18"/>
                <w:szCs w:val="18"/>
              </w:rPr>
              <w:t>计算机软硬件及 信息技术研发</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60.00%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发起设立</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group style="position:absolute;margin-left:331.179993pt;margin-top:619.304993pt;width:67.6pt;height:59.7pt;mso-position-horizontal-relative:page;mso-position-vertical-relative:page;z-index:-1325200" coordorigin="6624,12386" coordsize="1352,1194">
            <v:group style="position:absolute;left:6624;top:12386;width:1352;height:781" coordorigin="6624,12386" coordsize="1352,781">
              <v:shape style="position:absolute;left:6624;top:12386;width:1352;height:781" coordorigin="6624,12386" coordsize="1352,781" path="m6624,13167l7975,13167,7975,12386,6624,12386,6624,13167xe" filled="true" fillcolor="#ffffff" stroked="false">
                <v:path arrowok="t"/>
                <v:fill type="solid"/>
              </v:shape>
            </v:group>
            <v:group style="position:absolute;left:6631;top:13166;width:2;height:406" coordorigin="6631,13166" coordsize="2,406">
              <v:shape style="position:absolute;left:6631;top:13166;width:2;height:406" coordorigin="6631,13166" coordsize="0,406" path="m6631,13166l6631,13572e" filled="false" stroked="true" strokeweight=".75pt" strokecolor="#ffffff">
                <v:path arrowok="t"/>
              </v:shape>
            </v:group>
            <v:group style="position:absolute;left:6639;top:13166;width:1322;height:406" coordorigin="6639,13166" coordsize="1322,406">
              <v:shape style="position:absolute;left:6639;top:13166;width:1322;height:406" coordorigin="6639,13166" coordsize="1322,406" path="m6639,13572l7960,13572,7960,13166,6639,13166,6639,13572xe" filled="true" fillcolor="#ffffff" stroked="false">
                <v:path arrowok="t"/>
                <v:fill type="solid"/>
              </v:shape>
            </v:group>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朗新金关</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中国江苏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6"/>
              <w:jc w:val="left"/>
              <w:rPr>
                <w:rFonts w:ascii="宋体" w:hAnsi="宋体" w:cs="宋体" w:eastAsia="宋体" w:hint="default"/>
                <w:sz w:val="18"/>
                <w:szCs w:val="18"/>
              </w:rPr>
            </w:pPr>
            <w:r>
              <w:rPr>
                <w:rFonts w:ascii="宋体" w:hAnsi="宋体" w:cs="宋体" w:eastAsia="宋体" w:hint="default"/>
                <w:sz w:val="18"/>
                <w:szCs w:val="18"/>
              </w:rPr>
              <w:t>软硬件的研发与 销售</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51.00%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29"/>
              <w:ind w:left="15" w:right="74"/>
              <w:jc w:val="both"/>
              <w:rPr>
                <w:rFonts w:ascii="宋体" w:hAnsi="宋体" w:cs="宋体" w:eastAsia="宋体" w:hint="default"/>
                <w:sz w:val="18"/>
                <w:szCs w:val="18"/>
              </w:rPr>
            </w:pPr>
            <w:r>
              <w:rPr>
                <w:rFonts w:ascii="宋体" w:hAnsi="宋体" w:cs="宋体" w:eastAsia="宋体" w:hint="default"/>
                <w:sz w:val="18"/>
                <w:szCs w:val="18"/>
              </w:rPr>
              <w:t>朗新云商科技有 限公司（以下简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朗新云商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中国浙江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76"/>
              <w:jc w:val="left"/>
              <w:rPr>
                <w:rFonts w:ascii="宋体" w:hAnsi="宋体" w:cs="宋体" w:eastAsia="宋体" w:hint="default"/>
                <w:sz w:val="18"/>
                <w:szCs w:val="18"/>
              </w:rPr>
            </w:pPr>
            <w:r>
              <w:rPr>
                <w:rFonts w:ascii="宋体" w:hAnsi="宋体" w:cs="宋体" w:eastAsia="宋体" w:hint="default"/>
                <w:sz w:val="18"/>
                <w:szCs w:val="18"/>
              </w:rPr>
              <w:t>技术开发及技术 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51.00%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2.80%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10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朗新数据科技有 限公司（以下简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朗新数据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湖北武汉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中国湖北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76"/>
              <w:jc w:val="left"/>
              <w:rPr>
                <w:rFonts w:ascii="宋体" w:hAnsi="宋体" w:cs="宋体" w:eastAsia="宋体" w:hint="default"/>
                <w:sz w:val="18"/>
                <w:szCs w:val="18"/>
              </w:rPr>
            </w:pPr>
            <w:r>
              <w:rPr>
                <w:rFonts w:ascii="宋体" w:hAnsi="宋体" w:cs="宋体" w:eastAsia="宋体" w:hint="default"/>
                <w:sz w:val="18"/>
                <w:szCs w:val="18"/>
              </w:rPr>
              <w:t>技术开发及技术 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60.00%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3.00%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无锡智丰</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中国江苏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76"/>
              <w:jc w:val="left"/>
              <w:rPr>
                <w:rFonts w:ascii="宋体" w:hAnsi="宋体" w:cs="宋体" w:eastAsia="宋体" w:hint="default"/>
                <w:sz w:val="18"/>
                <w:szCs w:val="18"/>
              </w:rPr>
            </w:pPr>
            <w:r>
              <w:rPr>
                <w:rFonts w:ascii="宋体" w:hAnsi="宋体" w:cs="宋体" w:eastAsia="宋体" w:hint="default"/>
                <w:sz w:val="18"/>
                <w:szCs w:val="18"/>
              </w:rPr>
              <w:t>利用自有资金对 外投资</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朗新智元</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中国江苏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6"/>
              <w:jc w:val="left"/>
              <w:rPr>
                <w:rFonts w:ascii="宋体" w:hAnsi="宋体" w:cs="宋体" w:eastAsia="宋体" w:hint="default"/>
                <w:sz w:val="18"/>
                <w:szCs w:val="18"/>
              </w:rPr>
            </w:pPr>
            <w:r>
              <w:rPr>
                <w:rFonts w:ascii="宋体" w:hAnsi="宋体" w:cs="宋体" w:eastAsia="宋体" w:hint="default"/>
                <w:sz w:val="18"/>
                <w:szCs w:val="18"/>
              </w:rPr>
              <w:t>技术开发及技术 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51.00%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2.80%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云筑智联</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湖北武汉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中国湖北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6"/>
              <w:jc w:val="left"/>
              <w:rPr>
                <w:rFonts w:ascii="宋体" w:hAnsi="宋体" w:cs="宋体" w:eastAsia="宋体" w:hint="default"/>
                <w:sz w:val="18"/>
                <w:szCs w:val="18"/>
              </w:rPr>
            </w:pPr>
            <w:r>
              <w:rPr>
                <w:rFonts w:ascii="宋体" w:hAnsi="宋体" w:cs="宋体" w:eastAsia="宋体" w:hint="default"/>
                <w:sz w:val="18"/>
                <w:szCs w:val="18"/>
              </w:rPr>
              <w:t>技术开发及技术 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51.00%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2.80%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清大朗新</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福建厦门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中国福建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6"/>
              <w:jc w:val="left"/>
              <w:rPr>
                <w:rFonts w:ascii="宋体" w:hAnsi="宋体" w:cs="宋体" w:eastAsia="宋体" w:hint="default"/>
                <w:sz w:val="18"/>
                <w:szCs w:val="18"/>
              </w:rPr>
            </w:pPr>
            <w:r>
              <w:rPr>
                <w:rFonts w:ascii="宋体" w:hAnsi="宋体" w:cs="宋体" w:eastAsia="宋体" w:hint="default"/>
                <w:sz w:val="18"/>
                <w:szCs w:val="18"/>
              </w:rPr>
              <w:t>技术开发及系统 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81.00%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易天气科技</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数据处理和存储 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涵谷科技</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中国江苏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6"/>
              <w:jc w:val="left"/>
              <w:rPr>
                <w:rFonts w:ascii="宋体" w:hAnsi="宋体" w:cs="宋体" w:eastAsia="宋体" w:hint="default"/>
                <w:sz w:val="18"/>
                <w:szCs w:val="18"/>
              </w:rPr>
            </w:pPr>
            <w:r>
              <w:rPr>
                <w:rFonts w:ascii="宋体" w:hAnsi="宋体" w:cs="宋体" w:eastAsia="宋体" w:hint="default"/>
                <w:sz w:val="18"/>
                <w:szCs w:val="18"/>
              </w:rPr>
              <w:t>商业气象产品及 平台开发</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51.00%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2.80%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无锡朗易</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中国江苏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6"/>
              <w:jc w:val="both"/>
              <w:rPr>
                <w:rFonts w:ascii="宋体" w:hAnsi="宋体" w:cs="宋体" w:eastAsia="宋体" w:hint="default"/>
                <w:sz w:val="18"/>
                <w:szCs w:val="18"/>
              </w:rPr>
            </w:pPr>
            <w:r>
              <w:rPr>
                <w:rFonts w:ascii="宋体" w:hAnsi="宋体" w:cs="宋体" w:eastAsia="宋体" w:hint="default"/>
                <w:sz w:val="18"/>
                <w:szCs w:val="18"/>
              </w:rPr>
              <w:t>软件工业园区的 经营管理及配套 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邦道科技</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中国江苏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6"/>
              <w:jc w:val="left"/>
              <w:rPr>
                <w:rFonts w:ascii="宋体" w:hAnsi="宋体" w:cs="宋体" w:eastAsia="宋体" w:hint="default"/>
                <w:sz w:val="18"/>
                <w:szCs w:val="18"/>
              </w:rPr>
            </w:pPr>
            <w:r>
              <w:rPr>
                <w:rFonts w:ascii="宋体" w:hAnsi="宋体" w:cs="宋体" w:eastAsia="宋体" w:hint="default"/>
                <w:sz w:val="18"/>
                <w:szCs w:val="18"/>
              </w:rPr>
              <w:t>技术开发及技术 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90.00%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河北邦道</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河北石家庄</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中国河北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校园生活缴费</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67.50%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众畅科技</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中国江苏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6"/>
              <w:jc w:val="both"/>
              <w:rPr>
                <w:rFonts w:ascii="宋体" w:hAnsi="宋体" w:cs="宋体" w:eastAsia="宋体" w:hint="default"/>
                <w:sz w:val="18"/>
                <w:szCs w:val="18"/>
              </w:rPr>
            </w:pPr>
            <w:r>
              <w:rPr>
                <w:rFonts w:ascii="宋体" w:hAnsi="宋体" w:cs="宋体" w:eastAsia="宋体" w:hint="default"/>
                <w:sz w:val="18"/>
                <w:szCs w:val="18"/>
              </w:rPr>
              <w:t>集团化停车管理 平台及停车场改 造运维服务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56.00%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易视腾科技</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中国江苏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6"/>
              <w:jc w:val="left"/>
              <w:rPr>
                <w:rFonts w:ascii="宋体" w:hAnsi="宋体" w:cs="宋体" w:eastAsia="宋体" w:hint="default"/>
                <w:sz w:val="18"/>
                <w:szCs w:val="18"/>
              </w:rPr>
            </w:pPr>
            <w:r>
              <w:rPr>
                <w:rFonts w:ascii="宋体" w:hAnsi="宋体" w:cs="宋体" w:eastAsia="宋体" w:hint="default"/>
                <w:sz w:val="18"/>
                <w:szCs w:val="18"/>
              </w:rPr>
              <w:t>技术开发及技术 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96.00%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952"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北京大米视讯科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9"/>
              <w:ind w:left="15" w:right="76"/>
              <w:jc w:val="left"/>
              <w:rPr>
                <w:rFonts w:ascii="宋体" w:hAnsi="宋体" w:cs="宋体" w:eastAsia="宋体" w:hint="default"/>
                <w:sz w:val="18"/>
                <w:szCs w:val="18"/>
              </w:rPr>
            </w:pPr>
            <w:r>
              <w:rPr>
                <w:rFonts w:ascii="宋体" w:hAnsi="宋体" w:cs="宋体" w:eastAsia="宋体" w:hint="default"/>
                <w:sz w:val="18"/>
                <w:szCs w:val="18"/>
              </w:rPr>
              <w:t>技术推广服务； 计算机系统服 </w:t>
            </w:r>
            <w:r>
              <w:rPr>
                <w:rFonts w:ascii="宋体" w:hAnsi="宋体" w:cs="宋体" w:eastAsia="宋体" w:hint="default"/>
                <w:spacing w:val="-7"/>
                <w:sz w:val="18"/>
                <w:szCs w:val="18"/>
              </w:rPr>
              <w:t>务；销售计算机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软件及辅助设 备、通讯设备、 电子产品</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96.00%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bl>
    <w:p>
      <w:pPr>
        <w:spacing w:after="0" w:line="321"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4"/>
          <w:szCs w:val="14"/>
        </w:rPr>
      </w:pPr>
    </w:p>
    <w:p>
      <w:pPr>
        <w:pStyle w:val="BodyText"/>
        <w:spacing w:line="193" w:lineRule="exact"/>
        <w:ind w:left="156" w:right="-19"/>
        <w:jc w:val="left"/>
      </w:pPr>
      <w:r>
        <w:rPr>
          <w:spacing w:val="-4"/>
        </w:rPr>
        <w:t>视加天辰（北京）</w:t>
      </w:r>
    </w:p>
    <w:p>
      <w:pPr>
        <w:pStyle w:val="BodyText"/>
        <w:tabs>
          <w:tab w:pos="2904" w:val="left" w:leader="none"/>
        </w:tabs>
        <w:spacing w:line="150" w:lineRule="exact"/>
        <w:ind w:left="1538" w:right="-19"/>
        <w:jc w:val="left"/>
      </w:pPr>
      <w:r>
        <w:rPr/>
        <w:t>中国北京</w:t>
        <w:tab/>
        <w:t>中国北京</w:t>
      </w:r>
    </w:p>
    <w:p>
      <w:pPr>
        <w:pStyle w:val="BodyText"/>
        <w:spacing w:line="193" w:lineRule="exact"/>
        <w:ind w:left="156" w:right="-19"/>
        <w:jc w:val="left"/>
      </w:pPr>
      <w:r>
        <w:rPr/>
        <w:t>科技有限公司</w:t>
      </w:r>
    </w:p>
    <w:p>
      <w:pPr>
        <w:spacing w:line="240" w:lineRule="auto" w:before="6"/>
        <w:rPr>
          <w:rFonts w:ascii="宋体" w:hAnsi="宋体" w:cs="宋体" w:eastAsia="宋体" w:hint="default"/>
          <w:sz w:val="16"/>
          <w:szCs w:val="16"/>
        </w:rPr>
      </w:pPr>
      <w:r>
        <w:rPr/>
        <w:br w:type="column"/>
      </w:r>
      <w:r>
        <w:rPr>
          <w:rFonts w:ascii="宋体"/>
          <w:sz w:val="16"/>
        </w:rPr>
      </w:r>
    </w:p>
    <w:p>
      <w:pPr>
        <w:pStyle w:val="BodyText"/>
        <w:spacing w:line="316" w:lineRule="auto"/>
        <w:ind w:left="156" w:right="-17"/>
        <w:jc w:val="left"/>
      </w:pPr>
      <w:r>
        <w:rPr/>
        <w:pict>
          <v:group style="position:absolute;margin-left:56.325001pt;margin-top:-3.363298pt;width:479.85pt;height:590pt;mso-position-horizontal-relative:page;mso-position-vertical-relative:paragraph;z-index:-1325176" coordorigin="1127,-67" coordsize="9597,11800">
            <v:group style="position:absolute;left:2508;top:-45;width:1367;height:931" coordorigin="2508,-45" coordsize="1367,931">
              <v:shape style="position:absolute;left:2508;top:-45;width:1367;height:931" coordorigin="2508,-45" coordsize="1367,931" path="m2508,886l3875,886,3875,-45,2508,-45,2508,886xe" filled="true" fillcolor="#ffffff" stroked="false">
                <v:path arrowok="t"/>
                <v:fill type="solid"/>
              </v:shape>
            </v:group>
            <v:group style="position:absolute;left:2523;top:886;width:2;height:391" coordorigin="2523,886" coordsize="2,391">
              <v:shape style="position:absolute;left:2523;top:886;width:2;height:391" coordorigin="2523,886" coordsize="0,391" path="m2523,886l2523,1276e" filled="false" stroked="true" strokeweight="1.5pt" strokecolor="#ffffff">
                <v:path arrowok="t"/>
              </v:shape>
            </v:group>
            <v:group style="position:absolute;left:2538;top:886;width:1307;height:391" coordorigin="2538,886" coordsize="1307,391">
              <v:shape style="position:absolute;left:2538;top:886;width:1307;height:391" coordorigin="2538,886" coordsize="1307,391" path="m2538,1276l3845,1276,3845,886,2538,886,2538,1276xe" filled="true" fillcolor="#ffffff" stroked="false">
                <v:path arrowok="t"/>
                <v:fill type="solid"/>
              </v:shape>
            </v:group>
            <v:group style="position:absolute;left:1142;top:-52;width:1352;height:2" coordorigin="1142,-52" coordsize="1352,2">
              <v:shape style="position:absolute;left:1142;top:-52;width:1352;height:2" coordorigin="1142,-52" coordsize="1352,0" path="m1142,-52l2493,-52e" filled="false" stroked="true" strokeweight=".75pt" strokecolor="#000000">
                <v:path arrowok="t"/>
              </v:shape>
            </v:group>
            <v:group style="position:absolute;left:2508;top:-52;width:1367;height:2" coordorigin="2508,-52" coordsize="1367,2">
              <v:shape style="position:absolute;left:2508;top:-52;width:1367;height:2" coordorigin="2508,-52" coordsize="1367,0" path="m2508,-52l3875,-52e" filled="false" stroked="true" strokeweight=".75pt" strokecolor="#000000">
                <v:path arrowok="t"/>
              </v:shape>
            </v:group>
            <v:group style="position:absolute;left:3890;top:-52;width:1352;height:2" coordorigin="3890,-52" coordsize="1352,2">
              <v:shape style="position:absolute;left:3890;top:-52;width:1352;height:2" coordorigin="3890,-52" coordsize="1352,0" path="m3890,-52l5242,-52e" filled="false" stroked="true" strokeweight=".75pt" strokecolor="#000000">
                <v:path arrowok="t"/>
              </v:shape>
            </v:group>
            <v:group style="position:absolute;left:6624;top:-45;width:1352;height:931" coordorigin="6624,-45" coordsize="1352,931">
              <v:shape style="position:absolute;left:6624;top:-45;width:1352;height:931" coordorigin="6624,-45" coordsize="1352,931" path="m6624,886l7975,886,7975,-45,6624,-45,6624,886xe" filled="true" fillcolor="#ffffff" stroked="false">
                <v:path arrowok="t"/>
                <v:fill type="solid"/>
              </v:shape>
            </v:group>
            <v:group style="position:absolute;left:5257;top:-52;width:1352;height:2" coordorigin="5257,-52" coordsize="1352,2">
              <v:shape style="position:absolute;left:5257;top:-52;width:1352;height:2" coordorigin="5257,-52" coordsize="1352,0" path="m5257,-52l6609,-52e" filled="false" stroked="true" strokeweight=".75pt" strokecolor="#000000">
                <v:path arrowok="t"/>
              </v:shape>
            </v:group>
            <v:group style="position:absolute;left:6624;top:-52;width:1352;height:2" coordorigin="6624,-52" coordsize="1352,2">
              <v:shape style="position:absolute;left:6624;top:-52;width:1352;height:2" coordorigin="6624,-52" coordsize="1352,0" path="m6624,-52l7975,-52e" filled="false" stroked="true" strokeweight=".75pt" strokecolor="#000000">
                <v:path arrowok="t"/>
              </v:shape>
            </v:group>
            <v:group style="position:absolute;left:7990;top:-52;width:1352;height:2" coordorigin="7990,-52" coordsize="1352,2">
              <v:shape style="position:absolute;left:7990;top:-52;width:1352;height:2" coordorigin="7990,-52" coordsize="1352,0" path="m7990,-52l9341,-52e" filled="false" stroked="true" strokeweight=".75pt" strokecolor="#000000">
                <v:path arrowok="t"/>
              </v:shape>
            </v:group>
            <v:group style="position:absolute;left:9357;top:-52;width:1352;height:2" coordorigin="9357,-52" coordsize="1352,2">
              <v:shape style="position:absolute;left:9357;top:-52;width:1352;height:2" coordorigin="9357,-52" coordsize="1352,0" path="m9357,-52l10709,-52e" filled="false" stroked="true" strokeweight=".75pt" strokecolor="#000000">
                <v:path arrowok="t"/>
              </v:shape>
            </v:group>
            <v:group style="position:absolute;left:6624;top:1276;width:1352;height:946" coordorigin="6624,1276" coordsize="1352,946">
              <v:shape style="position:absolute;left:6624;top:1276;width:1352;height:946" coordorigin="6624,1276" coordsize="1352,946" path="m6624,2222l7975,2222,7975,1276,6624,1276,6624,2222xe" filled="true" fillcolor="#ffffff" stroked="false">
                <v:path arrowok="t"/>
                <v:fill type="solid"/>
              </v:shape>
            </v:group>
            <v:group style="position:absolute;left:1142;top:2230;width:1352;height:2" coordorigin="1142,2230" coordsize="1352,2">
              <v:shape style="position:absolute;left:1142;top:2230;width:1352;height:2" coordorigin="1142,2230" coordsize="1352,0" path="m1142,2230l2493,2230e" filled="false" stroked="true" strokeweight=".75pt" strokecolor="#000000">
                <v:path arrowok="t"/>
              </v:shape>
            </v:group>
            <v:group style="position:absolute;left:2508;top:2230;width:1367;height:2" coordorigin="2508,2230" coordsize="1367,2">
              <v:shape style="position:absolute;left:2508;top:2230;width:1367;height:2" coordorigin="2508,2230" coordsize="1367,0" path="m2508,2230l3875,2230e" filled="false" stroked="true" strokeweight=".75pt" strokecolor="#000000">
                <v:path arrowok="t"/>
              </v:shape>
            </v:group>
            <v:group style="position:absolute;left:3890;top:2230;width:1352;height:2" coordorigin="3890,2230" coordsize="1352,2">
              <v:shape style="position:absolute;left:3890;top:2230;width:1352;height:2" coordorigin="3890,2230" coordsize="1352,0" path="m3890,2230l5242,2230e" filled="false" stroked="true" strokeweight=".75pt" strokecolor="#000000">
                <v:path arrowok="t"/>
              </v:shape>
            </v:group>
            <v:group style="position:absolute;left:5257;top:2230;width:1352;height:2" coordorigin="5257,2230" coordsize="1352,2">
              <v:shape style="position:absolute;left:5257;top:2230;width:1352;height:2" coordorigin="5257,2230" coordsize="1352,0" path="m5257,2230l6609,2230e" filled="false" stroked="true" strokeweight=".75pt" strokecolor="#000000">
                <v:path arrowok="t"/>
              </v:shape>
            </v:group>
            <v:group style="position:absolute;left:6624;top:2230;width:1352;height:2" coordorigin="6624,2230" coordsize="1352,2">
              <v:shape style="position:absolute;left:6624;top:2230;width:1352;height:2" coordorigin="6624,2230" coordsize="1352,0" path="m6624,2230l7975,2230e" filled="false" stroked="true" strokeweight=".75pt" strokecolor="#000000">
                <v:path arrowok="t"/>
              </v:shape>
            </v:group>
            <v:group style="position:absolute;left:7990;top:2230;width:1352;height:2" coordorigin="7990,2230" coordsize="1352,2">
              <v:shape style="position:absolute;left:7990;top:2230;width:1352;height:2" coordorigin="7990,2230" coordsize="1352,0" path="m7990,2230l9341,2230e" filled="false" stroked="true" strokeweight=".75pt" strokecolor="#000000">
                <v:path arrowok="t"/>
              </v:shape>
            </v:group>
            <v:group style="position:absolute;left:9357;top:2230;width:1352;height:2" coordorigin="9357,2230" coordsize="1352,2">
              <v:shape style="position:absolute;left:9357;top:2230;width:1352;height:2" coordorigin="9357,2230" coordsize="1352,0" path="m9357,2230l10709,2230e" filled="false" stroked="true" strokeweight=".75pt" strokecolor="#000000">
                <v:path arrowok="t"/>
              </v:shape>
            </v:group>
            <v:group style="position:absolute;left:1142;top:3566;width:1352;height:2" coordorigin="1142,3566" coordsize="1352,2">
              <v:shape style="position:absolute;left:1142;top:3566;width:1352;height:2" coordorigin="1142,3566" coordsize="1352,0" path="m1142,3566l2493,3566e" filled="false" stroked="true" strokeweight=".75pt" strokecolor="#000000">
                <v:path arrowok="t"/>
              </v:shape>
            </v:group>
            <v:group style="position:absolute;left:2508;top:3566;width:1367;height:2" coordorigin="2508,3566" coordsize="1367,2">
              <v:shape style="position:absolute;left:2508;top:3566;width:1367;height:2" coordorigin="2508,3566" coordsize="1367,0" path="m2508,3566l3875,3566e" filled="false" stroked="true" strokeweight=".75pt" strokecolor="#000000">
                <v:path arrowok="t"/>
              </v:shape>
            </v:group>
            <v:group style="position:absolute;left:3890;top:3566;width:1352;height:2" coordorigin="3890,3566" coordsize="1352,2">
              <v:shape style="position:absolute;left:3890;top:3566;width:1352;height:2" coordorigin="3890,3566" coordsize="1352,0" path="m3890,3566l5242,3566e" filled="false" stroked="true" strokeweight=".75pt" strokecolor="#000000">
                <v:path arrowok="t"/>
              </v:shape>
            </v:group>
            <v:group style="position:absolute;left:5257;top:3566;width:1352;height:2" coordorigin="5257,3566" coordsize="1352,2">
              <v:shape style="position:absolute;left:5257;top:3566;width:1352;height:2" coordorigin="5257,3566" coordsize="1352,0" path="m5257,3566l6609,3566e" filled="false" stroked="true" strokeweight=".75pt" strokecolor="#000000">
                <v:path arrowok="t"/>
              </v:shape>
            </v:group>
            <v:group style="position:absolute;left:6624;top:3566;width:1352;height:2" coordorigin="6624,3566" coordsize="1352,2">
              <v:shape style="position:absolute;left:6624;top:3566;width:1352;height:2" coordorigin="6624,3566" coordsize="1352,0" path="m6624,3566l7975,3566e" filled="false" stroked="true" strokeweight=".75pt" strokecolor="#000000">
                <v:path arrowok="t"/>
              </v:shape>
            </v:group>
            <v:group style="position:absolute;left:7990;top:3566;width:1352;height:2" coordorigin="7990,3566" coordsize="1352,2">
              <v:shape style="position:absolute;left:7990;top:3566;width:1352;height:2" coordorigin="7990,3566" coordsize="1352,0" path="m7990,3566l9341,3566e" filled="false" stroked="true" strokeweight=".75pt" strokecolor="#000000">
                <v:path arrowok="t"/>
              </v:shape>
            </v:group>
            <v:group style="position:absolute;left:9357;top:3566;width:1352;height:2" coordorigin="9357,3566" coordsize="1352,2">
              <v:shape style="position:absolute;left:9357;top:3566;width:1352;height:2" coordorigin="9357,3566" coordsize="1352,0" path="m9357,3566l10709,3566e" filled="false" stroked="true" strokeweight=".75pt" strokecolor="#000000">
                <v:path arrowok="t"/>
              </v:shape>
            </v:group>
            <v:group style="position:absolute;left:6624;top:5840;width:1352;height:931" coordorigin="6624,5840" coordsize="1352,931">
              <v:shape style="position:absolute;left:6624;top:5840;width:1352;height:931" coordorigin="6624,5840" coordsize="1352,931" path="m6624,6771l7975,6771,7975,5840,6624,5840,6624,6771xe" filled="true" fillcolor="#ffffff" stroked="false">
                <v:path arrowok="t"/>
                <v:fill type="solid"/>
              </v:shape>
            </v:group>
            <v:group style="position:absolute;left:1142;top:5833;width:1352;height:2" coordorigin="1142,5833" coordsize="1352,2">
              <v:shape style="position:absolute;left:1142;top:5833;width:1352;height:2" coordorigin="1142,5833" coordsize="1352,0" path="m1142,5833l2493,5833e" filled="false" stroked="true" strokeweight=".75pt" strokecolor="#000000">
                <v:path arrowok="t"/>
              </v:shape>
            </v:group>
            <v:group style="position:absolute;left:2508;top:5833;width:1367;height:2" coordorigin="2508,5833" coordsize="1367,2">
              <v:shape style="position:absolute;left:2508;top:5833;width:1367;height:2" coordorigin="2508,5833" coordsize="1367,0" path="m2508,5833l3875,5833e" filled="false" stroked="true" strokeweight=".75pt" strokecolor="#000000">
                <v:path arrowok="t"/>
              </v:shape>
            </v:group>
            <v:group style="position:absolute;left:3890;top:5833;width:1352;height:2" coordorigin="3890,5833" coordsize="1352,2">
              <v:shape style="position:absolute;left:3890;top:5833;width:1352;height:2" coordorigin="3890,5833" coordsize="1352,0" path="m3890,5833l5242,5833e" filled="false" stroked="true" strokeweight=".75pt" strokecolor="#000000">
                <v:path arrowok="t"/>
              </v:shape>
            </v:group>
            <v:group style="position:absolute;left:5257;top:5833;width:1352;height:2" coordorigin="5257,5833" coordsize="1352,2">
              <v:shape style="position:absolute;left:5257;top:5833;width:1352;height:2" coordorigin="5257,5833" coordsize="1352,0" path="m5257,5833l6609,5833e" filled="false" stroked="true" strokeweight=".75pt" strokecolor="#000000">
                <v:path arrowok="t"/>
              </v:shape>
            </v:group>
            <v:group style="position:absolute;left:6624;top:5833;width:1352;height:2" coordorigin="6624,5833" coordsize="1352,2">
              <v:shape style="position:absolute;left:6624;top:5833;width:1352;height:2" coordorigin="6624,5833" coordsize="1352,0" path="m6624,5833l7975,5833e" filled="false" stroked="true" strokeweight=".75pt" strokecolor="#000000">
                <v:path arrowok="t"/>
              </v:shape>
            </v:group>
            <v:group style="position:absolute;left:7990;top:5833;width:1352;height:2" coordorigin="7990,5833" coordsize="1352,2">
              <v:shape style="position:absolute;left:7990;top:5833;width:1352;height:2" coordorigin="7990,5833" coordsize="1352,0" path="m7990,5833l9341,5833e" filled="false" stroked="true" strokeweight=".75pt" strokecolor="#000000">
                <v:path arrowok="t"/>
              </v:shape>
            </v:group>
            <v:group style="position:absolute;left:9357;top:5833;width:1352;height:2" coordorigin="9357,5833" coordsize="1352,2">
              <v:shape style="position:absolute;left:9357;top:5833;width:1352;height:2" coordorigin="9357,5833" coordsize="1352,0" path="m9357,5833l10709,5833e" filled="false" stroked="true" strokeweight=".75pt" strokecolor="#000000">
                <v:path arrowok="t"/>
              </v:shape>
            </v:group>
            <v:group style="position:absolute;left:1142;top:8115;width:1352;height:2" coordorigin="1142,8115" coordsize="1352,2">
              <v:shape style="position:absolute;left:1142;top:8115;width:1352;height:2" coordorigin="1142,8115" coordsize="1352,0" path="m1142,8115l2493,8115e" filled="false" stroked="true" strokeweight=".75pt" strokecolor="#000000">
                <v:path arrowok="t"/>
              </v:shape>
            </v:group>
            <v:group style="position:absolute;left:2508;top:8115;width:1367;height:2" coordorigin="2508,8115" coordsize="1367,2">
              <v:shape style="position:absolute;left:2508;top:8115;width:1367;height:2" coordorigin="2508,8115" coordsize="1367,0" path="m2508,8115l3875,8115e" filled="false" stroked="true" strokeweight=".75pt" strokecolor="#000000">
                <v:path arrowok="t"/>
              </v:shape>
            </v:group>
            <v:group style="position:absolute;left:3890;top:8115;width:1352;height:2" coordorigin="3890,8115" coordsize="1352,2">
              <v:shape style="position:absolute;left:3890;top:8115;width:1352;height:2" coordorigin="3890,8115" coordsize="1352,0" path="m3890,8115l5242,8115e" filled="false" stroked="true" strokeweight=".75pt" strokecolor="#000000">
                <v:path arrowok="t"/>
              </v:shape>
            </v:group>
            <v:group style="position:absolute;left:5257;top:8115;width:1352;height:2" coordorigin="5257,8115" coordsize="1352,2">
              <v:shape style="position:absolute;left:5257;top:8115;width:1352;height:2" coordorigin="5257,8115" coordsize="1352,0" path="m5257,8115l6609,8115e" filled="false" stroked="true" strokeweight=".75pt" strokecolor="#000000">
                <v:path arrowok="t"/>
              </v:shape>
            </v:group>
            <v:group style="position:absolute;left:6624;top:8115;width:1352;height:2" coordorigin="6624,8115" coordsize="1352,2">
              <v:shape style="position:absolute;left:6624;top:8115;width:1352;height:2" coordorigin="6624,8115" coordsize="1352,0" path="m6624,8115l7975,8115e" filled="false" stroked="true" strokeweight=".75pt" strokecolor="#000000">
                <v:path arrowok="t"/>
              </v:shape>
            </v:group>
            <v:group style="position:absolute;left:7990;top:8115;width:1352;height:2" coordorigin="7990,8115" coordsize="1352,2">
              <v:shape style="position:absolute;left:7990;top:8115;width:1352;height:2" coordorigin="7990,8115" coordsize="1352,0" path="m7990,8115l9341,8115e" filled="false" stroked="true" strokeweight=".75pt" strokecolor="#000000">
                <v:path arrowok="t"/>
              </v:shape>
            </v:group>
            <v:group style="position:absolute;left:9357;top:8115;width:1352;height:2" coordorigin="9357,8115" coordsize="1352,2">
              <v:shape style="position:absolute;left:9357;top:8115;width:1352;height:2" coordorigin="9357,8115" coordsize="1352,0" path="m9357,8115l10709,8115e" filled="false" stroked="true" strokeweight=".75pt" strokecolor="#000000">
                <v:path arrowok="t"/>
              </v:shape>
            </v:group>
            <v:group style="position:absolute;left:1142;top:11012;width:1352;height:2" coordorigin="1142,11012" coordsize="1352,2">
              <v:shape style="position:absolute;left:1142;top:11012;width:1352;height:2" coordorigin="1142,11012" coordsize="1352,0" path="m1142,11012l2493,11012e" filled="false" stroked="true" strokeweight=".75pt" strokecolor="#000000">
                <v:path arrowok="t"/>
              </v:shape>
            </v:group>
            <v:group style="position:absolute;left:2508;top:11012;width:1367;height:2" coordorigin="2508,11012" coordsize="1367,2">
              <v:shape style="position:absolute;left:2508;top:11012;width:1367;height:2" coordorigin="2508,11012" coordsize="1367,0" path="m2508,11012l3875,11012e" filled="false" stroked="true" strokeweight=".75pt" strokecolor="#000000">
                <v:path arrowok="t"/>
              </v:shape>
            </v:group>
            <v:group style="position:absolute;left:3890;top:11012;width:1352;height:2" coordorigin="3890,11012" coordsize="1352,2">
              <v:shape style="position:absolute;left:3890;top:11012;width:1352;height:2" coordorigin="3890,11012" coordsize="1352,0" path="m3890,11012l5242,11012e" filled="false" stroked="true" strokeweight=".75pt" strokecolor="#000000">
                <v:path arrowok="t"/>
              </v:shape>
            </v:group>
            <v:group style="position:absolute;left:5257;top:11012;width:1352;height:2" coordorigin="5257,11012" coordsize="1352,2">
              <v:shape style="position:absolute;left:5257;top:11012;width:1352;height:2" coordorigin="5257,11012" coordsize="1352,0" path="m5257,11012l6609,11012e" filled="false" stroked="true" strokeweight=".75pt" strokecolor="#000000">
                <v:path arrowok="t"/>
              </v:shape>
            </v:group>
            <v:group style="position:absolute;left:6624;top:11012;width:1352;height:2" coordorigin="6624,11012" coordsize="1352,2">
              <v:shape style="position:absolute;left:6624;top:11012;width:1352;height:2" coordorigin="6624,11012" coordsize="1352,0" path="m6624,11012l7975,11012e" filled="false" stroked="true" strokeweight=".75pt" strokecolor="#000000">
                <v:path arrowok="t"/>
              </v:shape>
            </v:group>
            <v:group style="position:absolute;left:7990;top:11012;width:1352;height:2" coordorigin="7990,11012" coordsize="1352,2">
              <v:shape style="position:absolute;left:7990;top:11012;width:1352;height:2" coordorigin="7990,11012" coordsize="1352,0" path="m7990,11012l9341,11012e" filled="false" stroked="true" strokeweight=".75pt" strokecolor="#000000">
                <v:path arrowok="t"/>
              </v:shape>
            </v:group>
            <v:group style="position:absolute;left:9357;top:11012;width:1352;height:2" coordorigin="9357,11012" coordsize="1352,2">
              <v:shape style="position:absolute;left:9357;top:11012;width:1352;height:2" coordorigin="9357,11012" coordsize="1352,0" path="m9357,11012l10709,11012e" filled="false" stroked="true" strokeweight=".75pt" strokecolor="#000000">
                <v:path arrowok="t"/>
              </v:shape>
            </v:group>
            <v:group style="position:absolute;left:1134;top:-60;width:2;height:11785" coordorigin="1134,-60" coordsize="2,11785">
              <v:shape style="position:absolute;left:1134;top:-60;width:2;height:11785" coordorigin="1134,-60" coordsize="0,11785" path="m1134,-60l1134,11725e" filled="false" stroked="true" strokeweight=".75pt" strokecolor="#000000">
                <v:path arrowok="t"/>
              </v:shape>
            </v:group>
            <v:group style="position:absolute;left:1142;top:11718;width:1352;height:2" coordorigin="1142,11718" coordsize="1352,2">
              <v:shape style="position:absolute;left:1142;top:11718;width:1352;height:2" coordorigin="1142,11718" coordsize="1352,0" path="m1142,11718l2493,11718e" filled="false" stroked="true" strokeweight=".75pt" strokecolor="#000000">
                <v:path arrowok="t"/>
              </v:shape>
            </v:group>
            <v:group style="position:absolute;left:2500;top:-60;width:2;height:11785" coordorigin="2500,-60" coordsize="2,11785">
              <v:shape style="position:absolute;left:2500;top:-60;width:2;height:11785" coordorigin="2500,-60" coordsize="0,11785" path="m2500,-60l2500,11725e" filled="false" stroked="true" strokeweight=".75pt" strokecolor="#000000">
                <v:path arrowok="t"/>
              </v:shape>
            </v:group>
            <v:group style="position:absolute;left:2508;top:11718;width:1367;height:2" coordorigin="2508,11718" coordsize="1367,2">
              <v:shape style="position:absolute;left:2508;top:11718;width:1367;height:2" coordorigin="2508,11718" coordsize="1367,0" path="m2508,11718l3875,11718e" filled="false" stroked="true" strokeweight=".75pt" strokecolor="#000000">
                <v:path arrowok="t"/>
              </v:shape>
            </v:group>
            <v:group style="position:absolute;left:3883;top:-60;width:2;height:11785" coordorigin="3883,-60" coordsize="2,11785">
              <v:shape style="position:absolute;left:3883;top:-60;width:2;height:11785" coordorigin="3883,-60" coordsize="0,11785" path="m3883,-60l3883,11725e" filled="false" stroked="true" strokeweight=".75pt" strokecolor="#000000">
                <v:path arrowok="t"/>
              </v:shape>
            </v:group>
            <v:group style="position:absolute;left:3890;top:11718;width:1352;height:2" coordorigin="3890,11718" coordsize="1352,2">
              <v:shape style="position:absolute;left:3890;top:11718;width:1352;height:2" coordorigin="3890,11718" coordsize="1352,0" path="m3890,11718l5242,11718e" filled="false" stroked="true" strokeweight=".75pt" strokecolor="#000000">
                <v:path arrowok="t"/>
              </v:shape>
            </v:group>
            <v:group style="position:absolute;left:5249;top:-60;width:2;height:11785" coordorigin="5249,-60" coordsize="2,11785">
              <v:shape style="position:absolute;left:5249;top:-60;width:2;height:11785" coordorigin="5249,-60" coordsize="0,11785" path="m5249,-60l5249,11725e" filled="false" stroked="true" strokeweight=".75pt" strokecolor="#000000">
                <v:path arrowok="t"/>
              </v:shape>
            </v:group>
            <v:group style="position:absolute;left:5257;top:11718;width:1352;height:2" coordorigin="5257,11718" coordsize="1352,2">
              <v:shape style="position:absolute;left:5257;top:11718;width:1352;height:2" coordorigin="5257,11718" coordsize="1352,0" path="m5257,11718l6609,11718e" filled="false" stroked="true" strokeweight=".75pt" strokecolor="#000000">
                <v:path arrowok="t"/>
              </v:shape>
            </v:group>
            <v:group style="position:absolute;left:6616;top:-60;width:2;height:11785" coordorigin="6616,-60" coordsize="2,11785">
              <v:shape style="position:absolute;left:6616;top:-60;width:2;height:11785" coordorigin="6616,-60" coordsize="0,11785" path="m6616,-60l6616,11725e" filled="false" stroked="true" strokeweight=".75pt" strokecolor="#000000">
                <v:path arrowok="t"/>
              </v:shape>
            </v:group>
            <v:group style="position:absolute;left:6624;top:11718;width:1352;height:2" coordorigin="6624,11718" coordsize="1352,2">
              <v:shape style="position:absolute;left:6624;top:11718;width:1352;height:2" coordorigin="6624,11718" coordsize="1352,0" path="m6624,11718l7975,11718e" filled="false" stroked="true" strokeweight=".75pt" strokecolor="#000000">
                <v:path arrowok="t"/>
              </v:shape>
            </v:group>
            <v:group style="position:absolute;left:7982;top:-60;width:2;height:11785" coordorigin="7982,-60" coordsize="2,11785">
              <v:shape style="position:absolute;left:7982;top:-60;width:2;height:11785" coordorigin="7982,-60" coordsize="0,11785" path="m7982,-60l7982,11725e" filled="false" stroked="true" strokeweight=".75pt" strokecolor="#000000">
                <v:path arrowok="t"/>
              </v:shape>
            </v:group>
            <v:group style="position:absolute;left:7990;top:11718;width:1352;height:2" coordorigin="7990,11718" coordsize="1352,2">
              <v:shape style="position:absolute;left:7990;top:11718;width:1352;height:2" coordorigin="7990,11718" coordsize="1352,0" path="m7990,11718l9341,11718e" filled="false" stroked="true" strokeweight=".75pt" strokecolor="#000000">
                <v:path arrowok="t"/>
              </v:shape>
            </v:group>
            <v:group style="position:absolute;left:9349;top:-60;width:2;height:11785" coordorigin="9349,-60" coordsize="2,11785">
              <v:shape style="position:absolute;left:9349;top:-60;width:2;height:11785" coordorigin="9349,-60" coordsize="0,11785" path="m9349,-60l9349,11725e" filled="false" stroked="true" strokeweight=".75pt" strokecolor="#000000">
                <v:path arrowok="t"/>
              </v:shape>
            </v:group>
            <v:group style="position:absolute;left:9357;top:11718;width:1352;height:2" coordorigin="9357,11718" coordsize="1352,2">
              <v:shape style="position:absolute;left:9357;top:11718;width:1352;height:2" coordorigin="9357,11718" coordsize="1352,0" path="m9357,11718l10709,11718e" filled="false" stroked="true" strokeweight=".75pt" strokecolor="#000000">
                <v:path arrowok="t"/>
              </v:shape>
            </v:group>
            <v:group style="position:absolute;left:10716;top:-60;width:2;height:11785" coordorigin="10716,-60" coordsize="2,11785">
              <v:shape style="position:absolute;left:10716;top:-60;width:2;height:11785" coordorigin="10716,-60" coordsize="0,11785" path="m10716,-60l10716,11725e" filled="false" stroked="true" strokeweight=".75pt" strokecolor="#000000">
                <v:path arrowok="t"/>
              </v:shape>
            </v:group>
            <w10:wrap type="none"/>
          </v:group>
        </w:pict>
      </w:r>
      <w:r>
        <w:rPr/>
        <w:t>技术开发、技术 </w:t>
      </w:r>
      <w:r>
        <w:rPr>
          <w:spacing w:val="-6"/>
        </w:rPr>
        <w:t>推广、技术转让、</w:t>
      </w:r>
      <w:r>
        <w:rPr>
          <w:spacing w:val="-87"/>
        </w:rPr>
        <w:t> </w:t>
      </w:r>
      <w:r>
        <w:rPr>
          <w:spacing w:val="-87"/>
        </w:rPr>
      </w:r>
      <w:r>
        <w:rPr/>
        <w:t>技术咨询、技术 服务；销售电子 </w:t>
      </w:r>
      <w:r>
        <w:rPr>
          <w:spacing w:val="-6"/>
        </w:rPr>
        <w:t>产品、通讯设备、</w:t>
      </w:r>
      <w:r>
        <w:rPr>
          <w:spacing w:val="-87"/>
        </w:rPr>
        <w:t> </w:t>
      </w:r>
      <w:r>
        <w:rPr>
          <w:spacing w:val="-87"/>
        </w:rPr>
      </w:r>
      <w:r>
        <w:rPr/>
        <w:t>专用设备；计算 机系统服务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BodyText"/>
        <w:spacing w:line="240" w:lineRule="auto"/>
        <w:ind w:left="156" w:right="-20"/>
        <w:jc w:val="left"/>
        <w:rPr>
          <w:rFonts w:ascii="Times New Roman" w:hAnsi="Times New Roman" w:cs="Times New Roman" w:eastAsia="Times New Roman" w:hint="default"/>
        </w:rPr>
      </w:pPr>
      <w:r>
        <w:rPr>
          <w:rFonts w:ascii="Times New Roman"/>
        </w:rPr>
        <w:t>96.00%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4"/>
          <w:szCs w:val="14"/>
        </w:rPr>
      </w:pPr>
    </w:p>
    <w:p>
      <w:pPr>
        <w:pStyle w:val="BodyText"/>
        <w:spacing w:line="307" w:lineRule="auto"/>
        <w:ind w:left="20" w:right="1259"/>
        <w:jc w:val="left"/>
      </w:pPr>
      <w:r>
        <w:rPr/>
        <w:t>同一控制下企业 合并</w:t>
      </w:r>
    </w:p>
    <w:p>
      <w:pPr>
        <w:spacing w:after="0" w:line="307" w:lineRule="auto"/>
        <w:jc w:val="left"/>
        <w:sectPr>
          <w:type w:val="continuous"/>
          <w:pgSz w:w="11910" w:h="16850"/>
          <w:pgMar w:top="1040" w:bottom="1180" w:left="1000" w:right="0"/>
          <w:cols w:num="4" w:equalWidth="0">
            <w:col w:w="3626" w:space="490"/>
            <w:col w:w="1552" w:space="1932"/>
            <w:col w:w="712" w:space="40"/>
            <w:col w:w="2558"/>
          </w:cols>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BodyText"/>
        <w:tabs>
          <w:tab w:pos="1537" w:val="left" w:leader="none"/>
          <w:tab w:pos="2904" w:val="left" w:leader="none"/>
        </w:tabs>
        <w:spacing w:line="240" w:lineRule="auto"/>
        <w:ind w:left="156" w:right="-19"/>
        <w:jc w:val="left"/>
      </w:pPr>
      <w:r>
        <w:rPr/>
        <w:t>深圳云之尚</w:t>
        <w:tab/>
        <w:t>广东深圳</w:t>
        <w:tab/>
        <w:t>中国深圳</w:t>
      </w:r>
    </w:p>
    <w:p>
      <w:pPr>
        <w:pStyle w:val="BodyText"/>
        <w:spacing w:line="316" w:lineRule="auto" w:before="112"/>
        <w:ind w:left="156" w:right="-20"/>
        <w:jc w:val="left"/>
      </w:pPr>
      <w:r>
        <w:rPr/>
        <w:br w:type="column"/>
      </w:r>
      <w:r>
        <w:rPr/>
        <w:t>计算机、软件及 辅助设备的销 售；电子产品的 研发、销售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spacing w:line="240" w:lineRule="auto"/>
        <w:ind w:left="156" w:right="-20"/>
        <w:jc w:val="left"/>
        <w:rPr>
          <w:rFonts w:ascii="Times New Roman" w:hAnsi="Times New Roman" w:cs="Times New Roman" w:eastAsia="Times New Roman" w:hint="default"/>
        </w:rPr>
      </w:pPr>
      <w:r>
        <w:rPr>
          <w:rFonts w:ascii="Times New Roman"/>
        </w:rPr>
        <w:t>96.00%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2"/>
        <w:rPr>
          <w:rFonts w:ascii="Times New Roman" w:hAnsi="Times New Roman" w:cs="Times New Roman" w:eastAsia="Times New Roman" w:hint="default"/>
          <w:sz w:val="19"/>
          <w:szCs w:val="19"/>
        </w:rPr>
      </w:pPr>
    </w:p>
    <w:p>
      <w:pPr>
        <w:pStyle w:val="BodyText"/>
        <w:spacing w:line="321" w:lineRule="auto"/>
        <w:ind w:left="20" w:right="1259"/>
        <w:jc w:val="left"/>
      </w:pPr>
      <w:r>
        <w:rPr/>
        <w:t>同一控制下企业 合并</w:t>
      </w:r>
    </w:p>
    <w:p>
      <w:pPr>
        <w:spacing w:after="0" w:line="321" w:lineRule="auto"/>
        <w:jc w:val="left"/>
        <w:sectPr>
          <w:type w:val="continuous"/>
          <w:pgSz w:w="11910" w:h="16850"/>
          <w:pgMar w:top="1040" w:bottom="1180" w:left="1000" w:right="0"/>
          <w:cols w:num="4" w:equalWidth="0">
            <w:col w:w="3626" w:space="490"/>
            <w:col w:w="1417" w:space="2067"/>
            <w:col w:w="712" w:space="40"/>
            <w:col w:w="2558"/>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BodyText"/>
        <w:tabs>
          <w:tab w:pos="1537" w:val="left" w:leader="none"/>
          <w:tab w:pos="2904" w:val="left" w:leader="none"/>
        </w:tabs>
        <w:spacing w:line="240" w:lineRule="auto"/>
        <w:ind w:left="156" w:right="-19"/>
        <w:jc w:val="left"/>
      </w:pPr>
      <w:r>
        <w:rPr/>
        <w:t>易视腾投资</w:t>
        <w:tab/>
        <w:t>江苏无锡</w:t>
        <w:tab/>
        <w:t>中国江苏</w:t>
      </w:r>
    </w:p>
    <w:p>
      <w:pPr>
        <w:pStyle w:val="BodyText"/>
        <w:spacing w:line="321" w:lineRule="auto" w:before="112"/>
        <w:ind w:left="156" w:right="-18"/>
        <w:jc w:val="left"/>
      </w:pPr>
      <w:r>
        <w:rPr/>
        <w:br w:type="column"/>
      </w:r>
      <w:r>
        <w:rPr/>
        <w:t>投资管理；利用 自有资产对外投</w:t>
      </w:r>
    </w:p>
    <w:p>
      <w:pPr>
        <w:pStyle w:val="BodyText"/>
        <w:spacing w:line="304" w:lineRule="auto" w:before="33"/>
        <w:ind w:left="156" w:right="-18"/>
        <w:jc w:val="left"/>
      </w:pPr>
      <w:r>
        <w:rPr>
          <w:spacing w:val="-2"/>
        </w:rPr>
        <w:t>资；投资咨询</w:t>
      </w:r>
      <w:r>
        <w:rPr>
          <w:rFonts w:ascii="Times New Roman" w:hAnsi="Times New Roman" w:cs="Times New Roman" w:eastAsia="Times New Roman" w:hint="default"/>
          <w:spacing w:val="-2"/>
        </w:rPr>
        <w:t>(</w:t>
      </w:r>
      <w:r>
        <w:rPr>
          <w:spacing w:val="-2"/>
        </w:rPr>
        <w:t>不</w:t>
      </w:r>
      <w:r>
        <w:rPr/>
        <w:t> 含证券、</w:t>
      </w:r>
      <w:r>
        <w:rPr>
          <w:spacing w:val="1"/>
        </w:rPr>
        <w:t> </w:t>
      </w:r>
      <w:r>
        <w:rPr/>
        <w:t>期货</w:t>
      </w:r>
      <w:r>
        <w:rPr/>
        <w:t> </w:t>
      </w:r>
      <w:r>
        <w:rPr>
          <w:spacing w:val="-2"/>
        </w:rPr>
        <w:t>类</w:t>
      </w:r>
      <w:r>
        <w:rPr>
          <w:rFonts w:ascii="Times New Roman" w:hAnsi="Times New Roman" w:cs="Times New Roman" w:eastAsia="Times New Roman" w:hint="default"/>
          <w:spacing w:val="-2"/>
        </w:rPr>
        <w:t>)</w:t>
      </w:r>
      <w:r>
        <w:rPr>
          <w:spacing w:val="-2"/>
        </w:rPr>
        <w:t>；经济贸易咨</w:t>
      </w:r>
      <w:r>
        <w:rPr/>
        <w:t> 询；企业管理咨 询；市场调查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left="156" w:right="-20"/>
        <w:jc w:val="left"/>
        <w:rPr>
          <w:rFonts w:ascii="Times New Roman" w:hAnsi="Times New Roman" w:cs="Times New Roman" w:eastAsia="Times New Roman" w:hint="default"/>
        </w:rPr>
      </w:pPr>
      <w:r>
        <w:rPr>
          <w:rFonts w:ascii="Times New Roman"/>
        </w:rPr>
        <w:t>96.00%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3"/>
          <w:szCs w:val="23"/>
        </w:rPr>
      </w:pPr>
    </w:p>
    <w:p>
      <w:pPr>
        <w:pStyle w:val="BodyText"/>
        <w:spacing w:line="321" w:lineRule="auto"/>
        <w:ind w:left="20" w:right="1259"/>
        <w:jc w:val="left"/>
      </w:pPr>
      <w:r>
        <w:rPr/>
        <w:t>同一控制下企业 合并</w:t>
      </w:r>
    </w:p>
    <w:p>
      <w:pPr>
        <w:spacing w:after="0" w:line="321" w:lineRule="auto"/>
        <w:jc w:val="left"/>
        <w:sectPr>
          <w:type w:val="continuous"/>
          <w:pgSz w:w="11910" w:h="16850"/>
          <w:pgMar w:top="1040" w:bottom="1180" w:left="1000" w:right="0"/>
          <w:cols w:num="4" w:equalWidth="0">
            <w:col w:w="3626" w:space="490"/>
            <w:col w:w="1463" w:space="2021"/>
            <w:col w:w="712" w:space="40"/>
            <w:col w:w="2558"/>
          </w:cols>
        </w:sect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BodyText"/>
        <w:spacing w:line="321" w:lineRule="auto"/>
        <w:ind w:left="156" w:right="-20"/>
        <w:jc w:val="left"/>
      </w:pPr>
      <w:r>
        <w:rPr/>
        <w:t>云之尚智能科技 无锡有限公司</w:t>
      </w:r>
    </w:p>
    <w:p>
      <w:pPr>
        <w:pStyle w:val="BodyText"/>
        <w:spacing w:line="290" w:lineRule="auto" w:before="33"/>
        <w:ind w:left="156" w:right="80"/>
        <w:jc w:val="left"/>
      </w:pPr>
      <w:r>
        <w:rPr/>
        <w:t>（以下简称</w:t>
      </w:r>
      <w:r>
        <w:rPr>
          <w:rFonts w:ascii="Times New Roman" w:hAnsi="Times New Roman" w:cs="Times New Roman" w:eastAsia="Times New Roman" w:hint="default"/>
        </w:rPr>
        <w:t>“</w:t>
      </w:r>
      <w:r>
        <w:rPr/>
        <w:t>无</w:t>
      </w:r>
      <w:r>
        <w:rPr>
          <w:spacing w:val="-80"/>
        </w:rPr>
        <w:t> </w:t>
      </w:r>
      <w:r>
        <w:rPr/>
        <w:t>锡云之尚</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6"/>
          <w:szCs w:val="26"/>
        </w:rPr>
      </w:pPr>
    </w:p>
    <w:p>
      <w:pPr>
        <w:pStyle w:val="BodyText"/>
        <w:tabs>
          <w:tab w:pos="1448" w:val="left" w:leader="none"/>
        </w:tabs>
        <w:spacing w:line="240" w:lineRule="auto"/>
        <w:ind w:left="81" w:right="-20"/>
        <w:jc w:val="left"/>
      </w:pPr>
      <w:r>
        <w:rPr/>
        <w:t>江苏无锡</w:t>
        <w:tab/>
        <w:t>中国江苏</w:t>
      </w:r>
    </w:p>
    <w:p>
      <w:pPr>
        <w:pStyle w:val="BodyText"/>
        <w:spacing w:line="319" w:lineRule="auto" w:before="121"/>
        <w:ind w:left="156" w:right="-17"/>
        <w:jc w:val="left"/>
      </w:pPr>
      <w:r>
        <w:rPr/>
        <w:br w:type="column"/>
      </w:r>
      <w:r>
        <w:rPr/>
        <w:t>技术开发、技术 </w:t>
      </w:r>
      <w:r>
        <w:rPr>
          <w:spacing w:val="-6"/>
        </w:rPr>
        <w:t>推广、技术转让、</w:t>
      </w:r>
      <w:r>
        <w:rPr>
          <w:spacing w:val="-87"/>
        </w:rPr>
        <w:t> </w:t>
      </w:r>
      <w:r>
        <w:rPr>
          <w:spacing w:val="-87"/>
        </w:rPr>
      </w:r>
      <w:r>
        <w:rPr/>
        <w:t>技术咨询、技术 服务；通信工程 涉及、施工；自 营商品及技术的 进出口业务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BodyText"/>
        <w:spacing w:line="240" w:lineRule="auto"/>
        <w:ind w:left="156" w:right="-20"/>
        <w:jc w:val="left"/>
        <w:rPr>
          <w:rFonts w:ascii="Times New Roman" w:hAnsi="Times New Roman" w:cs="Times New Roman" w:eastAsia="Times New Roman" w:hint="default"/>
        </w:rPr>
      </w:pPr>
      <w:r>
        <w:rPr>
          <w:rFonts w:ascii="Times New Roman"/>
        </w:rPr>
        <w:t>96.00%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4"/>
          <w:szCs w:val="24"/>
        </w:rPr>
      </w:pPr>
    </w:p>
    <w:p>
      <w:pPr>
        <w:pStyle w:val="BodyText"/>
        <w:spacing w:line="321" w:lineRule="auto"/>
        <w:ind w:left="20" w:right="1259"/>
        <w:jc w:val="left"/>
      </w:pPr>
      <w:r>
        <w:rPr/>
        <w:t>同一控制下企业 合并</w:t>
      </w:r>
    </w:p>
    <w:p>
      <w:pPr>
        <w:spacing w:after="0" w:line="321" w:lineRule="auto"/>
        <w:jc w:val="left"/>
        <w:sectPr>
          <w:type w:val="continuous"/>
          <w:pgSz w:w="11910" w:h="16850"/>
          <w:pgMar w:top="1040" w:bottom="1180" w:left="1000" w:right="0"/>
          <w:cols w:num="5" w:equalWidth="0">
            <w:col w:w="1417" w:space="40"/>
            <w:col w:w="2169" w:space="490"/>
            <w:col w:w="1552" w:space="1932"/>
            <w:col w:w="712" w:space="40"/>
            <w:col w:w="2558"/>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BodyText"/>
        <w:spacing w:line="314" w:lineRule="auto"/>
        <w:ind w:left="156" w:right="-20"/>
        <w:jc w:val="left"/>
      </w:pPr>
      <w:r>
        <w:rPr/>
        <w:t>视加天辰科技有 限公司（以下简 称</w:t>
      </w:r>
      <w:r>
        <w:rPr>
          <w:rFonts w:ascii="Times New Roman" w:hAnsi="Times New Roman" w:cs="Times New Roman" w:eastAsia="Times New Roman" w:hint="default"/>
        </w:rPr>
        <w:t>“</w:t>
      </w:r>
      <w:r>
        <w:rPr/>
        <w:t>无锡视加天</w:t>
      </w:r>
      <w:r>
        <w:rPr>
          <w:spacing w:val="-80"/>
        </w:rPr>
        <w:t> </w:t>
      </w:r>
      <w:r>
        <w:rPr/>
        <w:t>辰</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BodyText"/>
        <w:tabs>
          <w:tab w:pos="1448" w:val="left" w:leader="none"/>
        </w:tabs>
        <w:spacing w:line="240" w:lineRule="auto"/>
        <w:ind w:left="81" w:right="-20"/>
        <w:jc w:val="left"/>
      </w:pPr>
      <w:r>
        <w:rPr/>
        <w:t>江苏无锡</w:t>
        <w:tab/>
        <w:t>中国江苏</w:t>
      </w:r>
    </w:p>
    <w:p>
      <w:pPr>
        <w:pStyle w:val="BodyText"/>
        <w:spacing w:line="316" w:lineRule="auto" w:before="110"/>
        <w:ind w:left="156" w:right="-20"/>
        <w:jc w:val="left"/>
      </w:pPr>
      <w:r>
        <w:rPr/>
        <w:br w:type="column"/>
      </w:r>
      <w:r>
        <w:rPr/>
        <w:t>数码产品研发、 咨询及销售、计 算机软硬件的技 术开发、技术咨 询、技术服务及 技术转让人工智 能终端工程涉 及、施工、商品 技术进出口</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8"/>
          <w:szCs w:val="18"/>
        </w:rPr>
      </w:pPr>
    </w:p>
    <w:p>
      <w:pPr>
        <w:pStyle w:val="BodyText"/>
        <w:spacing w:line="240" w:lineRule="auto"/>
        <w:ind w:left="156" w:right="-20"/>
        <w:jc w:val="left"/>
        <w:rPr>
          <w:rFonts w:ascii="Times New Roman" w:hAnsi="Times New Roman" w:cs="Times New Roman" w:eastAsia="Times New Roman" w:hint="default"/>
        </w:rPr>
      </w:pPr>
      <w:r>
        <w:rPr>
          <w:rFonts w:ascii="Times New Roman"/>
        </w:rPr>
        <w:t>96.00%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321" w:lineRule="auto" w:before="156"/>
        <w:ind w:left="20" w:right="1259"/>
        <w:jc w:val="left"/>
      </w:pPr>
      <w:r>
        <w:rPr/>
        <w:t>同一控制下企业 合并</w:t>
      </w:r>
    </w:p>
    <w:p>
      <w:pPr>
        <w:spacing w:after="0" w:line="321" w:lineRule="auto"/>
        <w:jc w:val="left"/>
        <w:sectPr>
          <w:type w:val="continuous"/>
          <w:pgSz w:w="11910" w:h="16850"/>
          <w:pgMar w:top="1040" w:bottom="1180" w:left="1000" w:right="0"/>
          <w:cols w:num="5" w:equalWidth="0">
            <w:col w:w="1417" w:space="40"/>
            <w:col w:w="2169" w:space="490"/>
            <w:col w:w="1417" w:space="2067"/>
            <w:col w:w="712" w:space="40"/>
            <w:col w:w="2558"/>
          </w:cols>
        </w:sectPr>
      </w:pPr>
    </w:p>
    <w:p>
      <w:pPr>
        <w:spacing w:line="240" w:lineRule="auto" w:before="1"/>
        <w:rPr>
          <w:rFonts w:ascii="宋体" w:hAnsi="宋体" w:cs="宋体" w:eastAsia="宋体" w:hint="default"/>
          <w:sz w:val="20"/>
          <w:szCs w:val="20"/>
        </w:rPr>
      </w:pPr>
    </w:p>
    <w:p>
      <w:pPr>
        <w:pStyle w:val="BodyText"/>
        <w:tabs>
          <w:tab w:pos="1537" w:val="left" w:leader="none"/>
          <w:tab w:pos="2904" w:val="left" w:leader="none"/>
        </w:tabs>
        <w:spacing w:line="240" w:lineRule="auto"/>
        <w:ind w:left="156" w:right="-19"/>
        <w:jc w:val="left"/>
      </w:pPr>
      <w:r>
        <w:rPr/>
        <w:t>视加慧联</w:t>
        <w:tab/>
        <w:t>江苏无锡</w:t>
        <w:tab/>
        <w:t>中国江苏</w:t>
      </w:r>
    </w:p>
    <w:p>
      <w:pPr>
        <w:pStyle w:val="BodyText"/>
        <w:spacing w:line="307" w:lineRule="auto" w:before="112"/>
        <w:ind w:left="156" w:right="-20"/>
        <w:jc w:val="left"/>
      </w:pPr>
      <w:r>
        <w:rPr/>
        <w:br w:type="column"/>
      </w:r>
      <w:r>
        <w:rPr/>
        <w:t>信息通讯、网络 技术相关服务</w:t>
      </w:r>
    </w:p>
    <w:p>
      <w:pPr>
        <w:spacing w:line="240" w:lineRule="auto" w:before="6"/>
        <w:rPr>
          <w:rFonts w:ascii="宋体" w:hAnsi="宋体" w:cs="宋体" w:eastAsia="宋体" w:hint="default"/>
          <w:sz w:val="20"/>
          <w:szCs w:val="20"/>
        </w:rPr>
      </w:pPr>
      <w:r>
        <w:rPr/>
        <w:br w:type="column"/>
      </w:r>
      <w:r>
        <w:rPr>
          <w:rFonts w:ascii="宋体"/>
          <w:sz w:val="20"/>
        </w:rPr>
      </w:r>
    </w:p>
    <w:p>
      <w:pPr>
        <w:pStyle w:val="BodyText"/>
        <w:tabs>
          <w:tab w:pos="1523" w:val="left" w:leader="none"/>
        </w:tabs>
        <w:spacing w:line="240" w:lineRule="auto"/>
        <w:ind w:left="156" w:right="0"/>
        <w:jc w:val="left"/>
      </w:pPr>
      <w:r>
        <w:rPr>
          <w:rFonts w:ascii="Times New Roman" w:hAnsi="Times New Roman" w:cs="Times New Roman" w:eastAsia="Times New Roman" w:hint="default"/>
        </w:rPr>
        <w:t>30.00%</w:t>
        <w:tab/>
        <w:t>45.12%</w:t>
      </w:r>
      <w:r>
        <w:rPr>
          <w:rFonts w:ascii="Times New Roman" w:hAnsi="Times New Roman" w:cs="Times New Roman" w:eastAsia="Times New Roman" w:hint="default"/>
          <w:spacing w:val="15"/>
        </w:rPr>
        <w:t> </w:t>
      </w:r>
      <w:r>
        <w:rPr>
          <w:position w:val="1"/>
        </w:rPr>
        <w:t>发起设立</w:t>
      </w:r>
      <w:r>
        <w:rPr/>
      </w:r>
    </w:p>
    <w:p>
      <w:pPr>
        <w:spacing w:after="0" w:line="240" w:lineRule="auto"/>
        <w:jc w:val="left"/>
        <w:sectPr>
          <w:type w:val="continuous"/>
          <w:pgSz w:w="11910" w:h="16850"/>
          <w:pgMar w:top="1040" w:bottom="1180" w:left="1000" w:right="0"/>
          <w:cols w:num="3" w:equalWidth="0">
            <w:col w:w="3626" w:space="490"/>
            <w:col w:w="1417" w:space="700"/>
            <w:col w:w="4677"/>
          </w:cols>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50"/>
          <w:pgMar w:header="731" w:footer="981" w:top="1040" w:bottom="1180" w:left="100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BodyText"/>
        <w:spacing w:line="240" w:lineRule="auto"/>
        <w:ind w:left="156" w:right="-19"/>
        <w:jc w:val="left"/>
      </w:pPr>
      <w:r>
        <w:rPr/>
        <w:t>弘道科技有限公</w:t>
      </w:r>
    </w:p>
    <w:p>
      <w:pPr>
        <w:pStyle w:val="BodyText"/>
        <w:tabs>
          <w:tab w:pos="2904" w:val="left" w:leader="none"/>
        </w:tabs>
        <w:spacing w:line="300" w:lineRule="auto" w:before="70"/>
        <w:ind w:left="156" w:right="0"/>
        <w:jc w:val="left"/>
      </w:pPr>
      <w:r>
        <w:rPr>
          <w:spacing w:val="-3"/>
        </w:rPr>
        <w:t>司（以下简称</w:t>
      </w:r>
      <w:r>
        <w:rPr>
          <w:rFonts w:ascii="Times New Roman" w:hAnsi="Times New Roman" w:cs="Times New Roman" w:eastAsia="Times New Roman" w:hint="default"/>
          <w:spacing w:val="-3"/>
        </w:rPr>
        <w:t>“</w:t>
      </w:r>
      <w:r>
        <w:rPr>
          <w:spacing w:val="-3"/>
        </w:rPr>
        <w:t>弘</w:t>
      </w:r>
      <w:r>
        <w:rPr>
          <w:spacing w:val="-26"/>
        </w:rPr>
        <w:t> </w:t>
      </w:r>
      <w:r>
        <w:rPr>
          <w:position w:val="1"/>
        </w:rPr>
        <w:t>江苏无锡</w:t>
        <w:tab/>
        <w:t>中国江苏</w:t>
      </w:r>
      <w:r>
        <w:rPr>
          <w:position w:val="1"/>
        </w:rPr>
        <w:t> </w:t>
      </w:r>
      <w:r>
        <w:rPr/>
        <w:t>道科技</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4"/>
          <w:szCs w:val="14"/>
        </w:rPr>
      </w:pPr>
      <w:r>
        <w:rPr/>
        <w:br w:type="column"/>
      </w:r>
      <w:r>
        <w:rPr>
          <w:rFonts w:ascii="宋体"/>
          <w:sz w:val="14"/>
        </w:rPr>
      </w:r>
    </w:p>
    <w:p>
      <w:pPr>
        <w:pStyle w:val="BodyText"/>
        <w:spacing w:line="316" w:lineRule="auto"/>
        <w:ind w:left="156" w:right="-17"/>
        <w:jc w:val="left"/>
      </w:pPr>
      <w:r>
        <w:rPr/>
        <w:t>从事教育科技、 网络科技、信息 科技、互联网的 技术开发、技术 </w:t>
      </w:r>
      <w:r>
        <w:rPr>
          <w:spacing w:val="-6"/>
        </w:rPr>
        <w:t>咨询、技术服务、</w:t>
      </w:r>
      <w:r>
        <w:rPr>
          <w:spacing w:val="-87"/>
        </w:rPr>
        <w:t> </w:t>
      </w:r>
      <w:r>
        <w:rPr>
          <w:spacing w:val="-87"/>
        </w:rPr>
      </w:r>
      <w:r>
        <w:rPr/>
        <w:t>技术转让、技术 </w:t>
      </w:r>
      <w:r>
        <w:rPr>
          <w:spacing w:val="-6"/>
        </w:rPr>
        <w:t>推广；软件开发；</w:t>
      </w:r>
      <w:r>
        <w:rPr>
          <w:spacing w:val="-87"/>
        </w:rPr>
        <w:t> </w:t>
      </w:r>
      <w:r>
        <w:rPr>
          <w:spacing w:val="-87"/>
        </w:rPr>
      </w:r>
      <w:r>
        <w:rPr/>
        <w:t>计算机系统集成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3"/>
        <w:ind w:left="156" w:right="-20"/>
        <w:jc w:val="left"/>
        <w:rPr>
          <w:rFonts w:ascii="Times New Roman" w:hAnsi="Times New Roman" w:cs="Times New Roman" w:eastAsia="Times New Roman" w:hint="default"/>
        </w:rPr>
      </w:pPr>
      <w:r>
        <w:rPr>
          <w:rFonts w:ascii="Times New Roman"/>
        </w:rPr>
        <w:t>49.34%</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4"/>
          <w:szCs w:val="24"/>
        </w:rPr>
      </w:pPr>
    </w:p>
    <w:p>
      <w:pPr>
        <w:pStyle w:val="BodyText"/>
        <w:spacing w:line="321" w:lineRule="auto"/>
        <w:ind w:left="20" w:right="1259"/>
        <w:jc w:val="left"/>
      </w:pPr>
      <w:r>
        <w:rPr/>
        <w:t>同一控制下企业 合并</w:t>
      </w:r>
    </w:p>
    <w:p>
      <w:pPr>
        <w:spacing w:after="0" w:line="321" w:lineRule="auto"/>
        <w:jc w:val="left"/>
        <w:sectPr>
          <w:type w:val="continuous"/>
          <w:pgSz w:w="11910" w:h="16850"/>
          <w:pgMar w:top="1040" w:bottom="1180" w:left="1000" w:right="0"/>
          <w:cols w:num="4" w:equalWidth="0">
            <w:col w:w="3626" w:space="490"/>
            <w:col w:w="1552" w:space="1932"/>
            <w:col w:w="712" w:space="40"/>
            <w:col w:w="2558"/>
          </w:cols>
        </w:sectPr>
      </w:pPr>
    </w:p>
    <w:p>
      <w:pPr>
        <w:pStyle w:val="BodyText"/>
        <w:spacing w:line="321" w:lineRule="auto" w:before="112"/>
        <w:ind w:left="156" w:right="2189"/>
        <w:jc w:val="left"/>
      </w:pPr>
      <w:r>
        <w:rPr/>
        <w:t>无锡派瑞新媒体 投资合伙企业</w:t>
      </w:r>
    </w:p>
    <w:p>
      <w:pPr>
        <w:pStyle w:val="BodyText"/>
        <w:tabs>
          <w:tab w:pos="2904" w:val="left" w:leader="none"/>
        </w:tabs>
        <w:spacing w:line="316" w:lineRule="auto" w:before="8"/>
        <w:ind w:left="156" w:right="0"/>
        <w:jc w:val="left"/>
      </w:pPr>
      <w:r>
        <w:rPr>
          <w:spacing w:val="-16"/>
          <w:position w:val="1"/>
        </w:rPr>
        <w:t>（有限合伙）（以</w:t>
      </w:r>
      <w:r>
        <w:rPr>
          <w:spacing w:val="-22"/>
          <w:position w:val="1"/>
        </w:rPr>
        <w:t> </w:t>
      </w:r>
      <w:r>
        <w:rPr/>
        <w:t>江苏无锡</w:t>
        <w:tab/>
        <w:t>中国江苏</w:t>
      </w:r>
      <w:r>
        <w:rPr/>
        <w:t> 下简称</w:t>
      </w:r>
      <w:r>
        <w:rPr>
          <w:rFonts w:ascii="Times New Roman" w:hAnsi="Times New Roman" w:cs="Times New Roman" w:eastAsia="Times New Roman" w:hint="default"/>
        </w:rPr>
        <w:t>“</w:t>
      </w:r>
      <w:r>
        <w:rPr/>
        <w:t>无锡派</w:t>
      </w:r>
    </w:p>
    <w:p>
      <w:pPr>
        <w:pStyle w:val="BodyText"/>
        <w:spacing w:line="240" w:lineRule="auto" w:before="2"/>
        <w:ind w:left="156" w:right="-19"/>
        <w:jc w:val="left"/>
      </w:pPr>
      <w:r>
        <w:rPr/>
        <w:t>瑞新媒体</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6"/>
          <w:szCs w:val="26"/>
        </w:rPr>
      </w:pPr>
    </w:p>
    <w:p>
      <w:pPr>
        <w:pStyle w:val="BodyText"/>
        <w:spacing w:line="321" w:lineRule="auto"/>
        <w:ind w:left="156" w:right="-20"/>
        <w:jc w:val="left"/>
      </w:pPr>
      <w:r>
        <w:rPr/>
        <w:t>投资管理、股权 投资、创业投资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5"/>
          <w:szCs w:val="25"/>
        </w:rPr>
      </w:pPr>
    </w:p>
    <w:p>
      <w:pPr>
        <w:pStyle w:val="BodyText"/>
        <w:spacing w:line="240" w:lineRule="auto"/>
        <w:ind w:left="156" w:right="-20"/>
        <w:jc w:val="left"/>
        <w:rPr>
          <w:rFonts w:ascii="Times New Roman" w:hAnsi="Times New Roman" w:cs="Times New Roman" w:eastAsia="Times New Roman" w:hint="default"/>
        </w:rPr>
      </w:pPr>
      <w:r>
        <w:rPr>
          <w:rFonts w:ascii="Times New Roman"/>
        </w:rPr>
        <w:t>95.04%</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pStyle w:val="BodyText"/>
        <w:spacing w:line="321" w:lineRule="auto"/>
        <w:ind w:left="20" w:right="1259"/>
        <w:jc w:val="left"/>
      </w:pPr>
      <w:r>
        <w:rPr/>
        <w:t>同一控制下企业 合并</w:t>
      </w:r>
    </w:p>
    <w:p>
      <w:pPr>
        <w:spacing w:after="0" w:line="321" w:lineRule="auto"/>
        <w:jc w:val="left"/>
        <w:sectPr>
          <w:type w:val="continuous"/>
          <w:pgSz w:w="11910" w:h="16850"/>
          <w:pgMar w:top="1040" w:bottom="1180" w:left="1000" w:right="0"/>
          <w:cols w:num="4" w:equalWidth="0">
            <w:col w:w="3626" w:space="490"/>
            <w:col w:w="1417" w:space="2067"/>
            <w:col w:w="712" w:space="40"/>
            <w:col w:w="2558"/>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BodyText"/>
        <w:tabs>
          <w:tab w:pos="1537" w:val="left" w:leader="none"/>
          <w:tab w:pos="2904" w:val="left" w:leader="none"/>
        </w:tabs>
        <w:spacing w:line="240" w:lineRule="auto"/>
        <w:ind w:left="156" w:right="-19"/>
        <w:jc w:val="left"/>
      </w:pPr>
      <w:r>
        <w:rPr/>
        <w:t>数联领航</w:t>
        <w:tab/>
        <w:t>中国北京</w:t>
        <w:tab/>
        <w:t>中国北京</w:t>
      </w:r>
    </w:p>
    <w:p>
      <w:pPr>
        <w:pStyle w:val="BodyText"/>
        <w:spacing w:line="316" w:lineRule="auto" w:before="141"/>
        <w:ind w:left="156" w:right="-17"/>
        <w:jc w:val="left"/>
      </w:pPr>
      <w:r>
        <w:rPr>
          <w:spacing w:val="-6"/>
        </w:rPr>
        <w:br w:type="column"/>
      </w:r>
      <w:r>
        <w:rPr>
          <w:spacing w:val="-6"/>
        </w:rPr>
        <w:t>技术推广；设计、</w:t>
      </w:r>
      <w:r>
        <w:rPr>
          <w:spacing w:val="-87"/>
        </w:rPr>
        <w:t> </w:t>
      </w:r>
      <w:r>
        <w:rPr>
          <w:spacing w:val="-87"/>
        </w:rPr>
      </w:r>
      <w:r>
        <w:rPr/>
        <w:t>制作、代理、发 布广告；电脑图 文设计、制作； </w:t>
      </w:r>
      <w:r>
        <w:rPr>
          <w:spacing w:val="-6"/>
        </w:rPr>
        <w:t>企业策划、设计；</w:t>
      </w:r>
      <w:r>
        <w:rPr>
          <w:spacing w:val="-87"/>
        </w:rPr>
        <w:t> </w:t>
      </w:r>
      <w:r>
        <w:rPr>
          <w:spacing w:val="-87"/>
        </w:rPr>
      </w:r>
      <w:r>
        <w:rPr/>
        <w:t>组织文化艺术交 流活动（演出除 </w:t>
      </w:r>
      <w:r>
        <w:rPr>
          <w:spacing w:val="-17"/>
        </w:rPr>
        <w:t>外）；计算机系统</w:t>
      </w:r>
      <w:r>
        <w:rPr/>
        <w:t> 服务；数据处理</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pStyle w:val="BodyText"/>
        <w:spacing w:line="240" w:lineRule="auto"/>
        <w:ind w:left="156" w:right="-20"/>
        <w:jc w:val="left"/>
        <w:rPr>
          <w:rFonts w:ascii="Times New Roman" w:hAnsi="Times New Roman" w:cs="Times New Roman" w:eastAsia="Times New Roman" w:hint="default"/>
        </w:rPr>
      </w:pPr>
      <w:r>
        <w:rPr>
          <w:rFonts w:ascii="Times New Roman"/>
        </w:rPr>
        <w:t>49.75%</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7"/>
          <w:szCs w:val="17"/>
        </w:rPr>
      </w:pPr>
    </w:p>
    <w:p>
      <w:pPr>
        <w:pStyle w:val="BodyText"/>
        <w:spacing w:line="307" w:lineRule="auto"/>
        <w:ind w:left="20" w:right="1259"/>
        <w:jc w:val="left"/>
      </w:pPr>
      <w:r>
        <w:rPr/>
        <w:t>非同一控制下企 业合并</w:t>
      </w:r>
    </w:p>
    <w:p>
      <w:pPr>
        <w:spacing w:after="0" w:line="307" w:lineRule="auto"/>
        <w:jc w:val="left"/>
        <w:sectPr>
          <w:type w:val="continuous"/>
          <w:pgSz w:w="11910" w:h="16850"/>
          <w:pgMar w:top="1040" w:bottom="1180" w:left="1000" w:right="0"/>
          <w:cols w:num="4" w:equalWidth="0">
            <w:col w:w="3626" w:space="490"/>
            <w:col w:w="1552" w:space="1932"/>
            <w:col w:w="712" w:space="40"/>
            <w:col w:w="2558"/>
          </w:cols>
        </w:sectPr>
      </w:pPr>
    </w:p>
    <w:p>
      <w:pPr>
        <w:pStyle w:val="BodyText"/>
        <w:spacing w:line="321" w:lineRule="auto" w:before="112"/>
        <w:ind w:left="156" w:right="0"/>
        <w:jc w:val="both"/>
      </w:pPr>
      <w:r>
        <w:rPr/>
        <w:t>无锡易云投资合 伙企业（有限合 伙）</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4"/>
          <w:szCs w:val="14"/>
        </w:rPr>
      </w:pPr>
    </w:p>
    <w:p>
      <w:pPr>
        <w:pStyle w:val="BodyText"/>
        <w:tabs>
          <w:tab w:pos="1448" w:val="left" w:leader="none"/>
        </w:tabs>
        <w:spacing w:line="240" w:lineRule="auto"/>
        <w:ind w:left="81" w:right="-20"/>
        <w:jc w:val="left"/>
      </w:pPr>
      <w:r>
        <w:rPr/>
        <w:t>江苏无锡</w:t>
        <w:tab/>
        <w:t>中国江苏</w:t>
      </w:r>
    </w:p>
    <w:p>
      <w:pPr>
        <w:spacing w:line="240" w:lineRule="auto" w:before="3"/>
        <w:rPr>
          <w:rFonts w:ascii="宋体" w:hAnsi="宋体" w:cs="宋体" w:eastAsia="宋体" w:hint="default"/>
          <w:sz w:val="21"/>
          <w:szCs w:val="21"/>
        </w:rPr>
      </w:pPr>
      <w:r>
        <w:rPr/>
        <w:br w:type="column"/>
      </w:r>
      <w:r>
        <w:rPr>
          <w:rFonts w:ascii="宋体"/>
          <w:sz w:val="21"/>
        </w:rPr>
      </w:r>
    </w:p>
    <w:p>
      <w:pPr>
        <w:pStyle w:val="BodyText"/>
        <w:spacing w:line="304" w:lineRule="auto"/>
        <w:ind w:left="156" w:right="-20"/>
        <w:jc w:val="left"/>
      </w:pPr>
      <w:r>
        <w:rPr/>
        <w:t>利用自有资金对 外投资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9"/>
          <w:szCs w:val="19"/>
        </w:rPr>
      </w:pPr>
    </w:p>
    <w:p>
      <w:pPr>
        <w:pStyle w:val="BodyText"/>
        <w:spacing w:line="240" w:lineRule="auto"/>
        <w:ind w:left="156" w:right="-20"/>
        <w:jc w:val="left"/>
        <w:rPr>
          <w:rFonts w:ascii="Times New Roman" w:hAnsi="Times New Roman" w:cs="Times New Roman" w:eastAsia="Times New Roman" w:hint="default"/>
        </w:rPr>
      </w:pPr>
      <w:r>
        <w:rPr>
          <w:rFonts w:ascii="Times New Roman"/>
        </w:rPr>
        <w:t>19.20%</w:t>
      </w:r>
    </w:p>
    <w:p>
      <w:pPr>
        <w:spacing w:line="240" w:lineRule="auto" w:before="1"/>
        <w:rPr>
          <w:rFonts w:ascii="Times New Roman" w:hAnsi="Times New Roman" w:cs="Times New Roman" w:eastAsia="Times New Roman" w:hint="default"/>
          <w:sz w:val="24"/>
          <w:szCs w:val="24"/>
        </w:rPr>
      </w:pPr>
      <w:r>
        <w:rPr/>
        <w:br w:type="column"/>
      </w:r>
      <w:r>
        <w:rPr>
          <w:rFonts w:ascii="Times New Roman"/>
          <w:sz w:val="24"/>
        </w:rPr>
      </w:r>
    </w:p>
    <w:p>
      <w:pPr>
        <w:pStyle w:val="BodyText"/>
        <w:spacing w:line="304" w:lineRule="auto"/>
        <w:ind w:left="20" w:right="1259"/>
        <w:jc w:val="left"/>
      </w:pPr>
      <w:r>
        <w:rPr/>
        <w:t>同一控制下企业 合并</w:t>
      </w:r>
    </w:p>
    <w:p>
      <w:pPr>
        <w:spacing w:after="0" w:line="304" w:lineRule="auto"/>
        <w:jc w:val="left"/>
        <w:sectPr>
          <w:type w:val="continuous"/>
          <w:pgSz w:w="11910" w:h="16850"/>
          <w:pgMar w:top="1040" w:bottom="1180" w:left="1000" w:right="0"/>
          <w:cols w:num="5" w:equalWidth="0">
            <w:col w:w="1417" w:space="40"/>
            <w:col w:w="2169" w:space="490"/>
            <w:col w:w="1417" w:space="2067"/>
            <w:col w:w="712" w:space="40"/>
            <w:col w:w="2558"/>
          </w:cols>
        </w:sectPr>
      </w:pPr>
    </w:p>
    <w:p>
      <w:pPr>
        <w:spacing w:line="240" w:lineRule="auto" w:before="10"/>
        <w:rPr>
          <w:rFonts w:ascii="宋体" w:hAnsi="宋体" w:cs="宋体" w:eastAsia="宋体" w:hint="default"/>
          <w:sz w:val="19"/>
          <w:szCs w:val="19"/>
        </w:rPr>
      </w:pPr>
    </w:p>
    <w:p>
      <w:pPr>
        <w:pStyle w:val="BodyText"/>
        <w:tabs>
          <w:tab w:pos="1537" w:val="left" w:leader="none"/>
          <w:tab w:pos="2904" w:val="left" w:leader="none"/>
        </w:tabs>
        <w:spacing w:line="240" w:lineRule="auto"/>
        <w:ind w:left="156" w:right="-19"/>
        <w:jc w:val="left"/>
      </w:pPr>
      <w:r>
        <w:rPr/>
        <w:t>派瑞无锡</w:t>
        <w:tab/>
        <w:t>江苏无锡</w:t>
        <w:tab/>
        <w:t>中国江苏</w:t>
      </w:r>
    </w:p>
    <w:p>
      <w:pPr>
        <w:pStyle w:val="BodyText"/>
        <w:spacing w:line="307" w:lineRule="auto" w:before="108"/>
        <w:ind w:left="156" w:right="-20"/>
        <w:jc w:val="left"/>
      </w:pPr>
      <w:r>
        <w:rPr/>
        <w:br w:type="column"/>
      </w:r>
      <w:r>
        <w:rPr/>
        <w:t>投资管理、股权 投资、创业投资</w:t>
      </w:r>
    </w:p>
    <w:p>
      <w:pPr>
        <w:spacing w:line="240" w:lineRule="auto" w:before="2"/>
        <w:rPr>
          <w:rFonts w:ascii="宋体" w:hAnsi="宋体" w:cs="宋体" w:eastAsia="宋体" w:hint="default"/>
          <w:sz w:val="24"/>
          <w:szCs w:val="24"/>
        </w:rPr>
      </w:pPr>
      <w:r>
        <w:rPr/>
        <w:br w:type="column"/>
      </w:r>
      <w:r>
        <w:rPr>
          <w:rFonts w:ascii="宋体"/>
          <w:sz w:val="24"/>
        </w:rPr>
      </w:r>
    </w:p>
    <w:p>
      <w:pPr>
        <w:pStyle w:val="BodyText"/>
        <w:spacing w:line="240" w:lineRule="auto"/>
        <w:ind w:left="156" w:right="-19"/>
        <w:jc w:val="left"/>
        <w:rPr>
          <w:rFonts w:ascii="Times New Roman" w:hAnsi="Times New Roman" w:cs="Times New Roman" w:eastAsia="Times New Roman" w:hint="default"/>
        </w:rPr>
      </w:pPr>
      <w:r>
        <w:rPr>
          <w:rFonts w:ascii="Times New Roman"/>
        </w:rPr>
        <w:t>94.08%</w:t>
      </w:r>
    </w:p>
    <w:p>
      <w:pPr>
        <w:pStyle w:val="BodyText"/>
        <w:spacing w:line="307" w:lineRule="auto" w:before="108"/>
        <w:ind w:left="20" w:right="1258"/>
        <w:jc w:val="left"/>
      </w:pPr>
      <w:r>
        <w:rPr/>
        <w:br w:type="column"/>
      </w:r>
      <w:r>
        <w:rPr/>
        <w:t>同一控制下企业 合并</w:t>
      </w:r>
    </w:p>
    <w:p>
      <w:pPr>
        <w:spacing w:after="0" w:line="307" w:lineRule="auto"/>
        <w:jc w:val="left"/>
        <w:sectPr>
          <w:type w:val="continuous"/>
          <w:pgSz w:w="11910" w:h="16850"/>
          <w:pgMar w:top="1040" w:bottom="1180" w:left="1000" w:right="0"/>
          <w:cols w:num="4" w:equalWidth="0">
            <w:col w:w="3626" w:space="490"/>
            <w:col w:w="1417" w:space="2067"/>
            <w:col w:w="713" w:space="40"/>
            <w:col w:w="2557"/>
          </w:cols>
        </w:sect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BodyText"/>
        <w:spacing w:line="193" w:lineRule="exact"/>
        <w:ind w:left="156" w:right="-19"/>
        <w:jc w:val="left"/>
      </w:pPr>
      <w:r>
        <w:rPr>
          <w:spacing w:val="-4"/>
        </w:rPr>
        <w:t>清大易视（厦门）</w:t>
      </w:r>
    </w:p>
    <w:p>
      <w:pPr>
        <w:pStyle w:val="BodyText"/>
        <w:tabs>
          <w:tab w:pos="2904" w:val="left" w:leader="none"/>
        </w:tabs>
        <w:spacing w:line="158" w:lineRule="exact"/>
        <w:ind w:left="1538" w:right="-19"/>
        <w:jc w:val="left"/>
      </w:pPr>
      <w:r>
        <w:rPr/>
        <w:t>福建厦门</w:t>
        <w:tab/>
        <w:t>中国福建</w:t>
      </w:r>
    </w:p>
    <w:p>
      <w:pPr>
        <w:pStyle w:val="BodyText"/>
        <w:spacing w:line="201" w:lineRule="exact"/>
        <w:ind w:left="156" w:right="-19"/>
        <w:jc w:val="left"/>
      </w:pPr>
      <w:r>
        <w:rPr/>
        <w:t>科技有限公司</w:t>
      </w:r>
    </w:p>
    <w:p>
      <w:pPr>
        <w:pStyle w:val="BodyText"/>
        <w:spacing w:line="316" w:lineRule="auto" w:before="119"/>
        <w:ind w:left="156" w:right="0"/>
        <w:jc w:val="both"/>
      </w:pPr>
      <w:r>
        <w:rPr/>
        <w:br w:type="column"/>
      </w:r>
      <w:r>
        <w:rPr/>
        <w:t>软件开发；计算 机、软件及辅助 设备零售；信息 系统集成服务等</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25"/>
          <w:szCs w:val="25"/>
        </w:rPr>
      </w:pPr>
    </w:p>
    <w:p>
      <w:pPr>
        <w:pStyle w:val="BodyText"/>
        <w:spacing w:line="240" w:lineRule="auto"/>
        <w:ind w:left="156" w:right="0"/>
        <w:jc w:val="left"/>
      </w:pPr>
      <w:r>
        <w:rPr>
          <w:rFonts w:ascii="Times New Roman" w:hAnsi="Times New Roman" w:cs="Times New Roman" w:eastAsia="Times New Roman" w:hint="default"/>
        </w:rPr>
        <w:t>77.76%</w:t>
      </w:r>
      <w:r>
        <w:rPr>
          <w:rFonts w:ascii="Times New Roman" w:hAnsi="Times New Roman" w:cs="Times New Roman" w:eastAsia="Times New Roman" w:hint="default"/>
          <w:spacing w:val="15"/>
        </w:rPr>
        <w:t> </w:t>
      </w:r>
      <w:r>
        <w:rPr>
          <w:position w:val="1"/>
        </w:rPr>
        <w:t>发起设立</w:t>
      </w:r>
      <w:r>
        <w:rPr/>
      </w:r>
    </w:p>
    <w:p>
      <w:pPr>
        <w:spacing w:after="0" w:line="240" w:lineRule="auto"/>
        <w:jc w:val="left"/>
        <w:sectPr>
          <w:type w:val="continuous"/>
          <w:pgSz w:w="11910" w:h="16850"/>
          <w:pgMar w:top="1040" w:bottom="1180" w:left="1000" w:right="0"/>
          <w:cols w:num="3" w:equalWidth="0">
            <w:col w:w="3626" w:space="490"/>
            <w:col w:w="1417" w:space="2067"/>
            <w:col w:w="3310"/>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04" w:lineRule="auto" w:before="121"/>
        <w:ind w:left="156" w:right="-20"/>
        <w:jc w:val="left"/>
      </w:pPr>
      <w:r>
        <w:rPr/>
        <w:t>瀚佑（上海）科 技有限公司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BodyText"/>
        <w:tabs>
          <w:tab w:pos="1448" w:val="left" w:leader="none"/>
        </w:tabs>
        <w:spacing w:line="240" w:lineRule="auto"/>
        <w:ind w:left="81" w:right="-20"/>
        <w:jc w:val="left"/>
      </w:pPr>
      <w:r>
        <w:rPr/>
        <w:t>中国上海</w:t>
        <w:tab/>
        <w:t>中国上海</w:t>
      </w:r>
    </w:p>
    <w:p>
      <w:pPr>
        <w:pStyle w:val="BodyText"/>
        <w:spacing w:line="316" w:lineRule="auto" w:before="112"/>
        <w:ind w:left="156" w:right="-17"/>
        <w:jc w:val="left"/>
      </w:pPr>
      <w:r>
        <w:rPr/>
        <w:br w:type="column"/>
      </w:r>
      <w:r>
        <w:rPr/>
        <w:t>电子产品、环保 </w:t>
      </w:r>
      <w:r>
        <w:rPr>
          <w:spacing w:val="-6"/>
        </w:rPr>
        <w:t>科技、技术开发、</w:t>
      </w:r>
      <w:r>
        <w:rPr>
          <w:spacing w:val="-87"/>
        </w:rPr>
        <w:t> </w:t>
      </w:r>
      <w:r>
        <w:rPr>
          <w:spacing w:val="-87"/>
        </w:rPr>
      </w:r>
      <w:r>
        <w:rPr/>
        <w:t>技术转让、技术 服务，计算机软 硬件开发等</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ind w:left="156" w:right="0"/>
        <w:jc w:val="left"/>
      </w:pPr>
      <w:r>
        <w:rPr>
          <w:rFonts w:ascii="Times New Roman" w:hAnsi="Times New Roman" w:cs="Times New Roman" w:eastAsia="Times New Roman" w:hint="default"/>
        </w:rPr>
        <w:t>62.00%</w:t>
      </w:r>
      <w:r>
        <w:rPr>
          <w:rFonts w:ascii="Times New Roman" w:hAnsi="Times New Roman" w:cs="Times New Roman" w:eastAsia="Times New Roman" w:hint="default"/>
          <w:spacing w:val="15"/>
        </w:rPr>
        <w:t> </w:t>
      </w:r>
      <w:r>
        <w:rPr>
          <w:position w:val="1"/>
        </w:rPr>
        <w:t>发起设立</w:t>
      </w:r>
      <w:r>
        <w:rPr/>
      </w:r>
    </w:p>
    <w:p>
      <w:pPr>
        <w:spacing w:after="0" w:line="240" w:lineRule="auto"/>
        <w:jc w:val="left"/>
        <w:sectPr>
          <w:type w:val="continuous"/>
          <w:pgSz w:w="11910" w:h="16850"/>
          <w:pgMar w:top="1040" w:bottom="1180" w:left="1000" w:right="0"/>
          <w:cols w:num="4" w:equalWidth="0">
            <w:col w:w="1417" w:space="40"/>
            <w:col w:w="2169" w:space="490"/>
            <w:col w:w="1552" w:space="1932"/>
            <w:col w:w="3310"/>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193" w:lineRule="exact" w:before="121"/>
        <w:ind w:left="156" w:right="-19"/>
        <w:jc w:val="left"/>
      </w:pPr>
      <w:r>
        <w:rPr>
          <w:spacing w:val="-4"/>
        </w:rPr>
        <w:t>瀚云风鹏（重庆）</w:t>
      </w:r>
    </w:p>
    <w:p>
      <w:pPr>
        <w:pStyle w:val="BodyText"/>
        <w:tabs>
          <w:tab w:pos="2904" w:val="left" w:leader="none"/>
        </w:tabs>
        <w:spacing w:line="163" w:lineRule="exact"/>
        <w:ind w:left="1538" w:right="-19"/>
        <w:jc w:val="left"/>
      </w:pPr>
      <w:r>
        <w:rPr/>
        <w:t>中国重庆</w:t>
        <w:tab/>
        <w:t>中国重庆</w:t>
      </w:r>
    </w:p>
    <w:p>
      <w:pPr>
        <w:pStyle w:val="BodyText"/>
        <w:spacing w:line="316" w:lineRule="exact" w:before="69"/>
        <w:ind w:left="156" w:right="-20"/>
        <w:jc w:val="left"/>
      </w:pPr>
      <w:r>
        <w:rPr/>
        <w:br w:type="column"/>
      </w:r>
      <w:r>
        <w:rPr/>
        <w:t>计算机信息领 域、环保领域内 的技术开发、技</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01" w:lineRule="exact"/>
        <w:ind w:left="156" w:right="0"/>
        <w:jc w:val="left"/>
      </w:pPr>
      <w:r>
        <w:rPr>
          <w:rFonts w:ascii="Times New Roman" w:hAnsi="Times New Roman" w:cs="Times New Roman" w:eastAsia="Times New Roman" w:hint="default"/>
        </w:rPr>
        <w:t>62.00%</w:t>
      </w:r>
      <w:r>
        <w:rPr>
          <w:rFonts w:ascii="Times New Roman" w:hAnsi="Times New Roman" w:cs="Times New Roman" w:eastAsia="Times New Roman" w:hint="default"/>
          <w:spacing w:val="15"/>
        </w:rPr>
        <w:t> </w:t>
      </w:r>
      <w:r>
        <w:rPr>
          <w:position w:val="1"/>
        </w:rPr>
        <w:t>发起设立</w:t>
      </w:r>
      <w:r>
        <w:rPr/>
      </w:r>
    </w:p>
    <w:p>
      <w:pPr>
        <w:spacing w:after="0" w:line="201" w:lineRule="exact"/>
        <w:jc w:val="left"/>
        <w:sectPr>
          <w:type w:val="continuous"/>
          <w:pgSz w:w="11910" w:h="16850"/>
          <w:pgMar w:top="1040" w:bottom="1180" w:left="1000" w:right="0"/>
          <w:cols w:num="3" w:equalWidth="0">
            <w:col w:w="3626" w:space="490"/>
            <w:col w:w="1417" w:space="2067"/>
            <w:col w:w="3310"/>
          </w:cols>
        </w:sectPr>
      </w:pPr>
    </w:p>
    <w:p>
      <w:pPr>
        <w:pStyle w:val="BodyText"/>
        <w:spacing w:line="112" w:lineRule="exact"/>
        <w:ind w:left="156" w:right="-20"/>
        <w:jc w:val="left"/>
      </w:pPr>
      <w:r>
        <w:rPr/>
        <w:pict>
          <v:group style="position:absolute;margin-left:56.325001pt;margin-top:71.705002pt;width:479.85pt;height:677.1pt;mso-position-horizontal-relative:page;mso-position-vertical-relative:page;z-index:-1325152" coordorigin="1127,1434" coordsize="9597,13542">
            <v:group style="position:absolute;left:6631;top:2537;width:2;height:406" coordorigin="6631,2537" coordsize="2,406">
              <v:shape style="position:absolute;left:6631;top:2537;width:2;height:406" coordorigin="6631,2537" coordsize="0,406" path="m6631,2537l6631,2942e" filled="false" stroked="true" strokeweight=".75pt" strokecolor="#ffffff">
                <v:path arrowok="t"/>
              </v:shape>
            </v:group>
            <v:group style="position:absolute;left:6624;top:2942;width:1352;height:1081" coordorigin="6624,2942" coordsize="1352,1081">
              <v:shape style="position:absolute;left:6624;top:2942;width:1352;height:1081" coordorigin="6624,2942" coordsize="1352,1081" path="m6624,4023l7975,4023,7975,2942,6624,2942,6624,4023xe" filled="true" fillcolor="#ffffff" stroked="false">
                <v:path arrowok="t"/>
                <v:fill type="solid"/>
              </v:shape>
            </v:group>
            <v:group style="position:absolute;left:6639;top:2537;width:1322;height:406" coordorigin="6639,2537" coordsize="1322,406">
              <v:shape style="position:absolute;left:6639;top:2537;width:1322;height:406" coordorigin="6639,2537" coordsize="1322,406" path="m6639,2942l7960,2942,7960,2537,6639,2537,6639,2942xe" filled="true" fillcolor="#ffffff" stroked="false">
                <v:path arrowok="t"/>
                <v:fill type="solid"/>
              </v:shape>
            </v:group>
            <v:group style="position:absolute;left:1142;top:4031;width:1352;height:2" coordorigin="1142,4031" coordsize="1352,2">
              <v:shape style="position:absolute;left:1142;top:4031;width:1352;height:2" coordorigin="1142,4031" coordsize="1352,0" path="m1142,4031l2493,4031e" filled="false" stroked="true" strokeweight=".75pt" strokecolor="#000000">
                <v:path arrowok="t"/>
              </v:shape>
            </v:group>
            <v:group style="position:absolute;left:2508;top:4031;width:1367;height:2" coordorigin="2508,4031" coordsize="1367,2">
              <v:shape style="position:absolute;left:2508;top:4031;width:1367;height:2" coordorigin="2508,4031" coordsize="1367,0" path="m2508,4031l3875,4031e" filled="false" stroked="true" strokeweight=".75pt" strokecolor="#000000">
                <v:path arrowok="t"/>
              </v:shape>
            </v:group>
            <v:group style="position:absolute;left:3890;top:4031;width:1352;height:2" coordorigin="3890,4031" coordsize="1352,2">
              <v:shape style="position:absolute;left:3890;top:4031;width:1352;height:2" coordorigin="3890,4031" coordsize="1352,0" path="m3890,4031l5242,4031e" filled="false" stroked="true" strokeweight=".75pt" strokecolor="#000000">
                <v:path arrowok="t"/>
              </v:shape>
            </v:group>
            <v:group style="position:absolute;left:5257;top:4031;width:1352;height:2" coordorigin="5257,4031" coordsize="1352,2">
              <v:shape style="position:absolute;left:5257;top:4031;width:1352;height:2" coordorigin="5257,4031" coordsize="1352,0" path="m5257,4031l6609,4031e" filled="false" stroked="true" strokeweight=".75pt" strokecolor="#000000">
                <v:path arrowok="t"/>
              </v:shape>
            </v:group>
            <v:group style="position:absolute;left:6624;top:4031;width:1352;height:2" coordorigin="6624,4031" coordsize="1352,2">
              <v:shape style="position:absolute;left:6624;top:4031;width:1352;height:2" coordorigin="6624,4031" coordsize="1352,0" path="m6624,4031l7975,4031e" filled="false" stroked="true" strokeweight=".75pt" strokecolor="#000000">
                <v:path arrowok="t"/>
              </v:shape>
            </v:group>
            <v:group style="position:absolute;left:7990;top:4031;width:1352;height:2" coordorigin="7990,4031" coordsize="1352,2">
              <v:shape style="position:absolute;left:7990;top:4031;width:1352;height:2" coordorigin="7990,4031" coordsize="1352,0" path="m7990,4031l9341,4031e" filled="false" stroked="true" strokeweight=".75pt" strokecolor="#000000">
                <v:path arrowok="t"/>
              </v:shape>
            </v:group>
            <v:group style="position:absolute;left:9357;top:4031;width:1352;height:2" coordorigin="9357,4031" coordsize="1352,2">
              <v:shape style="position:absolute;left:9357;top:4031;width:1352;height:2" coordorigin="9357,4031" coordsize="1352,0" path="m9357,4031l10709,4031e" filled="false" stroked="true" strokeweight=".75pt" strokecolor="#000000">
                <v:path arrowok="t"/>
              </v:shape>
            </v:group>
            <v:group style="position:absolute;left:1142;top:1449;width:1352;height:2" coordorigin="1142,1449" coordsize="1352,2">
              <v:shape style="position:absolute;left:1142;top:1449;width:1352;height:2" coordorigin="1142,1449" coordsize="1352,0" path="m1142,1449l2493,1449e" filled="false" stroked="true" strokeweight=".75pt" strokecolor="#000000">
                <v:path arrowok="t"/>
              </v:shape>
            </v:group>
            <v:group style="position:absolute;left:2508;top:1449;width:1367;height:2" coordorigin="2508,1449" coordsize="1367,2">
              <v:shape style="position:absolute;left:2508;top:1449;width:1367;height:2" coordorigin="2508,1449" coordsize="1367,0" path="m2508,1449l3875,1449e" filled="false" stroked="true" strokeweight=".75pt" strokecolor="#000000">
                <v:path arrowok="t"/>
              </v:shape>
            </v:group>
            <v:group style="position:absolute;left:3890;top:1449;width:1352;height:2" coordorigin="3890,1449" coordsize="1352,2">
              <v:shape style="position:absolute;left:3890;top:1449;width:1352;height:2" coordorigin="3890,1449" coordsize="1352,0" path="m3890,1449l5242,1449e" filled="false" stroked="true" strokeweight=".75pt" strokecolor="#000000">
                <v:path arrowok="t"/>
              </v:shape>
            </v:group>
            <v:group style="position:absolute;left:5257;top:1449;width:1352;height:2" coordorigin="5257,1449" coordsize="1352,2">
              <v:shape style="position:absolute;left:5257;top:1449;width:1352;height:2" coordorigin="5257,1449" coordsize="1352,0" path="m5257,1449l6609,1449e" filled="false" stroked="true" strokeweight=".75pt" strokecolor="#000000">
                <v:path arrowok="t"/>
              </v:shape>
            </v:group>
            <v:group style="position:absolute;left:6624;top:1449;width:1352;height:2" coordorigin="6624,1449" coordsize="1352,2">
              <v:shape style="position:absolute;left:6624;top:1449;width:1352;height:2" coordorigin="6624,1449" coordsize="1352,0" path="m6624,1449l7975,1449e" filled="false" stroked="true" strokeweight=".75pt" strokecolor="#000000">
                <v:path arrowok="t"/>
              </v:shape>
            </v:group>
            <v:group style="position:absolute;left:7990;top:1449;width:1352;height:2" coordorigin="7990,1449" coordsize="1352,2">
              <v:shape style="position:absolute;left:7990;top:1449;width:1352;height:2" coordorigin="7990,1449" coordsize="1352,0" path="m7990,1449l9341,1449e" filled="false" stroked="true" strokeweight=".75pt" strokecolor="#000000">
                <v:path arrowok="t"/>
              </v:shape>
            </v:group>
            <v:group style="position:absolute;left:9357;top:1449;width:1352;height:2" coordorigin="9357,1449" coordsize="1352,2">
              <v:shape style="position:absolute;left:9357;top:1449;width:1352;height:2" coordorigin="9357,1449" coordsize="1352,0" path="m9357,1449l10709,1449e" filled="false" stroked="true" strokeweight=".75pt" strokecolor="#000000">
                <v:path arrowok="t"/>
              </v:shape>
            </v:group>
            <v:group style="position:absolute;left:6624;top:5690;width:1352;height:1246" coordorigin="6624,5690" coordsize="1352,1246">
              <v:shape style="position:absolute;left:6624;top:5690;width:1352;height:1246" coordorigin="6624,5690" coordsize="1352,1246" path="m6624,6936l7975,6936,7975,5690,6624,5690,6624,6936xe" filled="true" fillcolor="#ffffff" stroked="false">
                <v:path arrowok="t"/>
                <v:fill type="solid"/>
              </v:shape>
            </v:group>
            <v:group style="position:absolute;left:6631;top:6936;width:2;height:391" coordorigin="6631,6936" coordsize="2,391">
              <v:shape style="position:absolute;left:6631;top:6936;width:2;height:391" coordorigin="6631,6936" coordsize="0,391" path="m6631,6936l6631,7327e" filled="false" stroked="true" strokeweight=".75pt" strokecolor="#ffffff">
                <v:path arrowok="t"/>
              </v:shape>
            </v:group>
            <v:group style="position:absolute;left:6639;top:6936;width:1322;height:391" coordorigin="6639,6936" coordsize="1322,391">
              <v:shape style="position:absolute;left:6639;top:6936;width:1322;height:391" coordorigin="6639,6936" coordsize="1322,391" path="m6639,7327l7960,7327,7960,6936,6639,6936,6639,7327xe" filled="true" fillcolor="#ffffff" stroked="false">
                <v:path arrowok="t"/>
                <v:fill type="solid"/>
              </v:shape>
            </v:group>
            <v:group style="position:absolute;left:1142;top:5683;width:1352;height:2" coordorigin="1142,5683" coordsize="1352,2">
              <v:shape style="position:absolute;left:1142;top:5683;width:1352;height:2" coordorigin="1142,5683" coordsize="1352,0" path="m1142,5683l2493,5683e" filled="false" stroked="true" strokeweight=".75pt" strokecolor="#000000">
                <v:path arrowok="t"/>
              </v:shape>
            </v:group>
            <v:group style="position:absolute;left:2508;top:5683;width:1367;height:2" coordorigin="2508,5683" coordsize="1367,2">
              <v:shape style="position:absolute;left:2508;top:5683;width:1367;height:2" coordorigin="2508,5683" coordsize="1367,0" path="m2508,5683l3875,5683e" filled="false" stroked="true" strokeweight=".75pt" strokecolor="#000000">
                <v:path arrowok="t"/>
              </v:shape>
            </v:group>
            <v:group style="position:absolute;left:3890;top:5683;width:1352;height:2" coordorigin="3890,5683" coordsize="1352,2">
              <v:shape style="position:absolute;left:3890;top:5683;width:1352;height:2" coordorigin="3890,5683" coordsize="1352,0" path="m3890,5683l5242,5683e" filled="false" stroked="true" strokeweight=".75pt" strokecolor="#000000">
                <v:path arrowok="t"/>
              </v:shape>
            </v:group>
            <v:group style="position:absolute;left:5257;top:5683;width:1352;height:2" coordorigin="5257,5683" coordsize="1352,2">
              <v:shape style="position:absolute;left:5257;top:5683;width:1352;height:2" coordorigin="5257,5683" coordsize="1352,0" path="m5257,5683l6609,5683e" filled="false" stroked="true" strokeweight=".75pt" strokecolor="#000000">
                <v:path arrowok="t"/>
              </v:shape>
            </v:group>
            <v:group style="position:absolute;left:6624;top:5683;width:1352;height:2" coordorigin="6624,5683" coordsize="1352,2">
              <v:shape style="position:absolute;left:6624;top:5683;width:1352;height:2" coordorigin="6624,5683" coordsize="1352,0" path="m6624,5683l7975,5683e" filled="false" stroked="true" strokeweight=".75pt" strokecolor="#000000">
                <v:path arrowok="t"/>
              </v:shape>
            </v:group>
            <v:group style="position:absolute;left:7990;top:5683;width:1352;height:2" coordorigin="7990,5683" coordsize="1352,2">
              <v:shape style="position:absolute;left:7990;top:5683;width:1352;height:2" coordorigin="7990,5683" coordsize="1352,0" path="m7990,5683l9341,5683e" filled="false" stroked="true" strokeweight=".75pt" strokecolor="#000000">
                <v:path arrowok="t"/>
              </v:shape>
            </v:group>
            <v:group style="position:absolute;left:9357;top:5683;width:1352;height:2" coordorigin="9357,5683" coordsize="1352,2">
              <v:shape style="position:absolute;left:9357;top:5683;width:1352;height:2" coordorigin="9357,5683" coordsize="1352,0" path="m9357,5683l10709,5683e" filled="false" stroked="true" strokeweight=".75pt" strokecolor="#000000">
                <v:path arrowok="t"/>
              </v:shape>
            </v:group>
            <v:group style="position:absolute;left:1142;top:8595;width:1352;height:2" coordorigin="1142,8595" coordsize="1352,2">
              <v:shape style="position:absolute;left:1142;top:8595;width:1352;height:2" coordorigin="1142,8595" coordsize="1352,0" path="m1142,8595l2493,8595e" filled="false" stroked="true" strokeweight=".75pt" strokecolor="#000000">
                <v:path arrowok="t"/>
              </v:shape>
            </v:group>
            <v:group style="position:absolute;left:2508;top:8595;width:1367;height:2" coordorigin="2508,8595" coordsize="1367,2">
              <v:shape style="position:absolute;left:2508;top:8595;width:1367;height:2" coordorigin="2508,8595" coordsize="1367,0" path="m2508,8595l3875,8595e" filled="false" stroked="true" strokeweight=".75pt" strokecolor="#000000">
                <v:path arrowok="t"/>
              </v:shape>
            </v:group>
            <v:group style="position:absolute;left:3890;top:8595;width:1352;height:2" coordorigin="3890,8595" coordsize="1352,2">
              <v:shape style="position:absolute;left:3890;top:8595;width:1352;height:2" coordorigin="3890,8595" coordsize="1352,0" path="m3890,8595l5242,8595e" filled="false" stroked="true" strokeweight=".75pt" strokecolor="#000000">
                <v:path arrowok="t"/>
              </v:shape>
            </v:group>
            <v:group style="position:absolute;left:5257;top:8595;width:1352;height:2" coordorigin="5257,8595" coordsize="1352,2">
              <v:shape style="position:absolute;left:5257;top:8595;width:1352;height:2" coordorigin="5257,8595" coordsize="1352,0" path="m5257,8595l6609,8595e" filled="false" stroked="true" strokeweight=".75pt" strokecolor="#000000">
                <v:path arrowok="t"/>
              </v:shape>
            </v:group>
            <v:group style="position:absolute;left:6624;top:8595;width:1352;height:2" coordorigin="6624,8595" coordsize="1352,2">
              <v:shape style="position:absolute;left:6624;top:8595;width:1352;height:2" coordorigin="6624,8595" coordsize="1352,0" path="m6624,8595l7975,8595e" filled="false" stroked="true" strokeweight=".75pt" strokecolor="#000000">
                <v:path arrowok="t"/>
              </v:shape>
            </v:group>
            <v:group style="position:absolute;left:7990;top:8595;width:1352;height:2" coordorigin="7990,8595" coordsize="1352,2">
              <v:shape style="position:absolute;left:7990;top:8595;width:1352;height:2" coordorigin="7990,8595" coordsize="1352,0" path="m7990,8595l9341,8595e" filled="false" stroked="true" strokeweight=".75pt" strokecolor="#000000">
                <v:path arrowok="t"/>
              </v:shape>
            </v:group>
            <v:group style="position:absolute;left:9357;top:8595;width:1352;height:2" coordorigin="9357,8595" coordsize="1352,2">
              <v:shape style="position:absolute;left:9357;top:8595;width:1352;height:2" coordorigin="9357,8595" coordsize="1352,0" path="m9357,8595l10709,8595e" filled="false" stroked="true" strokeweight=".75pt" strokecolor="#000000">
                <v:path arrowok="t"/>
              </v:shape>
            </v:group>
            <v:group style="position:absolute;left:1142;top:9616;width:1352;height:2" coordorigin="1142,9616" coordsize="1352,2">
              <v:shape style="position:absolute;left:1142;top:9616;width:1352;height:2" coordorigin="1142,9616" coordsize="1352,0" path="m1142,9616l2493,9616e" filled="false" stroked="true" strokeweight=".75pt" strokecolor="#000000">
                <v:path arrowok="t"/>
              </v:shape>
            </v:group>
            <v:group style="position:absolute;left:2508;top:9616;width:1367;height:2" coordorigin="2508,9616" coordsize="1367,2">
              <v:shape style="position:absolute;left:2508;top:9616;width:1367;height:2" coordorigin="2508,9616" coordsize="1367,0" path="m2508,9616l3875,9616e" filled="false" stroked="true" strokeweight=".75pt" strokecolor="#000000">
                <v:path arrowok="t"/>
              </v:shape>
            </v:group>
            <v:group style="position:absolute;left:3890;top:9616;width:1352;height:2" coordorigin="3890,9616" coordsize="1352,2">
              <v:shape style="position:absolute;left:3890;top:9616;width:1352;height:2" coordorigin="3890,9616" coordsize="1352,0" path="m3890,9616l5242,9616e" filled="false" stroked="true" strokeweight=".75pt" strokecolor="#000000">
                <v:path arrowok="t"/>
              </v:shape>
            </v:group>
            <v:group style="position:absolute;left:5257;top:9616;width:1352;height:2" coordorigin="5257,9616" coordsize="1352,2">
              <v:shape style="position:absolute;left:5257;top:9616;width:1352;height:2" coordorigin="5257,9616" coordsize="1352,0" path="m5257,9616l6609,9616e" filled="false" stroked="true" strokeweight=".75pt" strokecolor="#000000">
                <v:path arrowok="t"/>
              </v:shape>
            </v:group>
            <v:group style="position:absolute;left:6624;top:9616;width:1352;height:2" coordorigin="6624,9616" coordsize="1352,2">
              <v:shape style="position:absolute;left:6624;top:9616;width:1352;height:2" coordorigin="6624,9616" coordsize="1352,0" path="m6624,9616l7975,9616e" filled="false" stroked="true" strokeweight=".75pt" strokecolor="#000000">
                <v:path arrowok="t"/>
              </v:shape>
            </v:group>
            <v:group style="position:absolute;left:7990;top:9616;width:1352;height:2" coordorigin="7990,9616" coordsize="1352,2">
              <v:shape style="position:absolute;left:7990;top:9616;width:1352;height:2" coordorigin="7990,9616" coordsize="1352,0" path="m7990,9616l9341,9616e" filled="false" stroked="true" strokeweight=".75pt" strokecolor="#000000">
                <v:path arrowok="t"/>
              </v:shape>
            </v:group>
            <v:group style="position:absolute;left:9357;top:9616;width:1352;height:2" coordorigin="9357,9616" coordsize="1352,2">
              <v:shape style="position:absolute;left:9357;top:9616;width:1352;height:2" coordorigin="9357,9616" coordsize="1352,0" path="m9357,9616l10709,9616e" filled="false" stroked="true" strokeweight=".75pt" strokecolor="#000000">
                <v:path arrowok="t"/>
              </v:shape>
            </v:group>
            <v:group style="position:absolute;left:2508;top:10329;width:1367;height:466" coordorigin="2508,10329" coordsize="1367,466">
              <v:shape style="position:absolute;left:2508;top:10329;width:1367;height:466" coordorigin="2508,10329" coordsize="1367,466" path="m2508,10795l3875,10795,3875,10329,2508,10329,2508,10795xe" filled="true" fillcolor="#ffffff" stroked="false">
                <v:path arrowok="t"/>
                <v:fill type="solid"/>
              </v:shape>
            </v:group>
            <v:group style="position:absolute;left:2523;top:10794;width:2;height:406" coordorigin="2523,10794" coordsize="2,406">
              <v:shape style="position:absolute;left:2523;top:10794;width:2;height:406" coordorigin="2523,10794" coordsize="0,406" path="m2523,10794l2523,11200e" filled="false" stroked="true" strokeweight="1.5pt" strokecolor="#ffffff">
                <v:path arrowok="t"/>
              </v:shape>
            </v:group>
            <v:group style="position:absolute;left:2538;top:10794;width:1307;height:406" coordorigin="2538,10794" coordsize="1307,406">
              <v:shape style="position:absolute;left:2538;top:10794;width:1307;height:406" coordorigin="2538,10794" coordsize="1307,406" path="m2538,11200l3845,11200,3845,10794,2538,10794,2538,11200xe" filled="true" fillcolor="#ffffff" stroked="false">
                <v:path arrowok="t"/>
                <v:fill type="solid"/>
              </v:shape>
            </v:group>
            <v:group style="position:absolute;left:1142;top:10336;width:1352;height:2" coordorigin="1142,10336" coordsize="1352,2">
              <v:shape style="position:absolute;left:1142;top:10336;width:1352;height:2" coordorigin="1142,10336" coordsize="1352,0" path="m1142,10336l2493,10336e" filled="false" stroked="true" strokeweight=".75pt" strokecolor="#000000">
                <v:path arrowok="t"/>
              </v:shape>
            </v:group>
            <v:group style="position:absolute;left:2508;top:10336;width:1367;height:2" coordorigin="2508,10336" coordsize="1367,2">
              <v:shape style="position:absolute;left:2508;top:10336;width:1367;height:2" coordorigin="2508,10336" coordsize="1367,0" path="m2508,10336l3875,10336e" filled="false" stroked="true" strokeweight=".75pt" strokecolor="#000000">
                <v:path arrowok="t"/>
              </v:shape>
            </v:group>
            <v:group style="position:absolute;left:3890;top:10336;width:1352;height:2" coordorigin="3890,10336" coordsize="1352,2">
              <v:shape style="position:absolute;left:3890;top:10336;width:1352;height:2" coordorigin="3890,10336" coordsize="1352,0" path="m3890,10336l5242,10336e" filled="false" stroked="true" strokeweight=".75pt" strokecolor="#000000">
                <v:path arrowok="t"/>
              </v:shape>
            </v:group>
            <v:group style="position:absolute;left:5257;top:10336;width:1352;height:2" coordorigin="5257,10336" coordsize="1352,2">
              <v:shape style="position:absolute;left:5257;top:10336;width:1352;height:2" coordorigin="5257,10336" coordsize="1352,0" path="m5257,10336l6609,10336e" filled="false" stroked="true" strokeweight=".75pt" strokecolor="#000000">
                <v:path arrowok="t"/>
              </v:shape>
            </v:group>
            <v:group style="position:absolute;left:6624;top:10336;width:1352;height:2" coordorigin="6624,10336" coordsize="1352,2">
              <v:shape style="position:absolute;left:6624;top:10336;width:1352;height:2" coordorigin="6624,10336" coordsize="1352,0" path="m6624,10336l7975,10336e" filled="false" stroked="true" strokeweight=".75pt" strokecolor="#000000">
                <v:path arrowok="t"/>
              </v:shape>
            </v:group>
            <v:group style="position:absolute;left:7990;top:10336;width:1352;height:2" coordorigin="7990,10336" coordsize="1352,2">
              <v:shape style="position:absolute;left:7990;top:10336;width:1352;height:2" coordorigin="7990,10336" coordsize="1352,0" path="m7990,10336l9341,10336e" filled="false" stroked="true" strokeweight=".75pt" strokecolor="#000000">
                <v:path arrowok="t"/>
              </v:shape>
            </v:group>
            <v:group style="position:absolute;left:9357;top:10336;width:1352;height:2" coordorigin="9357,10336" coordsize="1352,2">
              <v:shape style="position:absolute;left:9357;top:10336;width:1352;height:2" coordorigin="9357,10336" coordsize="1352,0" path="m9357,10336l10709,10336e" filled="false" stroked="true" strokeweight=".75pt" strokecolor="#000000">
                <v:path arrowok="t"/>
              </v:shape>
            </v:group>
            <v:group style="position:absolute;left:6624;top:11666;width:1352;height:631" coordorigin="6624,11666" coordsize="1352,631">
              <v:shape style="position:absolute;left:6624;top:11666;width:1352;height:631" coordorigin="6624,11666" coordsize="1352,631" path="m6624,12296l7975,12296,7975,11666,6624,11666,6624,12296xe" filled="true" fillcolor="#ffffff" stroked="false">
                <v:path arrowok="t"/>
                <v:fill type="solid"/>
              </v:shape>
            </v:group>
            <v:group style="position:absolute;left:1142;top:11673;width:1352;height:2" coordorigin="1142,11673" coordsize="1352,2">
              <v:shape style="position:absolute;left:1142;top:11673;width:1352;height:2" coordorigin="1142,11673" coordsize="1352,0" path="m1142,11673l2493,11673e" filled="false" stroked="true" strokeweight=".75pt" strokecolor="#000000">
                <v:path arrowok="t"/>
              </v:shape>
            </v:group>
            <v:group style="position:absolute;left:2508;top:11673;width:1367;height:2" coordorigin="2508,11673" coordsize="1367,2">
              <v:shape style="position:absolute;left:2508;top:11673;width:1367;height:2" coordorigin="2508,11673" coordsize="1367,0" path="m2508,11673l3875,11673e" filled="false" stroked="true" strokeweight=".75pt" strokecolor="#000000">
                <v:path arrowok="t"/>
              </v:shape>
            </v:group>
            <v:group style="position:absolute;left:3890;top:11673;width:1352;height:2" coordorigin="3890,11673" coordsize="1352,2">
              <v:shape style="position:absolute;left:3890;top:11673;width:1352;height:2" coordorigin="3890,11673" coordsize="1352,0" path="m3890,11673l5242,11673e" filled="false" stroked="true" strokeweight=".75pt" strokecolor="#000000">
                <v:path arrowok="t"/>
              </v:shape>
            </v:group>
            <v:group style="position:absolute;left:5257;top:11673;width:1352;height:2" coordorigin="5257,11673" coordsize="1352,2">
              <v:shape style="position:absolute;left:5257;top:11673;width:1352;height:2" coordorigin="5257,11673" coordsize="1352,0" path="m5257,11673l6609,11673e" filled="false" stroked="true" strokeweight=".75pt" strokecolor="#000000">
                <v:path arrowok="t"/>
              </v:shape>
            </v:group>
            <v:group style="position:absolute;left:6624;top:11673;width:1352;height:2" coordorigin="6624,11673" coordsize="1352,2">
              <v:shape style="position:absolute;left:6624;top:11673;width:1352;height:2" coordorigin="6624,11673" coordsize="1352,0" path="m6624,11673l7975,11673e" filled="false" stroked="true" strokeweight=".75pt" strokecolor="#000000">
                <v:path arrowok="t"/>
              </v:shape>
            </v:group>
            <v:group style="position:absolute;left:7990;top:11673;width:1352;height:2" coordorigin="7990,11673" coordsize="1352,2">
              <v:shape style="position:absolute;left:7990;top:11673;width:1352;height:2" coordorigin="7990,11673" coordsize="1352,0" path="m7990,11673l9341,11673e" filled="false" stroked="true" strokeweight=".75pt" strokecolor="#000000">
                <v:path arrowok="t"/>
              </v:shape>
            </v:group>
            <v:group style="position:absolute;left:9357;top:11673;width:1352;height:2" coordorigin="9357,11673" coordsize="1352,2">
              <v:shape style="position:absolute;left:9357;top:11673;width:1352;height:2" coordorigin="9357,11673" coordsize="1352,0" path="m9357,11673l10709,11673e" filled="false" stroked="true" strokeweight=".75pt" strokecolor="#000000">
                <v:path arrowok="t"/>
              </v:shape>
            </v:group>
            <v:group style="position:absolute;left:2508;top:13316;width:1367;height:631" coordorigin="2508,13316" coordsize="1367,631">
              <v:shape style="position:absolute;left:2508;top:13316;width:1367;height:631" coordorigin="2508,13316" coordsize="1367,631" path="m2508,13947l3875,13947,3875,13316,2508,13316,2508,13947xe" filled="true" fillcolor="#ffffff" stroked="false">
                <v:path arrowok="t"/>
                <v:fill type="solid"/>
              </v:shape>
            </v:group>
            <v:group style="position:absolute;left:2523;top:13948;width:2;height:390" coordorigin="2523,13948" coordsize="2,390">
              <v:shape style="position:absolute;left:2523;top:13948;width:2;height:390" coordorigin="2523,13948" coordsize="0,390" path="m2523,13948l2523,14338e" filled="false" stroked="true" strokeweight="1.5pt" strokecolor="#ffffff">
                <v:path arrowok="t"/>
              </v:shape>
            </v:group>
            <v:group style="position:absolute;left:2538;top:13948;width:1307;height:390" coordorigin="2538,13948" coordsize="1307,390">
              <v:shape style="position:absolute;left:2538;top:13948;width:1307;height:390" coordorigin="2538,13948" coordsize="1307,390" path="m2538,14338l3845,14338,3845,13948,2538,13948,2538,14338xe" filled="true" fillcolor="#ffffff" stroked="false">
                <v:path arrowok="t"/>
                <v:fill type="solid"/>
              </v:shape>
            </v:group>
            <v:group style="position:absolute;left:1142;top:13324;width:1352;height:2" coordorigin="1142,13324" coordsize="1352,2">
              <v:shape style="position:absolute;left:1142;top:13324;width:1352;height:2" coordorigin="1142,13324" coordsize="1352,0" path="m1142,13324l2493,13324e" filled="false" stroked="true" strokeweight=".75pt" strokecolor="#000000">
                <v:path arrowok="t"/>
              </v:shape>
            </v:group>
            <v:group style="position:absolute;left:2508;top:13324;width:1367;height:2" coordorigin="2508,13324" coordsize="1367,2">
              <v:shape style="position:absolute;left:2508;top:13324;width:1367;height:2" coordorigin="2508,13324" coordsize="1367,0" path="m2508,13324l3875,13324e" filled="false" stroked="true" strokeweight=".75pt" strokecolor="#000000">
                <v:path arrowok="t"/>
              </v:shape>
            </v:group>
            <v:group style="position:absolute;left:3890;top:13324;width:1352;height:2" coordorigin="3890,13324" coordsize="1352,2">
              <v:shape style="position:absolute;left:3890;top:13324;width:1352;height:2" coordorigin="3890,13324" coordsize="1352,0" path="m3890,13324l5242,13324e" filled="false" stroked="true" strokeweight=".75pt" strokecolor="#000000">
                <v:path arrowok="t"/>
              </v:shape>
            </v:group>
            <v:group style="position:absolute;left:5257;top:13324;width:1352;height:2" coordorigin="5257,13324" coordsize="1352,2">
              <v:shape style="position:absolute;left:5257;top:13324;width:1352;height:2" coordorigin="5257,13324" coordsize="1352,0" path="m5257,13324l6609,13324e" filled="false" stroked="true" strokeweight=".75pt" strokecolor="#000000">
                <v:path arrowok="t"/>
              </v:shape>
            </v:group>
            <v:group style="position:absolute;left:6624;top:13324;width:1352;height:2" coordorigin="6624,13324" coordsize="1352,2">
              <v:shape style="position:absolute;left:6624;top:13324;width:1352;height:2" coordorigin="6624,13324" coordsize="1352,0" path="m6624,13324l7975,13324e" filled="false" stroked="true" strokeweight=".75pt" strokecolor="#000000">
                <v:path arrowok="t"/>
              </v:shape>
            </v:group>
            <v:group style="position:absolute;left:7990;top:13324;width:1352;height:2" coordorigin="7990,13324" coordsize="1352,2">
              <v:shape style="position:absolute;left:7990;top:13324;width:1352;height:2" coordorigin="7990,13324" coordsize="1352,0" path="m7990,13324l9341,13324e" filled="false" stroked="true" strokeweight=".75pt" strokecolor="#000000">
                <v:path arrowok="t"/>
              </v:shape>
            </v:group>
            <v:group style="position:absolute;left:9357;top:13324;width:1352;height:2" coordorigin="9357,13324" coordsize="1352,2">
              <v:shape style="position:absolute;left:9357;top:13324;width:1352;height:2" coordorigin="9357,13324" coordsize="1352,0" path="m9357,13324l10709,13324e" filled="false" stroked="true" strokeweight=".75pt" strokecolor="#000000">
                <v:path arrowok="t"/>
              </v:shape>
            </v:group>
            <v:group style="position:absolute;left:1134;top:1442;width:2;height:13527" coordorigin="1134,1442" coordsize="2,13527">
              <v:shape style="position:absolute;left:1134;top:1442;width:2;height:13527" coordorigin="1134,1442" coordsize="0,13527" path="m1134,1442l1134,14968e" filled="false" stroked="true" strokeweight=".75pt" strokecolor="#000000">
                <v:path arrowok="t"/>
              </v:shape>
            </v:group>
            <v:group style="position:absolute;left:1142;top:14961;width:1352;height:2" coordorigin="1142,14961" coordsize="1352,2">
              <v:shape style="position:absolute;left:1142;top:14961;width:1352;height:2" coordorigin="1142,14961" coordsize="1352,0" path="m1142,14961l2493,14961e" filled="false" stroked="true" strokeweight=".75pt" strokecolor="#000000">
                <v:path arrowok="t"/>
              </v:shape>
            </v:group>
            <v:group style="position:absolute;left:2500;top:1442;width:2;height:13527" coordorigin="2500,1442" coordsize="2,13527">
              <v:shape style="position:absolute;left:2500;top:1442;width:2;height:13527" coordorigin="2500,1442" coordsize="0,13527" path="m2500,1442l2500,14968e" filled="false" stroked="true" strokeweight=".75pt" strokecolor="#000000">
                <v:path arrowok="t"/>
              </v:shape>
            </v:group>
            <v:group style="position:absolute;left:2508;top:14961;width:1367;height:2" coordorigin="2508,14961" coordsize="1367,2">
              <v:shape style="position:absolute;left:2508;top:14961;width:1367;height:2" coordorigin="2508,14961" coordsize="1367,0" path="m2508,14961l3875,14961e" filled="false" stroked="true" strokeweight=".75pt" strokecolor="#000000">
                <v:path arrowok="t"/>
              </v:shape>
            </v:group>
            <v:group style="position:absolute;left:3883;top:1442;width:2;height:13527" coordorigin="3883,1442" coordsize="2,13527">
              <v:shape style="position:absolute;left:3883;top:1442;width:2;height:13527" coordorigin="3883,1442" coordsize="0,13527" path="m3883,1442l3883,14968e" filled="false" stroked="true" strokeweight=".75pt" strokecolor="#000000">
                <v:path arrowok="t"/>
              </v:shape>
            </v:group>
            <v:group style="position:absolute;left:3890;top:14961;width:1352;height:2" coordorigin="3890,14961" coordsize="1352,2">
              <v:shape style="position:absolute;left:3890;top:14961;width:1352;height:2" coordorigin="3890,14961" coordsize="1352,0" path="m3890,14961l5242,14961e" filled="false" stroked="true" strokeweight=".75pt" strokecolor="#000000">
                <v:path arrowok="t"/>
              </v:shape>
            </v:group>
            <v:group style="position:absolute;left:5249;top:1442;width:2;height:13527" coordorigin="5249,1442" coordsize="2,13527">
              <v:shape style="position:absolute;left:5249;top:1442;width:2;height:13527" coordorigin="5249,1442" coordsize="0,13527" path="m5249,1442l5249,14968e" filled="false" stroked="true" strokeweight=".75pt" strokecolor="#000000">
                <v:path arrowok="t"/>
              </v:shape>
            </v:group>
            <v:group style="position:absolute;left:5257;top:14961;width:1352;height:2" coordorigin="5257,14961" coordsize="1352,2">
              <v:shape style="position:absolute;left:5257;top:14961;width:1352;height:2" coordorigin="5257,14961" coordsize="1352,0" path="m5257,14961l6609,14961e" filled="false" stroked="true" strokeweight=".75pt" strokecolor="#000000">
                <v:path arrowok="t"/>
              </v:shape>
            </v:group>
            <v:group style="position:absolute;left:6616;top:1442;width:2;height:13527" coordorigin="6616,1442" coordsize="2,13527">
              <v:shape style="position:absolute;left:6616;top:1442;width:2;height:13527" coordorigin="6616,1442" coordsize="0,13527" path="m6616,1442l6616,14968e" filled="false" stroked="true" strokeweight=".75pt" strokecolor="#000000">
                <v:path arrowok="t"/>
              </v:shape>
            </v:group>
            <v:group style="position:absolute;left:6624;top:14961;width:1352;height:2" coordorigin="6624,14961" coordsize="1352,2">
              <v:shape style="position:absolute;left:6624;top:14961;width:1352;height:2" coordorigin="6624,14961" coordsize="1352,0" path="m6624,14961l7975,14961e" filled="false" stroked="true" strokeweight=".75pt" strokecolor="#000000">
                <v:path arrowok="t"/>
              </v:shape>
            </v:group>
            <v:group style="position:absolute;left:7982;top:1442;width:2;height:13527" coordorigin="7982,1442" coordsize="2,13527">
              <v:shape style="position:absolute;left:7982;top:1442;width:2;height:13527" coordorigin="7982,1442" coordsize="0,13527" path="m7982,1442l7982,14968e" filled="false" stroked="true" strokeweight=".75pt" strokecolor="#000000">
                <v:path arrowok="t"/>
              </v:shape>
            </v:group>
            <v:group style="position:absolute;left:7990;top:14961;width:1352;height:2" coordorigin="7990,14961" coordsize="1352,2">
              <v:shape style="position:absolute;left:7990;top:14961;width:1352;height:2" coordorigin="7990,14961" coordsize="1352,0" path="m7990,14961l9341,14961e" filled="false" stroked="true" strokeweight=".75pt" strokecolor="#000000">
                <v:path arrowok="t"/>
              </v:shape>
            </v:group>
            <v:group style="position:absolute;left:9349;top:1442;width:2;height:13527" coordorigin="9349,1442" coordsize="2,13527">
              <v:shape style="position:absolute;left:9349;top:1442;width:2;height:13527" coordorigin="9349,1442" coordsize="0,13527" path="m9349,1442l9349,14968e" filled="false" stroked="true" strokeweight=".75pt" strokecolor="#000000">
                <v:path arrowok="t"/>
              </v:shape>
            </v:group>
            <v:group style="position:absolute;left:9357;top:14961;width:1352;height:2" coordorigin="9357,14961" coordsize="1352,2">
              <v:shape style="position:absolute;left:9357;top:14961;width:1352;height:2" coordorigin="9357,14961" coordsize="1352,0" path="m9357,14961l10709,14961e" filled="false" stroked="true" strokeweight=".75pt" strokecolor="#000000">
                <v:path arrowok="t"/>
              </v:shape>
            </v:group>
            <v:group style="position:absolute;left:10716;top:1442;width:2;height:13527" coordorigin="10716,1442" coordsize="2,13527">
              <v:shape style="position:absolute;left:10716;top:1442;width:2;height:13527" coordorigin="10716,1442" coordsize="0,13527" path="m10716,1442l10716,14968e" filled="false" stroked="true" strokeweight=".75pt" strokecolor="#000000">
                <v:path arrowok="t"/>
              </v:shape>
            </v:group>
            <w10:wrap type="none"/>
          </v:group>
        </w:pict>
      </w:r>
      <w:r>
        <w:rPr/>
        <w:t>科技有限公司</w:t>
      </w:r>
    </w:p>
    <w:p>
      <w:pPr>
        <w:pStyle w:val="BodyText"/>
        <w:spacing w:line="304" w:lineRule="auto" w:before="42"/>
        <w:ind w:left="156" w:right="5358"/>
        <w:jc w:val="left"/>
      </w:pPr>
      <w:r>
        <w:rPr/>
        <w:br w:type="column"/>
      </w:r>
      <w:r>
        <w:rPr/>
        <w:t>术咨询、技术转 让等</w:t>
      </w:r>
    </w:p>
    <w:p>
      <w:pPr>
        <w:spacing w:after="0" w:line="304" w:lineRule="auto"/>
        <w:jc w:val="left"/>
        <w:sectPr>
          <w:type w:val="continuous"/>
          <w:pgSz w:w="11910" w:h="16850"/>
          <w:pgMar w:top="1040" w:bottom="1180" w:left="1000" w:right="0"/>
          <w:cols w:num="2" w:equalWidth="0">
            <w:col w:w="1237" w:space="2878"/>
            <w:col w:w="6795"/>
          </w:cols>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10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湖南瀚云风鹏科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湖南长沙</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中国湖南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6"/>
              <w:jc w:val="both"/>
              <w:rPr>
                <w:rFonts w:ascii="宋体" w:hAnsi="宋体" w:cs="宋体" w:eastAsia="宋体" w:hint="default"/>
                <w:sz w:val="18"/>
                <w:szCs w:val="18"/>
              </w:rPr>
            </w:pPr>
            <w:r>
              <w:rPr>
                <w:rFonts w:ascii="宋体" w:hAnsi="宋体" w:cs="宋体" w:eastAsia="宋体" w:hint="default"/>
                <w:sz w:val="18"/>
                <w:szCs w:val="18"/>
              </w:rPr>
              <w:t>智能化技术、电 子产品、技术开 发服务等</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62.00%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165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pacing w:val="-5"/>
                <w:sz w:val="18"/>
                <w:szCs w:val="18"/>
              </w:rPr>
              <w:t>瀚云风鹏（武汉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00"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30" w:right="0"/>
              <w:jc w:val="left"/>
              <w:rPr>
                <w:rFonts w:ascii="宋体" w:hAnsi="宋体" w:cs="宋体" w:eastAsia="宋体" w:hint="default"/>
                <w:sz w:val="18"/>
                <w:szCs w:val="18"/>
              </w:rPr>
            </w:pPr>
            <w:r>
              <w:rPr>
                <w:rFonts w:ascii="宋体" w:hAnsi="宋体" w:cs="宋体" w:eastAsia="宋体" w:hint="default"/>
                <w:sz w:val="18"/>
                <w:szCs w:val="18"/>
              </w:rPr>
              <w:t>湖北武汉</w:t>
            </w:r>
          </w:p>
          <w:p>
            <w:pPr>
              <w:pStyle w:val="TableParagraph"/>
              <w:spacing w:line="1036" w:lineRule="exact"/>
              <w:ind w:right="-30"/>
              <w:jc w:val="left"/>
              <w:rPr>
                <w:rFonts w:ascii="宋体" w:hAnsi="宋体" w:cs="宋体" w:eastAsia="宋体" w:hint="default"/>
                <w:sz w:val="20"/>
                <w:szCs w:val="20"/>
              </w:rPr>
            </w:pPr>
            <w:r>
              <w:rPr>
                <w:rFonts w:ascii="宋体" w:hAnsi="宋体" w:cs="宋体" w:eastAsia="宋体" w:hint="default"/>
                <w:position w:val="-20"/>
                <w:sz w:val="20"/>
                <w:szCs w:val="20"/>
              </w:rPr>
              <w:pict>
                <v:group style="width:68.350pt;height:51.85pt;mso-position-horizontal-relative:char;mso-position-vertical-relative:line" coordorigin="0,0" coordsize="1367,1037">
                  <v:group style="position:absolute;left:0;top:0;width:1367;height:631" coordorigin="0,0" coordsize="1367,631">
                    <v:shape style="position:absolute;left:0;top:0;width:1367;height:631" coordorigin="0,0" coordsize="1367,631" path="m0,630l1367,630,1367,0,0,0,0,630xe" filled="true" fillcolor="#ffffff" stroked="false">
                      <v:path arrowok="t"/>
                      <v:fill type="solid"/>
                    </v:shape>
                  </v:group>
                  <v:group style="position:absolute;left:15;top:631;width:2;height:391" coordorigin="15,631" coordsize="2,391">
                    <v:shape style="position:absolute;left:15;top:631;width:2;height:391" coordorigin="15,631" coordsize="0,391" path="m15,631l15,1021e" filled="false" stroked="true" strokeweight="1.5pt" strokecolor="#ffffff">
                      <v:path arrowok="t"/>
                    </v:shape>
                  </v:group>
                  <v:group style="position:absolute;left:30;top:631;width:1307;height:391" coordorigin="30,631" coordsize="1307,391">
                    <v:shape style="position:absolute;left:30;top:631;width:1307;height:391" coordorigin="30,631" coordsize="1307,391" path="m30,1021l1337,1021,1337,631,30,631,30,1021xe" filled="true" fillcolor="#ffffff" stroked="false">
                      <v:path arrowok="t"/>
                      <v:fill type="solid"/>
                    </v:shape>
                  </v:group>
                </v:group>
              </w:pict>
            </w:r>
            <w:r>
              <w:rPr>
                <w:rFonts w:ascii="宋体" w:hAnsi="宋体" w:cs="宋体" w:eastAsia="宋体" w:hint="default"/>
                <w:position w:val="-20"/>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5"/>
                <w:szCs w:val="25"/>
              </w:rPr>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中国湖北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76"/>
              <w:jc w:val="both"/>
              <w:rPr>
                <w:rFonts w:ascii="宋体" w:hAnsi="宋体" w:cs="宋体" w:eastAsia="宋体" w:hint="default"/>
                <w:sz w:val="18"/>
                <w:szCs w:val="18"/>
              </w:rPr>
            </w:pPr>
            <w:r>
              <w:rPr>
                <w:rFonts w:ascii="宋体" w:hAnsi="宋体" w:cs="宋体" w:eastAsia="宋体" w:hint="default"/>
                <w:sz w:val="18"/>
                <w:szCs w:val="18"/>
              </w:rPr>
              <w:t>技术开发及计算 机软硬件、电子 产品销售；计算 机信息系统集成 服务等</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62.00%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1652"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贵阳瀚佑科技有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贵州贵阳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中国贵州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76"/>
              <w:jc w:val="both"/>
              <w:rPr>
                <w:rFonts w:ascii="宋体" w:hAnsi="宋体" w:cs="宋体" w:eastAsia="宋体" w:hint="default"/>
                <w:sz w:val="18"/>
                <w:szCs w:val="18"/>
              </w:rPr>
            </w:pPr>
            <w:r>
              <w:rPr>
                <w:rFonts w:ascii="宋体" w:hAnsi="宋体" w:cs="宋体" w:eastAsia="宋体" w:hint="default"/>
                <w:sz w:val="18"/>
                <w:szCs w:val="18"/>
              </w:rPr>
              <w:t>技术开发及计算 机软硬件、电子 产品销售；计算 机信息系统集成 服务等</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62.00%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广西朗新数据科 技限公司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广西南宁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中国广西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6"/>
              <w:jc w:val="both"/>
              <w:rPr>
                <w:rFonts w:ascii="宋体" w:hAnsi="宋体" w:cs="宋体" w:eastAsia="宋体" w:hint="default"/>
                <w:sz w:val="18"/>
                <w:szCs w:val="18"/>
              </w:rPr>
            </w:pPr>
            <w:r>
              <w:rPr>
                <w:rFonts w:ascii="宋体" w:hAnsi="宋体" w:cs="宋体" w:eastAsia="宋体" w:hint="default"/>
                <w:sz w:val="18"/>
                <w:szCs w:val="18"/>
              </w:rPr>
              <w:t>技术研发、技术 服务及计算机软 硬件开发等</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63.00%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74"/>
              <w:jc w:val="left"/>
              <w:rPr>
                <w:rFonts w:ascii="宋体" w:hAnsi="宋体" w:cs="宋体" w:eastAsia="宋体" w:hint="default"/>
                <w:sz w:val="18"/>
                <w:szCs w:val="18"/>
              </w:rPr>
            </w:pPr>
            <w:r>
              <w:rPr>
                <w:rFonts w:ascii="宋体" w:hAnsi="宋体" w:cs="宋体" w:eastAsia="宋体" w:hint="default"/>
                <w:sz w:val="18"/>
                <w:szCs w:val="18"/>
              </w:rPr>
              <w:t>贵州朗新数据科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贵州贵阳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中国贵州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6"/>
              <w:jc w:val="both"/>
              <w:rPr>
                <w:rFonts w:ascii="宋体" w:hAnsi="宋体" w:cs="宋体" w:eastAsia="宋体" w:hint="default"/>
                <w:sz w:val="18"/>
                <w:szCs w:val="18"/>
              </w:rPr>
            </w:pPr>
            <w:r>
              <w:rPr>
                <w:rFonts w:ascii="宋体" w:hAnsi="宋体" w:cs="宋体" w:eastAsia="宋体" w:hint="default"/>
                <w:sz w:val="18"/>
                <w:szCs w:val="18"/>
              </w:rPr>
              <w:t>技术研发、技术 服务及计算机软 硬件等</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63.00%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13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涵谷海运科技</w:t>
            </w:r>
          </w:p>
          <w:p>
            <w:pPr>
              <w:pStyle w:val="TableParagraph"/>
              <w:spacing w:line="321" w:lineRule="auto" w:before="79"/>
              <w:ind w:left="15" w:right="74"/>
              <w:jc w:val="left"/>
              <w:rPr>
                <w:rFonts w:ascii="宋体" w:hAnsi="宋体" w:cs="宋体" w:eastAsia="宋体" w:hint="default"/>
                <w:sz w:val="18"/>
                <w:szCs w:val="18"/>
              </w:rPr>
            </w:pPr>
            <w:r>
              <w:rPr>
                <w:rFonts w:ascii="宋体" w:hAnsi="宋体" w:cs="宋体" w:eastAsia="宋体" w:hint="default"/>
                <w:sz w:val="18"/>
                <w:szCs w:val="18"/>
              </w:rPr>
              <w:t>（广州）有限公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中国广东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59"/>
              <w:ind w:left="15" w:right="28"/>
              <w:jc w:val="both"/>
              <w:rPr>
                <w:rFonts w:ascii="宋体" w:hAnsi="宋体" w:cs="宋体" w:eastAsia="宋体" w:hint="default"/>
                <w:sz w:val="18"/>
                <w:szCs w:val="18"/>
              </w:rPr>
            </w:pPr>
            <w:r>
              <w:rPr>
                <w:rFonts w:ascii="宋体" w:hAnsi="宋体" w:cs="宋体" w:eastAsia="宋体" w:hint="default"/>
                <w:sz w:val="18"/>
                <w:szCs w:val="18"/>
              </w:rPr>
              <w:t>软件开发</w:t>
            </w:r>
            <w:r>
              <w:rPr>
                <w:rFonts w:ascii="Times New Roman" w:hAnsi="Times New Roman" w:cs="Times New Roman" w:eastAsia="Times New Roman" w:hint="default"/>
                <w:sz w:val="18"/>
                <w:szCs w:val="18"/>
              </w:rPr>
              <w:t>;</w:t>
            </w:r>
            <w:r>
              <w:rPr>
                <w:rFonts w:ascii="宋体" w:hAnsi="宋体" w:cs="宋体" w:eastAsia="宋体" w:hint="default"/>
                <w:sz w:val="18"/>
                <w:szCs w:val="18"/>
              </w:rPr>
              <w:t>信息系 统集成服务</w:t>
            </w:r>
            <w:r>
              <w:rPr>
                <w:rFonts w:ascii="Times New Roman" w:hAnsi="Times New Roman" w:cs="Times New Roman" w:eastAsia="Times New Roman" w:hint="default"/>
                <w:sz w:val="18"/>
                <w:szCs w:val="18"/>
              </w:rPr>
              <w:t>;</w:t>
            </w:r>
            <w:r>
              <w:rPr>
                <w:rFonts w:ascii="宋体" w:hAnsi="宋体" w:cs="宋体" w:eastAsia="宋体" w:hint="default"/>
                <w:sz w:val="18"/>
                <w:szCs w:val="18"/>
              </w:rPr>
              <w:t>信息 技术咨询服务</w:t>
            </w:r>
            <w:r>
              <w:rPr>
                <w:rFonts w:ascii="Times New Roman" w:hAnsi="Times New Roman" w:cs="Times New Roman" w:eastAsia="Times New Roman" w:hint="default"/>
                <w:sz w:val="18"/>
                <w:szCs w:val="18"/>
              </w:rPr>
              <w:t>;</w:t>
            </w:r>
            <w:r>
              <w:rPr>
                <w:rFonts w:ascii="宋体" w:hAnsi="宋体" w:cs="宋体" w:eastAsia="宋体" w:hint="default"/>
                <w:sz w:val="18"/>
                <w:szCs w:val="18"/>
              </w:rPr>
              <w:t>计 算机技术开发等</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53.80%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1652"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朗新云贸科技有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海南三亚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中国海南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76"/>
              <w:jc w:val="both"/>
              <w:rPr>
                <w:rFonts w:ascii="宋体" w:hAnsi="宋体" w:cs="宋体" w:eastAsia="宋体" w:hint="default"/>
                <w:sz w:val="18"/>
                <w:szCs w:val="18"/>
              </w:rPr>
            </w:pPr>
            <w:r>
              <w:rPr>
                <w:rFonts w:ascii="宋体" w:hAnsi="宋体" w:cs="宋体" w:eastAsia="宋体" w:hint="default"/>
                <w:sz w:val="18"/>
                <w:szCs w:val="18"/>
              </w:rPr>
              <w:t>信息技术咨询服 务，信息技术管 理咨询服务，软 件开发，信息系 统集成服务等</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2.80%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135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74"/>
              <w:jc w:val="both"/>
              <w:rPr>
                <w:rFonts w:ascii="宋体" w:hAnsi="宋体" w:cs="宋体" w:eastAsia="宋体" w:hint="default"/>
                <w:sz w:val="18"/>
                <w:szCs w:val="18"/>
              </w:rPr>
            </w:pPr>
            <w:r>
              <w:rPr>
                <w:rFonts w:ascii="宋体" w:hAnsi="宋体" w:cs="宋体" w:eastAsia="宋体" w:hint="default"/>
                <w:sz w:val="18"/>
                <w:szCs w:val="18"/>
              </w:rPr>
              <w:t>无锡瀚智物联网 产业发展有限公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中国江苏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76"/>
              <w:jc w:val="both"/>
              <w:rPr>
                <w:rFonts w:ascii="宋体" w:hAnsi="宋体" w:cs="宋体" w:eastAsia="宋体" w:hint="default"/>
                <w:sz w:val="18"/>
                <w:szCs w:val="18"/>
              </w:rPr>
            </w:pPr>
            <w:r>
              <w:rPr>
                <w:rFonts w:ascii="宋体" w:hAnsi="宋体" w:cs="宋体" w:eastAsia="宋体" w:hint="default"/>
                <w:sz w:val="18"/>
                <w:szCs w:val="18"/>
              </w:rPr>
              <w:t>物联网、计算机 软件开发、技术 咨询和技术服务 等</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55.80%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发起设立</w:t>
            </w:r>
          </w:p>
        </w:tc>
      </w:tr>
      <w:tr>
        <w:trPr>
          <w:trHeight w:val="16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pacing w:val="-5"/>
                <w:sz w:val="18"/>
                <w:szCs w:val="18"/>
              </w:rPr>
              <w:t>朗新科技（海南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00"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30" w:right="0"/>
              <w:jc w:val="left"/>
              <w:rPr>
                <w:rFonts w:ascii="宋体" w:hAnsi="宋体" w:cs="宋体" w:eastAsia="宋体" w:hint="default"/>
                <w:sz w:val="18"/>
                <w:szCs w:val="18"/>
              </w:rPr>
            </w:pPr>
            <w:r>
              <w:rPr>
                <w:rFonts w:ascii="宋体" w:hAnsi="宋体" w:cs="宋体" w:eastAsia="宋体" w:hint="default"/>
                <w:sz w:val="18"/>
                <w:szCs w:val="18"/>
              </w:rPr>
              <w:t>海南海口</w:t>
            </w:r>
          </w:p>
          <w:p>
            <w:pPr>
              <w:pStyle w:val="TableParagraph"/>
              <w:spacing w:line="1036" w:lineRule="exact"/>
              <w:ind w:right="-30"/>
              <w:jc w:val="left"/>
              <w:rPr>
                <w:rFonts w:ascii="宋体" w:hAnsi="宋体" w:cs="宋体" w:eastAsia="宋体" w:hint="default"/>
                <w:sz w:val="20"/>
                <w:szCs w:val="20"/>
              </w:rPr>
            </w:pPr>
            <w:r>
              <w:rPr>
                <w:rFonts w:ascii="宋体" w:hAnsi="宋体" w:cs="宋体" w:eastAsia="宋体" w:hint="default"/>
                <w:position w:val="-20"/>
                <w:sz w:val="20"/>
                <w:szCs w:val="20"/>
              </w:rPr>
              <w:pict>
                <v:group style="width:68.350pt;height:51.8pt;mso-position-horizontal-relative:char;mso-position-vertical-relative:line" coordorigin="0,0" coordsize="1367,1036">
                  <v:group style="position:absolute;left:0;top:0;width:1367;height:631" coordorigin="0,0" coordsize="1367,631">
                    <v:shape style="position:absolute;left:0;top:0;width:1367;height:631" coordorigin="0,0" coordsize="1367,631" path="m0,631l1367,631,1367,0,0,0,0,631xe" filled="true" fillcolor="#ffffff" stroked="false">
                      <v:path arrowok="t"/>
                      <v:fill type="solid"/>
                    </v:shape>
                  </v:group>
                  <v:group style="position:absolute;left:15;top:631;width:2;height:390" coordorigin="15,631" coordsize="2,390">
                    <v:shape style="position:absolute;left:15;top:631;width:2;height:390" coordorigin="15,631" coordsize="0,390" path="m15,631l15,1021e" filled="false" stroked="true" strokeweight="1.5pt" strokecolor="#ffffff">
                      <v:path arrowok="t"/>
                    </v:shape>
                  </v:group>
                  <v:group style="position:absolute;left:30;top:631;width:1307;height:390" coordorigin="30,631" coordsize="1307,390">
                    <v:shape style="position:absolute;left:30;top:631;width:1307;height:390" coordorigin="30,631" coordsize="1307,390" path="m30,1021l1337,1021,1337,631,30,631,30,1021xe" filled="true" fillcolor="#ffffff" stroked="false">
                      <v:path arrowok="t"/>
                      <v:fill type="solid"/>
                    </v:shape>
                  </v:group>
                </v:group>
              </w:pict>
            </w:r>
            <w:r>
              <w:rPr>
                <w:rFonts w:ascii="宋体" w:hAnsi="宋体" w:cs="宋体" w:eastAsia="宋体" w:hint="default"/>
                <w:position w:val="-20"/>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5"/>
                <w:szCs w:val="25"/>
              </w:rPr>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中国海南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15" w:right="75"/>
              <w:jc w:val="both"/>
              <w:rPr>
                <w:rFonts w:ascii="宋体" w:hAnsi="宋体" w:cs="宋体" w:eastAsia="宋体" w:hint="default"/>
                <w:sz w:val="18"/>
                <w:szCs w:val="18"/>
              </w:rPr>
            </w:pPr>
            <w:r>
              <w:rPr>
                <w:rFonts w:ascii="宋体" w:hAnsi="宋体" w:cs="宋体" w:eastAsia="宋体" w:hint="default"/>
                <w:sz w:val="18"/>
                <w:szCs w:val="18"/>
              </w:rPr>
              <w:t>信息技术咨询服 务，信息技术管 理咨询服务，软 件开发，信息系 统集成服务等</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发起设立</w:t>
            </w:r>
          </w:p>
        </w:tc>
      </w:tr>
    </w:tbl>
    <w:p>
      <w:pPr>
        <w:pStyle w:val="BodyText"/>
        <w:spacing w:line="352" w:lineRule="auto" w:before="45"/>
        <w:ind w:right="2829"/>
        <w:jc w:val="left"/>
      </w:pPr>
      <w:r>
        <w:rPr/>
        <w:t>在子公司的持股比例不同于表决权比例的说明： 持有半数或以下表决权但仍控制被投资单位、以及持有半数以上表决权但不控制被投资单位的依据：</w:t>
      </w:r>
    </w:p>
    <w:p>
      <w:pPr>
        <w:pStyle w:val="BodyText"/>
        <w:spacing w:line="290" w:lineRule="auto" w:before="55"/>
        <w:ind w:right="1105"/>
        <w:jc w:val="left"/>
      </w:pPr>
      <w:r>
        <w:rPr>
          <w:rFonts w:ascii="Times New Roman" w:hAnsi="Times New Roman" w:cs="Times New Roman" w:eastAsia="Times New Roman" w:hint="default"/>
          <w:spacing w:val="-2"/>
        </w:rPr>
        <w:t>(i)</w:t>
      </w:r>
      <w:r>
        <w:rPr>
          <w:rFonts w:ascii="Times New Roman" w:hAnsi="Times New Roman" w:cs="Times New Roman" w:eastAsia="Times New Roman" w:hint="default"/>
        </w:rPr>
        <w:t> </w:t>
      </w:r>
      <w:r>
        <w:rPr>
          <w:spacing w:val="-2"/>
        </w:rPr>
        <w:t>于</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w:t>
      </w:r>
      <w:r>
        <w:rPr>
          <w:spacing w:val="-2"/>
        </w:rPr>
        <w:t>日，本公司根据《关于易天气（北京）科技有限公司的增资协议》以人民币</w:t>
      </w:r>
      <w:r>
        <w:rPr>
          <w:rFonts w:ascii="宋体" w:hAnsi="宋体" w:cs="宋体" w:eastAsia="宋体" w:hint="default"/>
          <w:spacing w:val="-2"/>
        </w:rPr>
        <w:t>1,500</w:t>
      </w:r>
      <w:r>
        <w:rPr>
          <w:spacing w:val="-2"/>
        </w:rPr>
        <w:t>万元溢价增资易天气科技</w:t>
      </w:r>
      <w:r>
        <w:rPr>
          <w:spacing w:val="-88"/>
        </w:rPr>
        <w:t> </w:t>
      </w:r>
      <w:r>
        <w:rPr>
          <w:spacing w:val="-2"/>
        </w:rPr>
        <w:t>增资后，与北京英孚泰克信息技术股份有限公司及无锡翔鹤企业管理合伙企业（有限合伙）（以下简称“无锡翔鹤”）分别</w:t>
      </w:r>
    </w:p>
    <w:p>
      <w:pPr>
        <w:spacing w:after="0" w:line="29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1119"/>
        <w:jc w:val="left"/>
      </w:pPr>
      <w:r>
        <w:rPr/>
        <w:t>持股</w:t>
      </w:r>
      <w:r>
        <w:rPr>
          <w:rFonts w:ascii="宋体" w:hAnsi="宋体" w:cs="宋体" w:eastAsia="宋体" w:hint="default"/>
        </w:rPr>
        <w:t>40%</w:t>
      </w:r>
      <w:r>
        <w:rPr/>
        <w:t>、</w:t>
      </w:r>
      <w:r>
        <w:rPr>
          <w:rFonts w:ascii="宋体" w:hAnsi="宋体" w:cs="宋体" w:eastAsia="宋体" w:hint="default"/>
        </w:rPr>
        <w:t>30%</w:t>
      </w:r>
      <w:r>
        <w:rPr/>
        <w:t>及</w:t>
      </w:r>
      <w:r>
        <w:rPr>
          <w:rFonts w:ascii="宋体" w:hAnsi="宋体" w:cs="宋体" w:eastAsia="宋体" w:hint="default"/>
        </w:rPr>
        <w:t>30%</w:t>
      </w:r>
      <w:r>
        <w:rPr/>
        <w:t>，同时，本公司与无锡翔鹤签订《易天气（北京）科技有限公司股东一致行动协议》，根据协议，对易</w:t>
      </w:r>
      <w:r>
        <w:rPr>
          <w:spacing w:val="-84"/>
        </w:rPr>
        <w:t> </w:t>
      </w:r>
      <w:r>
        <w:rPr>
          <w:spacing w:val="-84"/>
        </w:rPr>
      </w:r>
      <w:r>
        <w:rPr/>
        <w:t>天气科技的任何决策应协商达成一致或以本公司意见为统一意见，易天气科技为本公司控制的子公司，纳入合并范围。</w:t>
      </w:r>
    </w:p>
    <w:p>
      <w:pPr>
        <w:spacing w:line="240" w:lineRule="auto" w:before="0"/>
        <w:rPr>
          <w:rFonts w:ascii="宋体" w:hAnsi="宋体" w:cs="宋体" w:eastAsia="宋体" w:hint="default"/>
          <w:sz w:val="18"/>
          <w:szCs w:val="18"/>
        </w:rPr>
      </w:pPr>
    </w:p>
    <w:p>
      <w:pPr>
        <w:pStyle w:val="BodyText"/>
        <w:spacing w:line="367" w:lineRule="auto" w:before="128"/>
        <w:ind w:right="6429"/>
        <w:jc w:val="left"/>
      </w:pPr>
      <w:r>
        <w:rPr/>
        <w:t>对于纳入合并范围的重要的结构化主体，控制的依据： 确定公司是代理人还是委托人的依据：</w:t>
      </w:r>
    </w:p>
    <w:p>
      <w:pPr>
        <w:pStyle w:val="BodyText"/>
        <w:spacing w:line="240" w:lineRule="auto" w:before="1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2）重要的非全资子公司" w:id="443"/>
      <w:bookmarkEnd w:id="44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6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60"/>
              <w:ind w:left="781" w:right="46"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60"/>
              <w:ind w:left="586" w:right="45" w:hanging="542"/>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5"/>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易视腾科技</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4.00%</w:t>
            </w:r>
            <w:r>
              <w:rPr>
                <w:rFonts w:ascii="Times New Roman"/>
                <w:sz w:val="18"/>
              </w:rPr>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85,803,031.46</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75,531,006.70</w:t>
            </w:r>
          </w:p>
        </w:tc>
      </w:tr>
      <w:tr>
        <w:trPr>
          <w:trHeight w:val="39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邦道科技</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13,501,472.56</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54,392,538.27</w:t>
            </w:r>
          </w:p>
        </w:tc>
      </w:tr>
    </w:tbl>
    <w:p>
      <w:pPr>
        <w:pStyle w:val="BodyText"/>
        <w:spacing w:line="352" w:lineRule="auto" w:before="44"/>
        <w:ind w:right="6429"/>
        <w:jc w:val="left"/>
      </w:pPr>
      <w:r>
        <w:rPr/>
        <w:t>子公司少数股东的持股比例不同于表决权比例的说明： 其他说明：</w:t>
      </w:r>
    </w:p>
    <w:p>
      <w:pPr>
        <w:spacing w:line="240" w:lineRule="auto" w:before="4"/>
        <w:rPr>
          <w:rFonts w:ascii="宋体" w:hAnsi="宋体" w:cs="宋体" w:eastAsia="宋体" w:hint="default"/>
          <w:sz w:val="23"/>
          <w:szCs w:val="23"/>
        </w:rPr>
      </w:pPr>
    </w:p>
    <w:p>
      <w:pPr>
        <w:pStyle w:val="Heading3"/>
        <w:spacing w:line="240" w:lineRule="auto"/>
        <w:ind w:right="1105"/>
        <w:jc w:val="left"/>
        <w:rPr>
          <w:b w:val="0"/>
          <w:bCs w:val="0"/>
        </w:rPr>
      </w:pPr>
      <w:bookmarkStart w:name="（3）重要非全资子公司的主要财务信息" w:id="444"/>
      <w:bookmarkEnd w:id="444"/>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390" w:hRule="exact"/>
        </w:trPr>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307" w:lineRule="auto"/>
              <w:ind w:left="165" w:right="105"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6"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30"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21" w:hRule="exact"/>
        </w:trPr>
        <w:tc>
          <w:tcPr>
            <w:tcW w:w="736" w:type="dxa"/>
            <w:vMerge/>
            <w:tcBorders>
              <w:left w:val="single" w:sz="6" w:space="0" w:color="000000"/>
              <w:bottom w:val="single" w:sz="6" w:space="0" w:color="000000"/>
              <w:right w:val="single" w:sz="6" w:space="0" w:color="000000"/>
            </w:tcBorders>
            <w:shd w:val="clear" w:color="auto" w:fill="D2D2D2"/>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269" w:right="88"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80" w:right="88"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270" w:right="88"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270" w:right="90"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80"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270" w:right="90" w:hanging="181"/>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270"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80" w:right="88"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270" w:right="88"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270" w:right="89"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80" w:right="105" w:hanging="91"/>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255" w:right="103" w:hanging="181"/>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21"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65"/>
              <w:jc w:val="left"/>
              <w:rPr>
                <w:rFonts w:ascii="宋体" w:hAnsi="宋体" w:cs="宋体" w:eastAsia="宋体" w:hint="default"/>
                <w:sz w:val="18"/>
                <w:szCs w:val="18"/>
              </w:rPr>
            </w:pPr>
            <w:r>
              <w:rPr>
                <w:rFonts w:ascii="宋体" w:hAnsi="宋体" w:cs="宋体" w:eastAsia="宋体" w:hint="default"/>
                <w:sz w:val="18"/>
                <w:szCs w:val="18"/>
              </w:rPr>
              <w:t>易视腾 科技</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1,658,42</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0,933.76</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176,848,</w:t>
            </w:r>
          </w:p>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139.70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1,835,26</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9,073.46</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235,434,</w:t>
            </w:r>
          </w:p>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772.53</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18,064,5</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28.90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253,499,</w:t>
            </w:r>
          </w:p>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301.43</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1,768,22</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5,530.71</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250,203,</w:t>
            </w:r>
          </w:p>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538.87</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2,018,42</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9,069.58</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8" w:right="0"/>
              <w:jc w:val="center"/>
              <w:rPr>
                <w:rFonts w:ascii="Times New Roman" w:hAnsi="Times New Roman" w:cs="Times New Roman" w:eastAsia="Times New Roman" w:hint="default"/>
                <w:sz w:val="18"/>
                <w:szCs w:val="18"/>
              </w:rPr>
            </w:pPr>
            <w:r>
              <w:rPr>
                <w:rFonts w:ascii="Times New Roman"/>
                <w:sz w:val="18"/>
              </w:rPr>
              <w:t>627,792,</w:t>
            </w:r>
          </w:p>
          <w:p>
            <w:pPr>
              <w:pStyle w:val="TableParagraph"/>
              <w:spacing w:line="240" w:lineRule="auto" w:before="93"/>
              <w:ind w:left="195" w:right="0"/>
              <w:jc w:val="center"/>
              <w:rPr>
                <w:rFonts w:ascii="Times New Roman" w:hAnsi="Times New Roman" w:cs="Times New Roman" w:eastAsia="Times New Roman" w:hint="default"/>
                <w:sz w:val="18"/>
                <w:szCs w:val="18"/>
              </w:rPr>
            </w:pPr>
            <w:r>
              <w:rPr>
                <w:rFonts w:ascii="Times New Roman"/>
                <w:sz w:val="18"/>
              </w:rPr>
              <w:t>640.22</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67,040,1</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86.86</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694,832,</w:t>
            </w:r>
          </w:p>
          <w:p>
            <w:pPr>
              <w:pStyle w:val="TableParagraph"/>
              <w:spacing w:line="240" w:lineRule="auto" w:before="93"/>
              <w:ind w:left="164" w:right="0"/>
              <w:jc w:val="center"/>
              <w:rPr>
                <w:rFonts w:ascii="Times New Roman" w:hAnsi="Times New Roman" w:cs="Times New Roman" w:eastAsia="Times New Roman" w:hint="default"/>
                <w:sz w:val="18"/>
                <w:szCs w:val="18"/>
              </w:rPr>
            </w:pPr>
            <w:r>
              <w:rPr>
                <w:rFonts w:ascii="Times New Roman"/>
                <w:sz w:val="18"/>
              </w:rPr>
              <w:t>827.08</w:t>
            </w:r>
          </w:p>
        </w:tc>
      </w:tr>
      <w:tr>
        <w:trPr>
          <w:trHeight w:val="706"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65"/>
              <w:jc w:val="left"/>
              <w:rPr>
                <w:rFonts w:ascii="宋体" w:hAnsi="宋体" w:cs="宋体" w:eastAsia="宋体" w:hint="default"/>
                <w:sz w:val="18"/>
                <w:szCs w:val="18"/>
              </w:rPr>
            </w:pPr>
            <w:r>
              <w:rPr>
                <w:rFonts w:ascii="宋体" w:hAnsi="宋体" w:cs="宋体" w:eastAsia="宋体" w:hint="default"/>
                <w:sz w:val="18"/>
                <w:szCs w:val="18"/>
              </w:rPr>
              <w:t>邦道科 技</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center"/>
              <w:rPr>
                <w:rFonts w:ascii="Times New Roman" w:hAnsi="Times New Roman" w:cs="Times New Roman" w:eastAsia="Times New Roman" w:hint="default"/>
                <w:sz w:val="18"/>
                <w:szCs w:val="18"/>
              </w:rPr>
            </w:pPr>
            <w:r>
              <w:rPr>
                <w:rFonts w:ascii="Times New Roman"/>
                <w:sz w:val="18"/>
              </w:rPr>
              <w:t>627,735,</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503.33</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14,700,8</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01.34</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center"/>
              <w:rPr>
                <w:rFonts w:ascii="Times New Roman" w:hAnsi="Times New Roman" w:cs="Times New Roman" w:eastAsia="Times New Roman" w:hint="default"/>
                <w:sz w:val="18"/>
                <w:szCs w:val="18"/>
              </w:rPr>
            </w:pPr>
            <w:r>
              <w:rPr>
                <w:rFonts w:ascii="Times New Roman"/>
                <w:sz w:val="18"/>
              </w:rPr>
              <w:t>642,436,</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304.67</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center"/>
              <w:rPr>
                <w:rFonts w:ascii="Times New Roman" w:hAnsi="Times New Roman" w:cs="Times New Roman" w:eastAsia="Times New Roman" w:hint="default"/>
                <w:sz w:val="18"/>
                <w:szCs w:val="18"/>
              </w:rPr>
            </w:pPr>
            <w:r>
              <w:rPr>
                <w:rFonts w:ascii="Times New Roman"/>
                <w:sz w:val="18"/>
              </w:rPr>
              <w:t>135,910,</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199.72</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2,180,00</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center"/>
              <w:rPr>
                <w:rFonts w:ascii="Times New Roman" w:hAnsi="Times New Roman" w:cs="Times New Roman" w:eastAsia="Times New Roman" w:hint="default"/>
                <w:sz w:val="18"/>
                <w:szCs w:val="18"/>
              </w:rPr>
            </w:pPr>
            <w:r>
              <w:rPr>
                <w:rFonts w:ascii="Times New Roman"/>
                <w:sz w:val="18"/>
              </w:rPr>
              <w:t>138,090,</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199.72</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center"/>
              <w:rPr>
                <w:rFonts w:ascii="Times New Roman" w:hAnsi="Times New Roman" w:cs="Times New Roman" w:eastAsia="Times New Roman" w:hint="default"/>
                <w:sz w:val="18"/>
                <w:szCs w:val="18"/>
              </w:rPr>
            </w:pPr>
            <w:r>
              <w:rPr>
                <w:rFonts w:ascii="Times New Roman"/>
                <w:sz w:val="18"/>
              </w:rPr>
              <w:t>372,120,</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170.52</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2,755,74</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5.29</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center"/>
              <w:rPr>
                <w:rFonts w:ascii="Times New Roman" w:hAnsi="Times New Roman" w:cs="Times New Roman" w:eastAsia="Times New Roman" w:hint="default"/>
                <w:sz w:val="18"/>
                <w:szCs w:val="18"/>
              </w:rPr>
            </w:pPr>
            <w:r>
              <w:rPr>
                <w:rFonts w:ascii="Times New Roman"/>
                <w:sz w:val="18"/>
              </w:rPr>
              <w:t>374,875,</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915.81</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99,718,8</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37.58</w:t>
            </w: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99,718,8</w:t>
            </w:r>
          </w:p>
          <w:p>
            <w:pPr>
              <w:pStyle w:val="TableParagraph"/>
              <w:spacing w:line="240" w:lineRule="auto" w:before="108"/>
              <w:ind w:left="285" w:right="0"/>
              <w:jc w:val="left"/>
              <w:rPr>
                <w:rFonts w:ascii="Times New Roman" w:hAnsi="Times New Roman" w:cs="Times New Roman" w:eastAsia="Times New Roman" w:hint="default"/>
                <w:sz w:val="18"/>
                <w:szCs w:val="18"/>
              </w:rPr>
            </w:pPr>
            <w:r>
              <w:rPr>
                <w:rFonts w:ascii="Times New Roman"/>
                <w:sz w:val="18"/>
              </w:rPr>
              <w:t>37.58</w:t>
            </w:r>
          </w:p>
        </w:tc>
      </w:tr>
    </w:tbl>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51"/>
        <w:gridCol w:w="1067"/>
        <w:gridCol w:w="1066"/>
        <w:gridCol w:w="1066"/>
        <w:gridCol w:w="1067"/>
        <w:gridCol w:w="1066"/>
        <w:gridCol w:w="1067"/>
        <w:gridCol w:w="1066"/>
      </w:tblGrid>
      <w:tr>
        <w:trPr>
          <w:trHeight w:val="405" w:hRule="exact"/>
        </w:trPr>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65"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06"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35" w:right="74"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55"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21" w:right="90"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40" w:right="89" w:hanging="181"/>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2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易视腾科技</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1,239,819,90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2.93</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242,508,422.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242,508,422.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400,187,789.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11</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1,656,204,53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5.39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187,791,806.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09</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188,001,967.</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61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19,392,848.9</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9</w:t>
            </w:r>
          </w:p>
        </w:tc>
      </w:tr>
      <w:tr>
        <w:trPr>
          <w:trHeight w:val="705"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邦道科技</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447,599,574.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83</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221,048,854.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221,048,854.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148,957,032.</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72</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259,208,224.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130,145,390.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16</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130,145,390.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16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97,862,737.9</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45"/>
        <w:ind w:right="1105"/>
        <w:jc w:val="left"/>
      </w:pPr>
      <w:r>
        <w:rPr/>
        <w:t>其他说明：</w:t>
      </w:r>
    </w:p>
    <w:p>
      <w:pPr>
        <w:pStyle w:val="BodyText"/>
        <w:spacing w:line="240" w:lineRule="auto" w:before="124"/>
        <w:ind w:right="1105"/>
        <w:jc w:val="left"/>
      </w:pPr>
      <w:r>
        <w:rPr/>
        <w:t>上述邦道科技本期发生额和上期发生额是</w:t>
      </w:r>
      <w:r>
        <w:rPr>
          <w:spacing w:val="-42"/>
        </w:rPr>
        <w:t> </w:t>
      </w:r>
      <w:r>
        <w:rPr>
          <w:rFonts w:ascii="Times New Roman" w:hAnsi="Times New Roman" w:cs="Times New Roman" w:eastAsia="Times New Roman" w:hint="default"/>
        </w:rPr>
        <w:t>2019 </w:t>
      </w:r>
      <w:r>
        <w:rPr/>
        <w:t>年度和</w:t>
      </w:r>
      <w:r>
        <w:rPr>
          <w:spacing w:val="-44"/>
        </w:rPr>
        <w:t> </w:t>
      </w:r>
      <w:r>
        <w:rPr>
          <w:rFonts w:ascii="Times New Roman" w:hAnsi="Times New Roman" w:cs="Times New Roman" w:eastAsia="Times New Roman" w:hint="default"/>
        </w:rPr>
        <w:t>2018 </w:t>
      </w:r>
      <w:r>
        <w:rPr/>
        <w:t>年度数据。</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1105"/>
        <w:jc w:val="left"/>
        <w:rPr>
          <w:b w:val="0"/>
          <w:bCs w:val="0"/>
        </w:rPr>
      </w:pPr>
      <w:bookmarkStart w:name="（4）使用企业集团资产和清偿企业集团债务的重大限制" w:id="445"/>
      <w:bookmarkEnd w:id="445"/>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1105"/>
        <w:jc w:val="left"/>
        <w:rPr>
          <w:b w:val="0"/>
          <w:bCs w:val="0"/>
        </w:rPr>
      </w:pPr>
      <w:bookmarkStart w:name="（5）向纳入合并财务报表范围的结构化主体提供的财务支持或其他支持" w:id="446"/>
      <w:bookmarkEnd w:id="446"/>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2、在子公司的所有者权益份额发生变化且仍控制子公司的交易" w:id="447"/>
      <w:bookmarkEnd w:id="447"/>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1105"/>
        <w:jc w:val="left"/>
        <w:rPr>
          <w:b w:val="0"/>
          <w:bCs w:val="0"/>
        </w:rPr>
      </w:pPr>
      <w:bookmarkStart w:name="（1）在子公司所有者权益份额发生变化的情况说明" w:id="448"/>
      <w:bookmarkEnd w:id="448"/>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2）交易对于少数股东权益及归属于母公司所有者权益的影响" w:id="449"/>
      <w:bookmarkEnd w:id="449"/>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0"/>
        <w:rPr>
          <w:rFonts w:ascii="宋体" w:hAnsi="宋体" w:cs="宋体" w:eastAsia="宋体" w:hint="default"/>
          <w:sz w:val="9"/>
          <w:szCs w:val="9"/>
        </w:rPr>
      </w:pPr>
    </w:p>
    <w:p>
      <w:pPr>
        <w:spacing w:line="420" w:lineRule="exact"/>
        <w:ind w:left="12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85pt;height:21pt;mso-position-horizontal-relative:char;mso-position-vertical-relative:line" coordorigin="0,0" coordsize="9597,420">
            <v:group style="position:absolute;left:23;top:8;width:2;height:390" coordorigin="23,8" coordsize="2,390">
              <v:shape style="position:absolute;left:23;top:8;width:2;height:390" coordorigin="23,8" coordsize="0,390" path="m23,8l23,398e" filled="false" stroked="true" strokeweight=".75pt" strokecolor="#d2d2d2">
                <v:path arrowok="t"/>
              </v:shape>
            </v:group>
            <v:group style="position:absolute;left:4784;top:8;width:2;height:390" coordorigin="4784,8" coordsize="2,390">
              <v:shape style="position:absolute;left:4784;top:8;width:2;height:390" coordorigin="4784,8" coordsize="0,390" path="m4784,8l4784,398e" filled="false" stroked="true" strokeweight=".75pt" strokecolor="#d2d2d2">
                <v:path arrowok="t"/>
              </v:shape>
            </v:group>
            <v:group style="position:absolute;left:30;top:8;width:4746;height:390" coordorigin="30,8" coordsize="4746,390">
              <v:shape style="position:absolute;left:30;top:8;width:4746;height:390" coordorigin="30,8" coordsize="4746,390" path="m30,398l4776,398,4776,8,30,8,30,398xe" filled="true" fillcolor="#d2d2d2" stroked="false">
                <v:path arrowok="t"/>
                <v:fill type="solid"/>
              </v:shape>
            </v:group>
            <v:group style="position:absolute;left:4814;top:8;width:2;height:390" coordorigin="4814,8" coordsize="2,390">
              <v:shape style="position:absolute;left:4814;top:8;width:2;height:390" coordorigin="4814,8" coordsize="0,390" path="m4814,8l4814,398e" filled="false" stroked="true" strokeweight=".75pt" strokecolor="#d2d2d2">
                <v:path arrowok="t"/>
              </v:shape>
            </v:group>
            <v:group style="position:absolute;left:9574;top:8;width:2;height:390" coordorigin="9574,8" coordsize="2,390">
              <v:shape style="position:absolute;left:9574;top:8;width:2;height:390" coordorigin="9574,8" coordsize="0,390" path="m9574,8l9574,398e" filled="false" stroked="true" strokeweight=".75pt" strokecolor="#d2d2d2">
                <v:path arrowok="t"/>
              </v:shape>
            </v:group>
            <v:group style="position:absolute;left:4821;top:8;width:4746;height:390" coordorigin="4821,8" coordsize="4746,390">
              <v:shape style="position:absolute;left:4821;top:8;width:4746;height:390" coordorigin="4821,8" coordsize="4746,390" path="m4821,398l9567,398,9567,8,4821,8,4821,398xe" filled="true" fillcolor="#d2d2d2" stroked="false">
                <v:path arrowok="t"/>
                <v:fill type="solid"/>
              </v:shape>
            </v:group>
            <v:group style="position:absolute;left:15;top:15;width:4776;height:2" coordorigin="15,15" coordsize="4776,2">
              <v:shape style="position:absolute;left:15;top:15;width:4776;height:2" coordorigin="15,15" coordsize="4776,0" path="m15,15l4791,15e" filled="false" stroked="true" strokeweight=".75pt" strokecolor="#000000">
                <v:path arrowok="t"/>
              </v:shape>
            </v:group>
            <v:group style="position:absolute;left:4806;top:15;width:4776;height:2" coordorigin="4806,15" coordsize="4776,2">
              <v:shape style="position:absolute;left:4806;top:15;width:4776;height:2" coordorigin="4806,15" coordsize="4776,0" path="m4806,15l9582,15e" filled="false" stroked="true" strokeweight=".75pt" strokecolor="#000000">
                <v:path arrowok="t"/>
              </v:shape>
            </v:group>
            <v:group style="position:absolute;left:8;top:8;width:2;height:405" coordorigin="8,8" coordsize="2,405">
              <v:shape style="position:absolute;left:8;top:8;width:2;height:405" coordorigin="8,8" coordsize="0,405" path="m8,8l8,413e" filled="false" stroked="true" strokeweight=".75pt" strokecolor="#000000">
                <v:path arrowok="t"/>
              </v:shape>
            </v:group>
            <v:group style="position:absolute;left:15;top:405;width:4776;height:2" coordorigin="15,405" coordsize="4776,2">
              <v:shape style="position:absolute;left:15;top:405;width:4776;height:2" coordorigin="15,405" coordsize="4776,0" path="m15,405l4791,405e" filled="false" stroked="true" strokeweight=".75pt" strokecolor="#000000">
                <v:path arrowok="t"/>
              </v:shape>
            </v:group>
            <v:group style="position:absolute;left:4799;top:8;width:2;height:405" coordorigin="4799,8" coordsize="2,405">
              <v:shape style="position:absolute;left:4799;top:8;width:2;height:405" coordorigin="4799,8" coordsize="0,405" path="m4799,8l4799,413e" filled="false" stroked="true" strokeweight=".75pt" strokecolor="#000000">
                <v:path arrowok="t"/>
              </v:shape>
            </v:group>
            <v:group style="position:absolute;left:4806;top:405;width:4776;height:2" coordorigin="4806,405" coordsize="4776,2">
              <v:shape style="position:absolute;left:4806;top:405;width:4776;height:2" coordorigin="4806,405" coordsize="4776,0" path="m4806,405l9582,405e" filled="false" stroked="true" strokeweight=".75pt" strokecolor="#000000">
                <v:path arrowok="t"/>
              </v:shape>
            </v:group>
            <v:group style="position:absolute;left:9589;top:8;width:2;height:405" coordorigin="9589,8" coordsize="2,405">
              <v:shape style="position:absolute;left:9589;top:8;width:2;height:405" coordorigin="9589,8" coordsize="0,405" path="m9589,8l9589,413e" filled="false" stroked="true" strokeweight=".75pt" strokecolor="#000000">
                <v:path arrowok="t"/>
              </v:shape>
            </v:group>
          </v:group>
        </w:pict>
      </w:r>
      <w:r>
        <w:rPr>
          <w:rFonts w:ascii="宋体" w:hAnsi="宋体" w:cs="宋体" w:eastAsia="宋体" w:hint="default"/>
          <w:position w:val="-7"/>
          <w:sz w:val="20"/>
          <w:szCs w:val="20"/>
        </w:rPr>
      </w:r>
    </w:p>
    <w:p>
      <w:pPr>
        <w:pStyle w:val="BodyText"/>
        <w:spacing w:line="240" w:lineRule="auto" w:before="38"/>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3、在合营安排或联营企业中的权益" w:id="450"/>
      <w:bookmarkEnd w:id="450"/>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1）重要的合营企业或联营企业" w:id="451"/>
      <w:bookmarkEnd w:id="45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15" w:right="44" w:hanging="271"/>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4"/>
              <w:ind w:left="29" w:right="59"/>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31"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right="28"/>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right="28"/>
              <w:jc w:val="center"/>
              <w:rPr>
                <w:rFonts w:ascii="宋体" w:hAnsi="宋体" w:cs="宋体" w:eastAsia="宋体" w:hint="default"/>
                <w:sz w:val="18"/>
                <w:szCs w:val="18"/>
              </w:rPr>
            </w:pPr>
            <w:r>
              <w:rPr>
                <w:rFonts w:ascii="宋体" w:hAnsi="宋体" w:cs="宋体" w:eastAsia="宋体" w:hint="default"/>
                <w:sz w:val="18"/>
                <w:szCs w:val="18"/>
              </w:rPr>
              <w:t>间接</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电满满汽车</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江苏昆山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中国江苏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6"/>
              <w:jc w:val="both"/>
              <w:rPr>
                <w:rFonts w:ascii="宋体" w:hAnsi="宋体" w:cs="宋体" w:eastAsia="宋体" w:hint="default"/>
                <w:sz w:val="18"/>
                <w:szCs w:val="18"/>
              </w:rPr>
            </w:pPr>
            <w:r>
              <w:rPr>
                <w:rFonts w:ascii="宋体" w:hAnsi="宋体" w:cs="宋体" w:eastAsia="宋体" w:hint="default"/>
                <w:sz w:val="18"/>
                <w:szCs w:val="18"/>
              </w:rPr>
              <w:t>充电桩设施的建 设和运营管理服 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31.50%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1967"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15" w:right="0"/>
              <w:jc w:val="left"/>
              <w:rPr>
                <w:rFonts w:ascii="宋体" w:hAnsi="宋体" w:cs="宋体" w:eastAsia="宋体" w:hint="default"/>
                <w:sz w:val="18"/>
                <w:szCs w:val="18"/>
              </w:rPr>
            </w:pPr>
            <w:r>
              <w:rPr>
                <w:rFonts w:ascii="宋体" w:hAnsi="宋体" w:cs="宋体" w:eastAsia="宋体" w:hint="default"/>
                <w:sz w:val="18"/>
                <w:szCs w:val="18"/>
              </w:rPr>
              <w:t>易视星空</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30"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15" w:right="0"/>
              <w:jc w:val="left"/>
              <w:rPr>
                <w:rFonts w:ascii="宋体" w:hAnsi="宋体" w:cs="宋体" w:eastAsia="宋体" w:hint="default"/>
                <w:sz w:val="18"/>
                <w:szCs w:val="18"/>
              </w:rPr>
            </w:pPr>
            <w:r>
              <w:rPr>
                <w:rFonts w:ascii="宋体" w:hAnsi="宋体" w:cs="宋体" w:eastAsia="宋体" w:hint="default"/>
                <w:sz w:val="18"/>
                <w:szCs w:val="18"/>
              </w:rPr>
              <w:t>中国江苏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5"/>
              <w:ind w:left="15" w:right="76"/>
              <w:jc w:val="left"/>
              <w:rPr>
                <w:rFonts w:ascii="宋体" w:hAnsi="宋体" w:cs="宋体" w:eastAsia="宋体" w:hint="default"/>
                <w:sz w:val="18"/>
                <w:szCs w:val="18"/>
              </w:rPr>
            </w:pPr>
            <w:r>
              <w:rPr>
                <w:rFonts w:ascii="宋体" w:hAnsi="宋体" w:cs="宋体" w:eastAsia="宋体" w:hint="default"/>
                <w:sz w:val="18"/>
                <w:szCs w:val="18"/>
              </w:rPr>
              <w:t>网络信息技术服 务、计算机系统 集成及硬件开 发、网站技术开 发、通讯工程设 计施工</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48.00%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15"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物联网创新中心</w:t>
            </w:r>
          </w:p>
          <w:p>
            <w:pPr>
              <w:pStyle w:val="TableParagraph"/>
              <w:spacing w:line="240" w:lineRule="auto" w:before="137"/>
              <w:ind w:left="15" w:right="0"/>
              <w:jc w:val="left"/>
              <w:rPr>
                <w:rFonts w:ascii="Times New Roman" w:hAnsi="Times New Roman" w:cs="Times New Roman" w:eastAsia="Times New Roman" w:hint="default"/>
                <w:sz w:val="18"/>
                <w:szCs w:val="18"/>
              </w:rPr>
            </w:pPr>
            <w:r>
              <w:rPr>
                <w:rFonts w:ascii="Times New Roman"/>
                <w:sz w:val="18"/>
              </w:rPr>
              <w:t>(i)</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中国江苏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6"/>
              <w:jc w:val="both"/>
              <w:rPr>
                <w:rFonts w:ascii="宋体" w:hAnsi="宋体" w:cs="宋体" w:eastAsia="宋体" w:hint="default"/>
                <w:sz w:val="18"/>
                <w:szCs w:val="18"/>
              </w:rPr>
            </w:pPr>
            <w:r>
              <w:rPr>
                <w:rFonts w:ascii="宋体" w:hAnsi="宋体" w:cs="宋体" w:eastAsia="宋体" w:hint="default"/>
                <w:spacing w:val="-7"/>
                <w:sz w:val="18"/>
                <w:szCs w:val="18"/>
              </w:rPr>
              <w:t>物联网、计算机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电子电路等相关 技术的产品服务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22"/>
              <w:ind w:left="765" w:right="0"/>
              <w:jc w:val="left"/>
              <w:rPr>
                <w:rFonts w:ascii="Times New Roman" w:hAnsi="Times New Roman" w:cs="Times New Roman" w:eastAsia="Times New Roman" w:hint="default"/>
                <w:sz w:val="18"/>
                <w:szCs w:val="18"/>
              </w:rPr>
            </w:pPr>
            <w:r>
              <w:rPr>
                <w:rFonts w:ascii="Times New Roman"/>
                <w:sz w:val="18"/>
              </w:rPr>
              <w:t>14.49%</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辽网科技</w:t>
            </w:r>
            <w:r>
              <w:rPr>
                <w:rFonts w:ascii="Times New Roman" w:hAnsi="Times New Roman" w:cs="Times New Roman" w:eastAsia="Times New Roman" w:hint="default"/>
                <w:sz w:val="18"/>
                <w:szCs w:val="18"/>
              </w:rPr>
              <w:t>(ii)</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辽宁沈阳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中国吉林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IPTV</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相关服务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38.40%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工业大数据</w:t>
            </w:r>
            <w:r>
              <w:rPr>
                <w:rFonts w:ascii="Times New Roman" w:hAnsi="Times New Roman" w:cs="Times New Roman" w:eastAsia="Times New Roman" w:hint="default"/>
                <w:sz w:val="18"/>
                <w:szCs w:val="18"/>
              </w:rPr>
              <w:t>(iii)</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中国重庆</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中国重庆</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6"/>
              <w:jc w:val="left"/>
              <w:rPr>
                <w:rFonts w:ascii="宋体" w:hAnsi="宋体" w:cs="宋体" w:eastAsia="宋体" w:hint="default"/>
                <w:sz w:val="18"/>
                <w:szCs w:val="18"/>
              </w:rPr>
            </w:pPr>
            <w:r>
              <w:rPr>
                <w:rFonts w:ascii="宋体" w:hAnsi="宋体" w:cs="宋体" w:eastAsia="宋体" w:hint="default"/>
                <w:sz w:val="18"/>
                <w:szCs w:val="18"/>
              </w:rPr>
              <w:t>数据采集、分析 与处理服务等</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11.78%</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pStyle w:val="BodyText"/>
        <w:spacing w:line="240" w:lineRule="auto" w:before="44"/>
        <w:ind w:right="1105"/>
        <w:jc w:val="left"/>
      </w:pPr>
      <w:r>
        <w:rPr/>
        <w:pict>
          <v:group style="position:absolute;margin-left:331.179993pt;margin-top:-106.628273pt;width:67.6pt;height:15pt;mso-position-horizontal-relative:page;mso-position-vertical-relative:paragraph;z-index:-1325056" coordorigin="6624,-2133" coordsize="1352,300">
            <v:shape style="position:absolute;left:6624;top:-2133;width:1352;height:300" coordorigin="6624,-2133" coordsize="1352,300" path="m6624,-1833l7975,-1833,7975,-2133,6624,-2133,6624,-1833xe" filled="true" fillcolor="#ffffff" stroked="false">
              <v:path arrowok="t"/>
              <v:fill type="solid"/>
            </v:shape>
            <w10:wrap type="none"/>
          </v:group>
        </w:pict>
      </w:r>
      <w:r>
        <w:rPr/>
        <w:t>在合营企业或联营企业的持股比例不同于表决权比例的说明：</w:t>
      </w:r>
    </w:p>
    <w:p>
      <w:pPr>
        <w:pStyle w:val="BodyText"/>
        <w:spacing w:line="240" w:lineRule="auto" w:before="140"/>
        <w:ind w:right="1105"/>
        <w:jc w:val="left"/>
      </w:pPr>
      <w:r>
        <w:rPr/>
        <w:t>持有</w:t>
      </w:r>
      <w:r>
        <w:rPr>
          <w:spacing w:val="-45"/>
        </w:rPr>
        <w:t> </w:t>
      </w:r>
      <w:r>
        <w:rPr>
          <w:rFonts w:ascii="Times New Roman" w:hAnsi="Times New Roman" w:cs="Times New Roman" w:eastAsia="Times New Roman" w:hint="default"/>
        </w:rPr>
        <w:t>20%</w:t>
      </w:r>
      <w:r>
        <w:rPr/>
        <w:t>以下表决权但具有重大影响，或者持有</w:t>
      </w:r>
      <w:r>
        <w:rPr>
          <w:spacing w:val="-42"/>
        </w:rPr>
        <w:t> </w:t>
      </w:r>
      <w:r>
        <w:rPr>
          <w:rFonts w:ascii="Times New Roman" w:hAnsi="Times New Roman" w:cs="Times New Roman" w:eastAsia="Times New Roman" w:hint="default"/>
        </w:rPr>
        <w:t>20%</w:t>
      </w:r>
      <w:r>
        <w:rPr/>
        <w:t>或以上表决权但不具有重大影响的依据：</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1105"/>
        <w:jc w:val="left"/>
        <w:rPr>
          <w:b w:val="0"/>
          <w:bCs w:val="0"/>
        </w:rPr>
      </w:pPr>
      <w:bookmarkStart w:name="（2）重要合营企业的主要财务信息" w:id="452"/>
      <w:bookmarkEnd w:id="452"/>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79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6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58" w:right="0"/>
              <w:jc w:val="left"/>
              <w:rPr>
                <w:rFonts w:ascii="宋体" w:hAnsi="宋体" w:cs="宋体" w:eastAsia="宋体" w:hint="default"/>
                <w:sz w:val="18"/>
                <w:szCs w:val="18"/>
              </w:rPr>
            </w:pPr>
            <w:r>
              <w:rPr>
                <w:rFonts w:ascii="宋体" w:hAnsi="宋体" w:cs="宋体" w:eastAsia="宋体" w:hint="default"/>
                <w:sz w:val="18"/>
                <w:szCs w:val="18"/>
              </w:rPr>
              <w:t>电满满汽车</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易视星空</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易视星空</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7,135,754.52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12,949,860.80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10,006,969.49</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5,149,152.37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6,951,805.35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8,506,969.49</w:t>
            </w:r>
          </w:p>
        </w:tc>
      </w:tr>
      <w:tr>
        <w:trPr>
          <w:trHeight w:val="39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16,622,360.68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7,715,876.02</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23,758,115.20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20,665,736.82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10,006,969.49</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1,200,807.91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5,530,012.73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58,694.58</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1,200,807.91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5,530,012.73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58,694.58</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w w:val="95"/>
                <w:sz w:val="18"/>
              </w:rPr>
              <w:t>-24,353.97</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22,581,661.26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15,135,724.09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9,948,274.91</w:t>
            </w:r>
          </w:p>
        </w:tc>
      </w:tr>
      <w:tr>
        <w:trPr>
          <w:trHeight w:val="72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88"/>
              <w:jc w:val="left"/>
              <w:rPr>
                <w:rFonts w:ascii="宋体" w:hAnsi="宋体" w:cs="宋体" w:eastAsia="宋体" w:hint="default"/>
                <w:sz w:val="18"/>
                <w:szCs w:val="18"/>
              </w:rPr>
            </w:pPr>
            <w:r>
              <w:rPr>
                <w:rFonts w:ascii="宋体" w:hAnsi="宋体" w:cs="宋体" w:eastAsia="宋体" w:hint="default"/>
                <w:sz w:val="18"/>
                <w:szCs w:val="18"/>
              </w:rPr>
              <w:t>按持股比例计算的净资产份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11,290,830.63</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411" w:type="dxa"/>
            <w:tcBorders>
              <w:top w:val="single" w:sz="6" w:space="0" w:color="000000"/>
              <w:left w:val="single" w:sz="12" w:space="0" w:color="D2D2D2"/>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7,567,862.05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4,974,137.46</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967,217.19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2,525,862.54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25,862.54</w:t>
            </w:r>
          </w:p>
        </w:tc>
      </w:tr>
      <w:tr>
        <w:trPr>
          <w:trHeight w:val="7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88"/>
              <w:jc w:val="left"/>
              <w:rPr>
                <w:rFonts w:ascii="宋体" w:hAnsi="宋体" w:cs="宋体" w:eastAsia="宋体" w:hint="default"/>
                <w:sz w:val="18"/>
                <w:szCs w:val="18"/>
              </w:rPr>
            </w:pPr>
            <w:r>
              <w:rPr>
                <w:rFonts w:ascii="宋体" w:hAnsi="宋体" w:cs="宋体" w:eastAsia="宋体" w:hint="default"/>
                <w:sz w:val="18"/>
                <w:szCs w:val="18"/>
              </w:rPr>
              <w:t>对合营企业权益投资的账面 价值</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12,258,047.82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10,093,724.59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505,469.16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16,153,895.36</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66.98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-18,321.00</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-8,679.49</w:t>
            </w:r>
            <w:r>
              <w:rPr>
                <w:rFonts w:ascii="Times New Roman"/>
                <w:sz w:val="18"/>
              </w:rPr>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411" w:type="dxa"/>
            <w:tcBorders>
              <w:top w:val="single" w:sz="6" w:space="0" w:color="000000"/>
              <w:left w:val="single" w:sz="12" w:space="0" w:color="D2D2D2"/>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7,143.38</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4,491,741.69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187,449.18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-51,725.09</w:t>
            </w:r>
            <w:r>
              <w:rPr>
                <w:rFonts w:ascii="Times New Roman"/>
                <w:sz w:val="18"/>
              </w:rPr>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4,491,741.69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187,449.18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-51,725.09</w:t>
            </w:r>
            <w:r>
              <w:rPr>
                <w:rFonts w:ascii="Times New Roman"/>
                <w:sz w:val="18"/>
              </w:rPr>
            </w:r>
          </w:p>
        </w:tc>
      </w:tr>
    </w:tbl>
    <w:p>
      <w:pPr>
        <w:pStyle w:val="BodyText"/>
        <w:spacing w:line="240" w:lineRule="auto" w:before="44"/>
        <w:ind w:right="0"/>
        <w:jc w:val="both"/>
      </w:pPr>
      <w:r>
        <w:rPr/>
        <w:t>其他说明</w:t>
      </w:r>
    </w:p>
    <w:p>
      <w:pPr>
        <w:pStyle w:val="BodyText"/>
        <w:spacing w:line="295" w:lineRule="auto" w:before="125"/>
        <w:ind w:right="1126"/>
        <w:jc w:val="both"/>
      </w:pPr>
      <w:r>
        <w:rPr>
          <w:rFonts w:ascii="Times New Roman" w:hAnsi="Times New Roman" w:cs="Times New Roman" w:eastAsia="Times New Roman" w:hint="default"/>
        </w:rPr>
        <w:t>(i)</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日，朗新科技与无锡产业发展集团有限公司（以下简称</w:t>
      </w:r>
      <w:r>
        <w:rPr>
          <w:rFonts w:ascii="Times New Roman" w:hAnsi="Times New Roman" w:cs="Times New Roman" w:eastAsia="Times New Roman" w:hint="default"/>
        </w:rPr>
        <w:t>“</w:t>
      </w:r>
      <w:r>
        <w:rPr/>
        <w:t>无锡产业集团</w:t>
      </w:r>
      <w:r>
        <w:rPr>
          <w:rFonts w:ascii="Times New Roman" w:hAnsi="Times New Roman" w:cs="Times New Roman" w:eastAsia="Times New Roman" w:hint="default"/>
        </w:rPr>
        <w:t>”</w:t>
      </w:r>
      <w:r>
        <w:rPr/>
        <w:t>）等其他十一方出资人签署协议，</w:t>
      </w:r>
      <w:r>
        <w:rPr>
          <w:spacing w:val="-58"/>
        </w:rPr>
        <w:t> </w:t>
      </w:r>
      <w:r>
        <w:rPr>
          <w:spacing w:val="-58"/>
        </w:rPr>
      </w:r>
      <w:r>
        <w:rPr>
          <w:spacing w:val="-1"/>
        </w:rPr>
        <w:t>共同发起设立物联网创新中心，注册资本为人民币</w:t>
      </w:r>
      <w:r>
        <w:rPr>
          <w:rFonts w:ascii="Times New Roman" w:hAnsi="Times New Roman" w:cs="Times New Roman" w:eastAsia="Times New Roman" w:hint="default"/>
          <w:spacing w:val="-1"/>
        </w:rPr>
        <w:t>20,700</w:t>
      </w:r>
      <w:r>
        <w:rPr>
          <w:spacing w:val="-1"/>
        </w:rPr>
        <w:t>万元，朗新科技与无锡产业集团等六方出资人分别持股</w:t>
      </w:r>
      <w:r>
        <w:rPr>
          <w:rFonts w:ascii="Times New Roman" w:hAnsi="Times New Roman" w:cs="Times New Roman" w:eastAsia="Times New Roman" w:hint="default"/>
          <w:spacing w:val="-1"/>
        </w:rPr>
        <w:t>14.49%</w:t>
      </w:r>
      <w:r>
        <w:rPr>
          <w:spacing w:val="-1"/>
        </w:rPr>
        <w:t>，其</w:t>
      </w:r>
      <w:r>
        <w:rPr>
          <w:spacing w:val="-81"/>
        </w:rPr>
        <w:t> </w:t>
      </w:r>
      <w:r>
        <w:rPr/>
        <w:t>余五方出资人分别持股</w:t>
      </w:r>
      <w:r>
        <w:rPr>
          <w:rFonts w:ascii="Times New Roman" w:hAnsi="Times New Roman" w:cs="Times New Roman" w:eastAsia="Times New Roman" w:hint="default"/>
        </w:rPr>
        <w:t>2.43%</w:t>
      </w:r>
      <w:r>
        <w:rPr/>
        <w:t>，一方出资人持股</w:t>
      </w:r>
      <w:r>
        <w:rPr>
          <w:rFonts w:ascii="Times New Roman" w:hAnsi="Times New Roman" w:cs="Times New Roman" w:eastAsia="Times New Roman" w:hint="default"/>
        </w:rPr>
        <w:t>0.91%</w:t>
      </w:r>
      <w:r>
        <w:rPr/>
        <w:t>。根据物联网创新中心公司章程，重要事项需由拥有</w:t>
      </w:r>
      <w:r>
        <w:rPr>
          <w:rFonts w:ascii="Times New Roman" w:hAnsi="Times New Roman" w:cs="Times New Roman" w:eastAsia="Times New Roman" w:hint="default"/>
        </w:rPr>
        <w:t>1/2</w:t>
      </w:r>
      <w:r>
        <w:rPr/>
        <w:t>以上股权的股</w:t>
      </w:r>
      <w:r>
        <w:rPr>
          <w:spacing w:val="-73"/>
        </w:rPr>
        <w:t> </w:t>
      </w:r>
      <w:r>
        <w:rPr/>
        <w:t>东投票同意方能通过，为朗新科技之联营企业。</w:t>
      </w:r>
    </w:p>
    <w:p>
      <w:pPr>
        <w:spacing w:line="240" w:lineRule="auto" w:before="0"/>
        <w:rPr>
          <w:rFonts w:ascii="宋体" w:hAnsi="宋体" w:cs="宋体" w:eastAsia="宋体" w:hint="default"/>
          <w:sz w:val="18"/>
          <w:szCs w:val="18"/>
        </w:rPr>
      </w:pPr>
    </w:p>
    <w:p>
      <w:pPr>
        <w:pStyle w:val="BodyText"/>
        <w:spacing w:line="288" w:lineRule="auto" w:before="133"/>
        <w:ind w:right="1130"/>
        <w:jc w:val="both"/>
      </w:pPr>
      <w:r>
        <w:rPr>
          <w:rFonts w:ascii="Times New Roman" w:hAnsi="Times New Roman" w:cs="Times New Roman" w:eastAsia="Times New Roman" w:hint="default"/>
        </w:rPr>
        <w:t>(ii)</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日，朗新科技之子公司易视腾科技持有辽网科技</w:t>
      </w:r>
      <w:r>
        <w:rPr>
          <w:rFonts w:ascii="Times New Roman" w:hAnsi="Times New Roman" w:cs="Times New Roman" w:eastAsia="Times New Roman" w:hint="default"/>
        </w:rPr>
        <w:t>40%</w:t>
      </w:r>
      <w:r>
        <w:rPr/>
        <w:t>的股权，并向辽网科技派驻两名董事，从而能够对</w:t>
      </w:r>
      <w:r>
        <w:rPr>
          <w:spacing w:val="-13"/>
        </w:rPr>
        <w:t> </w:t>
      </w:r>
      <w:r>
        <w:rPr>
          <w:spacing w:val="-13"/>
        </w:rPr>
      </w:r>
      <w:r>
        <w:rPr/>
        <w:t>其施加重大影响，为朗新科技之联营企业。上述对辽网科技的持股比例为穿透比例。</w:t>
      </w:r>
    </w:p>
    <w:p>
      <w:pPr>
        <w:spacing w:line="240" w:lineRule="auto" w:before="0"/>
        <w:rPr>
          <w:rFonts w:ascii="宋体" w:hAnsi="宋体" w:cs="宋体" w:eastAsia="宋体" w:hint="default"/>
          <w:sz w:val="18"/>
          <w:szCs w:val="18"/>
        </w:rPr>
      </w:pPr>
    </w:p>
    <w:p>
      <w:pPr>
        <w:pStyle w:val="BodyText"/>
        <w:spacing w:line="304" w:lineRule="auto" w:before="123"/>
        <w:ind w:right="1081"/>
        <w:jc w:val="both"/>
      </w:pPr>
      <w:r>
        <w:rPr>
          <w:rFonts w:ascii="Times New Roman" w:hAnsi="Times New Roman" w:cs="Times New Roman" w:eastAsia="Times New Roman" w:hint="default"/>
          <w:spacing w:val="-2"/>
          <w:w w:val="99"/>
        </w:rPr>
        <w:t>(iii)</w:t>
      </w:r>
      <w:r>
        <w:rPr>
          <w:spacing w:val="-2"/>
          <w:w w:val="99"/>
        </w:rPr>
        <w:t>于</w:t>
      </w:r>
      <w:r>
        <w:rPr>
          <w:rFonts w:ascii="Times New Roman" w:hAnsi="Times New Roman" w:cs="Times New Roman" w:eastAsia="Times New Roman" w:hint="default"/>
          <w:spacing w:val="-2"/>
          <w:w w:val="99"/>
        </w:rPr>
        <w:t>2019</w:t>
      </w:r>
      <w:r>
        <w:rPr>
          <w:spacing w:val="-2"/>
          <w:w w:val="99"/>
        </w:rPr>
        <w:t>年</w:t>
      </w:r>
      <w:r>
        <w:rPr>
          <w:rFonts w:ascii="Times New Roman" w:hAnsi="Times New Roman" w:cs="Times New Roman" w:eastAsia="Times New Roman" w:hint="default"/>
          <w:spacing w:val="-2"/>
          <w:w w:val="99"/>
        </w:rPr>
        <w:t>4</w:t>
      </w:r>
      <w:r>
        <w:rPr>
          <w:spacing w:val="-2"/>
          <w:w w:val="99"/>
        </w:rPr>
        <w:t>月</w:t>
      </w:r>
      <w:r>
        <w:rPr>
          <w:rFonts w:ascii="Times New Roman" w:hAnsi="Times New Roman" w:cs="Times New Roman" w:eastAsia="Times New Roman" w:hint="default"/>
          <w:spacing w:val="-2"/>
          <w:w w:val="99"/>
        </w:rPr>
        <w:t>26</w:t>
      </w:r>
      <w:r>
        <w:rPr>
          <w:spacing w:val="-2"/>
          <w:w w:val="99"/>
        </w:rPr>
        <w:t>日，朗新科技之子公司瀚云科技与航天云网科技发展有限责任公司及重庆市同兴工业园区开发建设有限公</w:t>
      </w:r>
      <w:r>
        <w:rPr>
          <w:spacing w:val="-58"/>
          <w:w w:val="99"/>
        </w:rPr>
        <w:t> </w:t>
      </w:r>
      <w:r>
        <w:rPr>
          <w:spacing w:val="-58"/>
          <w:w w:val="99"/>
        </w:rPr>
      </w:r>
      <w:r>
        <w:rPr/>
        <w:t>司签署协议，以</w:t>
      </w:r>
      <w:r>
        <w:rPr>
          <w:rFonts w:ascii="Times New Roman" w:hAnsi="Times New Roman" w:cs="Times New Roman" w:eastAsia="Times New Roman" w:hint="default"/>
        </w:rPr>
        <w:t>19%</w:t>
      </w:r>
      <w:r>
        <w:rPr/>
        <w:t>、</w:t>
      </w:r>
      <w:r>
        <w:rPr>
          <w:rFonts w:ascii="Times New Roman" w:hAnsi="Times New Roman" w:cs="Times New Roman" w:eastAsia="Times New Roman" w:hint="default"/>
        </w:rPr>
        <w:t>30%</w:t>
      </w:r>
      <w:r>
        <w:rPr/>
        <w:t>及</w:t>
      </w:r>
      <w:r>
        <w:rPr>
          <w:rFonts w:ascii="Times New Roman" w:hAnsi="Times New Roman" w:cs="Times New Roman" w:eastAsia="Times New Roman" w:hint="default"/>
        </w:rPr>
        <w:t>51%</w:t>
      </w:r>
      <w:r>
        <w:rPr/>
        <w:t>的持股比例共同发起设立工业大数据，注册资本人民币</w:t>
      </w:r>
      <w:r>
        <w:rPr>
          <w:rFonts w:ascii="Times New Roman" w:hAnsi="Times New Roman" w:cs="Times New Roman" w:eastAsia="Times New Roman" w:hint="default"/>
        </w:rPr>
        <w:t>5,000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84"/>
        </w:rPr>
        <w:t> </w:t>
      </w:r>
      <w:r>
        <w:rPr/>
        <w:t>瀚云科技累计实缴出资人民币</w:t>
      </w:r>
      <w:r>
        <w:rPr>
          <w:rFonts w:ascii="Times New Roman" w:hAnsi="Times New Roman" w:cs="Times New Roman" w:eastAsia="Times New Roman" w:hint="default"/>
        </w:rPr>
        <w:t>2,500</w:t>
      </w:r>
      <w:r>
        <w:rPr/>
        <w:t>万元。根据工业大数据公司章程，重要事项需由全体股东一致同意方能通过，其他事项</w:t>
      </w:r>
      <w:r>
        <w:rPr>
          <w:spacing w:val="-46"/>
        </w:rPr>
        <w:t> </w:t>
      </w:r>
      <w:r>
        <w:rPr>
          <w:spacing w:val="-46"/>
        </w:rPr>
      </w:r>
      <w:r>
        <w:rPr/>
        <w:t>需由拥有</w:t>
      </w:r>
      <w:r>
        <w:rPr>
          <w:rFonts w:ascii="Times New Roman" w:hAnsi="Times New Roman" w:cs="Times New Roman" w:eastAsia="Times New Roman" w:hint="default"/>
        </w:rPr>
        <w:t>2/3</w:t>
      </w:r>
      <w:r>
        <w:rPr/>
        <w:t>以上股权的股东投票同意方能通过，为朗新科技之联营企业。上述对工业大数据的持股比例为穿透比例。</w:t>
      </w:r>
    </w:p>
    <w:p>
      <w:pPr>
        <w:spacing w:line="240" w:lineRule="auto" w:before="10"/>
        <w:rPr>
          <w:rFonts w:ascii="宋体" w:hAnsi="宋体" w:cs="宋体" w:eastAsia="宋体" w:hint="default"/>
          <w:sz w:val="22"/>
          <w:szCs w:val="22"/>
        </w:rPr>
      </w:pPr>
    </w:p>
    <w:p>
      <w:pPr>
        <w:pStyle w:val="BodyText"/>
        <w:spacing w:line="240" w:lineRule="auto"/>
        <w:ind w:right="0"/>
        <w:jc w:val="both"/>
      </w:pPr>
      <w:r>
        <w:rPr/>
        <w:t>上述对合营企业电满满汽车和易视星空的持股比例为穿透比例。</w:t>
      </w:r>
    </w:p>
    <w:p>
      <w:pPr>
        <w:spacing w:after="0" w:line="240" w:lineRule="auto"/>
        <w:jc w:val="both"/>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spacing w:line="240" w:lineRule="auto"/>
        <w:ind w:right="1105"/>
        <w:jc w:val="left"/>
        <w:rPr>
          <w:b w:val="0"/>
          <w:bCs w:val="0"/>
        </w:rPr>
      </w:pPr>
      <w:bookmarkStart w:name="（3）重要联营企业的主要财务信息" w:id="453"/>
      <w:bookmarkEnd w:id="453"/>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577"/>
        <w:gridCol w:w="1614"/>
        <w:gridCol w:w="1592"/>
        <w:gridCol w:w="1592"/>
        <w:gridCol w:w="1592"/>
        <w:gridCol w:w="1607"/>
      </w:tblGrid>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798"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6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6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72" w:right="0"/>
              <w:jc w:val="left"/>
              <w:rPr>
                <w:rFonts w:ascii="宋体" w:hAnsi="宋体" w:cs="宋体" w:eastAsia="宋体" w:hint="default"/>
                <w:sz w:val="18"/>
                <w:szCs w:val="18"/>
              </w:rPr>
            </w:pPr>
            <w:r>
              <w:rPr>
                <w:rFonts w:ascii="宋体" w:hAnsi="宋体" w:cs="宋体" w:eastAsia="宋体" w:hint="default"/>
                <w:sz w:val="18"/>
                <w:szCs w:val="18"/>
              </w:rPr>
              <w:t>物联网创新中心</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辽网科技</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工业大数据</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物联网创新中心</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辽网科技</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154,980,559.65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4,870,473.72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44,424,128.76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151,855,916.68</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11,145,178.09</w:t>
            </w:r>
          </w:p>
        </w:tc>
      </w:tr>
      <w:tr>
        <w:trPr>
          <w:trHeight w:val="391"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11,176,450.03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3,685,844.50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10,966,789.28</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5,027,086.09</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166,157,009.68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8,556,318.22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55,390,918.04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151,855,916.68</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16,172,264.18</w:t>
            </w: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2,527,592.25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3,440,723.77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23,666,752.14</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4,955,822.62</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293,333.50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7,018,000.00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645,333.46</w:t>
            </w: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7,027,592.25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3,734,057.27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30,684,752.14</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5,601,156.08</w:t>
            </w:r>
          </w:p>
        </w:tc>
      </w:tr>
      <w:tr>
        <w:trPr>
          <w:trHeight w:val="39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12"/>
              <w:jc w:val="left"/>
              <w:rPr>
                <w:rFonts w:ascii="宋体" w:hAnsi="宋体" w:cs="宋体" w:eastAsia="宋体" w:hint="default"/>
                <w:sz w:val="18"/>
                <w:szCs w:val="18"/>
              </w:rPr>
            </w:pPr>
            <w:r>
              <w:rPr>
                <w:rFonts w:ascii="宋体" w:hAnsi="宋体" w:cs="宋体" w:eastAsia="宋体" w:hint="default"/>
                <w:sz w:val="18"/>
                <w:szCs w:val="18"/>
              </w:rPr>
              <w:t>归属于母公司股东 权益</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159,129,417.43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4,822,260.95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24,706,165.90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151,855,916.68</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10,571,108.10</w:t>
            </w:r>
          </w:p>
        </w:tc>
      </w:tr>
      <w:tr>
        <w:trPr>
          <w:trHeight w:val="72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12"/>
              <w:jc w:val="left"/>
              <w:rPr>
                <w:rFonts w:ascii="宋体" w:hAnsi="宋体" w:cs="宋体" w:eastAsia="宋体" w:hint="default"/>
                <w:sz w:val="18"/>
                <w:szCs w:val="18"/>
              </w:rPr>
            </w:pPr>
            <w:r>
              <w:rPr>
                <w:rFonts w:ascii="宋体" w:hAnsi="宋体" w:cs="宋体" w:eastAsia="宋体" w:hint="default"/>
                <w:sz w:val="18"/>
                <w:szCs w:val="18"/>
              </w:rPr>
              <w:t>按持股比例计算的 净资产份额</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23,057,852.59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1,928,904.38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4,694,171.52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22,003,922.33</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4,228,443.24</w:t>
            </w:r>
          </w:p>
        </w:tc>
      </w:tr>
      <w:tr>
        <w:trPr>
          <w:trHeight w:val="39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11,948,106.96</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11,948,106.96</w:t>
            </w: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5,802,705.65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9,600,000.00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7,996,077.67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9,600,000.00</w:t>
            </w:r>
          </w:p>
        </w:tc>
      </w:tr>
      <w:tr>
        <w:trPr>
          <w:trHeight w:val="721"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12"/>
              <w:jc w:val="left"/>
              <w:rPr>
                <w:rFonts w:ascii="宋体" w:hAnsi="宋体" w:cs="宋体" w:eastAsia="宋体" w:hint="default"/>
                <w:sz w:val="18"/>
                <w:szCs w:val="18"/>
              </w:rPr>
            </w:pPr>
            <w:r>
              <w:rPr>
                <w:rFonts w:ascii="宋体" w:hAnsi="宋体" w:cs="宋体" w:eastAsia="宋体" w:hint="default"/>
                <w:sz w:val="18"/>
                <w:szCs w:val="18"/>
              </w:rPr>
              <w:t>对联营企业权益投 资的账面价值</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28,860,558.24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23,477,011.34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4,694,171.52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30,000,000.00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25,776,550.20</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259,822.65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4,126.95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18"/>
                <w:szCs w:val="18"/>
              </w:rPr>
            </w:pPr>
            <w:r>
              <w:rPr>
                <w:rFonts w:ascii="Times New Roman"/>
                <w:sz w:val="18"/>
              </w:rPr>
              <w:t>111,988,256.44</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-7,863,642.25</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-5,748,847.15</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9,706,165.90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-144,083.32</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-2,881,632.95</w:t>
            </w:r>
            <w:r>
              <w:rPr>
                <w:rFonts w:ascii="Times New Roman"/>
                <w:sz w:val="18"/>
              </w:rPr>
            </w: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-7,863,642.25</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-5,748,847.15</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9,706,165.90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-144,083.32</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-2,881,632.95</w:t>
            </w:r>
            <w:r>
              <w:rPr>
                <w:rFonts w:ascii="Times New Roman"/>
                <w:sz w:val="18"/>
              </w:rPr>
            </w:r>
          </w:p>
        </w:tc>
      </w:tr>
    </w:tbl>
    <w:p>
      <w:pPr>
        <w:pStyle w:val="BodyText"/>
        <w:spacing w:line="240" w:lineRule="auto" w:before="44"/>
        <w:ind w:right="1105"/>
        <w:jc w:val="left"/>
      </w:pPr>
      <w:r>
        <w:rPr/>
        <w:t>其他说明</w:t>
      </w:r>
    </w:p>
    <w:p>
      <w:pPr>
        <w:pStyle w:val="BodyText"/>
        <w:spacing w:line="240" w:lineRule="auto" w:before="125"/>
        <w:ind w:right="1105"/>
        <w:jc w:val="left"/>
      </w:pPr>
      <w:r>
        <w:rPr>
          <w:rFonts w:ascii="Times New Roman" w:hAnsi="Times New Roman" w:cs="Times New Roman" w:eastAsia="Times New Roman" w:hint="default"/>
        </w:rPr>
        <w:t>(i)</w:t>
      </w:r>
      <w:r>
        <w:rPr/>
        <w:t>其他股东未按比例同步实缴出资，在计算对合营企业的账面价值时予以调整。</w:t>
      </w:r>
    </w:p>
    <w:p>
      <w:pPr>
        <w:spacing w:line="240" w:lineRule="auto" w:before="0"/>
        <w:rPr>
          <w:rFonts w:ascii="宋体" w:hAnsi="宋体" w:cs="宋体" w:eastAsia="宋体" w:hint="default"/>
          <w:sz w:val="18"/>
          <w:szCs w:val="18"/>
        </w:rPr>
      </w:pPr>
    </w:p>
    <w:p>
      <w:pPr>
        <w:pStyle w:val="BodyText"/>
        <w:spacing w:line="240" w:lineRule="auto" w:before="146"/>
        <w:ind w:right="1105"/>
        <w:jc w:val="left"/>
      </w:pPr>
      <w:r>
        <w:rPr>
          <w:rFonts w:ascii="Times New Roman" w:hAnsi="Times New Roman" w:cs="Times New Roman" w:eastAsia="Times New Roman" w:hint="default"/>
        </w:rPr>
        <w:t>(ii)</w:t>
      </w:r>
      <w:r>
        <w:rPr/>
        <w:t>本集团截至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日止未收到来自联营及合营企业的股利。</w:t>
      </w:r>
    </w:p>
    <w:p>
      <w:pPr>
        <w:spacing w:line="240" w:lineRule="auto" w:before="0"/>
        <w:rPr>
          <w:rFonts w:ascii="宋体" w:hAnsi="宋体" w:cs="宋体" w:eastAsia="宋体" w:hint="default"/>
          <w:sz w:val="18"/>
          <w:szCs w:val="18"/>
        </w:rPr>
      </w:pPr>
    </w:p>
    <w:p>
      <w:pPr>
        <w:pStyle w:val="BodyText"/>
        <w:spacing w:line="290" w:lineRule="auto" w:before="130"/>
        <w:ind w:right="1119"/>
        <w:jc w:val="left"/>
      </w:pPr>
      <w:r>
        <w:rPr>
          <w:rFonts w:ascii="Times New Roman" w:hAnsi="Times New Roman" w:cs="Times New Roman" w:eastAsia="Times New Roman" w:hint="default"/>
        </w:rPr>
        <w:t>(iii)</w:t>
      </w:r>
      <w:r>
        <w:rPr/>
        <w:t>本集团以联营企业合并财务报表中归属于母公司的金额为基础，按持股比例计算资产份额。联营企业合并财务报表中的</w:t>
      </w:r>
      <w:r>
        <w:rPr>
          <w:w w:val="99"/>
        </w:rPr>
        <w:t> </w:t>
      </w:r>
      <w:r>
        <w:rPr/>
        <w:t>金额考虑了取得投资时联营企业可辨认净资产和负债的公允价值以及统一会计政策的影响。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1105"/>
        <w:jc w:val="left"/>
        <w:rPr>
          <w:b w:val="0"/>
          <w:bCs w:val="0"/>
        </w:rPr>
      </w:pPr>
      <w:bookmarkStart w:name="（4）不重要的合营企业和联营企业的汇总财务信息" w:id="454"/>
      <w:bookmarkEnd w:id="454"/>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69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5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72"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16" w:right="0"/>
              <w:jc w:val="left"/>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19,230,636.83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2,414,128.51</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72"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16" w:right="0"/>
              <w:jc w:val="left"/>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-663,488.68</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-73,207.08</w:t>
            </w:r>
            <w:r>
              <w:rPr>
                <w:rFonts w:ascii="Times New Roman"/>
                <w:sz w:val="18"/>
              </w:rPr>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-663,488.68</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-73,207.08</w:t>
            </w:r>
            <w:r>
              <w:rPr>
                <w:rFonts w:ascii="Times New Roman"/>
                <w:sz w:val="18"/>
              </w:rPr>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72"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16" w:right="0"/>
              <w:jc w:val="left"/>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10,823,143.37</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15,901,376.61</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72"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16" w:right="0"/>
              <w:jc w:val="left"/>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-176,856.63</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-4,511,147.84</w:t>
            </w:r>
            <w:r>
              <w:rPr>
                <w:rFonts w:ascii="Times New Roman"/>
                <w:sz w:val="18"/>
              </w:rPr>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-176,856.63</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-4,511,147.84</w:t>
            </w:r>
            <w:r>
              <w:rPr>
                <w:rFonts w:ascii="Times New Roman"/>
                <w:sz w:val="18"/>
              </w:rPr>
            </w:r>
          </w:p>
        </w:tc>
      </w:tr>
    </w:tbl>
    <w:p>
      <w:pPr>
        <w:pStyle w:val="BodyText"/>
        <w:spacing w:line="336" w:lineRule="auto" w:before="44"/>
        <w:ind w:right="1105"/>
        <w:jc w:val="left"/>
      </w:pPr>
      <w:r>
        <w:rPr/>
        <w:t>其他说明 </w:t>
      </w:r>
      <w:r>
        <w:rPr>
          <w:spacing w:val="-2"/>
        </w:rPr>
        <w:t>无锡智真、无锡智道及无锡智强等其他合营企业以对新耀能源、朗新云商、朗新数据进行持股为目的设立，朗新科技通过朗</w:t>
      </w:r>
      <w:r>
        <w:rPr>
          <w:spacing w:val="-41"/>
        </w:rPr>
        <w:t> </w:t>
      </w:r>
      <w:r>
        <w:rPr>
          <w:spacing w:val="-41"/>
        </w:rPr>
      </w:r>
      <w:r>
        <w:rPr/>
        <w:t>新投资在上述合伙企业中间接持有的股份并不重大。</w:t>
      </w:r>
    </w:p>
    <w:p>
      <w:pPr>
        <w:spacing w:line="240" w:lineRule="auto" w:before="13"/>
        <w:rPr>
          <w:rFonts w:ascii="宋体" w:hAnsi="宋体" w:cs="宋体" w:eastAsia="宋体" w:hint="default"/>
          <w:sz w:val="21"/>
          <w:szCs w:val="21"/>
        </w:rPr>
      </w:pPr>
    </w:p>
    <w:p>
      <w:pPr>
        <w:pStyle w:val="Heading3"/>
        <w:spacing w:line="240" w:lineRule="auto"/>
        <w:ind w:right="1105"/>
        <w:jc w:val="left"/>
        <w:rPr>
          <w:b w:val="0"/>
          <w:bCs w:val="0"/>
        </w:rPr>
      </w:pPr>
      <w:bookmarkStart w:name="（5）合营企业或联营企业向本公司转移资金的能力存在重大限制的说明" w:id="455"/>
      <w:bookmarkEnd w:id="455"/>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6）合营企业或联营企业发生的超额亏损" w:id="456"/>
      <w:bookmarkEnd w:id="456"/>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111" w:right="107"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645" w:right="15" w:hanging="631"/>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40"/>
        <w:ind w:right="1105"/>
        <w:jc w:val="left"/>
        <w:rPr>
          <w:b w:val="0"/>
          <w:bCs w:val="0"/>
        </w:rPr>
      </w:pPr>
      <w:bookmarkStart w:name="（7）与合营企业投资相关的未确认承诺" w:id="457"/>
      <w:bookmarkEnd w:id="457"/>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9"/>
        <w:rPr>
          <w:rFonts w:ascii="宋体" w:hAnsi="宋体" w:cs="宋体" w:eastAsia="宋体" w:hint="default"/>
          <w:b/>
          <w:bCs/>
          <w:sz w:val="23"/>
          <w:szCs w:val="23"/>
        </w:rPr>
      </w:pPr>
    </w:p>
    <w:p>
      <w:pPr>
        <w:pStyle w:val="Heading3"/>
        <w:spacing w:line="508" w:lineRule="auto"/>
        <w:ind w:right="6216"/>
        <w:jc w:val="left"/>
        <w:rPr>
          <w:b w:val="0"/>
          <w:bCs w:val="0"/>
        </w:rPr>
      </w:pPr>
      <w:bookmarkStart w:name="（8）与合营企业或联营企业投资相关的或有负债" w:id="458"/>
      <w:bookmarkEnd w:id="458"/>
      <w:r>
        <w:rPr>
          <w:b w:val="0"/>
          <w:bCs w:val="0"/>
        </w:rPr>
      </w:r>
      <w:r>
        <w:rPr/>
        <w:t>（</w:t>
      </w:r>
      <w:r>
        <w:rPr>
          <w:rFonts w:ascii="Times New Roman" w:hAnsi="Times New Roman" w:cs="Times New Roman" w:eastAsia="Times New Roman" w:hint="default"/>
        </w:rPr>
        <w:t>8</w:t>
      </w:r>
      <w:r>
        <w:rPr/>
        <w:t>）与合营企业或联营企业投资相关的或有负债</w:t>
      </w:r>
      <w:r>
        <w:rPr>
          <w:w w:val="99"/>
        </w:rPr>
        <w:t> </w:t>
      </w:r>
      <w:bookmarkStart w:name="4、重要的共同经营" w:id="459"/>
      <w:bookmarkEnd w:id="459"/>
      <w:r>
        <w:rPr>
          <w:w w:val="99"/>
        </w:rPr>
      </w:r>
      <w:r>
        <w:rPr>
          <w:rFonts w:ascii="Times New Roman" w:hAnsi="Times New Roman" w:cs="Times New Roman" w:eastAsia="Times New Roman" w:hint="default"/>
        </w:rPr>
        <w:t>4</w:t>
      </w:r>
      <w:r>
        <w:rPr/>
        <w:t>、重要的共同经营</w:t>
      </w:r>
      <w:r>
        <w:rPr>
          <w:b w:val="0"/>
          <w:bCs w:val="0"/>
        </w:rPr>
      </w:r>
    </w:p>
    <w:p>
      <w:pPr>
        <w:spacing w:line="240" w:lineRule="auto" w:before="4"/>
        <w:rPr>
          <w:rFonts w:ascii="宋体" w:hAnsi="宋体" w:cs="宋体" w:eastAsia="宋体" w:hint="default"/>
          <w:b/>
          <w:bCs/>
          <w:sz w:val="5"/>
          <w:szCs w:val="5"/>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607"/>
        <w:gridCol w:w="1592"/>
      </w:tblGrid>
      <w:tr>
        <w:trPr>
          <w:trHeight w:val="406"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51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65"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390"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2" w:type="dxa"/>
            <w:vMerge/>
            <w:tcBorders>
              <w:left w:val="single" w:sz="6" w:space="0" w:color="000000"/>
              <w:bottom w:val="single" w:sz="6" w:space="0" w:color="000000"/>
              <w:right w:val="single" w:sz="6" w:space="0" w:color="000000"/>
            </w:tcBorders>
            <w:shd w:val="clear" w:color="auto" w:fill="D2D2D2"/>
          </w:tcPr>
          <w:p>
            <w:pPr/>
          </w:p>
        </w:tc>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2" w:lineRule="auto" w:before="44"/>
        <w:ind w:right="5529"/>
        <w:jc w:val="left"/>
      </w:pPr>
      <w:r>
        <w:rPr/>
        <w:t>在共同经营中的持股比例或享有的份额不同于表决权比例的说明： 共同经营为单独主体的，分类为共同经营的依据：</w:t>
      </w:r>
    </w:p>
    <w:p>
      <w:pPr>
        <w:pStyle w:val="BodyText"/>
        <w:spacing w:line="240" w:lineRule="auto" w:before="40"/>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5、在未纳入合并财务报表范围的结构化主体中的权益" w:id="460"/>
      <w:bookmarkEnd w:id="460"/>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5"/>
        <w:jc w:val="left"/>
      </w:pPr>
      <w:r>
        <w:rPr/>
        <w:t>未纳入合并财务报表范围的结构化主体的相关说明：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1105"/>
        <w:jc w:val="left"/>
        <w:rPr>
          <w:b w:val="0"/>
          <w:bCs w:val="0"/>
        </w:rPr>
      </w:pPr>
      <w:bookmarkStart w:name="6、其他" w:id="461"/>
      <w:bookmarkEnd w:id="461"/>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0"/>
          <w:szCs w:val="20"/>
        </w:rPr>
      </w:pPr>
    </w:p>
    <w:p>
      <w:pPr>
        <w:pStyle w:val="Heading2"/>
        <w:spacing w:line="240" w:lineRule="auto"/>
        <w:ind w:right="1105"/>
        <w:jc w:val="left"/>
        <w:rPr>
          <w:b w:val="0"/>
          <w:bCs w:val="0"/>
        </w:rPr>
      </w:pPr>
      <w:bookmarkStart w:name="十、与金融工具相关的风险" w:id="462"/>
      <w:bookmarkEnd w:id="462"/>
      <w:r>
        <w:rPr>
          <w:b w:val="0"/>
          <w:bCs w:val="0"/>
        </w:rPr>
      </w:r>
      <w:r>
        <w:rPr/>
        <w:t>十、与金融工具相关的风险</w:t>
      </w:r>
      <w:r>
        <w:rPr>
          <w:b w:val="0"/>
          <w:bCs w:val="0"/>
        </w:rPr>
      </w:r>
    </w:p>
    <w:p>
      <w:pPr>
        <w:spacing w:line="240" w:lineRule="auto" w:before="1"/>
        <w:rPr>
          <w:rFonts w:ascii="宋体" w:hAnsi="宋体" w:cs="宋体" w:eastAsia="宋体" w:hint="default"/>
          <w:b/>
          <w:bCs/>
          <w:sz w:val="26"/>
          <w:szCs w:val="26"/>
        </w:rPr>
      </w:pPr>
    </w:p>
    <w:p>
      <w:pPr>
        <w:pStyle w:val="BodyText"/>
        <w:spacing w:line="321" w:lineRule="auto"/>
        <w:ind w:right="1105"/>
        <w:jc w:val="left"/>
      </w:pPr>
      <w:r>
        <w:rPr>
          <w:spacing w:val="-2"/>
        </w:rPr>
        <w:t>本集团的经营活动会面临各种金融风险，主要包括市场风险（主要为外汇风险、利率风险和其他价格风险）、信用风险和流</w:t>
      </w:r>
      <w:r>
        <w:rPr>
          <w:spacing w:val="-57"/>
        </w:rPr>
        <w:t> </w:t>
      </w:r>
      <w:r>
        <w:rPr>
          <w:spacing w:val="-57"/>
        </w:rPr>
      </w:r>
      <w:r>
        <w:rPr/>
        <w:t>动性风险。</w:t>
      </w:r>
    </w:p>
    <w:p>
      <w:pPr>
        <w:spacing w:line="240" w:lineRule="auto" w:before="7"/>
        <w:rPr>
          <w:rFonts w:ascii="宋体" w:hAnsi="宋体" w:cs="宋体" w:eastAsia="宋体" w:hint="default"/>
          <w:sz w:val="25"/>
          <w:szCs w:val="25"/>
        </w:rPr>
      </w:pPr>
    </w:p>
    <w:p>
      <w:pPr>
        <w:pStyle w:val="BodyText"/>
        <w:spacing w:line="302" w:lineRule="auto"/>
        <w:ind w:left="201" w:right="9850" w:hanging="60"/>
        <w:jc w:val="left"/>
      </w:pPr>
      <w:r>
        <w:rPr>
          <w:rFonts w:ascii="Times New Roman" w:hAnsi="Times New Roman" w:cs="Times New Roman" w:eastAsia="Times New Roman" w:hint="default"/>
        </w:rPr>
        <w:t>1.</w:t>
      </w:r>
      <w:r>
        <w:rPr/>
        <w:t>市场风险 </w:t>
      </w:r>
      <w:r>
        <w:rPr>
          <w:rFonts w:ascii="Times New Roman" w:hAnsi="Times New Roman" w:cs="Times New Roman" w:eastAsia="Times New Roman" w:hint="default"/>
          <w:spacing w:val="-1"/>
        </w:rPr>
        <w:t>a.</w:t>
      </w:r>
      <w:r>
        <w:rPr>
          <w:spacing w:val="-1"/>
        </w:rPr>
        <w:t>外汇风险</w:t>
      </w:r>
    </w:p>
    <w:p>
      <w:pPr>
        <w:pStyle w:val="BodyText"/>
        <w:spacing w:line="235" w:lineRule="exact"/>
        <w:ind w:right="1105"/>
        <w:jc w:val="left"/>
      </w:pPr>
      <w:r>
        <w:rPr/>
        <w:t>本集团的主要经营位于中国境内，主要业务基本以人民币结算，外币业务很少，因此无重大外汇风险。</w:t>
      </w:r>
    </w:p>
    <w:p>
      <w:pPr>
        <w:spacing w:line="240" w:lineRule="auto" w:before="0"/>
        <w:rPr>
          <w:rFonts w:ascii="宋体" w:hAnsi="宋体" w:cs="宋体" w:eastAsia="宋体" w:hint="default"/>
          <w:sz w:val="18"/>
          <w:szCs w:val="18"/>
        </w:rPr>
      </w:pPr>
    </w:p>
    <w:p>
      <w:pPr>
        <w:pStyle w:val="BodyText"/>
        <w:spacing w:line="240" w:lineRule="auto" w:before="159"/>
        <w:ind w:right="1105"/>
        <w:jc w:val="left"/>
      </w:pPr>
      <w:r>
        <w:rPr>
          <w:rFonts w:ascii="Times New Roman" w:hAnsi="Times New Roman" w:cs="Times New Roman" w:eastAsia="Times New Roman" w:hint="default"/>
        </w:rPr>
        <w:t>b.</w:t>
      </w:r>
      <w:r>
        <w:rPr/>
        <w:t>利率风险</w:t>
      </w:r>
    </w:p>
    <w:p>
      <w:pPr>
        <w:spacing w:line="240" w:lineRule="auto" w:before="0"/>
        <w:rPr>
          <w:rFonts w:ascii="宋体" w:hAnsi="宋体" w:cs="宋体" w:eastAsia="宋体" w:hint="default"/>
          <w:sz w:val="18"/>
          <w:szCs w:val="18"/>
        </w:rPr>
      </w:pPr>
    </w:p>
    <w:p>
      <w:pPr>
        <w:pStyle w:val="BodyText"/>
        <w:spacing w:line="328" w:lineRule="auto" w:before="131"/>
        <w:ind w:right="1081"/>
        <w:jc w:val="both"/>
      </w:pPr>
      <w:r>
        <w:rPr>
          <w:spacing w:val="-2"/>
        </w:rPr>
        <w:t>本集团的利率风险主要产生于长期借款、短期借款、一年内到期的非流动负债等带息债务。浮动利率的金融负债使本集团面</w:t>
      </w:r>
      <w:r>
        <w:rPr>
          <w:spacing w:val="-75"/>
        </w:rPr>
        <w:t> </w:t>
      </w:r>
      <w:r>
        <w:rPr>
          <w:spacing w:val="-75"/>
        </w:rPr>
      </w:r>
      <w:r>
        <w:rPr>
          <w:spacing w:val="-2"/>
        </w:rPr>
        <w:t>临现金流量利率风险，固定利率的金融负债使本集团面临公允价值利率风险。本集团根据当时的市场环境来决定固定利率及</w:t>
      </w:r>
      <w:r>
        <w:rPr>
          <w:spacing w:val="-72"/>
        </w:rPr>
        <w:t> </w:t>
      </w:r>
      <w:r>
        <w:rPr>
          <w:spacing w:val="-72"/>
        </w:rPr>
      </w:r>
      <w:r>
        <w:rPr>
          <w:spacing w:val="10"/>
        </w:rPr>
        <w:t>浮动利率合同的相对比例。于</w:t>
      </w:r>
      <w:r>
        <w:rPr>
          <w:spacing w:val="-50"/>
        </w:rPr>
        <w:t> </w:t>
      </w:r>
      <w:r>
        <w:rPr>
          <w:rFonts w:ascii="Times New Roman" w:hAnsi="Times New Roman" w:cs="Times New Roman" w:eastAsia="Times New Roman" w:hint="default"/>
          <w:spacing w:val="8"/>
        </w:rPr>
        <w:t>2019</w:t>
      </w:r>
      <w:r>
        <w:rPr>
          <w:spacing w:val="8"/>
        </w:rPr>
        <w:t>年</w:t>
      </w:r>
      <w:r>
        <w:rPr>
          <w:rFonts w:ascii="Times New Roman" w:hAnsi="Times New Roman" w:cs="Times New Roman" w:eastAsia="Times New Roman" w:hint="default"/>
          <w:spacing w:val="8"/>
        </w:rPr>
        <w:t>12</w:t>
      </w:r>
      <w:r>
        <w:rPr>
          <w:spacing w:val="8"/>
        </w:rPr>
        <w:t>月</w:t>
      </w:r>
      <w:r>
        <w:rPr>
          <w:rFonts w:ascii="Times New Roman" w:hAnsi="Times New Roman" w:cs="Times New Roman" w:eastAsia="Times New Roman" w:hint="default"/>
          <w:spacing w:val="8"/>
        </w:rPr>
        <w:t>31</w:t>
      </w:r>
      <w:r>
        <w:rPr>
          <w:spacing w:val="8"/>
        </w:rPr>
        <w:t>日，本集团固定利率带息债务为人民币</w:t>
      </w:r>
      <w:r>
        <w:rPr>
          <w:spacing w:val="-48"/>
        </w:rPr>
        <w:t> </w:t>
      </w:r>
      <w:r>
        <w:rPr>
          <w:rFonts w:ascii="Times New Roman" w:hAnsi="Times New Roman" w:cs="Times New Roman" w:eastAsia="Times New Roman" w:hint="default"/>
          <w:spacing w:val="4"/>
        </w:rPr>
        <w:t>14,989,000.00</w:t>
      </w:r>
      <w:r>
        <w:rPr>
          <w:spacing w:val="4"/>
        </w:rPr>
        <w:t>元（</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w:t>
      </w:r>
      <w:r>
        <w:rPr/>
      </w:r>
    </w:p>
    <w:p>
      <w:pPr>
        <w:pStyle w:val="BodyText"/>
        <w:spacing w:line="227" w:lineRule="exact"/>
        <w:ind w:right="1105"/>
        <w:jc w:val="left"/>
      </w:pPr>
      <w:r>
        <w:rPr>
          <w:rFonts w:ascii="Times New Roman" w:hAnsi="Times New Roman" w:cs="Times New Roman" w:eastAsia="Times New Roman" w:hint="default"/>
        </w:rPr>
        <w:t>160,000,000.00</w:t>
      </w:r>
      <w:r>
        <w:rPr/>
        <w:t>元）（附注七</w:t>
      </w:r>
      <w:r>
        <w:rPr>
          <w:rFonts w:ascii="Times New Roman" w:hAnsi="Times New Roman" w:cs="Times New Roman" w:eastAsia="Times New Roman" w:hint="default"/>
        </w:rPr>
        <w:t>(32)</w:t>
      </w:r>
      <w:r>
        <w:rPr/>
        <w:t>、</w:t>
      </w:r>
      <w:r>
        <w:rPr>
          <w:rFonts w:ascii="Times New Roman" w:hAnsi="Times New Roman" w:cs="Times New Roman" w:eastAsia="Times New Roman" w:hint="default"/>
        </w:rPr>
        <w:t>(43)</w:t>
      </w:r>
      <w:r>
        <w:rPr/>
        <w:t>）。</w:t>
      </w:r>
    </w:p>
    <w:p>
      <w:pPr>
        <w:spacing w:line="240" w:lineRule="auto" w:before="0"/>
        <w:rPr>
          <w:rFonts w:ascii="宋体" w:hAnsi="宋体" w:cs="宋体" w:eastAsia="宋体" w:hint="default"/>
          <w:sz w:val="18"/>
          <w:szCs w:val="18"/>
        </w:rPr>
      </w:pPr>
    </w:p>
    <w:p>
      <w:pPr>
        <w:pStyle w:val="BodyText"/>
        <w:spacing w:line="321" w:lineRule="auto" w:before="131"/>
        <w:ind w:right="1105"/>
        <w:jc w:val="left"/>
      </w:pPr>
      <w:r>
        <w:rPr>
          <w:spacing w:val="-2"/>
        </w:rPr>
        <w:t>本集团管理层持续监控集团利率水平。利率上升会增加新增带息债务的成本以及本集团尚未付清的以浮动利率计息的带息债</w:t>
      </w:r>
      <w:r>
        <w:rPr>
          <w:spacing w:val="-55"/>
        </w:rPr>
        <w:t> </w:t>
      </w:r>
      <w:r>
        <w:rPr>
          <w:spacing w:val="-55"/>
        </w:rPr>
      </w:r>
      <w:r>
        <w:rPr/>
        <w:t>务的利息支出，并对本集团的财务业绩产生重大的不利影响，管理层会依据最新的市场状况及时做出调整。</w:t>
      </w:r>
    </w:p>
    <w:p>
      <w:pPr>
        <w:pStyle w:val="BodyText"/>
        <w:spacing w:line="616" w:lineRule="exact" w:before="51"/>
        <w:ind w:right="4089"/>
        <w:jc w:val="left"/>
      </w:pPr>
      <w:r>
        <w:rPr>
          <w:rFonts w:ascii="Times New Roman" w:hAnsi="Times New Roman" w:cs="Times New Roman" w:eastAsia="Times New Roman" w:hint="default"/>
        </w:rPr>
        <w:t>c.</w:t>
      </w:r>
      <w:r>
        <w:rPr/>
        <w:t>其他价格风险 本集团其他价格风险主要产生于各类权益工具投资，存在权益工具价格变动的风险。</w:t>
      </w:r>
    </w:p>
    <w:p>
      <w:pPr>
        <w:pStyle w:val="BodyText"/>
        <w:spacing w:line="304" w:lineRule="auto"/>
        <w:ind w:right="1105"/>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日，如果本集团各类权益工具投资的预期价格上涨或下跌</w:t>
      </w:r>
      <w:r>
        <w:rPr>
          <w:rFonts w:ascii="Times New Roman" w:hAnsi="Times New Roman" w:cs="Times New Roman" w:eastAsia="Times New Roman" w:hint="default"/>
        </w:rPr>
        <w:t>1%</w:t>
      </w:r>
      <w:r>
        <w:rPr/>
        <w:t>，其他因素保持不变，则本集团将增加或减少</w:t>
      </w:r>
      <w:r>
        <w:rPr>
          <w:spacing w:val="-59"/>
        </w:rPr>
        <w:t> </w:t>
      </w:r>
      <w:r>
        <w:rPr>
          <w:spacing w:val="-59"/>
        </w:rPr>
      </w:r>
      <w:r>
        <w:rPr/>
        <w:t>净利润约</w:t>
      </w:r>
      <w:r>
        <w:rPr>
          <w:rFonts w:ascii="Times New Roman" w:hAnsi="Times New Roman" w:cs="Times New Roman" w:eastAsia="Times New Roman" w:hint="default"/>
        </w:rPr>
        <w:t>1,113,810.02</w:t>
      </w:r>
      <w:r>
        <w:rPr/>
        <w:t>元。</w:t>
      </w:r>
    </w:p>
    <w:p>
      <w:pPr>
        <w:spacing w:line="240" w:lineRule="auto" w:before="12"/>
        <w:rPr>
          <w:rFonts w:ascii="宋体" w:hAnsi="宋体" w:cs="宋体" w:eastAsia="宋体" w:hint="default"/>
          <w:sz w:val="23"/>
          <w:szCs w:val="23"/>
        </w:rPr>
      </w:pPr>
    </w:p>
    <w:p>
      <w:pPr>
        <w:pStyle w:val="BodyText"/>
        <w:spacing w:line="240" w:lineRule="auto"/>
        <w:ind w:right="1105"/>
        <w:jc w:val="left"/>
      </w:pPr>
      <w:r>
        <w:rPr>
          <w:rFonts w:ascii="Times New Roman" w:hAnsi="Times New Roman" w:cs="Times New Roman" w:eastAsia="Times New Roman" w:hint="default"/>
        </w:rPr>
        <w:t>2.</w:t>
      </w:r>
      <w:r>
        <w:rPr/>
        <w:t>信用风险</w:t>
      </w:r>
    </w:p>
    <w:p>
      <w:pPr>
        <w:spacing w:line="240" w:lineRule="auto" w:before="0"/>
        <w:rPr>
          <w:rFonts w:ascii="宋体" w:hAnsi="宋体" w:cs="宋体" w:eastAsia="宋体" w:hint="default"/>
          <w:sz w:val="18"/>
          <w:szCs w:val="18"/>
        </w:rPr>
      </w:pPr>
    </w:p>
    <w:p>
      <w:pPr>
        <w:pStyle w:val="BodyText"/>
        <w:spacing w:line="321" w:lineRule="auto" w:before="130"/>
        <w:ind w:right="1105"/>
        <w:jc w:val="left"/>
      </w:pPr>
      <w:r>
        <w:rPr>
          <w:spacing w:val="-2"/>
        </w:rPr>
        <w:t>本集团信用风险主要产生于货币资金、应收票据、应收账款和其他应收款等，以及未纳入减值评估范围的以公允价值计量且</w:t>
      </w:r>
      <w:r>
        <w:rPr>
          <w:spacing w:val="-68"/>
        </w:rPr>
        <w:t> </w:t>
      </w:r>
      <w:r>
        <w:rPr>
          <w:spacing w:val="-68"/>
        </w:rPr>
      </w:r>
      <w:r>
        <w:rPr/>
        <w:t>其变动计入当期损益的债务工具投资。于资产负债表日，本集团金融资产的账面价值已代表其最大信用风险敞口。</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321" w:lineRule="auto"/>
        <w:ind w:right="1105"/>
        <w:jc w:val="left"/>
      </w:pPr>
      <w:r>
        <w:rPr>
          <w:spacing w:val="-2"/>
        </w:rPr>
        <w:t>本集团银行存款主要存放于国有银行和其他大中型上市银行，本集团认为其不存在重大的信用风险，不会产生因对方单位违</w:t>
      </w:r>
      <w:r>
        <w:rPr>
          <w:spacing w:val="-72"/>
        </w:rPr>
        <w:t> </w:t>
      </w:r>
      <w:r>
        <w:rPr>
          <w:spacing w:val="-72"/>
        </w:rPr>
      </w:r>
      <w:r>
        <w:rPr/>
        <w:t>约而导致的任何重大损失。</w:t>
      </w:r>
    </w:p>
    <w:p>
      <w:pPr>
        <w:spacing w:line="240" w:lineRule="auto" w:before="5"/>
        <w:rPr>
          <w:rFonts w:ascii="宋体" w:hAnsi="宋体" w:cs="宋体" w:eastAsia="宋体" w:hint="default"/>
          <w:sz w:val="24"/>
          <w:szCs w:val="24"/>
        </w:rPr>
      </w:pPr>
    </w:p>
    <w:p>
      <w:pPr>
        <w:pStyle w:val="BodyText"/>
        <w:spacing w:line="321" w:lineRule="auto"/>
        <w:ind w:right="1029"/>
        <w:jc w:val="left"/>
      </w:pPr>
      <w:r>
        <w:rPr/>
        <w:t>此外，对于应收票据、应收账款和其他应收款，本集团设定相关政策以控制信用风险敞口。本集团基于对客户的财务状况、 </w:t>
      </w:r>
      <w:r>
        <w:rPr>
          <w:spacing w:val="-2"/>
        </w:rPr>
        <w:t>从第三方获取担保的可能性、信用记录及其他因素诸如目前市场状况等评估客户的信用资质并设置相应信用期。本集团会定</w:t>
      </w:r>
      <w:r>
        <w:rPr>
          <w:spacing w:val="-72"/>
        </w:rPr>
        <w:t> </w:t>
      </w:r>
      <w:r>
        <w:rPr>
          <w:spacing w:val="-72"/>
        </w:rPr>
      </w:r>
      <w:r>
        <w:rPr>
          <w:spacing w:val="-2"/>
        </w:rPr>
        <w:t>期对客户信用记录进行监控，对于信用记录不良的客户，本集团会采用书面催款、缩短信用期或取消信用期等方式，以确保</w:t>
      </w:r>
      <w:r>
        <w:rPr>
          <w:spacing w:val="-41"/>
        </w:rPr>
        <w:t> </w:t>
      </w:r>
      <w:r>
        <w:rPr>
          <w:spacing w:val="-41"/>
        </w:rPr>
      </w:r>
      <w:r>
        <w:rPr/>
        <w:t>本集团的整体信用风险在可控的范围内。</w:t>
      </w:r>
    </w:p>
    <w:p>
      <w:pPr>
        <w:spacing w:line="240" w:lineRule="auto" w:before="7"/>
        <w:rPr>
          <w:rFonts w:ascii="宋体" w:hAnsi="宋体" w:cs="宋体" w:eastAsia="宋体" w:hint="default"/>
          <w:sz w:val="25"/>
          <w:szCs w:val="25"/>
        </w:rPr>
      </w:pPr>
    </w:p>
    <w:p>
      <w:pPr>
        <w:pStyle w:val="BodyText"/>
        <w:spacing w:line="240" w:lineRule="auto"/>
        <w:ind w:right="1105"/>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日，本集团无重大的因债务人抵押而持有的担保物和其他信用增级。</w:t>
      </w:r>
    </w:p>
    <w:p>
      <w:pPr>
        <w:spacing w:line="240" w:lineRule="auto" w:before="0"/>
        <w:rPr>
          <w:rFonts w:ascii="宋体" w:hAnsi="宋体" w:cs="宋体" w:eastAsia="宋体" w:hint="default"/>
          <w:sz w:val="18"/>
          <w:szCs w:val="18"/>
        </w:rPr>
      </w:pPr>
    </w:p>
    <w:p>
      <w:pPr>
        <w:pStyle w:val="BodyText"/>
        <w:spacing w:line="240" w:lineRule="auto" w:before="146"/>
        <w:ind w:right="1105"/>
        <w:jc w:val="left"/>
      </w:pPr>
      <w:r>
        <w:rPr>
          <w:rFonts w:ascii="Times New Roman" w:hAnsi="Times New Roman" w:cs="Times New Roman" w:eastAsia="Times New Roman" w:hint="default"/>
        </w:rPr>
        <w:t>3.</w:t>
      </w:r>
      <w:r>
        <w:rPr/>
        <w:t>流动性风险</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1136"/>
        <w:jc w:val="both"/>
      </w:pPr>
      <w:r>
        <w:rPr>
          <w:spacing w:val="-2"/>
        </w:rPr>
        <w:t>本集团内各子公司负责其自身的现金流量预测。本集团在汇总各子公司现金流量预测的基础上，在集团层面持续监控短期和</w:t>
      </w:r>
      <w:r>
        <w:rPr>
          <w:spacing w:val="-72"/>
        </w:rPr>
        <w:t> </w:t>
      </w:r>
      <w:r>
        <w:rPr>
          <w:spacing w:val="-72"/>
        </w:rPr>
      </w:r>
      <w:r>
        <w:rPr>
          <w:spacing w:val="-2"/>
        </w:rPr>
        <w:t>长期的资金需求，以确保维持充裕的现金储备和可供随时变现的有价证券；同时持续监控是否符合借款协议的规定，从主要</w:t>
      </w:r>
      <w:r>
        <w:rPr>
          <w:spacing w:val="-75"/>
        </w:rPr>
        <w:t> </w:t>
      </w:r>
      <w:r>
        <w:rPr>
          <w:spacing w:val="-75"/>
        </w:rPr>
      </w:r>
      <w:r>
        <w:rPr/>
        <w:t>金融机构获得提供足够备用资金的承诺，以满足短期和长期的资金需求。</w:t>
      </w:r>
    </w:p>
    <w:p>
      <w:pPr>
        <w:spacing w:line="240" w:lineRule="auto" w:before="5"/>
        <w:rPr>
          <w:rFonts w:ascii="宋体" w:hAnsi="宋体" w:cs="宋体" w:eastAsia="宋体" w:hint="default"/>
          <w:sz w:val="24"/>
          <w:szCs w:val="24"/>
        </w:rPr>
      </w:pPr>
    </w:p>
    <w:p>
      <w:pPr>
        <w:pStyle w:val="BodyText"/>
        <w:spacing w:line="240" w:lineRule="auto"/>
        <w:ind w:right="0"/>
        <w:jc w:val="both"/>
      </w:pPr>
      <w:r>
        <w:rPr/>
        <w:t>于资产负债表日，本集团各项金融负债以未折现的合同现金流量按到期日列示如下：</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2283"/>
        <w:gridCol w:w="1757"/>
        <w:gridCol w:w="961"/>
        <w:gridCol w:w="961"/>
        <w:gridCol w:w="961"/>
        <w:gridCol w:w="1682"/>
      </w:tblGrid>
      <w:tr>
        <w:trPr>
          <w:trHeight w:val="346" w:hRule="exact"/>
        </w:trPr>
        <w:tc>
          <w:tcPr>
            <w:tcW w:w="2283" w:type="dxa"/>
            <w:tcBorders>
              <w:top w:val="single" w:sz="6" w:space="0" w:color="000000"/>
              <w:left w:val="single" w:sz="6" w:space="0" w:color="000000"/>
              <w:bottom w:val="single" w:sz="6" w:space="0" w:color="000000"/>
              <w:right w:val="single" w:sz="6" w:space="0" w:color="000000"/>
            </w:tcBorders>
          </w:tcPr>
          <w:p>
            <w:pPr/>
          </w:p>
        </w:tc>
        <w:tc>
          <w:tcPr>
            <w:tcW w:w="632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5" w:hRule="exact"/>
        </w:trPr>
        <w:tc>
          <w:tcPr>
            <w:tcW w:w="2283"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40" w:right="-15"/>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40" w:right="-15"/>
              <w:jc w:val="left"/>
              <w:rPr>
                <w:rFonts w:ascii="宋体" w:hAnsi="宋体" w:cs="宋体" w:eastAsia="宋体" w:hint="default"/>
                <w:sz w:val="18"/>
                <w:szCs w:val="18"/>
              </w:rPr>
            </w:pPr>
            <w:r>
              <w:rPr>
                <w:rFonts w:ascii="宋体" w:hAnsi="宋体" w:cs="宋体" w:eastAsia="宋体" w:hint="default"/>
                <w:sz w:val="18"/>
                <w:szCs w:val="18"/>
              </w:rPr>
              <w:t>二到五年</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40" w:right="-15"/>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30"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5,000,969.57</w:t>
            </w: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5"/>
              <w:jc w:val="right"/>
              <w:rPr>
                <w:rFonts w:ascii="Times New Roman" w:hAnsi="Times New Roman" w:cs="Times New Roman" w:eastAsia="Times New Roman" w:hint="default"/>
                <w:sz w:val="18"/>
                <w:szCs w:val="18"/>
              </w:rPr>
            </w:pPr>
            <w:r>
              <w:rPr>
                <w:rFonts w:ascii="Times New Roman"/>
                <w:sz w:val="18"/>
              </w:rPr>
              <w:t>5,000,969.57</w:t>
            </w:r>
          </w:p>
        </w:tc>
      </w:tr>
      <w:tr>
        <w:trPr>
          <w:trHeight w:val="346"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5"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450,649,116.29</w:t>
            </w: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450,649,116.29</w:t>
            </w:r>
          </w:p>
        </w:tc>
      </w:tr>
      <w:tr>
        <w:trPr>
          <w:trHeight w:val="345"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206,984,386.21</w:t>
            </w: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5"/>
              <w:jc w:val="right"/>
              <w:rPr>
                <w:rFonts w:ascii="Times New Roman" w:hAnsi="Times New Roman" w:cs="Times New Roman" w:eastAsia="Times New Roman" w:hint="default"/>
                <w:sz w:val="18"/>
                <w:szCs w:val="18"/>
              </w:rPr>
            </w:pPr>
            <w:r>
              <w:rPr>
                <w:rFonts w:ascii="Times New Roman"/>
                <w:sz w:val="18"/>
              </w:rPr>
              <w:t>206,984,386.21</w:t>
            </w:r>
          </w:p>
        </w:tc>
      </w:tr>
      <w:tr>
        <w:trPr>
          <w:trHeight w:val="346"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40,598,642.53</w:t>
            </w: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5"/>
              <w:jc w:val="right"/>
              <w:rPr>
                <w:rFonts w:ascii="Times New Roman" w:hAnsi="Times New Roman" w:cs="Times New Roman" w:eastAsia="Times New Roman" w:hint="default"/>
                <w:sz w:val="18"/>
                <w:szCs w:val="18"/>
              </w:rPr>
            </w:pPr>
            <w:r>
              <w:rPr>
                <w:rFonts w:ascii="Times New Roman"/>
                <w:sz w:val="18"/>
              </w:rPr>
              <w:t>40,598,642.53</w:t>
            </w:r>
          </w:p>
        </w:tc>
      </w:tr>
      <w:tr>
        <w:trPr>
          <w:trHeight w:val="330"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10,393,534.25</w:t>
            </w: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5"/>
              <w:jc w:val="right"/>
              <w:rPr>
                <w:rFonts w:ascii="Times New Roman" w:hAnsi="Times New Roman" w:cs="Times New Roman" w:eastAsia="Times New Roman" w:hint="default"/>
                <w:sz w:val="18"/>
                <w:szCs w:val="18"/>
              </w:rPr>
            </w:pPr>
            <w:r>
              <w:rPr>
                <w:rFonts w:ascii="Times New Roman"/>
                <w:sz w:val="18"/>
              </w:rPr>
              <w:t>10,393,534.25</w:t>
            </w:r>
          </w:p>
        </w:tc>
      </w:tr>
      <w:tr>
        <w:trPr>
          <w:trHeight w:val="346"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合计</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713,626,648.85</w:t>
            </w: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713,626,648.85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0"/>
        <w:ind w:right="1105"/>
        <w:jc w:val="left"/>
        <w:rPr>
          <w:b w:val="0"/>
          <w:bCs w:val="0"/>
        </w:rPr>
      </w:pPr>
      <w:bookmarkStart w:name="十一、公允价值的披露" w:id="463"/>
      <w:bookmarkEnd w:id="463"/>
      <w:r>
        <w:rPr>
          <w:b w:val="0"/>
          <w:bCs w:val="0"/>
        </w:rPr>
      </w:r>
      <w:r>
        <w:rPr/>
        <w:t>十一、公允价值的披露</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05"/>
        <w:jc w:val="left"/>
        <w:rPr>
          <w:b w:val="0"/>
          <w:bCs w:val="0"/>
        </w:rPr>
      </w:pPr>
      <w:bookmarkStart w:name="1、以公允价值计量的资产和负债的期末公允价值" w:id="464"/>
      <w:bookmarkEnd w:id="464"/>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82"/>
        <w:gridCol w:w="1840"/>
        <w:gridCol w:w="1923"/>
        <w:gridCol w:w="1907"/>
        <w:gridCol w:w="1922"/>
      </w:tblGrid>
      <w:tr>
        <w:trPr>
          <w:trHeight w:val="406" w:hRule="exact"/>
        </w:trPr>
        <w:tc>
          <w:tcPr>
            <w:tcW w:w="19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759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58" w:hRule="exact"/>
        </w:trPr>
        <w:tc>
          <w:tcPr>
            <w:tcW w:w="1982" w:type="dxa"/>
            <w:vMerge/>
            <w:tcBorders>
              <w:left w:val="single" w:sz="6" w:space="0" w:color="000000"/>
              <w:right w:val="single" w:sz="6" w:space="0" w:color="000000"/>
            </w:tcBorders>
            <w:shd w:val="clear" w:color="auto" w:fill="D2D2D2"/>
          </w:tcPr>
          <w:p>
            <w:pPr/>
          </w:p>
        </w:tc>
        <w:tc>
          <w:tcPr>
            <w:tcW w:w="1840"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818" w:right="106"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23" w:type="dxa"/>
            <w:tcBorders>
              <w:top w:val="single" w:sz="6" w:space="0" w:color="000000"/>
              <w:left w:val="single" w:sz="6" w:space="0" w:color="000000"/>
              <w:bottom w:val="nil" w:sz="6" w:space="0" w:color="auto"/>
              <w:right w:val="single" w:sz="6" w:space="0" w:color="000000"/>
            </w:tcBorders>
            <w:shd w:val="clear" w:color="auto" w:fill="D2D2D2"/>
          </w:tcPr>
          <w:p>
            <w:pPr/>
          </w:p>
        </w:tc>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1" w:hRule="exact"/>
        </w:trPr>
        <w:tc>
          <w:tcPr>
            <w:tcW w:w="1982" w:type="dxa"/>
            <w:vMerge/>
            <w:tcBorders>
              <w:left w:val="single" w:sz="6" w:space="0" w:color="000000"/>
              <w:right w:val="single" w:sz="6" w:space="0" w:color="000000"/>
            </w:tcBorders>
            <w:shd w:val="clear" w:color="auto" w:fill="D2D2D2"/>
          </w:tcPr>
          <w:p>
            <w:pPr/>
          </w:p>
        </w:tc>
        <w:tc>
          <w:tcPr>
            <w:tcW w:w="1840" w:type="dxa"/>
            <w:vMerge/>
            <w:tcBorders>
              <w:left w:val="single" w:sz="6" w:space="0" w:color="000000"/>
              <w:right w:val="single" w:sz="6" w:space="0" w:color="000000"/>
            </w:tcBorders>
            <w:shd w:val="clear" w:color="auto" w:fill="D2D2D2"/>
          </w:tcPr>
          <w:p>
            <w:pPr/>
          </w:p>
        </w:tc>
        <w:tc>
          <w:tcPr>
            <w:tcW w:w="192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45"/>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58" w:hRule="exact"/>
        </w:trPr>
        <w:tc>
          <w:tcPr>
            <w:tcW w:w="1982" w:type="dxa"/>
            <w:vMerge/>
            <w:tcBorders>
              <w:left w:val="single" w:sz="6" w:space="0" w:color="000000"/>
              <w:bottom w:val="single" w:sz="6" w:space="0" w:color="000000"/>
              <w:right w:val="single" w:sz="6" w:space="0" w:color="000000"/>
            </w:tcBorders>
            <w:shd w:val="clear" w:color="auto" w:fill="D2D2D2"/>
          </w:tcPr>
          <w:p>
            <w:pPr/>
          </w:p>
        </w:tc>
        <w:tc>
          <w:tcPr>
            <w:tcW w:w="1840" w:type="dxa"/>
            <w:vMerge/>
            <w:tcBorders>
              <w:left w:val="single" w:sz="6" w:space="0" w:color="000000"/>
              <w:bottom w:val="single" w:sz="6" w:space="0" w:color="000000"/>
              <w:right w:val="single" w:sz="6" w:space="0" w:color="000000"/>
            </w:tcBorders>
            <w:shd w:val="clear" w:color="auto" w:fill="D2D2D2"/>
          </w:tcPr>
          <w:p>
            <w:pPr/>
          </w:p>
        </w:tc>
        <w:tc>
          <w:tcPr>
            <w:tcW w:w="1923"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5"/>
                <w:sz w:val="18"/>
                <w:szCs w:val="18"/>
              </w:rPr>
              <w:t>一、持续的公允价值计量</w:t>
            </w:r>
          </w:p>
        </w:tc>
        <w:tc>
          <w:tcPr>
            <w:tcW w:w="18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40" w:type="dxa"/>
            <w:tcBorders>
              <w:top w:val="single" w:sz="6" w:space="0" w:color="000000"/>
              <w:left w:val="single" w:sz="12"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111,381,001.58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111,381,001.58</w:t>
            </w:r>
          </w:p>
        </w:tc>
      </w:tr>
      <w:tr>
        <w:trPr>
          <w:trHeight w:val="1020"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7"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w:t>
            </w:r>
          </w:p>
        </w:tc>
        <w:tc>
          <w:tcPr>
            <w:tcW w:w="1840" w:type="dxa"/>
            <w:tcBorders>
              <w:top w:val="single" w:sz="6" w:space="0" w:color="000000"/>
              <w:left w:val="single" w:sz="12"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111,381,001.58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111,381,001.58</w:t>
            </w:r>
          </w:p>
        </w:tc>
      </w:tr>
      <w:tr>
        <w:trPr>
          <w:trHeight w:val="721"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159"/>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40" w:type="dxa"/>
            <w:tcBorders>
              <w:top w:val="single" w:sz="6" w:space="0" w:color="000000"/>
              <w:left w:val="single" w:sz="12"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111,381,001.58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111,381,001.58</w:t>
            </w:r>
          </w:p>
        </w:tc>
      </w:tr>
      <w:tr>
        <w:trPr>
          <w:trHeight w:val="1021"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 w:right="24"/>
              <w:jc w:val="left"/>
              <w:rPr>
                <w:rFonts w:ascii="宋体" w:hAnsi="宋体" w:cs="宋体" w:eastAsia="宋体" w:hint="default"/>
                <w:sz w:val="18"/>
                <w:szCs w:val="18"/>
              </w:rPr>
            </w:pPr>
            <w:r>
              <w:rPr>
                <w:rFonts w:ascii="宋体" w:hAnsi="宋体" w:cs="宋体" w:eastAsia="宋体" w:hint="default"/>
                <w:spacing w:val="-5"/>
                <w:sz w:val="18"/>
                <w:szCs w:val="18"/>
              </w:rPr>
              <w:t>（七）指定为以公允价值</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计量且变动计入当期损 益的金融负债</w:t>
            </w:r>
          </w:p>
        </w:tc>
        <w:tc>
          <w:tcPr>
            <w:tcW w:w="1840" w:type="dxa"/>
            <w:tcBorders>
              <w:top w:val="single" w:sz="6" w:space="0" w:color="000000"/>
              <w:left w:val="single" w:sz="12"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994,733.57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994,733.57</w:t>
            </w:r>
          </w:p>
        </w:tc>
      </w:tr>
      <w:tr>
        <w:trPr>
          <w:trHeight w:val="720"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159"/>
              <w:jc w:val="left"/>
              <w:rPr>
                <w:rFonts w:ascii="宋体" w:hAnsi="宋体" w:cs="宋体" w:eastAsia="宋体" w:hint="default"/>
                <w:sz w:val="18"/>
                <w:szCs w:val="18"/>
              </w:rPr>
            </w:pPr>
            <w:r>
              <w:rPr>
                <w:rFonts w:ascii="宋体" w:hAnsi="宋体" w:cs="宋体" w:eastAsia="宋体" w:hint="default"/>
                <w:sz w:val="18"/>
                <w:szCs w:val="18"/>
              </w:rPr>
              <w:t>持续以公允价值计量的 负债总额</w:t>
            </w:r>
          </w:p>
        </w:tc>
        <w:tc>
          <w:tcPr>
            <w:tcW w:w="1840" w:type="dxa"/>
            <w:tcBorders>
              <w:top w:val="single" w:sz="6" w:space="0" w:color="000000"/>
              <w:left w:val="single" w:sz="12"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994,733.57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994,733.57</w:t>
            </w:r>
          </w:p>
        </w:tc>
      </w:tr>
      <w:tr>
        <w:trPr>
          <w:trHeight w:val="158" w:hRule="exact"/>
        </w:trPr>
        <w:tc>
          <w:tcPr>
            <w:tcW w:w="1982"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5"/>
              <w:ind w:left="7" w:right="24"/>
              <w:jc w:val="left"/>
              <w:rPr>
                <w:rFonts w:ascii="宋体" w:hAnsi="宋体" w:cs="宋体" w:eastAsia="宋体" w:hint="default"/>
                <w:sz w:val="18"/>
                <w:szCs w:val="18"/>
              </w:rPr>
            </w:pPr>
            <w:r>
              <w:rPr>
                <w:rFonts w:ascii="宋体" w:hAnsi="宋体" w:cs="宋体" w:eastAsia="宋体" w:hint="default"/>
                <w:spacing w:val="-5"/>
                <w:sz w:val="18"/>
                <w:szCs w:val="18"/>
              </w:rPr>
              <w:t>二、非持续的公允价值计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量</w:t>
            </w:r>
          </w:p>
        </w:tc>
        <w:tc>
          <w:tcPr>
            <w:tcW w:w="1840" w:type="dxa"/>
            <w:tcBorders>
              <w:top w:val="single" w:sz="6" w:space="0" w:color="000000"/>
              <w:left w:val="single" w:sz="6" w:space="0" w:color="000000"/>
              <w:bottom w:val="nil" w:sz="6" w:space="0" w:color="auto"/>
              <w:right w:val="single" w:sz="6" w:space="0" w:color="000000"/>
            </w:tcBorders>
            <w:shd w:val="clear" w:color="auto" w:fill="D2D2D2"/>
          </w:tcPr>
          <w:p>
            <w:pPr/>
          </w:p>
        </w:tc>
        <w:tc>
          <w:tcPr>
            <w:tcW w:w="1923" w:type="dxa"/>
            <w:tcBorders>
              <w:top w:val="single" w:sz="6" w:space="0" w:color="000000"/>
              <w:left w:val="single" w:sz="6" w:space="0" w:color="000000"/>
              <w:bottom w:val="nil" w:sz="6" w:space="0" w:color="auto"/>
              <w:right w:val="single" w:sz="6" w:space="0" w:color="000000"/>
            </w:tcBorders>
            <w:shd w:val="clear" w:color="auto" w:fill="D2D2D2"/>
          </w:tcPr>
          <w:p>
            <w:pPr/>
          </w:p>
        </w:tc>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1" w:hRule="exact"/>
        </w:trPr>
        <w:tc>
          <w:tcPr>
            <w:tcW w:w="1982" w:type="dxa"/>
            <w:vMerge/>
            <w:tcBorders>
              <w:left w:val="single" w:sz="6" w:space="0" w:color="000000"/>
              <w:right w:val="single" w:sz="6" w:space="0" w:color="000000"/>
            </w:tcBorders>
            <w:shd w:val="clear" w:color="auto" w:fill="D2D2D2"/>
          </w:tcPr>
          <w:p>
            <w:pPr/>
          </w:p>
        </w:tc>
        <w:tc>
          <w:tcPr>
            <w:tcW w:w="184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192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158" w:hRule="exact"/>
        </w:trPr>
        <w:tc>
          <w:tcPr>
            <w:tcW w:w="1982" w:type="dxa"/>
            <w:vMerge/>
            <w:tcBorders>
              <w:left w:val="single" w:sz="6" w:space="0" w:color="000000"/>
              <w:bottom w:val="single" w:sz="6" w:space="0" w:color="000000"/>
              <w:right w:val="single" w:sz="6" w:space="0" w:color="000000"/>
            </w:tcBorders>
            <w:shd w:val="clear" w:color="auto" w:fill="D2D2D2"/>
          </w:tcPr>
          <w:p>
            <w:pPr/>
          </w:p>
        </w:tc>
        <w:tc>
          <w:tcPr>
            <w:tcW w:w="1840"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3"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1105"/>
        <w:jc w:val="left"/>
        <w:rPr>
          <w:b w:val="0"/>
          <w:bCs w:val="0"/>
        </w:rPr>
      </w:pPr>
      <w:bookmarkStart w:name="2、持续和非持续第一层次公允价值计量项目市价的确定依据" w:id="465"/>
      <w:bookmarkEnd w:id="465"/>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3、持续和非持续第二层次公允价值计量项目，采用的估值技术和重要参数的定性及定量信" w:id="466"/>
      <w:bookmarkEnd w:id="466"/>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4、持续和非持续第三层次公允价值计量项目，采用的估值技术和重要参数的定性及定量信" w:id="467"/>
      <w:bookmarkEnd w:id="467"/>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5、持续的第三层次公允价值计量项目，期初与期末账面价值间的调节信息及不可观察参数" w:id="468"/>
      <w:bookmarkEnd w:id="468"/>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6、持续的公允价值计量项目，本期内发生各层级之间转换的，转换的原因及确定转换时点" w:id="469"/>
      <w:bookmarkEnd w:id="469"/>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1105"/>
        <w:jc w:val="left"/>
        <w:rPr>
          <w:b w:val="0"/>
          <w:bCs w:val="0"/>
        </w:rPr>
      </w:pPr>
      <w:bookmarkStart w:name="7、本期内发生的估值技术变更及变更原因" w:id="470"/>
      <w:bookmarkEnd w:id="470"/>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8、不以公允价值计量的金融资产和金融负债的公允价值情况" w:id="471"/>
      <w:bookmarkEnd w:id="471"/>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1"/>
        <w:rPr>
          <w:rFonts w:ascii="宋体" w:hAnsi="宋体" w:cs="宋体" w:eastAsia="宋体" w:hint="default"/>
          <w:b/>
          <w:bCs/>
          <w:sz w:val="24"/>
          <w:szCs w:val="24"/>
        </w:rPr>
      </w:pPr>
    </w:p>
    <w:p>
      <w:pPr>
        <w:spacing w:line="487" w:lineRule="auto" w:before="0"/>
        <w:ind w:left="141" w:right="8098" w:firstLine="0"/>
        <w:jc w:val="left"/>
        <w:rPr>
          <w:rFonts w:ascii="宋体" w:hAnsi="宋体" w:cs="宋体" w:eastAsia="宋体" w:hint="default"/>
          <w:sz w:val="21"/>
          <w:szCs w:val="21"/>
        </w:rPr>
      </w:pPr>
      <w:bookmarkStart w:name="9、其他" w:id="472"/>
      <w:bookmarkEnd w:id="472"/>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二、关联方及关联交易" w:id="473"/>
      <w:bookmarkEnd w:id="473"/>
      <w:r>
        <w:rPr>
          <w:rFonts w:ascii="宋体" w:hAnsi="宋体" w:cs="宋体" w:eastAsia="宋体" w:hint="default"/>
          <w:b/>
          <w:bCs/>
          <w:w w:val="99"/>
          <w:sz w:val="21"/>
          <w:szCs w:val="21"/>
        </w:rPr>
      </w:r>
      <w:r>
        <w:rPr>
          <w:rFonts w:ascii="宋体" w:hAnsi="宋体" w:cs="宋体" w:eastAsia="宋体" w:hint="default"/>
          <w:b/>
          <w:bCs/>
          <w:sz w:val="24"/>
          <w:szCs w:val="24"/>
        </w:rPr>
        <w:t>十二、关联方及关联交易</w:t>
      </w:r>
      <w:r>
        <w:rPr>
          <w:rFonts w:ascii="宋体" w:hAnsi="宋体" w:cs="宋体" w:eastAsia="宋体" w:hint="default"/>
          <w:b/>
          <w:bCs/>
          <w:spacing w:val="-117"/>
          <w:sz w:val="24"/>
          <w:szCs w:val="24"/>
        </w:rPr>
        <w:t> </w:t>
      </w:r>
      <w:r>
        <w:rPr>
          <w:rFonts w:ascii="宋体" w:hAnsi="宋体" w:cs="宋体" w:eastAsia="宋体" w:hint="default"/>
          <w:b/>
          <w:bCs/>
          <w:spacing w:val="-117"/>
          <w:sz w:val="24"/>
          <w:szCs w:val="24"/>
        </w:rPr>
      </w:r>
      <w:bookmarkStart w:name="1、本企业的母公司情况" w:id="474"/>
      <w:bookmarkEnd w:id="474"/>
      <w:r>
        <w:rPr>
          <w:rFonts w:ascii="宋体" w:hAnsi="宋体" w:cs="宋体" w:eastAsia="宋体" w:hint="default"/>
          <w:b/>
          <w:bCs/>
          <w:spacing w:val="-117"/>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35" w:right="61"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45" w:right="74" w:hanging="271"/>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60" w:lineRule="auto" w:before="44"/>
        <w:ind w:right="6969"/>
        <w:jc w:val="left"/>
      </w:pPr>
      <w:r>
        <w:rPr/>
        <w:t>本企业的母公司情况的说明 本企业最终控制方是徐长军先生和郑新标先生。 其他说明：</w:t>
      </w:r>
    </w:p>
    <w:p>
      <w:pPr>
        <w:spacing w:line="240" w:lineRule="auto" w:before="10"/>
        <w:rPr>
          <w:rFonts w:ascii="宋体" w:hAnsi="宋体" w:cs="宋体" w:eastAsia="宋体" w:hint="default"/>
          <w:sz w:val="21"/>
          <w:szCs w:val="21"/>
        </w:rPr>
      </w:pPr>
    </w:p>
    <w:p>
      <w:pPr>
        <w:pStyle w:val="Heading3"/>
        <w:spacing w:line="240" w:lineRule="auto"/>
        <w:ind w:right="1105"/>
        <w:jc w:val="left"/>
        <w:rPr>
          <w:b w:val="0"/>
          <w:bCs w:val="0"/>
        </w:rPr>
      </w:pPr>
      <w:bookmarkStart w:name="2、本企业的子公司情况" w:id="475"/>
      <w:bookmarkEnd w:id="475"/>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5"/>
        <w:jc w:val="left"/>
      </w:pPr>
      <w:r>
        <w:rPr/>
        <w:t>本企业子公司的情况详见附注九</w:t>
      </w:r>
      <w:r>
        <w:rPr>
          <w:spacing w:val="3"/>
        </w:rPr>
        <w:t>（</w:t>
      </w:r>
      <w:r>
        <w:rPr>
          <w:rFonts w:ascii="Times New Roman" w:hAnsi="Times New Roman" w:cs="Times New Roman" w:eastAsia="Times New Roman" w:hint="default"/>
        </w:rPr>
        <w:t>1</w:t>
      </w:r>
      <w:r>
        <w:rPr>
          <w:spacing w:val="-90"/>
        </w:rPr>
        <w:t>）。</w:t>
      </w:r>
      <w:r>
        <w:rPr/>
      </w:r>
    </w:p>
    <w:p>
      <w:pPr>
        <w:spacing w:line="240" w:lineRule="auto" w:before="0"/>
        <w:rPr>
          <w:rFonts w:ascii="宋体" w:hAnsi="宋体" w:cs="宋体" w:eastAsia="宋体" w:hint="default"/>
          <w:sz w:val="18"/>
          <w:szCs w:val="18"/>
        </w:rPr>
      </w:pPr>
    </w:p>
    <w:p>
      <w:pPr>
        <w:pStyle w:val="Heading3"/>
        <w:spacing w:line="240" w:lineRule="auto" w:before="126"/>
        <w:ind w:right="1105"/>
        <w:jc w:val="left"/>
        <w:rPr>
          <w:b w:val="0"/>
          <w:bCs w:val="0"/>
        </w:rPr>
      </w:pPr>
      <w:bookmarkStart w:name="3、本企业合营和联营企业情况" w:id="476"/>
      <w:bookmarkEnd w:id="476"/>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3"/>
        <w:rPr>
          <w:rFonts w:ascii="宋体" w:hAnsi="宋体" w:cs="宋体" w:eastAsia="宋体" w:hint="default"/>
          <w:b/>
          <w:bCs/>
          <w:sz w:val="25"/>
          <w:szCs w:val="25"/>
        </w:rPr>
      </w:pPr>
    </w:p>
    <w:p>
      <w:pPr>
        <w:pStyle w:val="BodyText"/>
        <w:spacing w:line="331" w:lineRule="auto"/>
        <w:ind w:right="2289"/>
        <w:jc w:val="left"/>
      </w:pPr>
      <w:r>
        <w:rPr>
          <w:spacing w:val="-9"/>
        </w:rPr>
        <w:t>本企业重要的合营或联营企业详见附注九（</w:t>
      </w:r>
      <w:r>
        <w:rPr>
          <w:rFonts w:ascii="Times New Roman" w:hAnsi="Times New Roman" w:cs="Times New Roman" w:eastAsia="Times New Roman" w:hint="default"/>
          <w:spacing w:val="-9"/>
        </w:rPr>
        <w:t>3</w:t>
      </w:r>
      <w:r>
        <w:rPr>
          <w:spacing w:val="-9"/>
        </w:rPr>
        <w:t>）。</w:t>
      </w:r>
      <w:r>
        <w:rPr>
          <w:spacing w:val="-69"/>
        </w:rPr>
        <w:t> </w:t>
      </w:r>
      <w:r>
        <w:rPr/>
        <w:t>本期与本公司发生关联方交易，或前期与本公司发生关联方交易形成余额的其他合营或联营企业情况如下：</w:t>
      </w:r>
    </w:p>
    <w:p>
      <w:pPr>
        <w:spacing w:line="240" w:lineRule="auto" w:before="2"/>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62"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45"/>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4、其他关联方情况" w:id="477"/>
      <w:bookmarkEnd w:id="477"/>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81"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支付宝</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网络技术有限公司（以下简称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支付宝网络</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与本公司股东上海云鑫受同一最终控制人控制</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北京朗新天霁软件技术有限公司（以下简称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朗新天霁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受本公司股东控制</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r>
        <w:rPr/>
        <w:pict>
          <v:group style="position:absolute;margin-left:296.630005pt;margin-top:127.995003pt;width:238.05pt;height:40.550pt;mso-position-horizontal-relative:page;mso-position-vertical-relative:page;z-index:-1325032" coordorigin="5933,2560" coordsize="4761,811">
            <v:group style="position:absolute;left:5940;top:2567;width:2;height:390" coordorigin="5940,2567" coordsize="2,390">
              <v:shape style="position:absolute;left:5940;top:2567;width:2;height:390" coordorigin="5940,2567" coordsize="0,390" path="m5940,2567l5940,2957e" filled="false" stroked="true" strokeweight=".75pt" strokecolor="#ffffff">
                <v:path arrowok="t"/>
              </v:shape>
            </v:group>
            <v:group style="position:absolute;left:5948;top:2567;width:4746;height:390" coordorigin="5948,2567" coordsize="4746,390">
              <v:shape style="position:absolute;left:5948;top:2567;width:4746;height:390" coordorigin="5948,2567" coordsize="4746,390" path="m5948,2957l10694,2957,10694,2567,5948,2567,5948,2957xe" filled="true" fillcolor="#ffffff" stroked="false">
                <v:path arrowok="t"/>
                <v:fill type="solid"/>
              </v:shape>
            </v:group>
            <v:group style="position:absolute;left:5940;top:2973;width:2;height:391" coordorigin="5940,2973" coordsize="2,391">
              <v:shape style="position:absolute;left:5940;top:2973;width:2;height:391" coordorigin="5940,2973" coordsize="0,391" path="m5940,2973l5940,3363e" filled="false" stroked="true" strokeweight=".75pt" strokecolor="#ffffff">
                <v:path arrowok="t"/>
              </v:shape>
            </v:group>
            <v:group style="position:absolute;left:5948;top:2973;width:4746;height:391" coordorigin="5948,2973" coordsize="4746,391">
              <v:shape style="position:absolute;left:5948;top:2973;width:4746;height:391" coordorigin="5948,2973" coordsize="4746,391" path="m5948,3363l10694,3363,10694,2973,5948,2973,5948,3363xe" filled="true" fillcolor="#ffffff" stroked="false">
                <v:path arrowok="t"/>
                <v:fill type="solid"/>
              </v:shape>
            </v:group>
            <w10:wrap type="none"/>
          </v:group>
        </w:pict>
      </w: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72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59"/>
              <w:ind w:left="15" w:right="29"/>
              <w:jc w:val="left"/>
              <w:rPr>
                <w:rFonts w:ascii="宋体" w:hAnsi="宋体" w:cs="宋体" w:eastAsia="宋体" w:hint="default"/>
                <w:sz w:val="18"/>
                <w:szCs w:val="18"/>
              </w:rPr>
            </w:pPr>
            <w:r>
              <w:rPr>
                <w:rFonts w:ascii="宋体" w:hAnsi="宋体" w:cs="宋体" w:eastAsia="宋体" w:hint="default"/>
                <w:spacing w:val="-1"/>
                <w:sz w:val="18"/>
                <w:szCs w:val="18"/>
              </w:rPr>
              <w:t>北京蚂蚁云金融信息服务有限公司（以下简称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北京蚂蚁云金</w:t>
            </w:r>
            <w:r>
              <w:rPr>
                <w:rFonts w:ascii="宋体" w:hAnsi="宋体" w:cs="宋体" w:eastAsia="宋体" w:hint="default"/>
                <w:sz w:val="18"/>
                <w:szCs w:val="18"/>
              </w:rPr>
              <w:t> 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与本公司股东上海云鑫受同一最终控制人控制</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集分宝南京企业管理有限公司（</w:t>
            </w:r>
            <w:r>
              <w:rPr>
                <w:rFonts w:ascii="宋体" w:hAnsi="宋体" w:cs="宋体" w:eastAsia="宋体" w:hint="default"/>
                <w:spacing w:val="5"/>
                <w:sz w:val="18"/>
                <w:szCs w:val="18"/>
              </w:rPr>
              <w:t> </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集分宝</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与本公司股东上海云鑫受同一最终控制人控制</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30"/>
              <w:jc w:val="left"/>
              <w:rPr>
                <w:rFonts w:ascii="宋体" w:hAnsi="宋体" w:cs="宋体" w:eastAsia="宋体" w:hint="default"/>
                <w:sz w:val="18"/>
                <w:szCs w:val="18"/>
              </w:rPr>
            </w:pPr>
            <w:r>
              <w:rPr>
                <w:rFonts w:ascii="宋体" w:hAnsi="宋体" w:cs="宋体" w:eastAsia="宋体" w:hint="default"/>
                <w:spacing w:val="-2"/>
                <w:sz w:val="18"/>
                <w:szCs w:val="18"/>
              </w:rPr>
              <w:t>支付宝（杭州）网络技术有限公司（以下简称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支付宝信息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与本公司股东上海云鑫受同一最终控制人控制</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30"/>
              <w:jc w:val="left"/>
              <w:rPr>
                <w:rFonts w:ascii="宋体" w:hAnsi="宋体" w:cs="宋体" w:eastAsia="宋体" w:hint="default"/>
                <w:sz w:val="18"/>
                <w:szCs w:val="18"/>
              </w:rPr>
            </w:pPr>
            <w:r>
              <w:rPr>
                <w:rFonts w:ascii="宋体" w:hAnsi="宋体" w:cs="宋体" w:eastAsia="宋体" w:hint="default"/>
                <w:spacing w:val="-2"/>
                <w:sz w:val="18"/>
                <w:szCs w:val="18"/>
              </w:rPr>
              <w:t>蚂蚁胜信（上海）信息技术有限公司（以下简称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蚂蚁胜信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与本公司股东上海云鑫受同一最终控制人控制</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江西得道体育科技有限公司（以下简称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得到体育</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本集团之合营企业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传神语联网网络科技股份有限公司（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传神语联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本公司股东任董事</w:t>
            </w:r>
          </w:p>
        </w:tc>
      </w:tr>
      <w:tr>
        <w:trPr>
          <w:trHeight w:val="391"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河南国都时代科技有限公司（以下简称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河南国都</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邦道科技持股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郑新标</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本公司共同实际控制人之一</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本公司共同实际控制人之一</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中数寰宇（北京）科技有限公司（以下简称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中数寰宇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徐长军控制的企业</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未来电视有限公司（以下简称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未来电视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徐长军施加重大影响的企业</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易视星空科技无锡有限公司（以下简称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易视星空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本集团之合营企业</w:t>
            </w:r>
          </w:p>
        </w:tc>
      </w:tr>
    </w:tbl>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5、关联交易情况" w:id="478"/>
      <w:bookmarkEnd w:id="478"/>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1105"/>
        <w:jc w:val="left"/>
        <w:rPr>
          <w:b w:val="0"/>
          <w:bCs w:val="0"/>
        </w:rPr>
      </w:pPr>
      <w:bookmarkStart w:name="（1）购销商品、提供和接受劳务的关联交易" w:id="479"/>
      <w:bookmarkEnd w:id="479"/>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05"/>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96"/>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47"/>
        <w:gridCol w:w="1456"/>
        <w:gridCol w:w="1457"/>
        <w:gridCol w:w="1697"/>
        <w:gridCol w:w="1712"/>
        <w:gridCol w:w="1712"/>
      </w:tblGrid>
      <w:tr>
        <w:trPr>
          <w:trHeight w:val="406" w:hRule="exact"/>
        </w:trPr>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0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20"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中数寰宇</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118"/>
              <w:jc w:val="left"/>
              <w:rPr>
                <w:rFonts w:ascii="宋体" w:hAnsi="宋体" w:cs="宋体" w:eastAsia="宋体" w:hint="default"/>
                <w:sz w:val="18"/>
                <w:szCs w:val="18"/>
              </w:rPr>
            </w:pPr>
            <w:r>
              <w:rPr>
                <w:rFonts w:ascii="宋体" w:hAnsi="宋体" w:cs="宋体" w:eastAsia="宋体" w:hint="default"/>
                <w:sz w:val="18"/>
                <w:szCs w:val="18"/>
              </w:rPr>
              <w:t>外包服务费</w:t>
            </w:r>
            <w:r>
              <w:rPr>
                <w:rFonts w:ascii="Times New Roman" w:hAnsi="Times New Roman" w:cs="Times New Roman" w:eastAsia="Times New Roman" w:hint="default"/>
                <w:sz w:val="18"/>
                <w:szCs w:val="18"/>
              </w:rPr>
              <w:t>/</w:t>
            </w:r>
            <w:r>
              <w:rPr>
                <w:rFonts w:ascii="宋体" w:hAnsi="宋体" w:cs="宋体" w:eastAsia="宋体" w:hint="default"/>
                <w:sz w:val="18"/>
                <w:szCs w:val="18"/>
              </w:rPr>
              <w:t>游戏 技术开发费</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4,339,622.57</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10,000,000.00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3,726,414.96</w:t>
            </w:r>
          </w:p>
        </w:tc>
      </w:tr>
      <w:tr>
        <w:trPr>
          <w:trHeight w:val="391"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河南国都</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1,986,380.69</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易视星空</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29"/>
              <w:jc w:val="left"/>
              <w:rPr>
                <w:rFonts w:ascii="宋体" w:hAnsi="宋体" w:cs="宋体" w:eastAsia="宋体" w:hint="default"/>
                <w:sz w:val="18"/>
                <w:szCs w:val="18"/>
              </w:rPr>
            </w:pPr>
            <w:r>
              <w:rPr>
                <w:rFonts w:ascii="宋体" w:hAnsi="宋体" w:cs="宋体" w:eastAsia="宋体" w:hint="default"/>
                <w:spacing w:val="-6"/>
                <w:sz w:val="18"/>
                <w:szCs w:val="18"/>
              </w:rPr>
              <w:t>授权使用费、采购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配件</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9,930,489.86</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集分宝</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线上营运资源费</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146,520.35</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10,000,000.00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传神语联</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翻译费</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124,989.79</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1,000,000.00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105,724.54</w:t>
            </w:r>
          </w:p>
        </w:tc>
      </w:tr>
      <w:tr>
        <w:trPr>
          <w:trHeight w:val="390"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朗新天霁</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接受系统服务</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28,301.89</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500,000.00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311,320.75</w:t>
            </w:r>
          </w:p>
        </w:tc>
      </w:tr>
    </w:tbl>
    <w:p>
      <w:pPr>
        <w:pStyle w:val="BodyText"/>
        <w:spacing w:line="240" w:lineRule="auto" w:before="60"/>
        <w:ind w:right="1105"/>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403"/>
        <w:gridCol w:w="2252"/>
        <w:gridCol w:w="2268"/>
        <w:gridCol w:w="2658"/>
      </w:tblGrid>
      <w:tr>
        <w:trPr>
          <w:trHeight w:val="405"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7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7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8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未来电视</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用户服务增值业务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325,607,776.68</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325,068,854.88</w:t>
            </w:r>
          </w:p>
        </w:tc>
      </w:tr>
      <w:tr>
        <w:trPr>
          <w:trHeight w:val="1021"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支付宝网络</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60"/>
              <w:jc w:val="left"/>
              <w:rPr>
                <w:rFonts w:ascii="宋体" w:hAnsi="宋体" w:cs="宋体" w:eastAsia="宋体" w:hint="default"/>
                <w:sz w:val="18"/>
                <w:szCs w:val="18"/>
              </w:rPr>
            </w:pPr>
            <w:r>
              <w:rPr>
                <w:rFonts w:ascii="宋体" w:hAnsi="宋体" w:cs="宋体" w:eastAsia="宋体" w:hint="default"/>
                <w:sz w:val="18"/>
                <w:szCs w:val="18"/>
              </w:rPr>
              <w:t>移动支付云平台支撑服务 费、定制软件开发及互联网 运营服务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199,073,507.83</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4,870,930.00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403"/>
        <w:gridCol w:w="2252"/>
        <w:gridCol w:w="2268"/>
        <w:gridCol w:w="2658"/>
      </w:tblGrid>
      <w:tr>
        <w:trPr>
          <w:trHeight w:val="40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得道体育</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定制软件开发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8,559,732.16</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北京蚂蚁云金融</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定制软件开发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615,094.34</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易视星空</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销售材料</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1,166,618.66</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蚂蚁胜信</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互联网运营服务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94,339.62</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支付宝信息</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互联网运营服务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47,160.38</w:t>
            </w:r>
          </w:p>
        </w:tc>
        <w:tc>
          <w:tcPr>
            <w:tcW w:w="265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1105"/>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2）关联受托管理/承包及委托管理/出包情况" w:id="480"/>
      <w:bookmarkEnd w:id="480"/>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right="1105"/>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81"/>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570" w:right="30" w:hanging="55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585" w:right="15" w:hanging="55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585" w:right="29" w:hanging="55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210" w:right="28" w:hanging="195"/>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05" w:right="59" w:hanging="76"/>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21" w:lineRule="auto"/>
        <w:jc w:val="left"/>
        <w:rPr>
          <w:rFonts w:ascii="宋体" w:hAnsi="宋体" w:cs="宋体" w:eastAsia="宋体" w:hint="default"/>
          <w:sz w:val="18"/>
          <w:szCs w:val="18"/>
        </w:rPr>
        <w:sectPr>
          <w:pgSz w:w="11910" w:h="16850"/>
          <w:pgMar w:header="731" w:footer="981" w:top="1040" w:bottom="1180" w:left="1000" w:right="0"/>
        </w:sectPr>
      </w:pPr>
    </w:p>
    <w:p>
      <w:pPr>
        <w:pStyle w:val="BodyText"/>
        <w:spacing w:line="333" w:lineRule="auto" w:before="59"/>
        <w:ind w:right="-9"/>
        <w:jc w:val="left"/>
      </w:pPr>
      <w:r>
        <w:rPr/>
        <w:t>关联托管</w:t>
      </w:r>
      <w:r>
        <w:rPr>
          <w:rFonts w:ascii="Times New Roman" w:hAnsi="Times New Roman" w:cs="Times New Roman" w:eastAsia="Times New Roman" w:hint="default"/>
        </w:rPr>
        <w:t>/</w:t>
      </w:r>
      <w:r>
        <w:rPr/>
        <w:t>承包情况说明 </w:t>
      </w:r>
      <w:r>
        <w:rPr>
          <w:spacing w:val="-1"/>
        </w:rPr>
        <w:t>本公司委托管理</w:t>
      </w:r>
      <w:r>
        <w:rPr>
          <w:rFonts w:ascii="Times New Roman" w:hAnsi="Times New Roman" w:cs="Times New Roman" w:eastAsia="Times New Roman" w:hint="default"/>
          <w:spacing w:val="-1"/>
        </w:rPr>
        <w:t>/</w:t>
      </w:r>
      <w:r>
        <w:rPr>
          <w:spacing w:val="-1"/>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2529" w:space="6318"/>
            <w:col w:w="2063"/>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570" w:right="30" w:hanging="55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585" w:right="15" w:hanging="55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585" w:right="29" w:hanging="55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390" w:right="29" w:hanging="37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285" w:right="59" w:hanging="256"/>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60"/>
        <w:ind w:right="1105"/>
        <w:jc w:val="left"/>
      </w:pPr>
      <w:r>
        <w:rPr/>
        <w:t>关联管理</w:t>
      </w:r>
      <w:r>
        <w:rPr>
          <w:rFonts w:ascii="Times New Roman" w:hAnsi="Times New Roman" w:cs="Times New Roman" w:eastAsia="Times New Roman" w:hint="default"/>
        </w:rPr>
        <w:t>/</w:t>
      </w:r>
      <w:r>
        <w:rPr/>
        <w:t>出包情况说明</w:t>
      </w:r>
    </w:p>
    <w:p>
      <w:pPr>
        <w:spacing w:line="240" w:lineRule="auto" w:before="6"/>
        <w:rPr>
          <w:rFonts w:ascii="宋体" w:hAnsi="宋体" w:cs="宋体" w:eastAsia="宋体" w:hint="default"/>
          <w:sz w:val="26"/>
          <w:szCs w:val="26"/>
        </w:rPr>
      </w:pPr>
    </w:p>
    <w:p>
      <w:pPr>
        <w:pStyle w:val="Heading3"/>
        <w:spacing w:line="240" w:lineRule="auto"/>
        <w:ind w:right="1105"/>
        <w:jc w:val="left"/>
        <w:rPr>
          <w:b w:val="0"/>
          <w:bCs w:val="0"/>
        </w:rPr>
      </w:pPr>
      <w:bookmarkStart w:name="（3）关联租赁情况" w:id="481"/>
      <w:bookmarkEnd w:id="481"/>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right="1105"/>
        <w:jc w:val="left"/>
      </w:pPr>
      <w:r>
        <w:rPr/>
        <w:t>本公司作为出租方：</w:t>
      </w:r>
    </w:p>
    <w:p>
      <w:pPr>
        <w:pStyle w:val="BodyText"/>
        <w:spacing w:line="240" w:lineRule="auto" w:before="10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1"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6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45"/>
        <w:ind w:right="1105"/>
        <w:jc w:val="left"/>
      </w:pPr>
      <w:r>
        <w:rPr/>
        <w:t>本公司作为承租方：</w:t>
      </w:r>
    </w:p>
    <w:p>
      <w:pPr>
        <w:pStyle w:val="BodyText"/>
        <w:spacing w:line="240" w:lineRule="auto" w:before="10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6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45"/>
        <w:ind w:right="1105"/>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54"/>
        <w:ind w:right="1105"/>
        <w:jc w:val="left"/>
        <w:rPr>
          <w:b w:val="0"/>
          <w:bCs w:val="0"/>
        </w:rPr>
      </w:pPr>
      <w:bookmarkStart w:name="（4）关联担保情况" w:id="482"/>
      <w:bookmarkEnd w:id="482"/>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right="1105"/>
        <w:jc w:val="left"/>
      </w:pPr>
      <w:r>
        <w:rPr/>
        <w:t>本公司作为担保方</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1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5"/>
        <w:ind w:right="1105"/>
        <w:jc w:val="left"/>
      </w:pPr>
      <w:r>
        <w:rPr/>
        <w:t>本公司作为被担保方</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1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5"/>
        <w:ind w:right="1105"/>
        <w:jc w:val="left"/>
      </w:pPr>
      <w:r>
        <w:rPr/>
        <w:t>关联担保情况说明</w:t>
      </w:r>
    </w:p>
    <w:p>
      <w:pPr>
        <w:spacing w:after="0" w:line="240" w:lineRule="auto"/>
        <w:jc w:val="left"/>
        <w:sectPr>
          <w:type w:val="continuous"/>
          <w:pgSz w:w="11910" w:h="16850"/>
          <w:pgMar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1105"/>
        <w:jc w:val="left"/>
        <w:rPr>
          <w:b w:val="0"/>
          <w:bCs w:val="0"/>
        </w:rPr>
      </w:pPr>
      <w:bookmarkStart w:name="（5）关联方资金拆借" w:id="483"/>
      <w:bookmarkEnd w:id="483"/>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6" w:hRule="exact"/>
        </w:trPr>
        <w:tc>
          <w:tcPr>
            <w:tcW w:w="9582"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390" w:hRule="exact"/>
        </w:trPr>
        <w:tc>
          <w:tcPr>
            <w:tcW w:w="9582"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6）关联方资产转让、债务重组情况" w:id="484"/>
      <w:bookmarkEnd w:id="484"/>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6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3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5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未来电视</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转让固定资产</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26" w:right="0"/>
              <w:jc w:val="left"/>
              <w:rPr>
                <w:rFonts w:ascii="Times New Roman" w:hAnsi="Times New Roman" w:cs="Times New Roman" w:eastAsia="Times New Roman" w:hint="default"/>
                <w:sz w:val="18"/>
                <w:szCs w:val="18"/>
              </w:rPr>
            </w:pPr>
            <w:r>
              <w:rPr>
                <w:rFonts w:ascii="Times New Roman"/>
                <w:sz w:val="18"/>
              </w:rPr>
              <w:t>5,868,549.00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易视星空</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转让固定资产</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11" w:right="0"/>
              <w:jc w:val="left"/>
              <w:rPr>
                <w:rFonts w:ascii="Times New Roman" w:hAnsi="Times New Roman" w:cs="Times New Roman" w:eastAsia="Times New Roman" w:hint="default"/>
                <w:sz w:val="18"/>
                <w:szCs w:val="18"/>
              </w:rPr>
            </w:pPr>
            <w:r>
              <w:rPr>
                <w:rFonts w:ascii="Times New Roman"/>
                <w:sz w:val="18"/>
              </w:rPr>
              <w:t>2,504,709.06</w:t>
            </w:r>
          </w:p>
        </w:tc>
        <w:tc>
          <w:tcPr>
            <w:tcW w:w="240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7）关键管理人员报酬" w:id="485"/>
      <w:bookmarkEnd w:id="485"/>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7,745,400.00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7,496,600.00</w:t>
            </w:r>
          </w:p>
        </w:tc>
      </w:tr>
    </w:tbl>
    <w:p>
      <w:pPr>
        <w:spacing w:line="240" w:lineRule="auto" w:before="11"/>
        <w:rPr>
          <w:rFonts w:ascii="宋体" w:hAnsi="宋体" w:cs="宋体" w:eastAsia="宋体" w:hint="default"/>
          <w:sz w:val="19"/>
          <w:szCs w:val="19"/>
        </w:rPr>
      </w:pPr>
    </w:p>
    <w:p>
      <w:pPr>
        <w:pStyle w:val="Heading3"/>
        <w:spacing w:line="508" w:lineRule="auto" w:before="35"/>
        <w:ind w:right="8535"/>
        <w:jc w:val="left"/>
        <w:rPr>
          <w:b w:val="0"/>
          <w:bCs w:val="0"/>
        </w:rPr>
      </w:pPr>
      <w:bookmarkStart w:name="（8）其他关联交易" w:id="486"/>
      <w:bookmarkEnd w:id="486"/>
      <w:r>
        <w:rPr>
          <w:b w:val="0"/>
          <w:bCs w:val="0"/>
        </w:rPr>
      </w:r>
      <w:r>
        <w:rPr/>
        <w:t>（</w:t>
      </w:r>
      <w:r>
        <w:rPr>
          <w:rFonts w:ascii="Times New Roman" w:hAnsi="Times New Roman" w:cs="Times New Roman" w:eastAsia="Times New Roman" w:hint="default"/>
        </w:rPr>
        <w:t>8</w:t>
      </w:r>
      <w:r>
        <w:rPr/>
        <w:t>）其他关联交易</w:t>
      </w:r>
      <w:r>
        <w:rPr>
          <w:w w:val="99"/>
        </w:rPr>
        <w:t> </w:t>
      </w:r>
      <w:bookmarkStart w:name="6、关联方应收应付款项" w:id="487"/>
      <w:bookmarkEnd w:id="487"/>
      <w:r>
        <w:rPr>
          <w:w w:val="99"/>
        </w:rPr>
      </w:r>
      <w:r>
        <w:rPr>
          <w:rFonts w:ascii="Times New Roman" w:hAnsi="Times New Roman" w:cs="Times New Roman" w:eastAsia="Times New Roman" w:hint="default"/>
        </w:rPr>
        <w:t>6</w:t>
      </w:r>
      <w:r>
        <w:rPr/>
        <w:t>、关联方应收应付款项</w:t>
      </w:r>
      <w:r>
        <w:rPr>
          <w:b w:val="0"/>
          <w:bCs w:val="0"/>
        </w:rPr>
      </w:r>
    </w:p>
    <w:p>
      <w:pPr>
        <w:pStyle w:val="Heading3"/>
        <w:spacing w:line="240" w:lineRule="auto" w:before="65"/>
        <w:ind w:right="1105"/>
        <w:jc w:val="left"/>
        <w:rPr>
          <w:b w:val="0"/>
          <w:bCs w:val="0"/>
        </w:rPr>
      </w:pPr>
      <w:bookmarkStart w:name="（1）应收项目" w:id="488"/>
      <w:bookmarkEnd w:id="48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0"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支付宝网络</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281,646,521.78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2,608,816.45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2,418,717.85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24,232.30</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未来电视</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220,614,875.81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1,781,304.04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298,688,578.60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4,788,465.37</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得道体育</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12,540,033.74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64,260.01</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易视星空</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1,333,871.23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79,707.38</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北京蚂蚁云金融</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352,000.00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3,168.00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支付宝网络</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11,015,017.59</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未来电视</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5,868,549.00</w:t>
            </w:r>
          </w:p>
        </w:tc>
        <w:tc>
          <w:tcPr>
            <w:tcW w:w="160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1105"/>
        <w:jc w:val="left"/>
        <w:rPr>
          <w:b w:val="0"/>
          <w:bCs w:val="0"/>
        </w:rPr>
      </w:pPr>
      <w:bookmarkStart w:name="（2）应付项目" w:id="489"/>
      <w:bookmarkEnd w:id="489"/>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4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6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河南国都</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6,468,550.73</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易视星空</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806,490.97</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未来电视</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319,214.58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357,597.80</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集分宝</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24,119.82</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郑新标</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2,500,000.00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徐长军</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460,000.00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朗新天霁</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28,301.89</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中数寰宇</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1,886,792.45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800,000.00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both"/>
        <w:rPr>
          <w:b w:val="0"/>
          <w:bCs w:val="0"/>
        </w:rPr>
      </w:pPr>
      <w:bookmarkStart w:name="7、关联方承诺" w:id="490"/>
      <w:bookmarkEnd w:id="490"/>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29"/>
          <w:szCs w:val="29"/>
        </w:rPr>
      </w:pPr>
    </w:p>
    <w:p>
      <w:pPr>
        <w:pStyle w:val="Heading3"/>
        <w:spacing w:line="240" w:lineRule="auto"/>
        <w:ind w:right="0"/>
        <w:jc w:val="both"/>
        <w:rPr>
          <w:b w:val="0"/>
          <w:bCs w:val="0"/>
        </w:rPr>
      </w:pPr>
      <w:bookmarkStart w:name="8、其他" w:id="491"/>
      <w:bookmarkEnd w:id="491"/>
      <w:r>
        <w:rPr>
          <w:b w:val="0"/>
          <w:bCs w:val="0"/>
        </w:rPr>
      </w:r>
      <w:r>
        <w:rPr>
          <w:rFonts w:ascii="Times New Roman" w:hAnsi="Times New Roman" w:cs="Times New Roman" w:eastAsia="Times New Roman" w:hint="default"/>
        </w:rPr>
        <w:t>8</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118"/>
        <w:jc w:val="both"/>
      </w:pPr>
      <w:r>
        <w:rPr>
          <w:spacing w:val="-5"/>
          <w:w w:val="100"/>
        </w:rPr>
        <w:t>于</w:t>
      </w:r>
      <w:r>
        <w:rPr>
          <w:rFonts w:ascii="Times New Roman" w:hAnsi="Times New Roman" w:cs="Times New Roman" w:eastAsia="Times New Roman" w:hint="default"/>
          <w:spacing w:val="-5"/>
          <w:w w:val="100"/>
        </w:rPr>
        <w:t>2018</w:t>
      </w:r>
      <w:r>
        <w:rPr>
          <w:spacing w:val="-5"/>
          <w:w w:val="100"/>
        </w:rPr>
        <w:t>年</w:t>
      </w:r>
      <w:r>
        <w:rPr>
          <w:rFonts w:ascii="Times New Roman" w:hAnsi="Times New Roman" w:cs="Times New Roman" w:eastAsia="Times New Roman" w:hint="default"/>
          <w:spacing w:val="-5"/>
          <w:w w:val="100"/>
        </w:rPr>
        <w:t>7</w:t>
      </w:r>
      <w:r>
        <w:rPr>
          <w:spacing w:val="-5"/>
          <w:w w:val="100"/>
        </w:rPr>
        <w:t>月</w:t>
      </w:r>
      <w:r>
        <w:rPr>
          <w:rFonts w:ascii="Times New Roman" w:hAnsi="Times New Roman" w:cs="Times New Roman" w:eastAsia="Times New Roman" w:hint="default"/>
          <w:spacing w:val="-5"/>
          <w:w w:val="100"/>
        </w:rPr>
        <w:t>20</w:t>
      </w:r>
      <w:r>
        <w:rPr>
          <w:spacing w:val="-5"/>
          <w:w w:val="100"/>
        </w:rPr>
        <w:t>日，北京易视腾文化与中国银行北京分行（</w:t>
      </w:r>
      <w:r>
        <w:rPr>
          <w:rFonts w:ascii="Times New Roman" w:hAnsi="Times New Roman" w:cs="Times New Roman" w:eastAsia="Times New Roman" w:hint="default"/>
          <w:spacing w:val="-5"/>
          <w:w w:val="100"/>
        </w:rPr>
        <w:t>“</w:t>
      </w:r>
      <w:r>
        <w:rPr>
          <w:spacing w:val="-5"/>
          <w:w w:val="100"/>
        </w:rPr>
        <w:t>贷款人</w:t>
      </w:r>
      <w:r>
        <w:rPr>
          <w:rFonts w:ascii="Times New Roman" w:hAnsi="Times New Roman" w:cs="Times New Roman" w:eastAsia="Times New Roman" w:hint="default"/>
          <w:spacing w:val="-5"/>
          <w:w w:val="100"/>
        </w:rPr>
        <w:t>”</w:t>
      </w:r>
      <w:r>
        <w:rPr>
          <w:spacing w:val="-5"/>
          <w:w w:val="100"/>
        </w:rPr>
        <w:t>）签署借款合同，向中国银行北京市分行借款</w:t>
      </w:r>
      <w:r>
        <w:rPr>
          <w:rFonts w:ascii="Times New Roman" w:hAnsi="Times New Roman" w:cs="Times New Roman" w:eastAsia="Times New Roman" w:hint="default"/>
          <w:spacing w:val="-5"/>
          <w:w w:val="100"/>
        </w:rPr>
        <w:t>80,000,000.00</w:t>
      </w:r>
      <w:r>
        <w:rPr>
          <w:rFonts w:ascii="Times New Roman" w:hAnsi="Times New Roman" w:cs="Times New Roman" w:eastAsia="Times New Roman" w:hint="default"/>
          <w:spacing w:val="-3"/>
          <w:w w:val="100"/>
        </w:rPr>
        <w:t> </w:t>
      </w:r>
      <w:r>
        <w:rPr/>
        <w:t>元，用于支付收购中数寰宇股权相关的交易对价，借款期限为</w:t>
      </w:r>
      <w:r>
        <w:rPr>
          <w:rFonts w:ascii="Times New Roman" w:hAnsi="Times New Roman" w:cs="Times New Roman" w:eastAsia="Times New Roman" w:hint="default"/>
        </w:rPr>
        <w:t>36</w:t>
      </w:r>
      <w:r>
        <w:rPr/>
        <w:t>个月。于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月，本公司与中国银行北京市分行签订协</w:t>
      </w:r>
      <w:r>
        <w:rPr>
          <w:spacing w:val="-84"/>
        </w:rPr>
        <w:t> </w:t>
      </w:r>
      <w:r>
        <w:rPr>
          <w:spacing w:val="-1"/>
        </w:rPr>
        <w:t>议，约定将本公司</w:t>
      </w:r>
      <w:r>
        <w:rPr>
          <w:rFonts w:ascii="Times New Roman" w:hAnsi="Times New Roman" w:cs="Times New Roman" w:eastAsia="Times New Roman" w:hint="default"/>
          <w:spacing w:val="-1"/>
        </w:rPr>
        <w:t>80,000,000.00</w:t>
      </w:r>
      <w:r>
        <w:rPr>
          <w:spacing w:val="-1"/>
        </w:rPr>
        <w:t>元银行存款由中国银行北京市分行进行监管，作为北京易视腾文化与中国银行北京市分行借</w:t>
      </w:r>
      <w:r>
        <w:rPr>
          <w:spacing w:val="-57"/>
        </w:rPr>
        <w:t> </w:t>
      </w:r>
      <w:r>
        <w:rPr>
          <w:spacing w:val="-57"/>
        </w:rPr>
      </w:r>
      <w:r>
        <w:rPr/>
        <w:t>款合同项下债权实现的保障。账户监管期限自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日起至北京易视腾文化在借款合同项下的全部债务清偿之日止。</w:t>
      </w:r>
      <w:r>
        <w:rPr>
          <w:spacing w:val="-86"/>
        </w:rPr>
        <w:t> </w:t>
      </w:r>
      <w:r>
        <w:rPr/>
        <w:t>账户监管于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日经双方一致同意协议解除。</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4"/>
          <w:szCs w:val="24"/>
        </w:rPr>
      </w:pPr>
    </w:p>
    <w:p>
      <w:pPr>
        <w:pStyle w:val="Heading2"/>
        <w:spacing w:line="240" w:lineRule="auto"/>
        <w:ind w:right="0"/>
        <w:jc w:val="both"/>
        <w:rPr>
          <w:b w:val="0"/>
          <w:bCs w:val="0"/>
        </w:rPr>
      </w:pPr>
      <w:bookmarkStart w:name="十三、股份支付" w:id="492"/>
      <w:bookmarkEnd w:id="492"/>
      <w:r>
        <w:rPr>
          <w:b w:val="0"/>
          <w:bCs w:val="0"/>
        </w:rPr>
      </w:r>
      <w:r>
        <w:rPr/>
        <w:t>十三、股份支付</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both"/>
        <w:rPr>
          <w:b w:val="0"/>
          <w:bCs w:val="0"/>
        </w:rPr>
      </w:pPr>
      <w:bookmarkStart w:name="1、股份支付总体情况" w:id="493"/>
      <w:bookmarkEnd w:id="493"/>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5452"/>
        <w:gridCol w:w="4130"/>
      </w:tblGrid>
      <w:tr>
        <w:trPr>
          <w:trHeight w:val="406" w:hRule="exact"/>
        </w:trPr>
        <w:tc>
          <w:tcPr>
            <w:tcW w:w="54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3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54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3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61,353,112.63</w:t>
            </w:r>
          </w:p>
        </w:tc>
      </w:tr>
      <w:tr>
        <w:trPr>
          <w:trHeight w:val="390" w:hRule="exact"/>
        </w:trPr>
        <w:tc>
          <w:tcPr>
            <w:tcW w:w="54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3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474,646.40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before="44"/>
        <w:ind w:left="0" w:right="1141"/>
        <w:jc w:val="right"/>
      </w:pPr>
      <w:r>
        <w:rPr/>
        <w:pict>
          <v:shape style="position:absolute;margin-left:56.325001pt;margin-top:-114.878265pt;width:480.25pt;height:134.35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67"/>
                    <w:gridCol w:w="4115"/>
                  </w:tblGrid>
                  <w:tr>
                    <w:trPr>
                      <w:trHeight w:val="1966" w:hRule="exact"/>
                    </w:trPr>
                    <w:tc>
                      <w:tcPr>
                        <w:tcW w:w="54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5"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宋体" w:hAnsi="宋体" w:cs="宋体" w:eastAsia="宋体" w:hint="default"/>
                            <w:sz w:val="18"/>
                            <w:szCs w:val="18"/>
                          </w:rPr>
                          <w:t>股票期权的行权价格为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16.45 </w:t>
                        </w:r>
                        <w:r>
                          <w:rPr>
                            <w:rFonts w:ascii="宋体" w:hAnsi="宋体" w:cs="宋体" w:eastAsia="宋体" w:hint="default"/>
                            <w:sz w:val="18"/>
                            <w:szCs w:val="18"/>
                          </w:rPr>
                          <w:t>元</w:t>
                        </w:r>
                        <w:r>
                          <w:rPr>
                            <w:rFonts w:ascii="Times New Roman" w:hAnsi="Times New Roman" w:cs="Times New Roman" w:eastAsia="Times New Roman" w:hint="default"/>
                            <w:spacing w:val="-5"/>
                            <w:sz w:val="18"/>
                            <w:szCs w:val="18"/>
                          </w:rPr>
                          <w:t>/</w:t>
                        </w:r>
                        <w:r>
                          <w:rPr>
                            <w:rFonts w:ascii="宋体" w:hAnsi="宋体" w:cs="宋体" w:eastAsia="宋体" w:hint="default"/>
                            <w:sz w:val="18"/>
                            <w:szCs w:val="18"/>
                          </w:rPr>
                          <w:t>股</w:t>
                        </w:r>
                        <w:r>
                          <w:rPr>
                            <w:rFonts w:ascii="宋体" w:hAnsi="宋体" w:cs="宋体" w:eastAsia="宋体" w:hint="default"/>
                            <w:spacing w:val="-90"/>
                            <w:sz w:val="18"/>
                            <w:szCs w:val="18"/>
                          </w:rPr>
                          <w:t>，</w:t>
                        </w:r>
                        <w:r>
                          <w:rPr>
                            <w:rFonts w:ascii="宋体" w:hAnsi="宋体" w:cs="宋体" w:eastAsia="宋体" w:hint="default"/>
                            <w:sz w:val="18"/>
                            <w:szCs w:val="18"/>
                          </w:rPr>
                          <w:t>解锁时间自授予</w:t>
                        </w:r>
                      </w:p>
                      <w:p>
                        <w:pPr>
                          <w:pStyle w:val="TableParagraph"/>
                          <w:spacing w:line="312" w:lineRule="auto" w:before="51"/>
                          <w:ind w:left="14" w:right="28"/>
                          <w:jc w:val="left"/>
                          <w:rPr>
                            <w:rFonts w:ascii="宋体" w:hAnsi="宋体" w:cs="宋体" w:eastAsia="宋体" w:hint="default"/>
                            <w:sz w:val="18"/>
                            <w:szCs w:val="18"/>
                          </w:rPr>
                        </w:pPr>
                        <w:r>
                          <w:rPr>
                            <w:rFonts w:ascii="宋体" w:hAnsi="宋体" w:cs="宋体" w:eastAsia="宋体" w:hint="default"/>
                            <w:sz w:val="18"/>
                            <w:szCs w:val="18"/>
                          </w:rPr>
                          <w:t>部分股票期权或限制性股票登记完成之日起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 后的首个交易日起至授予期权或股份登记完成之日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 </w:t>
                        </w:r>
                        <w:r>
                          <w:rPr>
                            <w:rFonts w:ascii="宋体" w:hAnsi="宋体" w:cs="宋体" w:eastAsia="宋体" w:hint="default"/>
                            <w:sz w:val="18"/>
                            <w:szCs w:val="18"/>
                          </w:rPr>
                          <w:t>个月内的最后一个交易日止。于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日，本集团未解锁的限制性股票</w:t>
                        </w:r>
                        <w:r>
                          <w:rPr>
                            <w:rFonts w:ascii="Times New Roman" w:hAnsi="Times New Roman" w:cs="Times New Roman" w:eastAsia="Times New Roman" w:hint="default"/>
                            <w:sz w:val="18"/>
                            <w:szCs w:val="18"/>
                          </w:rPr>
                          <w:t>/</w:t>
                        </w:r>
                        <w:r>
                          <w:rPr>
                            <w:rFonts w:ascii="宋体" w:hAnsi="宋体" w:cs="宋体" w:eastAsia="宋体" w:hint="default"/>
                            <w:sz w:val="18"/>
                            <w:szCs w:val="18"/>
                          </w:rPr>
                          <w:t>行权的股票期权</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加权平均合同剩余期限为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年。</w:t>
                        </w:r>
                      </w:p>
                    </w:tc>
                  </w:tr>
                  <w:tr>
                    <w:trPr>
                      <w:trHeight w:val="705" w:hRule="exact"/>
                    </w:trPr>
                    <w:tc>
                      <w:tcPr>
                        <w:tcW w:w="54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日，朗新科技未解锁的限制性股</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票</w:t>
                        </w:r>
                        <w:r>
                          <w:rPr>
                            <w:rFonts w:ascii="Times New Roman" w:hAnsi="Times New Roman" w:cs="Times New Roman" w:eastAsia="Times New Roman" w:hint="default"/>
                            <w:sz w:val="18"/>
                            <w:szCs w:val="18"/>
                          </w:rPr>
                          <w:t>/</w:t>
                        </w:r>
                        <w:r>
                          <w:rPr>
                            <w:rFonts w:ascii="宋体" w:hAnsi="宋体" w:cs="宋体" w:eastAsia="宋体" w:hint="default"/>
                            <w:sz w:val="18"/>
                            <w:szCs w:val="18"/>
                          </w:rPr>
                          <w:t>行权的股票期权加权平均合同剩余期限为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bl>
                <w:p>
                  <w:pPr/>
                </w:p>
              </w:txbxContent>
            </v:textbox>
            <w10:wrap type="none"/>
          </v:shape>
        </w:pict>
      </w:r>
      <w:r>
        <w:rPr/>
        <w:t>。</w:t>
      </w:r>
    </w:p>
    <w:p>
      <w:pPr>
        <w:spacing w:line="240" w:lineRule="auto" w:before="6"/>
        <w:rPr>
          <w:rFonts w:ascii="宋体" w:hAnsi="宋体" w:cs="宋体" w:eastAsia="宋体" w:hint="default"/>
          <w:sz w:val="8"/>
          <w:szCs w:val="8"/>
        </w:rPr>
      </w:pPr>
    </w:p>
    <w:p>
      <w:pPr>
        <w:pStyle w:val="BodyText"/>
        <w:spacing w:line="240" w:lineRule="auto" w:before="44"/>
        <w:ind w:right="0"/>
        <w:jc w:val="both"/>
      </w:pPr>
      <w:r>
        <w:rPr/>
        <w:t>其他说明</w:t>
      </w:r>
    </w:p>
    <w:p>
      <w:pPr>
        <w:pStyle w:val="BodyText"/>
        <w:spacing w:line="240" w:lineRule="auto" w:before="124"/>
        <w:ind w:right="0"/>
        <w:jc w:val="both"/>
      </w:pPr>
      <w:r>
        <w:rPr>
          <w:rFonts w:ascii="Times New Roman" w:hAnsi="Times New Roman" w:cs="Times New Roman" w:eastAsia="Times New Roman" w:hint="default"/>
        </w:rPr>
        <w:t>(a)</w:t>
      </w:r>
      <w:r>
        <w:rPr/>
        <w:t>朗新科技限制性股票及股票期权</w:t>
      </w:r>
    </w:p>
    <w:p>
      <w:pPr>
        <w:spacing w:line="240" w:lineRule="auto" w:before="0"/>
        <w:rPr>
          <w:rFonts w:ascii="宋体" w:hAnsi="宋体" w:cs="宋体" w:eastAsia="宋体" w:hint="default"/>
          <w:sz w:val="18"/>
          <w:szCs w:val="18"/>
        </w:rPr>
      </w:pPr>
    </w:p>
    <w:p>
      <w:pPr>
        <w:pStyle w:val="BodyText"/>
        <w:spacing w:line="300" w:lineRule="auto" w:before="145"/>
        <w:ind w:right="0"/>
        <w:jc w:val="left"/>
      </w:pP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日召开的</w:t>
      </w:r>
      <w:r>
        <w:rPr>
          <w:rFonts w:ascii="Times New Roman" w:hAnsi="Times New Roman" w:cs="Times New Roman" w:eastAsia="Times New Roman" w:hint="default"/>
        </w:rPr>
        <w:t>2017</w:t>
      </w:r>
      <w:r>
        <w:rPr/>
        <w:t>年第二次临时股东大会审议并通过了《关于</w:t>
      </w:r>
      <w:r>
        <w:rPr>
          <w:rFonts w:ascii="Times New Roman" w:hAnsi="Times New Roman" w:cs="Times New Roman" w:eastAsia="Times New Roman" w:hint="default"/>
        </w:rPr>
        <w:t>&lt;</w:t>
      </w:r>
      <w:r>
        <w:rPr/>
        <w:t>朗新科技集团股份有限公司</w:t>
      </w:r>
      <w:r>
        <w:rPr>
          <w:rFonts w:ascii="Times New Roman" w:hAnsi="Times New Roman" w:cs="Times New Roman" w:eastAsia="Times New Roman" w:hint="default"/>
        </w:rPr>
        <w:t>2017</w:t>
      </w:r>
      <w:r>
        <w:rPr/>
        <w:t>年度限制</w:t>
      </w:r>
      <w:r>
        <w:rPr>
          <w:spacing w:val="-8"/>
        </w:rPr>
        <w:t> </w:t>
      </w:r>
      <w:r>
        <w:rPr/>
        <w:t>性股票激励计划（草案）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朗新科技集团股份有限公司</w:t>
      </w:r>
      <w:r>
        <w:rPr>
          <w:rFonts w:ascii="Times New Roman" w:hAnsi="Times New Roman" w:cs="Times New Roman" w:eastAsia="Times New Roman" w:hint="default"/>
        </w:rPr>
        <w:t>2017</w:t>
      </w:r>
      <w:r>
        <w:rPr/>
        <w:t>年度限制性股票激励计划实施考核</w:t>
      </w:r>
      <w:r>
        <w:rPr>
          <w:spacing w:val="-21"/>
        </w:rPr>
        <w:t> </w:t>
      </w:r>
      <w:r>
        <w:rPr>
          <w:spacing w:val="-21"/>
        </w:rPr>
      </w:r>
      <w:r>
        <w:rPr/>
        <w:t>管理办法</w:t>
      </w:r>
      <w:r>
        <w:rPr>
          <w:rFonts w:ascii="Times New Roman" w:hAnsi="Times New Roman" w:cs="Times New Roman" w:eastAsia="Times New Roman" w:hint="default"/>
        </w:rPr>
        <w:t>&gt;</w:t>
      </w:r>
      <w:r>
        <w:rPr/>
        <w:t>的议》、《关于提请股东大会授权董事会办理限制性股票激励相关事宜的议案》，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日召开的第二届</w:t>
      </w:r>
      <w:r>
        <w:rPr>
          <w:spacing w:val="-9"/>
        </w:rPr>
        <w:t> </w:t>
      </w:r>
      <w:r>
        <w:rPr>
          <w:spacing w:val="-9"/>
        </w:rPr>
      </w:r>
      <w:r>
        <w:rPr>
          <w:spacing w:val="-2"/>
        </w:rPr>
        <w:t>董事会第七次会议审议并通过了《关于调整</w:t>
      </w:r>
      <w:r>
        <w:rPr>
          <w:rFonts w:ascii="Times New Roman" w:hAnsi="Times New Roman" w:cs="Times New Roman" w:eastAsia="Times New Roman" w:hint="default"/>
          <w:spacing w:val="-2"/>
        </w:rPr>
        <w:t>2017</w:t>
      </w:r>
      <w:r>
        <w:rPr>
          <w:spacing w:val="-2"/>
        </w:rPr>
        <w:t>年度限制性股票激励计划激励对象名单及授予权益数量的议案》、《关于向</w:t>
      </w:r>
      <w:r>
        <w:rPr>
          <w:spacing w:val="-36"/>
        </w:rPr>
        <w:t> </w:t>
      </w:r>
      <w:r>
        <w:rPr>
          <w:spacing w:val="-36"/>
        </w:rPr>
      </w:r>
      <w:r>
        <w:rPr/>
        <w:t>激励对象授予限制性股票的议案》。根据上述</w:t>
      </w:r>
      <w:r>
        <w:rPr>
          <w:rFonts w:ascii="Times New Roman" w:hAnsi="Times New Roman" w:cs="Times New Roman" w:eastAsia="Times New Roman" w:hint="default"/>
        </w:rPr>
        <w:t>2017</w:t>
      </w:r>
      <w:r>
        <w:rPr/>
        <w:t>年度限制性股票激励计划，本公司以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日为授予日，向</w:t>
      </w:r>
      <w:r>
        <w:rPr>
          <w:rFonts w:ascii="Times New Roman" w:hAnsi="Times New Roman" w:cs="Times New Roman" w:eastAsia="Times New Roman" w:hint="default"/>
        </w:rPr>
        <w:t>334</w:t>
      </w:r>
      <w:r>
        <w:rPr/>
        <w:t>名董 </w:t>
      </w:r>
      <w:r>
        <w:rPr>
          <w:spacing w:val="-2"/>
        </w:rPr>
        <w:t>事、高级管理人员、中层管理人员、核心技术及业务人员定向发行了</w:t>
      </w:r>
      <w:r>
        <w:rPr>
          <w:rFonts w:ascii="Times New Roman" w:hAnsi="Times New Roman" w:cs="Times New Roman" w:eastAsia="Times New Roman" w:hint="default"/>
          <w:spacing w:val="-2"/>
        </w:rPr>
        <w:t>11,760,300</w:t>
      </w:r>
      <w:r>
        <w:rPr>
          <w:spacing w:val="-2"/>
        </w:rPr>
        <w:t>股限制性普通股</w:t>
      </w:r>
      <w:r>
        <w:rPr>
          <w:rFonts w:ascii="Times New Roman" w:hAnsi="Times New Roman" w:cs="Times New Roman" w:eastAsia="Times New Roman" w:hint="default"/>
          <w:spacing w:val="-2"/>
        </w:rPr>
        <w:t>A</w:t>
      </w:r>
      <w:r>
        <w:rPr>
          <w:spacing w:val="-2"/>
        </w:rPr>
        <w:t>股，每股面值为人民币</w:t>
      </w:r>
      <w:r>
        <w:rPr>
          <w:rFonts w:ascii="Times New Roman" w:hAnsi="Times New Roman" w:cs="Times New Roman" w:eastAsia="Times New Roman" w:hint="default"/>
          <w:spacing w:val="-2"/>
        </w:rPr>
        <w:t>1</w:t>
      </w:r>
      <w:r>
        <w:rPr>
          <w:spacing w:val="-2"/>
        </w:rPr>
        <w:t>元，</w:t>
      </w:r>
      <w:r>
        <w:rPr>
          <w:spacing w:val="-78"/>
        </w:rPr>
        <w:t> </w:t>
      </w:r>
      <w:r>
        <w:rPr/>
        <w:t>授予价格为每股人民币</w:t>
      </w:r>
      <w:r>
        <w:rPr>
          <w:rFonts w:ascii="Times New Roman" w:hAnsi="Times New Roman" w:cs="Times New Roman" w:eastAsia="Times New Roman" w:hint="default"/>
        </w:rPr>
        <w:t>13.03</w:t>
      </w:r>
      <w:r>
        <w:rPr/>
        <w:t>元。相关限制性股票于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日完成登记。截至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日止，本公司从</w:t>
      </w:r>
      <w:r>
        <w:rPr>
          <w:rFonts w:ascii="Times New Roman" w:hAnsi="Times New Roman" w:cs="Times New Roman" w:eastAsia="Times New Roman" w:hint="default"/>
        </w:rPr>
        <w:t>2</w:t>
      </w:r>
      <w:r>
        <w:rPr/>
        <w:t>名已离职 激励对象处回购了其已获授权但尚未解除限售的全部限制性股票</w:t>
      </w:r>
      <w:r>
        <w:rPr>
          <w:rFonts w:ascii="Times New Roman" w:hAnsi="Times New Roman" w:cs="Times New Roman" w:eastAsia="Times New Roman" w:hint="default"/>
        </w:rPr>
        <w:t>24,000.00</w:t>
      </w:r>
      <w:r>
        <w:rPr/>
        <w:t>股，回购价格为</w:t>
      </w:r>
      <w:r>
        <w:rPr>
          <w:rFonts w:ascii="Times New Roman" w:hAnsi="Times New Roman" w:cs="Times New Roman" w:eastAsia="Times New Roman" w:hint="default"/>
        </w:rPr>
        <w:t>12.979</w:t>
      </w:r>
      <w:r>
        <w:rPr/>
        <w:t>元</w:t>
      </w:r>
      <w:r>
        <w:rPr>
          <w:rFonts w:ascii="Times New Roman" w:hAnsi="Times New Roman" w:cs="Times New Roman" w:eastAsia="Times New Roman" w:hint="default"/>
        </w:rPr>
        <w:t>/</w:t>
      </w:r>
      <w:r>
        <w:rPr/>
        <w:t>股。</w:t>
      </w:r>
    </w:p>
    <w:p>
      <w:pPr>
        <w:spacing w:line="240" w:lineRule="auto" w:before="4"/>
        <w:rPr>
          <w:rFonts w:ascii="宋体" w:hAnsi="宋体" w:cs="宋体" w:eastAsia="宋体" w:hint="default"/>
          <w:sz w:val="25"/>
          <w:szCs w:val="25"/>
        </w:rPr>
      </w:pPr>
    </w:p>
    <w:p>
      <w:pPr>
        <w:pStyle w:val="BodyText"/>
        <w:spacing w:line="300" w:lineRule="auto"/>
        <w:ind w:right="1111"/>
        <w:jc w:val="both"/>
      </w:pP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日召开的</w:t>
      </w:r>
      <w:r>
        <w:rPr>
          <w:rFonts w:ascii="Times New Roman" w:hAnsi="Times New Roman" w:cs="Times New Roman" w:eastAsia="Times New Roman" w:hint="default"/>
        </w:rPr>
        <w:t>2018</w:t>
      </w:r>
      <w:r>
        <w:rPr/>
        <w:t>年第四次临时股东大会审议并通过了《关于</w:t>
      </w:r>
      <w:r>
        <w:rPr>
          <w:rFonts w:ascii="Times New Roman" w:hAnsi="Times New Roman" w:cs="Times New Roman" w:eastAsia="Times New Roman" w:hint="default"/>
        </w:rPr>
        <w:t>&lt;</w:t>
      </w:r>
      <w:r>
        <w:rPr/>
        <w:t>朗新科技集团股份有限公司</w:t>
      </w:r>
      <w:r>
        <w:rPr>
          <w:rFonts w:ascii="Times New Roman" w:hAnsi="Times New Roman" w:cs="Times New Roman" w:eastAsia="Times New Roman" w:hint="default"/>
        </w:rPr>
        <w:t>2018</w:t>
      </w:r>
      <w:r>
        <w:rPr/>
        <w:t>年度限制性</w:t>
      </w:r>
      <w:r>
        <w:rPr>
          <w:spacing w:val="-79"/>
        </w:rPr>
        <w:t> </w:t>
      </w:r>
      <w:r>
        <w:rPr/>
        <w:t>股票与股票期权激励计划（草案）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朗新科技集团股份有限公司</w:t>
      </w:r>
      <w:r>
        <w:rPr>
          <w:rFonts w:ascii="Times New Roman" w:hAnsi="Times New Roman" w:cs="Times New Roman" w:eastAsia="Times New Roman" w:hint="default"/>
        </w:rPr>
        <w:t>2018</w:t>
      </w:r>
      <w:r>
        <w:rPr/>
        <w:t>年度限制性股票与股票期</w:t>
      </w:r>
      <w:r>
        <w:rPr>
          <w:spacing w:val="-22"/>
        </w:rPr>
        <w:t> </w:t>
      </w:r>
      <w:r>
        <w:rPr>
          <w:spacing w:val="-22"/>
        </w:rPr>
      </w:r>
      <w:r>
        <w:rPr/>
        <w:t>权激励计划实施考核管理办法</w:t>
      </w:r>
      <w:r>
        <w:rPr>
          <w:rFonts w:ascii="Times New Roman" w:hAnsi="Times New Roman" w:cs="Times New Roman" w:eastAsia="Times New Roman" w:hint="default"/>
        </w:rPr>
        <w:t>&gt;</w:t>
      </w:r>
      <w:r>
        <w:rPr/>
        <w:t>的议案》及《关于提请股东大会授权董事会办理股权激励相关事宜的议案》。本公司于</w:t>
      </w:r>
      <w:r>
        <w:rPr>
          <w:rFonts w:ascii="Times New Roman" w:hAnsi="Times New Roman" w:cs="Times New Roman" w:eastAsia="Times New Roman" w:hint="default"/>
        </w:rPr>
        <w:t>2018</w:t>
      </w:r>
      <w:r>
        <w:rPr>
          <w:rFonts w:ascii="Times New Roman" w:hAnsi="Times New Roman" w:cs="Times New Roman" w:eastAsia="Times New Roman" w:hint="default"/>
          <w:spacing w:val="-32"/>
        </w:rPr>
        <w:t> </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日与最终激励对象就股份支付的协议条款和条件达成一致，并于当日召开的第五次临时股东大会决议审议通过了</w:t>
      </w:r>
    </w:p>
    <w:p>
      <w:pPr>
        <w:pStyle w:val="BodyText"/>
        <w:spacing w:line="300" w:lineRule="auto" w:before="16"/>
        <w:ind w:right="997"/>
        <w:jc w:val="left"/>
      </w:pPr>
      <w:r>
        <w:rPr>
          <w:spacing w:val="-1"/>
        </w:rPr>
        <w:t>《关于调整</w:t>
      </w:r>
      <w:r>
        <w:rPr>
          <w:rFonts w:ascii="Times New Roman" w:hAnsi="Times New Roman" w:cs="Times New Roman" w:eastAsia="Times New Roman" w:hint="default"/>
          <w:spacing w:val="-1"/>
        </w:rPr>
        <w:t>2018</w:t>
      </w:r>
      <w:r>
        <w:rPr>
          <w:spacing w:val="-1"/>
        </w:rPr>
        <w:t>年度限制性股票与股票期权激励计划激励对象名单的议案》，向</w:t>
      </w:r>
      <w:r>
        <w:rPr>
          <w:rFonts w:ascii="Times New Roman" w:hAnsi="Times New Roman" w:cs="Times New Roman" w:eastAsia="Times New Roman" w:hint="default"/>
          <w:spacing w:val="-1"/>
        </w:rPr>
        <w:t>308</w:t>
      </w:r>
      <w:r>
        <w:rPr>
          <w:spacing w:val="-1"/>
        </w:rPr>
        <w:t>名董事、高级管理人员、中层管理人员、</w:t>
      </w:r>
      <w:r>
        <w:rPr>
          <w:spacing w:val="-86"/>
        </w:rPr>
        <w:t> </w:t>
      </w:r>
      <w:r>
        <w:rPr>
          <w:spacing w:val="-86"/>
        </w:rPr>
      </w:r>
      <w:r>
        <w:rPr/>
        <w:t>核心技术及业务人员定向发行了</w:t>
      </w:r>
      <w:r>
        <w:rPr>
          <w:rFonts w:ascii="Times New Roman" w:hAnsi="Times New Roman" w:cs="Times New Roman" w:eastAsia="Times New Roman" w:hint="default"/>
        </w:rPr>
        <w:t>12,484,000</w:t>
      </w:r>
      <w:r>
        <w:rPr/>
        <w:t>股限制性普通股</w:t>
      </w:r>
      <w:r>
        <w:rPr>
          <w:rFonts w:ascii="Times New Roman" w:hAnsi="Times New Roman" w:cs="Times New Roman" w:eastAsia="Times New Roman" w:hint="default"/>
        </w:rPr>
        <w:t>A</w:t>
      </w:r>
      <w:r>
        <w:rPr/>
        <w:t>股，每股面值为人民币</w:t>
      </w:r>
      <w:r>
        <w:rPr>
          <w:rFonts w:ascii="Times New Roman" w:hAnsi="Times New Roman" w:cs="Times New Roman" w:eastAsia="Times New Roman" w:hint="default"/>
        </w:rPr>
        <w:t>1</w:t>
      </w:r>
      <w:r>
        <w:rPr/>
        <w:t>元，授予价格为每股人民币</w:t>
      </w:r>
      <w:r>
        <w:rPr>
          <w:rFonts w:ascii="Times New Roman" w:hAnsi="Times New Roman" w:cs="Times New Roman" w:eastAsia="Times New Roman" w:hint="default"/>
        </w:rPr>
        <w:t>8.23</w:t>
      </w:r>
      <w:r>
        <w:rPr/>
        <w:t>元；向</w:t>
      </w:r>
      <w:r>
        <w:rPr>
          <w:spacing w:val="-77"/>
        </w:rPr>
        <w:t> </w:t>
      </w:r>
      <w:r>
        <w:rPr>
          <w:rFonts w:ascii="Times New Roman" w:hAnsi="Times New Roman" w:cs="Times New Roman" w:eastAsia="Times New Roman" w:hint="default"/>
          <w:spacing w:val="-2"/>
        </w:rPr>
        <w:t>160</w:t>
      </w:r>
      <w:r>
        <w:rPr>
          <w:spacing w:val="-2"/>
        </w:rPr>
        <w:t>名核心技术及业务人员授予</w:t>
      </w:r>
      <w:r>
        <w:rPr>
          <w:rFonts w:ascii="Times New Roman" w:hAnsi="Times New Roman" w:cs="Times New Roman" w:eastAsia="Times New Roman" w:hint="default"/>
          <w:spacing w:val="-2"/>
        </w:rPr>
        <w:t>3,858,000</w:t>
      </w:r>
      <w:r>
        <w:rPr>
          <w:spacing w:val="-2"/>
        </w:rPr>
        <w:t>份股票期权，可行权价格为</w:t>
      </w:r>
      <w:r>
        <w:rPr>
          <w:rFonts w:ascii="Times New Roman" w:hAnsi="Times New Roman" w:cs="Times New Roman" w:eastAsia="Times New Roman" w:hint="default"/>
          <w:spacing w:val="-2"/>
        </w:rPr>
        <w:t>16.45</w:t>
      </w:r>
      <w:r>
        <w:rPr>
          <w:spacing w:val="-2"/>
        </w:rPr>
        <w:t>元</w:t>
      </w:r>
      <w:r>
        <w:rPr>
          <w:rFonts w:ascii="Times New Roman" w:hAnsi="Times New Roman" w:cs="Times New Roman" w:eastAsia="Times New Roman" w:hint="default"/>
          <w:spacing w:val="-2"/>
        </w:rPr>
        <w:t>/</w:t>
      </w:r>
      <w:r>
        <w:rPr>
          <w:spacing w:val="-2"/>
        </w:rPr>
        <w:t>股，相关限制性股票及股份期权分别于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rFonts w:ascii="Times New Roman" w:hAnsi="Times New Roman" w:cs="Times New Roman" w:eastAsia="Times New Roman" w:hint="default"/>
        </w:rPr>
        <w:t> </w:t>
      </w:r>
      <w:r>
        <w:rPr>
          <w:spacing w:val="-2"/>
        </w:rPr>
        <w:t>月</w:t>
      </w:r>
      <w:r>
        <w:rPr>
          <w:rFonts w:ascii="Times New Roman" w:hAnsi="Times New Roman" w:cs="Times New Roman" w:eastAsia="Times New Roman" w:hint="default"/>
          <w:spacing w:val="-2"/>
        </w:rPr>
        <w:t>23</w:t>
      </w:r>
      <w:r>
        <w:rPr>
          <w:spacing w:val="-2"/>
        </w:rPr>
        <w:t>日及</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日完成登记。其后，本公司于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14</w:t>
      </w:r>
      <w:r>
        <w:rPr>
          <w:spacing w:val="-2"/>
        </w:rPr>
        <w:t>日召开的第二届董事会第二十二次会议和第二届监事会第</w:t>
      </w:r>
      <w:r>
        <w:rPr>
          <w:spacing w:val="-51"/>
        </w:rPr>
        <w:t> </w:t>
      </w:r>
      <w:r>
        <w:rPr/>
        <w:t>十七次会议审议并通过了《关于向激励对象授予预留限制性股票的议案》，以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日作为授予日，向</w:t>
      </w:r>
      <w:r>
        <w:rPr>
          <w:rFonts w:ascii="Times New Roman" w:hAnsi="Times New Roman" w:cs="Times New Roman" w:eastAsia="Times New Roman" w:hint="default"/>
        </w:rPr>
        <w:t>3</w:t>
      </w:r>
      <w:r>
        <w:rPr/>
        <w:t>名激励对象</w:t>
      </w:r>
      <w:r>
        <w:rPr>
          <w:spacing w:val="-82"/>
        </w:rPr>
        <w:t> </w:t>
      </w:r>
      <w:r>
        <w:rPr/>
        <w:t>定向发行</w:t>
      </w:r>
      <w:r>
        <w:rPr>
          <w:rFonts w:ascii="Times New Roman" w:hAnsi="Times New Roman" w:cs="Times New Roman" w:eastAsia="Times New Roman" w:hint="default"/>
        </w:rPr>
        <w:t>2,500,562</w:t>
      </w:r>
      <w:r>
        <w:rPr/>
        <w:t>股限制性人民币普通股</w:t>
      </w:r>
      <w:r>
        <w:rPr>
          <w:rFonts w:ascii="Times New Roman" w:hAnsi="Times New Roman" w:cs="Times New Roman" w:eastAsia="Times New Roman" w:hint="default"/>
        </w:rPr>
        <w:t>A</w:t>
      </w:r>
      <w:r>
        <w:rPr/>
        <w:t>股，每股面值为人民币</w:t>
      </w:r>
      <w:r>
        <w:rPr>
          <w:rFonts w:ascii="Times New Roman" w:hAnsi="Times New Roman" w:cs="Times New Roman" w:eastAsia="Times New Roman" w:hint="default"/>
        </w:rPr>
        <w:t>1</w:t>
      </w:r>
      <w:r>
        <w:rPr/>
        <w:t>元，发行价格为每股人民币</w:t>
      </w:r>
      <w:r>
        <w:rPr>
          <w:rFonts w:ascii="Times New Roman" w:hAnsi="Times New Roman" w:cs="Times New Roman" w:eastAsia="Times New Roman" w:hint="default"/>
        </w:rPr>
        <w:t>8.46</w:t>
      </w:r>
      <w:r>
        <w:rPr/>
        <w:t>元，并于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w:t>
      </w:r>
      <w:r>
        <w:rPr>
          <w:spacing w:val="-78"/>
        </w:rPr>
        <w:t> </w:t>
      </w:r>
      <w:r>
        <w:rPr/>
        <w:t>完成登记。</w:t>
      </w:r>
    </w:p>
    <w:p>
      <w:pPr>
        <w:spacing w:line="240" w:lineRule="auto" w:before="0"/>
        <w:rPr>
          <w:rFonts w:ascii="宋体" w:hAnsi="宋体" w:cs="宋体" w:eastAsia="宋体" w:hint="default"/>
          <w:sz w:val="18"/>
          <w:szCs w:val="18"/>
        </w:rPr>
      </w:pPr>
    </w:p>
    <w:p>
      <w:pPr>
        <w:pStyle w:val="BodyText"/>
        <w:spacing w:line="300" w:lineRule="auto" w:before="129"/>
        <w:ind w:right="1119"/>
        <w:jc w:val="both"/>
      </w:pPr>
      <w:r>
        <w:rPr/>
        <w:t>上述激励对象所获授限制性股票</w:t>
      </w:r>
      <w:r>
        <w:rPr>
          <w:rFonts w:ascii="Times New Roman" w:hAnsi="Times New Roman" w:cs="Times New Roman" w:eastAsia="Times New Roman" w:hint="default"/>
        </w:rPr>
        <w:t>/</w:t>
      </w:r>
      <w:r>
        <w:rPr/>
        <w:t>股份期权的的第一个解锁期</w:t>
      </w:r>
      <w:r>
        <w:rPr>
          <w:rFonts w:ascii="Times New Roman" w:hAnsi="Times New Roman" w:cs="Times New Roman" w:eastAsia="Times New Roman" w:hint="default"/>
        </w:rPr>
        <w:t>/</w:t>
      </w:r>
      <w:r>
        <w:rPr/>
        <w:t>行权期（比例</w:t>
      </w:r>
      <w:r>
        <w:rPr>
          <w:rFonts w:ascii="Times New Roman" w:hAnsi="Times New Roman" w:cs="Times New Roman" w:eastAsia="Times New Roman" w:hint="default"/>
        </w:rPr>
        <w:t>20%</w:t>
      </w:r>
      <w:r>
        <w:rPr/>
        <w:t>）为自授予登记完成之日起</w:t>
      </w:r>
      <w:r>
        <w:rPr>
          <w:rFonts w:ascii="Times New Roman" w:hAnsi="Times New Roman" w:cs="Times New Roman" w:eastAsia="Times New Roman" w:hint="default"/>
        </w:rPr>
        <w:t>12</w:t>
      </w:r>
      <w:r>
        <w:rPr/>
        <w:t>个月后的首个</w:t>
      </w:r>
      <w:r>
        <w:rPr>
          <w:spacing w:val="-62"/>
        </w:rPr>
        <w:t> </w:t>
      </w:r>
      <w:r>
        <w:rPr/>
        <w:t>交易日起至授予登记完成之日起</w:t>
      </w:r>
      <w:r>
        <w:rPr>
          <w:rFonts w:ascii="Times New Roman" w:hAnsi="Times New Roman" w:cs="Times New Roman" w:eastAsia="Times New Roman" w:hint="default"/>
        </w:rPr>
        <w:t>24</w:t>
      </w:r>
      <w:r>
        <w:rPr/>
        <w:t>个月内的最后一个交易日当日止；第二个解锁期</w:t>
      </w:r>
      <w:r>
        <w:rPr>
          <w:rFonts w:ascii="Times New Roman" w:hAnsi="Times New Roman" w:cs="Times New Roman" w:eastAsia="Times New Roman" w:hint="default"/>
        </w:rPr>
        <w:t>/</w:t>
      </w:r>
      <w:r>
        <w:rPr/>
        <w:t>行权期（比例</w:t>
      </w:r>
      <w:r>
        <w:rPr>
          <w:rFonts w:ascii="Times New Roman" w:hAnsi="Times New Roman" w:cs="Times New Roman" w:eastAsia="Times New Roman" w:hint="default"/>
        </w:rPr>
        <w:t>40%</w:t>
      </w:r>
      <w:r>
        <w:rPr/>
        <w:t>）为自授予登记完成</w:t>
      </w:r>
      <w:r>
        <w:rPr>
          <w:spacing w:val="-16"/>
        </w:rPr>
        <w:t> </w:t>
      </w:r>
      <w:r>
        <w:rPr>
          <w:spacing w:val="-16"/>
        </w:rPr>
      </w:r>
      <w:r>
        <w:rPr>
          <w:spacing w:val="3"/>
        </w:rPr>
        <w:t>之日起</w:t>
      </w:r>
      <w:r>
        <w:rPr>
          <w:rFonts w:ascii="Times New Roman" w:hAnsi="Times New Roman" w:cs="Times New Roman" w:eastAsia="Times New Roman" w:hint="default"/>
          <w:spacing w:val="3"/>
        </w:rPr>
        <w:t>24</w:t>
      </w:r>
      <w:r>
        <w:rPr>
          <w:spacing w:val="3"/>
        </w:rPr>
        <w:t>个月后的首个交易日起至授予登记完成之日起</w:t>
      </w:r>
      <w:r>
        <w:rPr>
          <w:rFonts w:ascii="Times New Roman" w:hAnsi="Times New Roman" w:cs="Times New Roman" w:eastAsia="Times New Roman" w:hint="default"/>
          <w:spacing w:val="3"/>
        </w:rPr>
        <w:t>36</w:t>
      </w:r>
      <w:r>
        <w:rPr>
          <w:spacing w:val="3"/>
        </w:rPr>
        <w:t>个月内的最后一个交易日当日止；第三个解锁期</w:t>
      </w:r>
      <w:r>
        <w:rPr>
          <w:rFonts w:ascii="Times New Roman" w:hAnsi="Times New Roman" w:cs="Times New Roman" w:eastAsia="Times New Roman" w:hint="default"/>
          <w:spacing w:val="3"/>
        </w:rPr>
        <w:t>/</w:t>
      </w:r>
      <w:r>
        <w:rPr>
          <w:spacing w:val="3"/>
        </w:rPr>
        <w:t>行权期（比例</w:t>
      </w:r>
      <w:r>
        <w:rPr>
          <w:spacing w:val="-38"/>
        </w:rPr>
        <w:t> </w:t>
      </w:r>
      <w:r>
        <w:rPr>
          <w:spacing w:val="-38"/>
        </w:rPr>
      </w:r>
      <w:r>
        <w:rPr>
          <w:rFonts w:ascii="Times New Roman" w:hAnsi="Times New Roman" w:cs="Times New Roman" w:eastAsia="Times New Roman" w:hint="default"/>
        </w:rPr>
        <w:t>40%</w:t>
      </w:r>
      <w:r>
        <w:rPr/>
        <w:t>）为自授予登记完成之日起</w:t>
      </w:r>
      <w:r>
        <w:rPr>
          <w:rFonts w:ascii="Times New Roman" w:hAnsi="Times New Roman" w:cs="Times New Roman" w:eastAsia="Times New Roman" w:hint="default"/>
        </w:rPr>
        <w:t>36</w:t>
      </w:r>
      <w:r>
        <w:rPr/>
        <w:t>个月后的首个交易日起至授予登记完成之日起</w:t>
      </w:r>
      <w:r>
        <w:rPr>
          <w:rFonts w:ascii="Times New Roman" w:hAnsi="Times New Roman" w:cs="Times New Roman" w:eastAsia="Times New Roman" w:hint="default"/>
        </w:rPr>
        <w:t>48</w:t>
      </w:r>
      <w:r>
        <w:rPr/>
        <w:t>个月内的最后一个交易日当日止。解锁</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行权前需满足激励计划规定的解锁</w:t>
      </w:r>
      <w:r>
        <w:rPr>
          <w:rFonts w:ascii="Times New Roman" w:hAnsi="Times New Roman" w:cs="Times New Roman" w:eastAsia="Times New Roman" w:hint="default"/>
        </w:rPr>
        <w:t>/</w:t>
      </w:r>
      <w:r>
        <w:rPr/>
        <w:t>行权条件。</w:t>
      </w:r>
    </w:p>
    <w:p>
      <w:pPr>
        <w:spacing w:line="240" w:lineRule="auto" w:before="0"/>
        <w:rPr>
          <w:rFonts w:ascii="宋体" w:hAnsi="宋体" w:cs="宋体" w:eastAsia="宋体" w:hint="default"/>
          <w:sz w:val="23"/>
          <w:szCs w:val="23"/>
        </w:rPr>
      </w:pPr>
    </w:p>
    <w:p>
      <w:pPr>
        <w:pStyle w:val="BodyText"/>
        <w:spacing w:line="321" w:lineRule="auto"/>
        <w:ind w:right="1106"/>
        <w:jc w:val="both"/>
      </w:pPr>
      <w:r>
        <w:rPr>
          <w:spacing w:val="-2"/>
        </w:rPr>
        <w:t>对于未达到解锁条件的限制性股票，由公司以授予价格回购并注销，限制性股票激励对象根据该计划获授的限制性股票在解</w:t>
      </w:r>
      <w:r>
        <w:rPr>
          <w:spacing w:val="-72"/>
        </w:rPr>
        <w:t> </w:t>
      </w:r>
      <w:r>
        <w:rPr>
          <w:spacing w:val="-72"/>
        </w:rPr>
      </w:r>
      <w:r>
        <w:rPr>
          <w:spacing w:val="-2"/>
        </w:rPr>
        <w:t>除限售前不得转让、用于担保或偿还债务。对于未达到行权条件的股票期权，不得行权；若符合行权条件，但未在上述行权</w:t>
      </w:r>
      <w:r>
        <w:rPr>
          <w:spacing w:val="-52"/>
        </w:rPr>
        <w:t> </w:t>
      </w:r>
      <w:r>
        <w:rPr>
          <w:spacing w:val="-52"/>
        </w:rPr>
      </w:r>
      <w:r>
        <w:rPr/>
        <w:t>期内行权的股票期权将由公司注销。</w:t>
      </w:r>
    </w:p>
    <w:p>
      <w:pPr>
        <w:spacing w:line="240" w:lineRule="auto" w:before="7"/>
        <w:rPr>
          <w:rFonts w:ascii="宋体" w:hAnsi="宋体" w:cs="宋体" w:eastAsia="宋体" w:hint="default"/>
          <w:sz w:val="25"/>
          <w:szCs w:val="25"/>
        </w:rPr>
      </w:pPr>
    </w:p>
    <w:p>
      <w:pPr>
        <w:pStyle w:val="BodyText"/>
        <w:spacing w:line="240" w:lineRule="auto"/>
        <w:ind w:right="0"/>
        <w:jc w:val="both"/>
      </w:pPr>
      <w:r>
        <w:rPr/>
        <w:t>此外，根据上述激励计划，激励对象为公司董事、高级管理人员的，需遵守包括在任职期间每年转让的股份不得超过其所持</w:t>
      </w:r>
    </w:p>
    <w:p>
      <w:pPr>
        <w:spacing w:after="0" w:line="240" w:lineRule="auto"/>
        <w:jc w:val="both"/>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12" w:lineRule="auto" w:before="44"/>
        <w:ind w:right="1105"/>
        <w:jc w:val="left"/>
      </w:pPr>
      <w:r>
        <w:rPr/>
        <w:t>有本公司股份总数的</w:t>
      </w:r>
      <w:r>
        <w:rPr>
          <w:rFonts w:ascii="Times New Roman" w:hAnsi="Times New Roman" w:cs="Times New Roman" w:eastAsia="Times New Roman" w:hint="default"/>
        </w:rPr>
        <w:t>25%</w:t>
      </w:r>
      <w:r>
        <w:rPr/>
        <w:t>在内的禁售期限规定。 </w:t>
      </w:r>
      <w:r>
        <w:rPr>
          <w:spacing w:val="-2"/>
        </w:rPr>
        <w:t>通过授予限制性股票及股票期权所获取员工服务的公允价值参考所授权益工具的公允价值计量。除本公司董事及高级管理人</w:t>
      </w:r>
      <w:r>
        <w:rPr>
          <w:spacing w:val="-58"/>
        </w:rPr>
        <w:t> </w:t>
      </w:r>
      <w:r>
        <w:rPr>
          <w:spacing w:val="-58"/>
        </w:rPr>
      </w:r>
      <w:r>
        <w:rPr>
          <w:spacing w:val="-1"/>
        </w:rPr>
        <w:t>员之外的其他激励对象所获取限制性股票的公允价值为授予日本公司人民币普通股</w:t>
      </w:r>
      <w:r>
        <w:rPr>
          <w:rFonts w:ascii="Times New Roman" w:hAnsi="Times New Roman" w:cs="Times New Roman" w:eastAsia="Times New Roman" w:hint="default"/>
          <w:spacing w:val="-1"/>
        </w:rPr>
        <w:t>A</w:t>
      </w:r>
      <w:r>
        <w:rPr>
          <w:spacing w:val="-1"/>
        </w:rPr>
        <w:t>股的市场价格，所获取股票期权的公允</w:t>
      </w:r>
    </w:p>
    <w:p>
      <w:pPr>
        <w:pStyle w:val="BodyText"/>
        <w:spacing w:line="288" w:lineRule="auto"/>
        <w:ind w:right="1109"/>
        <w:jc w:val="left"/>
      </w:pPr>
      <w:r>
        <w:rPr>
          <w:spacing w:val="-1"/>
        </w:rPr>
        <w:t>价值于授予日根据</w:t>
      </w:r>
      <w:r>
        <w:rPr>
          <w:rFonts w:ascii="Times New Roman" w:hAnsi="Times New Roman" w:cs="Times New Roman" w:eastAsia="Times New Roman" w:hint="default"/>
          <w:spacing w:val="-1"/>
        </w:rPr>
        <w:t>Black-</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1"/>
        </w:rPr>
        <w:t>Scholes</w:t>
      </w:r>
      <w:r>
        <w:rPr>
          <w:spacing w:val="-1"/>
        </w:rPr>
        <w:t>模型计算得出；就董事及高级管理人员所获限制性股票，考虑其解除限售但不能转让的限制</w:t>
      </w:r>
      <w:r>
        <w:rPr>
          <w:spacing w:val="-87"/>
        </w:rPr>
        <w:t> </w:t>
      </w:r>
      <w:r>
        <w:rPr>
          <w:spacing w:val="-87"/>
        </w:rPr>
      </w:r>
      <w:r>
        <w:rPr/>
        <w:t>对公允价值的影响。</w:t>
      </w:r>
    </w:p>
    <w:p>
      <w:pPr>
        <w:spacing w:line="240" w:lineRule="auto" w:before="0"/>
        <w:rPr>
          <w:rFonts w:ascii="宋体" w:hAnsi="宋体" w:cs="宋体" w:eastAsia="宋体" w:hint="default"/>
          <w:sz w:val="18"/>
          <w:szCs w:val="18"/>
        </w:rPr>
      </w:pPr>
    </w:p>
    <w:p>
      <w:pPr>
        <w:pStyle w:val="BodyText"/>
        <w:spacing w:line="295" w:lineRule="auto" w:before="138"/>
        <w:ind w:right="1126"/>
        <w:jc w:val="both"/>
      </w:pPr>
      <w:r>
        <w:rPr>
          <w:spacing w:val="-1"/>
        </w:rPr>
        <w:t>就未来可达到解锁</w:t>
      </w:r>
      <w:r>
        <w:rPr>
          <w:rFonts w:ascii="Times New Roman" w:hAnsi="Times New Roman" w:cs="Times New Roman" w:eastAsia="Times New Roman" w:hint="default"/>
          <w:spacing w:val="-1"/>
        </w:rPr>
        <w:t>/</w:t>
      </w:r>
      <w:r>
        <w:rPr>
          <w:spacing w:val="-1"/>
        </w:rPr>
        <w:t>行权条件的限制性股票</w:t>
      </w:r>
      <w:r>
        <w:rPr>
          <w:rFonts w:ascii="Times New Roman" w:hAnsi="Times New Roman" w:cs="Times New Roman" w:eastAsia="Times New Roman" w:hint="default"/>
          <w:spacing w:val="-1"/>
        </w:rPr>
        <w:t>/</w:t>
      </w:r>
      <w:r>
        <w:rPr>
          <w:spacing w:val="-1"/>
        </w:rPr>
        <w:t>股票期权数量，管理层基于截至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日止各项解锁</w:t>
      </w:r>
      <w:r>
        <w:rPr>
          <w:rFonts w:ascii="Times New Roman" w:hAnsi="Times New Roman" w:cs="Times New Roman" w:eastAsia="Times New Roman" w:hint="default"/>
          <w:spacing w:val="-1"/>
        </w:rPr>
        <w:t>/</w:t>
      </w:r>
      <w:r>
        <w:rPr>
          <w:spacing w:val="-1"/>
        </w:rPr>
        <w:t>行权条件实际完成情</w:t>
      </w:r>
      <w:r>
        <w:rPr>
          <w:spacing w:val="-85"/>
        </w:rPr>
        <w:t> </w:t>
      </w:r>
      <w:r>
        <w:rPr>
          <w:spacing w:val="-2"/>
        </w:rPr>
        <w:t>况及未来预期进行最佳估计，并将于等待期内的每个资产负债表日重新估计。于</w:t>
      </w:r>
      <w:r>
        <w:rPr>
          <w:rFonts w:ascii="Times New Roman" w:hAnsi="Times New Roman" w:cs="Times New Roman" w:eastAsia="Times New Roman" w:hint="default"/>
          <w:spacing w:val="-2"/>
        </w:rPr>
        <w:t>2019</w:t>
      </w:r>
      <w:r>
        <w:rPr>
          <w:spacing w:val="-2"/>
        </w:rPr>
        <w:t>年度，朗新科技因取得的上述激励对象</w:t>
      </w:r>
      <w:r>
        <w:rPr>
          <w:spacing w:val="-64"/>
        </w:rPr>
        <w:t> </w:t>
      </w:r>
      <w:r>
        <w:rPr>
          <w:spacing w:val="-64"/>
        </w:rPr>
      </w:r>
      <w:r>
        <w:rPr/>
        <w:t>的服务而计入长期股权投资相关成本或费用并相应增加资本公积</w:t>
      </w:r>
      <w:r>
        <w:rPr>
          <w:rFonts w:ascii="Times New Roman" w:hAnsi="Times New Roman" w:cs="Times New Roman" w:eastAsia="Times New Roman" w:hint="default"/>
        </w:rPr>
        <w:t>69,827,869.92</w:t>
      </w:r>
      <w:r>
        <w:rPr/>
        <w:t>元（</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59,427,641.23</w:t>
      </w:r>
      <w:r>
        <w:rPr/>
        <w:t>元）。</w:t>
      </w:r>
    </w:p>
    <w:p>
      <w:pPr>
        <w:spacing w:line="240" w:lineRule="auto" w:before="8"/>
        <w:rPr>
          <w:rFonts w:ascii="宋体" w:hAnsi="宋体" w:cs="宋体" w:eastAsia="宋体" w:hint="default"/>
          <w:sz w:val="25"/>
          <w:szCs w:val="25"/>
        </w:rPr>
      </w:pPr>
    </w:p>
    <w:p>
      <w:pPr>
        <w:pStyle w:val="BodyText"/>
        <w:spacing w:line="240" w:lineRule="auto"/>
        <w:ind w:right="1105"/>
        <w:jc w:val="left"/>
      </w:pPr>
      <w:r>
        <w:rPr>
          <w:rFonts w:ascii="Times New Roman" w:hAnsi="Times New Roman" w:cs="Times New Roman" w:eastAsia="Times New Roman" w:hint="default"/>
        </w:rPr>
        <w:t>(b)</w:t>
      </w:r>
      <w:r>
        <w:rPr/>
        <w:t>易视腾科技股份支付</w:t>
      </w:r>
    </w:p>
    <w:p>
      <w:pPr>
        <w:spacing w:line="240" w:lineRule="auto" w:before="0"/>
        <w:rPr>
          <w:rFonts w:ascii="宋体" w:hAnsi="宋体" w:cs="宋体" w:eastAsia="宋体" w:hint="default"/>
          <w:sz w:val="18"/>
          <w:szCs w:val="18"/>
        </w:rPr>
      </w:pPr>
    </w:p>
    <w:p>
      <w:pPr>
        <w:pStyle w:val="BodyText"/>
        <w:spacing w:line="273" w:lineRule="auto" w:before="146"/>
        <w:ind w:right="1105"/>
        <w:jc w:val="left"/>
      </w:pPr>
      <w:r>
        <w:rPr>
          <w:spacing w:val="-2"/>
        </w:rPr>
        <w:t>易视腾科技自</w:t>
      </w:r>
      <w:r>
        <w:rPr>
          <w:rFonts w:ascii="Times New Roman" w:hAnsi="Times New Roman" w:cs="Times New Roman" w:eastAsia="Times New Roman" w:hint="default"/>
          <w:spacing w:val="-2"/>
        </w:rPr>
        <w:t>2013</w:t>
      </w:r>
      <w:r>
        <w:rPr>
          <w:spacing w:val="-2"/>
        </w:rPr>
        <w:t>年起实施了一系列股权激励计划，约定了自授予日起股权持有者需要提供服务以使股票期权可行权的等待</w:t>
      </w:r>
      <w:r>
        <w:rPr>
          <w:spacing w:val="-53"/>
        </w:rPr>
        <w:t> </w:t>
      </w:r>
      <w:r>
        <w:rPr>
          <w:spacing w:val="-53"/>
        </w:rPr>
      </w:r>
      <w:r>
        <w:rPr>
          <w:spacing w:val="-2"/>
        </w:rPr>
        <w:t>期限。对完成等待期才能行权的，在等待期内的每个资产负债表日，以对可行权权益工具的数量的最佳估计为基础，按照权</w:t>
      </w:r>
    </w:p>
    <w:p>
      <w:pPr>
        <w:pStyle w:val="BodyText"/>
        <w:spacing w:line="302" w:lineRule="auto" w:before="70"/>
        <w:ind w:right="1105"/>
        <w:jc w:val="left"/>
      </w:pPr>
      <w:r>
        <w:rPr>
          <w:spacing w:val="-2"/>
        </w:rPr>
        <w:t>益工具授予日的公允价值，将当期取得的服务计入相关的成本或费用和资本公积。于</w:t>
      </w:r>
      <w:r>
        <w:rPr>
          <w:rFonts w:ascii="Times New Roman" w:hAnsi="Times New Roman" w:cs="Times New Roman" w:eastAsia="Times New Roman" w:hint="default"/>
          <w:spacing w:val="-2"/>
        </w:rPr>
        <w:t>2019</w:t>
      </w:r>
      <w:r>
        <w:rPr>
          <w:spacing w:val="-2"/>
        </w:rPr>
        <w:t>年度，易视腾科技因取得的上述激</w:t>
      </w:r>
      <w:r>
        <w:rPr>
          <w:spacing w:val="-63"/>
        </w:rPr>
        <w:t> </w:t>
      </w:r>
      <w:r>
        <w:rPr>
          <w:spacing w:val="-63"/>
        </w:rPr>
      </w:r>
      <w:r>
        <w:rPr/>
        <w:t>励对象的服务而计入相关成本或费用并相应增加资本公积</w:t>
      </w:r>
      <w:r>
        <w:rPr>
          <w:rFonts w:ascii="Times New Roman" w:hAnsi="Times New Roman" w:cs="Times New Roman" w:eastAsia="Times New Roman" w:hint="default"/>
        </w:rPr>
        <w:t>0.00</w:t>
      </w:r>
      <w:r>
        <w:rPr/>
        <w:t>元（</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675,793.23</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2、以权益结算的股份支付情况" w:id="494"/>
      <w:bookmarkEnd w:id="494"/>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986"/>
        <w:gridCol w:w="4596"/>
      </w:tblGrid>
      <w:tr>
        <w:trPr>
          <w:trHeight w:val="405"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斯科尔期权定价模型</w:t>
            </w:r>
          </w:p>
        </w:tc>
      </w:tr>
      <w:tr>
        <w:trPr>
          <w:trHeight w:val="721"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48"/>
              <w:jc w:val="left"/>
              <w:rPr>
                <w:rFonts w:ascii="宋体" w:hAnsi="宋体" w:cs="宋体" w:eastAsia="宋体" w:hint="default"/>
                <w:sz w:val="18"/>
                <w:szCs w:val="18"/>
              </w:rPr>
            </w:pPr>
            <w:r>
              <w:rPr>
                <w:rFonts w:ascii="宋体" w:hAnsi="宋体" w:cs="宋体" w:eastAsia="宋体" w:hint="default"/>
                <w:sz w:val="18"/>
                <w:szCs w:val="18"/>
              </w:rPr>
              <w:t>根据最新取得的可行权职工数、业绩变动等后续信息进行 估计</w:t>
            </w:r>
          </w:p>
        </w:tc>
      </w:tr>
      <w:tr>
        <w:trPr>
          <w:trHeight w:val="405"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90"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137,220,974.10</w:t>
            </w:r>
          </w:p>
        </w:tc>
      </w:tr>
      <w:tr>
        <w:trPr>
          <w:trHeight w:val="406"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69,827,869.92</w:t>
            </w:r>
          </w:p>
        </w:tc>
      </w:tr>
    </w:tbl>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3、以现金结算的股份支付情况" w:id="495"/>
      <w:bookmarkEnd w:id="495"/>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6"/>
        <w:ind w:right="1105"/>
        <w:jc w:val="left"/>
        <w:rPr>
          <w:b w:val="0"/>
          <w:bCs w:val="0"/>
        </w:rPr>
      </w:pPr>
      <w:bookmarkStart w:name="4、股份支付的修改、终止情况" w:id="496"/>
      <w:bookmarkEnd w:id="496"/>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9"/>
        <w:rPr>
          <w:rFonts w:ascii="宋体" w:hAnsi="宋体" w:cs="宋体" w:eastAsia="宋体" w:hint="default"/>
          <w:b/>
          <w:bCs/>
          <w:sz w:val="23"/>
          <w:szCs w:val="23"/>
        </w:rPr>
      </w:pPr>
    </w:p>
    <w:p>
      <w:pPr>
        <w:spacing w:line="496" w:lineRule="auto" w:before="0"/>
        <w:ind w:left="141" w:right="8339" w:firstLine="0"/>
        <w:jc w:val="left"/>
        <w:rPr>
          <w:rFonts w:ascii="宋体" w:hAnsi="宋体" w:cs="宋体" w:eastAsia="宋体" w:hint="default"/>
          <w:sz w:val="18"/>
          <w:szCs w:val="18"/>
        </w:rPr>
      </w:pPr>
      <w:bookmarkStart w:name="5、其他" w:id="497"/>
      <w:bookmarkEnd w:id="49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四、承诺及或有事项" w:id="498"/>
      <w:bookmarkEnd w:id="498"/>
      <w:r>
        <w:rPr>
          <w:rFonts w:ascii="宋体" w:hAnsi="宋体" w:cs="宋体" w:eastAsia="宋体" w:hint="default"/>
          <w:b/>
          <w:bCs/>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spacing w:val="-116"/>
          <w:sz w:val="24"/>
          <w:szCs w:val="24"/>
        </w:rPr>
        <w:t> </w:t>
      </w:r>
      <w:r>
        <w:rPr>
          <w:rFonts w:ascii="宋体" w:hAnsi="宋体" w:cs="宋体" w:eastAsia="宋体" w:hint="default"/>
          <w:b/>
          <w:bCs/>
          <w:spacing w:val="-116"/>
          <w:sz w:val="24"/>
          <w:szCs w:val="24"/>
        </w:rPr>
      </w:r>
      <w:bookmarkStart w:name="1、重要承诺事项" w:id="499"/>
      <w:bookmarkEnd w:id="499"/>
      <w:r>
        <w:rPr>
          <w:rFonts w:ascii="宋体" w:hAnsi="宋体" w:cs="宋体" w:eastAsia="宋体" w:hint="default"/>
          <w:b/>
          <w:bCs/>
          <w:spacing w:val="-116"/>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spacing w:after="0" w:line="496"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88" w:lineRule="auto" w:before="44"/>
        <w:ind w:right="4269"/>
        <w:jc w:val="left"/>
      </w:pPr>
      <w:r>
        <w:rPr>
          <w:rFonts w:ascii="Times New Roman" w:hAnsi="Times New Roman" w:cs="Times New Roman" w:eastAsia="Times New Roman" w:hint="default"/>
        </w:rPr>
        <w:t>(1)</w:t>
      </w:r>
      <w:r>
        <w:rPr/>
        <w:t>经营租赁承诺事项</w:t>
      </w:r>
      <w:r>
        <w:rPr>
          <w:w w:val="99"/>
        </w:rPr>
        <w:t> </w:t>
      </w:r>
      <w:r>
        <w:rPr/>
        <w:t>根据已签订的不可撤销的经营性租赁合同，本集团未来最低应支付租金汇总如下：</w:t>
      </w:r>
    </w:p>
    <w:p>
      <w:pPr>
        <w:spacing w:line="240" w:lineRule="auto" w:before="5"/>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839"/>
        <w:gridCol w:w="2628"/>
        <w:gridCol w:w="2643"/>
      </w:tblGrid>
      <w:tr>
        <w:trPr>
          <w:trHeight w:val="330" w:hRule="exact"/>
        </w:trPr>
        <w:tc>
          <w:tcPr>
            <w:tcW w:w="2839" w:type="dxa"/>
            <w:tcBorders>
              <w:top w:val="single" w:sz="6" w:space="0" w:color="000000"/>
              <w:left w:val="single" w:sz="6" w:space="0" w:color="000000"/>
              <w:bottom w:val="single" w:sz="6" w:space="0" w:color="000000"/>
              <w:right w:val="single" w:sz="6" w:space="0" w:color="000000"/>
            </w:tcBorders>
          </w:tcPr>
          <w:p>
            <w:pP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45"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42,697,563.38</w:t>
            </w:r>
          </w:p>
        </w:tc>
        <w:tc>
          <w:tcPr>
            <w:tcW w:w="2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27,898,629.30</w:t>
            </w:r>
          </w:p>
        </w:tc>
      </w:tr>
      <w:tr>
        <w:trPr>
          <w:trHeight w:val="345"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18,849,960.72</w:t>
            </w:r>
          </w:p>
        </w:tc>
        <w:tc>
          <w:tcPr>
            <w:tcW w:w="2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19,435,350.53</w:t>
            </w:r>
          </w:p>
        </w:tc>
      </w:tr>
      <w:tr>
        <w:trPr>
          <w:trHeight w:val="346"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二到三年</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5"/>
              <w:jc w:val="right"/>
              <w:rPr>
                <w:rFonts w:ascii="Times New Roman" w:hAnsi="Times New Roman" w:cs="Times New Roman" w:eastAsia="Times New Roman" w:hint="default"/>
                <w:sz w:val="18"/>
                <w:szCs w:val="18"/>
              </w:rPr>
            </w:pPr>
            <w:r>
              <w:rPr>
                <w:rFonts w:ascii="Times New Roman"/>
                <w:sz w:val="18"/>
              </w:rPr>
              <w:t>6,233,391.11</w:t>
            </w:r>
          </w:p>
        </w:tc>
        <w:tc>
          <w:tcPr>
            <w:tcW w:w="2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7,223,188.20</w:t>
            </w:r>
          </w:p>
        </w:tc>
      </w:tr>
      <w:tr>
        <w:trPr>
          <w:trHeight w:val="345"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5"/>
              <w:jc w:val="right"/>
              <w:rPr>
                <w:rFonts w:ascii="Times New Roman" w:hAnsi="Times New Roman" w:cs="Times New Roman" w:eastAsia="Times New Roman" w:hint="default"/>
                <w:sz w:val="18"/>
                <w:szCs w:val="18"/>
              </w:rPr>
            </w:pPr>
            <w:r>
              <w:rPr>
                <w:rFonts w:ascii="Times New Roman"/>
                <w:sz w:val="18"/>
              </w:rPr>
              <w:t>2,411,356.67</w:t>
            </w:r>
          </w:p>
        </w:tc>
        <w:tc>
          <w:tcPr>
            <w:tcW w:w="2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2,986,588.20</w:t>
            </w:r>
          </w:p>
        </w:tc>
      </w:tr>
      <w:tr>
        <w:trPr>
          <w:trHeight w:val="330"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5"/>
              <w:jc w:val="right"/>
              <w:rPr>
                <w:rFonts w:ascii="Times New Roman" w:hAnsi="Times New Roman" w:cs="Times New Roman" w:eastAsia="Times New Roman" w:hint="default"/>
                <w:sz w:val="18"/>
                <w:szCs w:val="18"/>
              </w:rPr>
            </w:pPr>
            <w:r>
              <w:rPr>
                <w:rFonts w:ascii="Times New Roman"/>
                <w:sz w:val="18"/>
              </w:rPr>
              <w:t>70,192,271.87</w:t>
            </w:r>
          </w:p>
        </w:tc>
        <w:tc>
          <w:tcPr>
            <w:tcW w:w="2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57,543,756.23</w:t>
            </w:r>
          </w:p>
        </w:tc>
      </w:tr>
    </w:tbl>
    <w:p>
      <w:pPr>
        <w:spacing w:line="240" w:lineRule="auto" w:before="11"/>
        <w:rPr>
          <w:rFonts w:ascii="宋体" w:hAnsi="宋体" w:cs="宋体" w:eastAsia="宋体" w:hint="default"/>
          <w:sz w:val="21"/>
          <w:szCs w:val="21"/>
        </w:rPr>
      </w:pPr>
    </w:p>
    <w:p>
      <w:pPr>
        <w:pStyle w:val="BodyText"/>
        <w:spacing w:line="240" w:lineRule="auto" w:before="44"/>
        <w:ind w:right="1105"/>
        <w:jc w:val="left"/>
      </w:pPr>
      <w:r>
        <w:rPr>
          <w:rFonts w:ascii="Times New Roman" w:hAnsi="Times New Roman" w:cs="Times New Roman" w:eastAsia="Times New Roman" w:hint="default"/>
        </w:rPr>
        <w:t>(2)</w:t>
      </w:r>
      <w:r>
        <w:rPr/>
        <w:t>对外投资承诺事项</w:t>
      </w:r>
    </w:p>
    <w:p>
      <w:pPr>
        <w:spacing w:line="240" w:lineRule="auto" w:before="12"/>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1877"/>
        <w:gridCol w:w="1787"/>
        <w:gridCol w:w="1502"/>
        <w:gridCol w:w="2027"/>
        <w:gridCol w:w="961"/>
      </w:tblGrid>
      <w:tr>
        <w:trPr>
          <w:trHeight w:val="330" w:hRule="exact"/>
        </w:trPr>
        <w:tc>
          <w:tcPr>
            <w:tcW w:w="1877" w:type="dxa"/>
            <w:vMerge w:val="restart"/>
            <w:tcBorders>
              <w:top w:val="single" w:sz="6" w:space="0" w:color="000000"/>
              <w:left w:val="single" w:sz="6" w:space="0" w:color="000000"/>
              <w:right w:val="single" w:sz="6" w:space="0" w:color="000000"/>
            </w:tcBorders>
          </w:tcPr>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承诺投资</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累计已出资</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尚未支付承诺投资额</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持股比例</w:t>
            </w:r>
          </w:p>
        </w:tc>
      </w:tr>
      <w:tr>
        <w:trPr>
          <w:trHeight w:val="346" w:hRule="exact"/>
        </w:trPr>
        <w:tc>
          <w:tcPr>
            <w:tcW w:w="1877" w:type="dxa"/>
            <w:vMerge/>
            <w:tcBorders>
              <w:left w:val="single" w:sz="6" w:space="0" w:color="000000"/>
              <w:bottom w:val="single" w:sz="6" w:space="0" w:color="000000"/>
              <w:right w:val="single" w:sz="6" w:space="0" w:color="000000"/>
            </w:tcBorders>
          </w:tcPr>
          <w:p>
            <w:pP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25"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75"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30"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5"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武汉高领资源</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40,000,000.00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4,000,000.00</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36,000,000.00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25.00%</w:t>
            </w:r>
          </w:p>
        </w:tc>
      </w:tr>
      <w:tr>
        <w:trPr>
          <w:trHeight w:val="346"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易视星空</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25,000,000.00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10,000,000.00</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15,000,000.00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50.00%</w:t>
            </w:r>
          </w:p>
        </w:tc>
      </w:tr>
      <w:tr>
        <w:trPr>
          <w:trHeight w:val="345"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视加友唱</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20,000,000.00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4,000,000.00</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16,000,000.00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40.00%</w:t>
            </w:r>
          </w:p>
        </w:tc>
      </w:tr>
      <w:tr>
        <w:trPr>
          <w:trHeight w:val="330"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得道体育</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20,000,000.00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4,000,000.00</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16,000,000.00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40.00%</w:t>
            </w:r>
          </w:p>
        </w:tc>
      </w:tr>
      <w:tr>
        <w:trPr>
          <w:trHeight w:val="346"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福建华威新耀</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9,800,000.00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3,430,000.00</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6,370,000.00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49.00%</w:t>
            </w:r>
          </w:p>
        </w:tc>
      </w:tr>
      <w:tr>
        <w:trPr>
          <w:trHeight w:val="345"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工业大数据</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9,500,000.00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2,850,000.00</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6,650,000.00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19.00%</w:t>
            </w:r>
          </w:p>
        </w:tc>
      </w:tr>
      <w:tr>
        <w:trPr>
          <w:trHeight w:val="345"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朗帆科技</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4,000,000.00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1,200,000.00</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2,800,000.00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40.00%</w:t>
            </w:r>
          </w:p>
        </w:tc>
      </w:tr>
      <w:tr>
        <w:trPr>
          <w:trHeight w:val="345"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朗新云贸</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2,000,000.00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800,000.00</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1,200,000.00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40.00%</w:t>
            </w:r>
          </w:p>
        </w:tc>
      </w:tr>
      <w:tr>
        <w:trPr>
          <w:trHeight w:val="330"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130,300,000.00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30,280,000.00</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100,020,000.00</w:t>
            </w:r>
          </w:p>
        </w:tc>
        <w:tc>
          <w:tcPr>
            <w:tcW w:w="96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35" w:lineRule="exact"/>
        <w:ind w:right="1105"/>
        <w:jc w:val="left"/>
      </w:pPr>
      <w:r>
        <w:rPr/>
        <w:t>说明：上述持股比例是直接股东的比例。</w:t>
      </w:r>
    </w:p>
    <w:p>
      <w:pPr>
        <w:spacing w:line="240" w:lineRule="auto" w:before="0"/>
        <w:rPr>
          <w:rFonts w:ascii="宋体" w:hAnsi="宋体" w:cs="宋体" w:eastAsia="宋体" w:hint="default"/>
          <w:sz w:val="18"/>
          <w:szCs w:val="18"/>
        </w:rPr>
      </w:pPr>
    </w:p>
    <w:p>
      <w:pPr>
        <w:pStyle w:val="Heading3"/>
        <w:spacing w:line="240" w:lineRule="auto" w:before="140"/>
        <w:ind w:right="1105"/>
        <w:jc w:val="left"/>
        <w:rPr>
          <w:b w:val="0"/>
          <w:bCs w:val="0"/>
        </w:rPr>
      </w:pPr>
      <w:bookmarkStart w:name="2、或有事项" w:id="500"/>
      <w:bookmarkEnd w:id="50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1）资产负债表日存在的重要或有事项" w:id="501"/>
      <w:bookmarkEnd w:id="501"/>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2）公司没有需要披露的重要或有事项，也应予以说明" w:id="502"/>
      <w:bookmarkEnd w:id="502"/>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5"/>
        <w:jc w:val="left"/>
      </w:pPr>
      <w:r>
        <w:rPr/>
        <w:t>公司不存在需要披露的重要或有事项。</w:t>
      </w:r>
    </w:p>
    <w:p>
      <w:pPr>
        <w:spacing w:line="240" w:lineRule="auto" w:before="0"/>
        <w:rPr>
          <w:rFonts w:ascii="宋体" w:hAnsi="宋体" w:cs="宋体" w:eastAsia="宋体" w:hint="default"/>
          <w:sz w:val="18"/>
          <w:szCs w:val="18"/>
        </w:rPr>
      </w:pPr>
    </w:p>
    <w:p>
      <w:pPr>
        <w:spacing w:line="482" w:lineRule="auto" w:before="139"/>
        <w:ind w:left="141" w:right="7857" w:firstLine="0"/>
        <w:jc w:val="left"/>
        <w:rPr>
          <w:rFonts w:ascii="宋体" w:hAnsi="宋体" w:cs="宋体" w:eastAsia="宋体" w:hint="default"/>
          <w:sz w:val="21"/>
          <w:szCs w:val="21"/>
        </w:rPr>
      </w:pPr>
      <w:bookmarkStart w:name="3、其他" w:id="503"/>
      <w:bookmarkEnd w:id="50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五、资产负债表日后事项" w:id="504"/>
      <w:bookmarkEnd w:id="504"/>
      <w:r>
        <w:rPr>
          <w:rFonts w:ascii="宋体" w:hAnsi="宋体" w:cs="宋体" w:eastAsia="宋体" w:hint="default"/>
          <w:b/>
          <w:bCs/>
          <w:w w:val="99"/>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spacing w:val="-118"/>
          <w:sz w:val="24"/>
          <w:szCs w:val="24"/>
        </w:rPr>
        <w:t> </w:t>
      </w:r>
      <w:r>
        <w:rPr>
          <w:rFonts w:ascii="宋体" w:hAnsi="宋体" w:cs="宋体" w:eastAsia="宋体" w:hint="default"/>
          <w:b/>
          <w:bCs/>
          <w:spacing w:val="-118"/>
          <w:sz w:val="24"/>
          <w:szCs w:val="24"/>
        </w:rPr>
      </w:r>
      <w:bookmarkStart w:name="1、重要的非调整事项" w:id="505"/>
      <w:bookmarkEnd w:id="505"/>
      <w:r>
        <w:rPr>
          <w:rFonts w:ascii="宋体" w:hAnsi="宋体" w:cs="宋体" w:eastAsia="宋体" w:hint="default"/>
          <w:b/>
          <w:bCs/>
          <w:spacing w:val="-118"/>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95"/>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486"/>
        <w:gridCol w:w="2313"/>
        <w:gridCol w:w="2373"/>
        <w:gridCol w:w="2403"/>
      </w:tblGrid>
      <w:tr>
        <w:trPr>
          <w:trHeight w:val="158" w:hRule="exact"/>
        </w:trPr>
        <w:tc>
          <w:tcPr>
            <w:tcW w:w="2486" w:type="dxa"/>
            <w:tcBorders>
              <w:top w:val="single" w:sz="6" w:space="0" w:color="000000"/>
              <w:left w:val="single" w:sz="6" w:space="0" w:color="000000"/>
              <w:bottom w:val="nil" w:sz="6" w:space="0" w:color="auto"/>
              <w:right w:val="single" w:sz="6" w:space="0" w:color="000000"/>
            </w:tcBorders>
            <w:shd w:val="clear" w:color="auto" w:fill="D2D2D2"/>
          </w:tcPr>
          <w:p>
            <w:pPr/>
          </w:p>
        </w:tc>
        <w:tc>
          <w:tcPr>
            <w:tcW w:w="2313" w:type="dxa"/>
            <w:tcBorders>
              <w:top w:val="single" w:sz="6" w:space="0" w:color="000000"/>
              <w:left w:val="single" w:sz="6" w:space="0" w:color="000000"/>
              <w:bottom w:val="nil" w:sz="6" w:space="0" w:color="auto"/>
              <w:right w:val="single" w:sz="6" w:space="0" w:color="000000"/>
            </w:tcBorders>
            <w:shd w:val="clear" w:color="auto" w:fill="D2D2D2"/>
          </w:tcPr>
          <w:p>
            <w:pPr/>
          </w:p>
        </w:tc>
        <w:tc>
          <w:tcPr>
            <w:tcW w:w="2373"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1005" w:right="90"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403"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248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231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内容</w:t>
            </w:r>
          </w:p>
        </w:tc>
        <w:tc>
          <w:tcPr>
            <w:tcW w:w="2373" w:type="dxa"/>
            <w:vMerge/>
            <w:tcBorders>
              <w:left w:val="single" w:sz="6" w:space="0" w:color="000000"/>
              <w:right w:val="single" w:sz="6" w:space="0" w:color="000000"/>
            </w:tcBorders>
            <w:shd w:val="clear" w:color="auto" w:fill="D2D2D2"/>
          </w:tcPr>
          <w:p>
            <w:pPr/>
          </w:p>
        </w:tc>
        <w:tc>
          <w:tcPr>
            <w:tcW w:w="24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58" w:hRule="exact"/>
        </w:trPr>
        <w:tc>
          <w:tcPr>
            <w:tcW w:w="2486" w:type="dxa"/>
            <w:vMerge/>
            <w:tcBorders>
              <w:left w:val="single" w:sz="6" w:space="0" w:color="000000"/>
              <w:bottom w:val="single" w:sz="6" w:space="0" w:color="000000"/>
              <w:right w:val="single" w:sz="6" w:space="0" w:color="000000"/>
            </w:tcBorders>
            <w:shd w:val="clear" w:color="auto" w:fill="D2D2D2"/>
          </w:tcPr>
          <w:p>
            <w:pPr/>
          </w:p>
        </w:tc>
        <w:tc>
          <w:tcPr>
            <w:tcW w:w="2313" w:type="dxa"/>
            <w:tcBorders>
              <w:top w:val="nil" w:sz="6" w:space="0" w:color="auto"/>
              <w:left w:val="single" w:sz="6" w:space="0" w:color="000000"/>
              <w:bottom w:val="single" w:sz="6" w:space="0" w:color="000000"/>
              <w:right w:val="single" w:sz="6" w:space="0" w:color="000000"/>
            </w:tcBorders>
            <w:shd w:val="clear" w:color="auto" w:fill="D2D2D2"/>
          </w:tcPr>
          <w:p>
            <w:pPr/>
          </w:p>
        </w:tc>
        <w:tc>
          <w:tcPr>
            <w:tcW w:w="2373"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24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313" w:type="dxa"/>
            <w:tcBorders>
              <w:top w:val="single" w:sz="6" w:space="0" w:color="000000"/>
              <w:left w:val="single" w:sz="12"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1105"/>
        <w:jc w:val="left"/>
        <w:rPr>
          <w:b w:val="0"/>
          <w:bCs w:val="0"/>
        </w:rPr>
      </w:pPr>
      <w:bookmarkStart w:name="2、利润分配情况" w:id="506"/>
      <w:bookmarkEnd w:id="506"/>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979"/>
        <w:gridCol w:w="4603"/>
      </w:tblGrid>
      <w:tr>
        <w:trPr>
          <w:trHeight w:val="405" w:hRule="exact"/>
        </w:trPr>
        <w:tc>
          <w:tcPr>
            <w:tcW w:w="49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68,046,889.10</w:t>
            </w:r>
          </w:p>
        </w:tc>
      </w:tr>
      <w:tr>
        <w:trPr>
          <w:trHeight w:val="406" w:hRule="exact"/>
        </w:trPr>
        <w:tc>
          <w:tcPr>
            <w:tcW w:w="49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68,046,889.10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both"/>
        <w:rPr>
          <w:b w:val="0"/>
          <w:bCs w:val="0"/>
        </w:rPr>
      </w:pPr>
      <w:bookmarkStart w:name="3、销售退回" w:id="507"/>
      <w:bookmarkEnd w:id="507"/>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both"/>
        <w:rPr>
          <w:b w:val="0"/>
          <w:bCs w:val="0"/>
        </w:rPr>
      </w:pPr>
      <w:bookmarkStart w:name="4、其他资产负债表日后事项说明" w:id="508"/>
      <w:bookmarkEnd w:id="508"/>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(1)</w:t>
      </w:r>
      <w:r>
        <w:rPr/>
        <w:t>新冠状病毒</w:t>
      </w:r>
    </w:p>
    <w:p>
      <w:pPr>
        <w:pStyle w:val="BodyText"/>
        <w:spacing w:line="304" w:lineRule="auto" w:before="66"/>
        <w:ind w:right="1130"/>
        <w:jc w:val="both"/>
      </w:pPr>
      <w:r>
        <w:rPr>
          <w:spacing w:val="-1"/>
        </w:rPr>
        <w:t>在</w:t>
      </w:r>
      <w:r>
        <w:rPr>
          <w:rFonts w:ascii="Times New Roman" w:hAnsi="Times New Roman" w:cs="Times New Roman" w:eastAsia="Times New Roman" w:hint="default"/>
          <w:spacing w:val="-1"/>
        </w:rPr>
        <w:t>2020</w:t>
      </w:r>
      <w:r>
        <w:rPr>
          <w:spacing w:val="-1"/>
        </w:rPr>
        <w:t>年初爆发</w:t>
      </w:r>
      <w:r>
        <w:rPr>
          <w:rFonts w:ascii="Times New Roman" w:hAnsi="Times New Roman" w:cs="Times New Roman" w:eastAsia="Times New Roman" w:hint="default"/>
          <w:spacing w:val="-1"/>
        </w:rPr>
        <w:t>2019</w:t>
      </w:r>
      <w:r>
        <w:rPr>
          <w:spacing w:val="-1"/>
        </w:rPr>
        <w:t>年冠状病毒（</w:t>
      </w:r>
      <w:r>
        <w:rPr>
          <w:rFonts w:ascii="Times New Roman" w:hAnsi="Times New Roman" w:cs="Times New Roman" w:eastAsia="Times New Roman" w:hint="default"/>
          <w:spacing w:val="-1"/>
        </w:rPr>
        <w:t>COVID-19</w:t>
      </w:r>
      <w:r>
        <w:rPr>
          <w:spacing w:val="-1"/>
        </w:rPr>
        <w:t>爆发）之后，国家</w:t>
      </w:r>
      <w:r>
        <w:rPr>
          <w:rFonts w:ascii="Times New Roman" w:hAnsi="Times New Roman" w:cs="Times New Roman" w:eastAsia="Times New Roman" w:hint="default"/>
          <w:spacing w:val="-1"/>
        </w:rPr>
        <w:t>/</w:t>
      </w:r>
      <w:r>
        <w:rPr>
          <w:spacing w:val="-1"/>
        </w:rPr>
        <w:t>地区已经并将继续实施一系列预防和控制措施。本集团将密</w:t>
      </w:r>
      <w:r>
        <w:rPr>
          <w:spacing w:val="-78"/>
        </w:rPr>
        <w:t> </w:t>
      </w:r>
      <w:r>
        <w:rPr>
          <w:spacing w:val="-78"/>
        </w:rPr>
      </w:r>
      <w:r>
        <w:rPr/>
        <w:t>切关注</w:t>
      </w:r>
      <w:r>
        <w:rPr>
          <w:rFonts w:ascii="Times New Roman" w:hAnsi="Times New Roman" w:cs="Times New Roman" w:eastAsia="Times New Roman" w:hint="default"/>
        </w:rPr>
        <w:t>COVID-19</w:t>
      </w:r>
      <w:r>
        <w:rPr/>
        <w:t>疫情的发展，并评估其对本集团财务状况和经营成果的影响。截至本财务报表授权发布之日，本集团并未</w:t>
      </w:r>
      <w:r>
        <w:rPr>
          <w:w w:val="99"/>
        </w:rPr>
        <w:t> </w:t>
      </w:r>
      <w:r>
        <w:rPr/>
        <w:t>发现</w:t>
      </w:r>
      <w:r>
        <w:rPr>
          <w:rFonts w:ascii="Times New Roman" w:hAnsi="Times New Roman" w:cs="Times New Roman" w:eastAsia="Times New Roman" w:hint="default"/>
        </w:rPr>
        <w:t>COVID-19</w:t>
      </w:r>
      <w:r>
        <w:rPr/>
        <w:t>爆发对财务报表造成重大不利影响。</w:t>
      </w:r>
    </w:p>
    <w:p>
      <w:pPr>
        <w:spacing w:line="240" w:lineRule="auto" w:before="0"/>
        <w:rPr>
          <w:rFonts w:ascii="宋体" w:hAnsi="宋体" w:cs="宋体" w:eastAsia="宋体" w:hint="default"/>
          <w:sz w:val="18"/>
          <w:szCs w:val="18"/>
        </w:rPr>
      </w:pPr>
    </w:p>
    <w:p>
      <w:pPr>
        <w:pStyle w:val="BodyText"/>
        <w:spacing w:line="240" w:lineRule="auto" w:before="122"/>
        <w:ind w:right="0"/>
        <w:jc w:val="both"/>
      </w:pPr>
      <w:r>
        <w:rPr>
          <w:rFonts w:ascii="Times New Roman" w:hAnsi="Times New Roman" w:cs="Times New Roman" w:eastAsia="Times New Roman" w:hint="default"/>
        </w:rPr>
        <w:t>(2)</w:t>
      </w:r>
      <w:r>
        <w:rPr/>
        <w:t>公开发行可转债</w:t>
      </w:r>
    </w:p>
    <w:p>
      <w:pPr>
        <w:pStyle w:val="BodyText"/>
        <w:spacing w:line="240" w:lineRule="auto" w:before="111"/>
        <w:ind w:right="0"/>
        <w:jc w:val="both"/>
      </w:pPr>
      <w:r>
        <w:rPr/>
        <w:t>于</w:t>
      </w:r>
      <w:r>
        <w:rPr>
          <w:spacing w:val="-45"/>
        </w:rPr>
        <w:t> </w:t>
      </w:r>
      <w:r>
        <w:rPr>
          <w:rFonts w:ascii="Times New Roman" w:hAnsi="Times New Roman" w:cs="Times New Roman" w:eastAsia="Times New Roman" w:hint="default"/>
        </w:rPr>
        <w:t>2020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21 </w:t>
      </w:r>
      <w:r>
        <w:rPr/>
        <w:t>日，本公司第三届董事会第三次会议审议通过《关于公司公开发行可转换公司债券方案的议案</w:t>
      </w:r>
      <w:r>
        <w:rPr>
          <w:spacing w:val="-90"/>
        </w:rPr>
        <w:t>》</w:t>
      </w:r>
      <w:r>
        <w:rPr/>
        <w:t>，拟募集</w:t>
      </w:r>
    </w:p>
    <w:p>
      <w:pPr>
        <w:pStyle w:val="BodyText"/>
        <w:spacing w:line="288" w:lineRule="auto" w:before="51"/>
        <w:ind w:right="1130"/>
        <w:jc w:val="both"/>
      </w:pPr>
      <w:r>
        <w:rPr/>
        <w:t>的资金总金额不超过人民币</w:t>
      </w:r>
      <w:r>
        <w:rPr>
          <w:spacing w:val="-43"/>
        </w:rPr>
        <w:t> </w:t>
      </w:r>
      <w:r>
        <w:rPr>
          <w:rFonts w:ascii="Times New Roman" w:hAnsi="Times New Roman" w:cs="Times New Roman" w:eastAsia="Times New Roman" w:hint="default"/>
        </w:rPr>
        <w:t>80,000</w:t>
      </w:r>
      <w:r>
        <w:rPr>
          <w:rFonts w:ascii="Times New Roman" w:hAnsi="Times New Roman" w:cs="Times New Roman" w:eastAsia="Times New Roman" w:hint="default"/>
          <w:spacing w:val="1"/>
        </w:rPr>
        <w:t> </w:t>
      </w:r>
      <w:r>
        <w:rPr/>
        <w:t>万元，该议案于</w:t>
      </w:r>
      <w:r>
        <w:rPr>
          <w:spacing w:val="-44"/>
        </w:rPr>
        <w:t> </w:t>
      </w:r>
      <w:r>
        <w:rPr>
          <w:rFonts w:ascii="Times New Roman" w:hAnsi="Times New Roman" w:cs="Times New Roman" w:eastAsia="Times New Roman" w:hint="default"/>
          <w:spacing w:val="3"/>
        </w:rPr>
        <w:t>2020</w:t>
      </w:r>
      <w:r>
        <w:rPr>
          <w:rFonts w:ascii="Times New Roman" w:hAnsi="Times New Roman" w:cs="Times New Roman" w:eastAsia="Times New Roman" w:hint="default"/>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月</w:t>
      </w:r>
      <w:r>
        <w:rPr>
          <w:spacing w:val="-45"/>
        </w:rPr>
        <w:t> </w:t>
      </w:r>
      <w:r>
        <w:rPr>
          <w:rFonts w:ascii="Times New Roman" w:hAnsi="Times New Roman" w:cs="Times New Roman" w:eastAsia="Times New Roman" w:hint="default"/>
        </w:rPr>
        <w:t>9 </w:t>
      </w:r>
      <w:r>
        <w:rPr/>
        <w:t>日获</w:t>
      </w:r>
      <w:r>
        <w:rPr>
          <w:spacing w:val="-45"/>
        </w:rPr>
        <w:t> </w:t>
      </w:r>
      <w:r>
        <w:rPr>
          <w:rFonts w:ascii="Times New Roman" w:hAnsi="Times New Roman" w:cs="Times New Roman" w:eastAsia="Times New Roman" w:hint="default"/>
          <w:spacing w:val="3"/>
        </w:rPr>
        <w:t>2020</w:t>
      </w:r>
      <w:r>
        <w:rPr>
          <w:rFonts w:ascii="Times New Roman" w:hAnsi="Times New Roman" w:cs="Times New Roman" w:eastAsia="Times New Roman" w:hint="default"/>
        </w:rPr>
        <w:t> </w:t>
      </w:r>
      <w:r>
        <w:rPr/>
        <w:t>年第一次临时股东大会审议通过。目前该发债 的申请仍在办理中。</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rPr>
        <w:t>(3)</w:t>
      </w:r>
      <w:r>
        <w:rPr/>
        <w:t>利润分配</w:t>
      </w:r>
    </w:p>
    <w:p>
      <w:pPr>
        <w:pStyle w:val="BodyText"/>
        <w:spacing w:line="297" w:lineRule="auto" w:before="111"/>
        <w:ind w:right="1126"/>
        <w:jc w:val="both"/>
      </w:pPr>
      <w:r>
        <w:rPr/>
        <w:t>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日董事会决议，董事会提议本公司向全体股东派发现金股利每股人民币</w:t>
      </w:r>
      <w:r>
        <w:rPr>
          <w:rFonts w:ascii="Times New Roman" w:hAnsi="Times New Roman" w:cs="Times New Roman" w:eastAsia="Times New Roman" w:hint="default"/>
        </w:rPr>
        <w:t>0.1</w:t>
      </w:r>
      <w:r>
        <w:rPr/>
        <w:t>元，按已发行股份</w:t>
      </w:r>
      <w:r>
        <w:rPr>
          <w:rFonts w:ascii="Times New Roman" w:hAnsi="Times New Roman" w:cs="Times New Roman" w:eastAsia="Times New Roman" w:hint="default"/>
        </w:rPr>
        <w:t>680,468,891</w:t>
      </w:r>
      <w:r>
        <w:rPr/>
        <w:t>计</w:t>
      </w:r>
      <w:r>
        <w:rPr>
          <w:spacing w:val="-41"/>
        </w:rPr>
        <w:t> </w:t>
      </w:r>
      <w:r>
        <w:rPr/>
        <w:t>算，拟派发现金股利共计</w:t>
      </w:r>
      <w:r>
        <w:rPr>
          <w:rFonts w:ascii="Times New Roman" w:hAnsi="Times New Roman" w:cs="Times New Roman" w:eastAsia="Times New Roman" w:hint="default"/>
        </w:rPr>
        <w:t>68,046,889.10</w:t>
      </w:r>
      <w:r>
        <w:rPr/>
        <w:t>元；提议本公司向每</w:t>
      </w:r>
      <w:r>
        <w:rPr>
          <w:rFonts w:ascii="Times New Roman" w:hAnsi="Times New Roman" w:cs="Times New Roman" w:eastAsia="Times New Roman" w:hint="default"/>
        </w:rPr>
        <w:t>10</w:t>
      </w:r>
      <w:r>
        <w:rPr/>
        <w:t>股以资本公积金转增</w:t>
      </w:r>
      <w:r>
        <w:rPr>
          <w:rFonts w:ascii="Times New Roman" w:hAnsi="Times New Roman" w:cs="Times New Roman" w:eastAsia="Times New Roman" w:hint="default"/>
        </w:rPr>
        <w:t>5</w:t>
      </w:r>
      <w:r>
        <w:rPr/>
        <w:t>股，按已发行股份</w:t>
      </w:r>
      <w:r>
        <w:rPr>
          <w:rFonts w:ascii="Times New Roman" w:hAnsi="Times New Roman" w:cs="Times New Roman" w:eastAsia="Times New Roman" w:hint="default"/>
        </w:rPr>
        <w:t>680,468,891</w:t>
      </w:r>
      <w:r>
        <w:rPr/>
        <w:t>计算，拟</w:t>
      </w:r>
      <w:r>
        <w:rPr>
          <w:spacing w:val="-39"/>
        </w:rPr>
        <w:t> </w:t>
      </w:r>
      <w:r>
        <w:rPr/>
        <w:t>转增</w:t>
      </w:r>
      <w:r>
        <w:rPr>
          <w:rFonts w:ascii="Times New Roman" w:hAnsi="Times New Roman" w:cs="Times New Roman" w:eastAsia="Times New Roman" w:hint="default"/>
        </w:rPr>
        <w:t>340,234,446</w:t>
      </w:r>
      <w:r>
        <w:rPr/>
        <w:t>股，本次转增完成后，本公司股本总数将增加至</w:t>
      </w:r>
      <w:r>
        <w:rPr>
          <w:rFonts w:ascii="Times New Roman" w:hAnsi="Times New Roman" w:cs="Times New Roman" w:eastAsia="Times New Roman" w:hint="default"/>
        </w:rPr>
        <w:t>1,020,703,337</w:t>
      </w:r>
      <w:r>
        <w:rPr/>
        <w:t>股。上述提议尚待股东大会批准。</w:t>
      </w:r>
    </w:p>
    <w:p>
      <w:pPr>
        <w:spacing w:line="240" w:lineRule="auto" w:before="2"/>
        <w:rPr>
          <w:rFonts w:ascii="宋体" w:hAnsi="宋体" w:cs="宋体" w:eastAsia="宋体" w:hint="default"/>
          <w:sz w:val="20"/>
          <w:szCs w:val="20"/>
        </w:rPr>
      </w:pPr>
    </w:p>
    <w:p>
      <w:pPr>
        <w:pStyle w:val="Heading2"/>
        <w:spacing w:line="240" w:lineRule="auto"/>
        <w:ind w:right="0"/>
        <w:jc w:val="both"/>
        <w:rPr>
          <w:b w:val="0"/>
          <w:bCs w:val="0"/>
        </w:rPr>
      </w:pPr>
      <w:bookmarkStart w:name="十六、其他重要事项" w:id="509"/>
      <w:bookmarkEnd w:id="509"/>
      <w:r>
        <w:rPr>
          <w:b w:val="0"/>
          <w:bCs w:val="0"/>
        </w:rPr>
      </w:r>
      <w:r>
        <w:rPr/>
        <w:t>十六、其他重要事项</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both"/>
        <w:rPr>
          <w:b w:val="0"/>
          <w:bCs w:val="0"/>
        </w:rPr>
      </w:pPr>
      <w:bookmarkStart w:name="1、前期会计差错更正" w:id="510"/>
      <w:bookmarkEnd w:id="510"/>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both"/>
        <w:rPr>
          <w:b w:val="0"/>
          <w:bCs w:val="0"/>
        </w:rPr>
      </w:pPr>
      <w:bookmarkStart w:name="（1）追溯重述法" w:id="511"/>
      <w:bookmarkEnd w:id="511"/>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493"/>
        <w:gridCol w:w="2298"/>
        <w:gridCol w:w="2403"/>
        <w:gridCol w:w="2388"/>
      </w:tblGrid>
      <w:tr>
        <w:trPr>
          <w:trHeight w:val="7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840" w:right="105"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36"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2）未来适用法" w:id="512"/>
      <w:bookmarkEnd w:id="512"/>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4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75"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b/>
          <w:bCs/>
          <w:sz w:val="26"/>
          <w:szCs w:val="26"/>
        </w:rPr>
      </w:pPr>
    </w:p>
    <w:p>
      <w:pPr>
        <w:pStyle w:val="Heading3"/>
        <w:spacing w:line="240" w:lineRule="auto" w:before="35"/>
        <w:ind w:right="1105"/>
        <w:jc w:val="left"/>
        <w:rPr>
          <w:b w:val="0"/>
          <w:bCs w:val="0"/>
        </w:rPr>
      </w:pPr>
      <w:bookmarkStart w:name="2、债务重组" w:id="513"/>
      <w:bookmarkEnd w:id="513"/>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3、资产置换" w:id="514"/>
      <w:bookmarkEnd w:id="514"/>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1）非货币性资产交换" w:id="515"/>
      <w:bookmarkEnd w:id="515"/>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1"/>
        <w:rPr>
          <w:rFonts w:ascii="宋体" w:hAnsi="宋体" w:cs="宋体" w:eastAsia="宋体" w:hint="default"/>
          <w:b/>
          <w:bCs/>
          <w:sz w:val="24"/>
          <w:szCs w:val="24"/>
        </w:rPr>
      </w:pPr>
    </w:p>
    <w:p>
      <w:pPr>
        <w:pStyle w:val="Heading3"/>
        <w:spacing w:line="508" w:lineRule="auto"/>
        <w:ind w:right="8049"/>
        <w:jc w:val="left"/>
        <w:rPr>
          <w:b w:val="0"/>
          <w:bCs w:val="0"/>
        </w:rPr>
      </w:pPr>
      <w:bookmarkStart w:name="（2）其他资产置换" w:id="516"/>
      <w:bookmarkEnd w:id="516"/>
      <w:r>
        <w:rPr>
          <w:b w:val="0"/>
          <w:bCs w:val="0"/>
        </w:rPr>
      </w:r>
      <w:r>
        <w:rPr>
          <w:w w:val="95"/>
        </w:rPr>
        <w:t>（</w:t>
      </w:r>
      <w:r>
        <w:rPr>
          <w:rFonts w:ascii="Times New Roman" w:hAnsi="Times New Roman" w:cs="Times New Roman" w:eastAsia="Times New Roman" w:hint="default"/>
          <w:w w:val="95"/>
        </w:rPr>
        <w:t>2</w:t>
      </w:r>
      <w:r>
        <w:rPr>
          <w:w w:val="95"/>
        </w:rPr>
        <w:t>）其他资产置换</w:t>
      </w:r>
      <w:r>
        <w:rPr>
          <w:spacing w:val="-18"/>
          <w:w w:val="95"/>
        </w:rPr>
        <w:t> </w:t>
      </w:r>
      <w:bookmarkStart w:name="4、年金计划" w:id="517"/>
      <w:bookmarkEnd w:id="517"/>
      <w:r>
        <w:rPr>
          <w:spacing w:val="-18"/>
          <w:w w:val="95"/>
        </w:rPr>
      </w:r>
      <w:r>
        <w:rPr>
          <w:rFonts w:ascii="Times New Roman" w:hAnsi="Times New Roman" w:cs="Times New Roman" w:eastAsia="Times New Roman" w:hint="default"/>
        </w:rPr>
        <w:t>4</w:t>
      </w:r>
      <w:r>
        <w:rPr/>
        <w:t>、年金计划</w:t>
      </w:r>
      <w:r>
        <w:rPr>
          <w:b w:val="0"/>
          <w:bCs w:val="0"/>
        </w:rPr>
      </w:r>
    </w:p>
    <w:p>
      <w:pPr>
        <w:pStyle w:val="Heading3"/>
        <w:spacing w:line="240" w:lineRule="auto" w:before="49"/>
        <w:ind w:right="1105"/>
        <w:jc w:val="left"/>
        <w:rPr>
          <w:b w:val="0"/>
          <w:bCs w:val="0"/>
        </w:rPr>
      </w:pPr>
      <w:bookmarkStart w:name="5、终止经营" w:id="518"/>
      <w:bookmarkEnd w:id="518"/>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10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9" w:right="59"/>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45"/>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6、分部信息" w:id="519"/>
      <w:bookmarkEnd w:id="519"/>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1105"/>
        <w:jc w:val="left"/>
        <w:rPr>
          <w:b w:val="0"/>
          <w:bCs w:val="0"/>
        </w:rPr>
      </w:pPr>
      <w:bookmarkStart w:name="（1）报告分部的确定依据与会计政策" w:id="520"/>
      <w:bookmarkEnd w:id="520"/>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3"/>
        <w:rPr>
          <w:rFonts w:ascii="宋体" w:hAnsi="宋体" w:cs="宋体" w:eastAsia="宋体" w:hint="default"/>
          <w:b/>
          <w:bCs/>
          <w:sz w:val="25"/>
          <w:szCs w:val="25"/>
        </w:rPr>
      </w:pPr>
    </w:p>
    <w:p>
      <w:pPr>
        <w:pStyle w:val="BodyText"/>
        <w:spacing w:line="326" w:lineRule="auto"/>
        <w:ind w:right="1029"/>
        <w:jc w:val="left"/>
      </w:pPr>
      <w:r>
        <w:rPr>
          <w:spacing w:val="-4"/>
        </w:rPr>
        <w:t>本集团的报告分部是提供不同产品或服务、或在不同地区经营的业务单元。由于各种业务或地区需要不同的技术和市场战略，</w:t>
      </w:r>
      <w:r>
        <w:rPr>
          <w:spacing w:val="-44"/>
        </w:rPr>
        <w:t> </w:t>
      </w:r>
      <w:r>
        <w:rPr>
          <w:spacing w:val="-44"/>
        </w:rPr>
      </w:r>
      <w:r>
        <w:rPr/>
        <w:t>因此，经扩大集团分别独立管理各个报告分部的生产经营活动，分别评价其经营成果，以决定向其配置资源并评价其业绩。 本集团在报告期间主要有</w:t>
      </w:r>
      <w:r>
        <w:rPr>
          <w:rFonts w:ascii="Times New Roman" w:hAnsi="Times New Roman" w:cs="Times New Roman" w:eastAsia="Times New Roman" w:hint="default"/>
        </w:rPr>
        <w:t>3</w:t>
      </w:r>
      <w:r>
        <w:rPr/>
        <w:t>个报告分部，分别为： 智慧能源及创新业务相关分部，负责电力与燃气业务、新能源业务、工业互联网、数字城市新外贸等业务；</w:t>
      </w:r>
    </w:p>
    <w:p>
      <w:pPr>
        <w:pStyle w:val="BodyText"/>
        <w:spacing w:line="360" w:lineRule="auto" w:before="59"/>
        <w:ind w:right="4629"/>
        <w:jc w:val="left"/>
      </w:pPr>
      <w:r>
        <w:rPr/>
        <w:t>智慧家庭相关分部，负责新电视运营与技术服务、互联网电视智能终端业务； 公共服务相关分部，负责互联网生活缴费和互联网运营服务。 分部间转移价格参照向第三方销售所采用的价格确定。</w:t>
      </w:r>
    </w:p>
    <w:p>
      <w:pPr>
        <w:pStyle w:val="BodyText"/>
        <w:spacing w:line="210" w:lineRule="exact"/>
        <w:ind w:right="0"/>
        <w:jc w:val="left"/>
      </w:pPr>
      <w:r>
        <w:rPr/>
        <w:t>资产根据分部的经营以及资产的所在位置进行分配，负债根据分部的经营进行分配，间接归属于各分部的费用按照收入比例</w:t>
      </w:r>
    </w:p>
    <w:p>
      <w:pPr>
        <w:pStyle w:val="BodyText"/>
        <w:spacing w:line="240" w:lineRule="auto" w:before="80"/>
        <w:ind w:right="1105"/>
        <w:jc w:val="left"/>
      </w:pPr>
      <w:r>
        <w:rPr/>
        <w:t>在分部之间进行分配。</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2）报告分部的财务信息" w:id="521"/>
      <w:bookmarkEnd w:id="521"/>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67"/>
        <w:gridCol w:w="1382"/>
        <w:gridCol w:w="1366"/>
        <w:gridCol w:w="1367"/>
        <w:gridCol w:w="1367"/>
      </w:tblGrid>
      <w:tr>
        <w:trPr>
          <w:trHeight w:val="158"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75"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503" w:right="46" w:hanging="451"/>
              <w:jc w:val="left"/>
              <w:rPr>
                <w:rFonts w:ascii="宋体" w:hAnsi="宋体" w:cs="宋体" w:eastAsia="宋体" w:hint="default"/>
                <w:sz w:val="18"/>
                <w:szCs w:val="18"/>
              </w:rPr>
            </w:pPr>
            <w:r>
              <w:rPr>
                <w:rFonts w:ascii="宋体" w:hAnsi="宋体" w:cs="宋体" w:eastAsia="宋体" w:hint="default"/>
                <w:sz w:val="18"/>
                <w:szCs w:val="18"/>
              </w:rPr>
              <w:t>智慧能源及创新 业务</w:t>
            </w:r>
          </w:p>
        </w:tc>
        <w:tc>
          <w:tcPr>
            <w:tcW w:w="1367" w:type="dxa"/>
            <w:tcBorders>
              <w:top w:val="single" w:sz="6" w:space="0" w:color="000000"/>
              <w:left w:val="single" w:sz="6" w:space="0" w:color="000000"/>
              <w:bottom w:val="nil" w:sz="6" w:space="0" w:color="auto"/>
              <w:right w:val="single" w:sz="6" w:space="0" w:color="000000"/>
            </w:tcBorders>
            <w:shd w:val="clear" w:color="auto" w:fill="D2D2D2"/>
          </w:tcPr>
          <w:p>
            <w:pPr/>
          </w:p>
        </w:tc>
        <w:tc>
          <w:tcPr>
            <w:tcW w:w="1382" w:type="dxa"/>
            <w:tcBorders>
              <w:top w:val="single" w:sz="6" w:space="0" w:color="000000"/>
              <w:left w:val="single" w:sz="6" w:space="0" w:color="000000"/>
              <w:bottom w:val="nil" w:sz="6" w:space="0" w:color="auto"/>
              <w:right w:val="single" w:sz="6" w:space="0" w:color="000000"/>
            </w:tcBorders>
            <w:shd w:val="clear" w:color="auto" w:fill="D2D2D2"/>
          </w:tcPr>
          <w:p>
            <w:pPr/>
          </w:p>
        </w:tc>
        <w:tc>
          <w:tcPr>
            <w:tcW w:w="1366" w:type="dxa"/>
            <w:tcBorders>
              <w:top w:val="single" w:sz="6" w:space="0" w:color="000000"/>
              <w:left w:val="single" w:sz="6" w:space="0" w:color="000000"/>
              <w:bottom w:val="nil" w:sz="6" w:space="0" w:color="auto"/>
              <w:right w:val="single" w:sz="6" w:space="0" w:color="000000"/>
            </w:tcBorders>
            <w:shd w:val="clear" w:color="auto" w:fill="D2D2D2"/>
          </w:tcPr>
          <w:p>
            <w:pPr/>
          </w:p>
        </w:tc>
        <w:tc>
          <w:tcPr>
            <w:tcW w:w="1367" w:type="dxa"/>
            <w:tcBorders>
              <w:top w:val="single" w:sz="6" w:space="0" w:color="000000"/>
              <w:left w:val="single" w:sz="6" w:space="0" w:color="000000"/>
              <w:bottom w:val="nil" w:sz="6" w:space="0" w:color="auto"/>
              <w:right w:val="single" w:sz="6" w:space="0" w:color="000000"/>
            </w:tcBorders>
            <w:shd w:val="clear" w:color="auto" w:fill="D2D2D2"/>
          </w:tcPr>
          <w:p>
            <w:pPr/>
          </w:p>
        </w:tc>
        <w:tc>
          <w:tcPr>
            <w:tcW w:w="1367"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405" w:hRule="exact"/>
        </w:trPr>
        <w:tc>
          <w:tcPr>
            <w:tcW w:w="1352" w:type="dxa"/>
            <w:vMerge/>
            <w:tcBorders>
              <w:left w:val="single" w:sz="6" w:space="0" w:color="000000"/>
              <w:right w:val="single" w:sz="6" w:space="0" w:color="000000"/>
            </w:tcBorders>
            <w:shd w:val="clear" w:color="auto" w:fill="D2D2D2"/>
          </w:tcPr>
          <w:p>
            <w:pPr/>
          </w:p>
        </w:tc>
        <w:tc>
          <w:tcPr>
            <w:tcW w:w="1375" w:type="dxa"/>
            <w:vMerge/>
            <w:tcBorders>
              <w:left w:val="single" w:sz="6" w:space="0" w:color="000000"/>
              <w:right w:val="single" w:sz="6" w:space="0" w:color="000000"/>
            </w:tcBorders>
            <w:shd w:val="clear" w:color="auto" w:fill="D2D2D2"/>
          </w:tcPr>
          <w:p>
            <w:pPr/>
          </w:p>
        </w:tc>
        <w:tc>
          <w:tcPr>
            <w:tcW w:w="136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智慧家庭</w:t>
            </w:r>
          </w:p>
        </w:tc>
        <w:tc>
          <w:tcPr>
            <w:tcW w:w="138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公共服务</w:t>
            </w:r>
          </w:p>
        </w:tc>
        <w:tc>
          <w:tcPr>
            <w:tcW w:w="136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6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2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58"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nil" w:sz="6" w:space="0" w:color="auto"/>
              <w:left w:val="single" w:sz="6" w:space="0" w:color="000000"/>
              <w:bottom w:val="single" w:sz="6" w:space="0" w:color="000000"/>
              <w:right w:val="single" w:sz="6" w:space="0" w:color="000000"/>
            </w:tcBorders>
            <w:shd w:val="clear" w:color="auto" w:fill="D2D2D2"/>
          </w:tcPr>
          <w:p>
            <w:pPr/>
          </w:p>
        </w:tc>
        <w:tc>
          <w:tcPr>
            <w:tcW w:w="1382"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6"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对外交易收入</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1,440,714,873.27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1,239,819,902.93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296,279,698.04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5,905,034.68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-14,389,368.50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2,968,330,140.42</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719,272,968.87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839,965,918.78</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92,894,351.95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3,007,485.77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-8,711,251.84</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1,646,429,473.53</w:t>
            </w:r>
          </w:p>
        </w:tc>
      </w:tr>
      <w:tr>
        <w:trPr>
          <w:trHeight w:val="39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14,376,082.35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27,073,307.49</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1,940,766.30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4,092.35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43,394,248.49</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1,548,438.70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-4,293,830.83</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109,317.92</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-2,636,074.21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82"/>
        <w:gridCol w:w="1366"/>
        <w:gridCol w:w="1367"/>
        <w:gridCol w:w="1367"/>
      </w:tblGrid>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对联营和合营企 业的投资收益</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32,386,899.70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-3,194,566.75</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2,215,608.28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31,407,941.23</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-11,779,600.42</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-4,081,751.25</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w w:val="95"/>
                <w:sz w:val="18"/>
              </w:rPr>
              <w:t>-11,546.56</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-15,872,898.23</w:t>
            </w:r>
            <w:r>
              <w:rPr>
                <w:rFonts w:ascii="Times New Roman"/>
                <w:sz w:val="18"/>
              </w:rPr>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-2,388,804.53</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-2,388,804.53</w:t>
            </w:r>
            <w:r>
              <w:rPr>
                <w:rFonts w:ascii="Times New Roman"/>
                <w:sz w:val="18"/>
              </w:rPr>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折旧费和摊销费</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13,519,799.81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12,351,835.65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1,944,951.97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48,246.14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27,864,833.57</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212,626,965.79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275,008,341.37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152,521,821.01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-5,222,290.95</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499,827,150.74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1,134,761,987.96</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14,629,391.39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32,499,918.96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8,057,960.68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-143,055.56</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55,044,215.47</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197,997,574.40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242,508,422.41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144,463,860.33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-5,222,290.95</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499,970,206.30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1,079,717,772.49</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5,849,510,424.07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1,835,269,073.46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642,436,304.67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3,163,983.95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-2,404,709,670.3</w:t>
            </w:r>
            <w:r>
              <w:rPr>
                <w:rFonts w:ascii="Times New Roman"/>
                <w:sz w:val="18"/>
              </w:rPr>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5,925,670,115.77</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812,052,870.69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253,499,301.43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138,090,199.72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5,547,420.37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-24,300,636.83</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1,184,889,155.38</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74"/>
              <w:jc w:val="both"/>
              <w:rPr>
                <w:rFonts w:ascii="宋体" w:hAnsi="宋体" w:cs="宋体" w:eastAsia="宋体" w:hint="default"/>
                <w:sz w:val="18"/>
                <w:szCs w:val="18"/>
              </w:rPr>
            </w:pPr>
            <w:r>
              <w:rPr>
                <w:rFonts w:ascii="宋体" w:hAnsi="宋体" w:cs="宋体" w:eastAsia="宋体" w:hint="default"/>
                <w:sz w:val="18"/>
                <w:szCs w:val="18"/>
              </w:rPr>
              <w:t>折旧费和摊销费 以外的其他非现 金费用</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对联营企业和合 营企业的长期股 权投资</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59,008,065.83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50,842,763.50</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-413,532.62</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109,437,296.71</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3）公司无报告分部的，或者不能披露各报告分部的资产总额和负债总额的，应说明原因" w:id="522"/>
      <w:bookmarkEnd w:id="522"/>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1"/>
        <w:rPr>
          <w:rFonts w:ascii="宋体" w:hAnsi="宋体" w:cs="宋体" w:eastAsia="宋体" w:hint="default"/>
          <w:b/>
          <w:bCs/>
          <w:sz w:val="24"/>
          <w:szCs w:val="24"/>
        </w:rPr>
      </w:pPr>
    </w:p>
    <w:p>
      <w:pPr>
        <w:pStyle w:val="Heading3"/>
        <w:spacing w:line="508" w:lineRule="auto"/>
        <w:ind w:right="6427"/>
        <w:jc w:val="left"/>
        <w:rPr>
          <w:b w:val="0"/>
          <w:bCs w:val="0"/>
        </w:rPr>
      </w:pPr>
      <w:bookmarkStart w:name="（4）其他说明" w:id="523"/>
      <w:bookmarkEnd w:id="523"/>
      <w:r>
        <w:rPr>
          <w:b w:val="0"/>
          <w:bCs w:val="0"/>
        </w:rPr>
      </w:r>
      <w:r>
        <w:rPr/>
        <w:t>（</w:t>
      </w:r>
      <w:r>
        <w:rPr>
          <w:rFonts w:ascii="Times New Roman" w:hAnsi="Times New Roman" w:cs="Times New Roman" w:eastAsia="Times New Roman" w:hint="default"/>
        </w:rPr>
        <w:t>4</w:t>
      </w:r>
      <w:r>
        <w:rPr/>
        <w:t>）其他说明</w:t>
      </w:r>
      <w:r>
        <w:rPr>
          <w:w w:val="99"/>
        </w:rPr>
        <w:t> </w:t>
      </w:r>
      <w:bookmarkStart w:name="7、其他对投资者决策有影响的重要交易和事项" w:id="524"/>
      <w:bookmarkEnd w:id="524"/>
      <w:r>
        <w:rPr>
          <w:w w:val="99"/>
        </w:rPr>
      </w:r>
      <w:r>
        <w:rPr>
          <w:rFonts w:ascii="Times New Roman" w:hAnsi="Times New Roman" w:cs="Times New Roman" w:eastAsia="Times New Roman" w:hint="default"/>
        </w:rPr>
        <w:t>7</w:t>
      </w:r>
      <w:r>
        <w:rPr/>
        <w:t>、其他对投资者决策有影响的重要交易和事项</w:t>
      </w:r>
      <w:r>
        <w:rPr>
          <w:b w:val="0"/>
          <w:bCs w:val="0"/>
        </w:rPr>
      </w:r>
    </w:p>
    <w:p>
      <w:pPr>
        <w:spacing w:line="487" w:lineRule="auto" w:before="64"/>
        <w:ind w:left="141" w:right="6894" w:firstLine="0"/>
        <w:jc w:val="left"/>
        <w:rPr>
          <w:rFonts w:ascii="宋体" w:hAnsi="宋体" w:cs="宋体" w:eastAsia="宋体" w:hint="default"/>
          <w:sz w:val="21"/>
          <w:szCs w:val="21"/>
        </w:rPr>
      </w:pPr>
      <w:bookmarkStart w:name="8、其他" w:id="525"/>
      <w:bookmarkEnd w:id="52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七、母公司财务报表主要项目注释" w:id="526"/>
      <w:bookmarkEnd w:id="526"/>
      <w:r>
        <w:rPr>
          <w:rFonts w:ascii="宋体" w:hAnsi="宋体" w:cs="宋体" w:eastAsia="宋体" w:hint="default"/>
          <w:b/>
          <w:bCs/>
          <w:w w:val="99"/>
          <w:sz w:val="21"/>
          <w:szCs w:val="21"/>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账款" w:id="527"/>
      <w:bookmarkEnd w:id="52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5"/>
        <w:ind w:right="1105"/>
        <w:jc w:val="left"/>
        <w:rPr>
          <w:b w:val="0"/>
          <w:bCs w:val="0"/>
        </w:rPr>
      </w:pPr>
      <w:bookmarkStart w:name="（1）应收账款分类披露" w:id="528"/>
      <w:bookmarkEnd w:id="52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630"/>
        <w:gridCol w:w="766"/>
        <w:gridCol w:w="766"/>
        <w:gridCol w:w="766"/>
        <w:gridCol w:w="758"/>
        <w:gridCol w:w="788"/>
        <w:gridCol w:w="781"/>
        <w:gridCol w:w="796"/>
        <w:gridCol w:w="796"/>
        <w:gridCol w:w="796"/>
        <w:gridCol w:w="931"/>
      </w:tblGrid>
      <w:tr>
        <w:trPr>
          <w:trHeight w:val="406" w:hRule="exact"/>
        </w:trPr>
        <w:tc>
          <w:tcPr>
            <w:tcW w:w="163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6"/>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630"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tcBorders>
              <w:top w:val="single" w:sz="6" w:space="0" w:color="000000"/>
              <w:left w:val="single" w:sz="6" w:space="0" w:color="000000"/>
              <w:bottom w:val="nil" w:sz="6" w:space="0" w:color="auto"/>
              <w:right w:val="single" w:sz="6" w:space="0" w:color="000000"/>
            </w:tcBorders>
            <w:shd w:val="clear" w:color="auto" w:fill="D2D2D2"/>
          </w:tcPr>
          <w:p>
            <w:pPr/>
          </w:p>
        </w:tc>
        <w:tc>
          <w:tcPr>
            <w:tcW w:w="157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7" w:hRule="exact"/>
        </w:trPr>
        <w:tc>
          <w:tcPr>
            <w:tcW w:w="1630"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8"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269" w:right="11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80" w:hRule="exact"/>
        </w:trPr>
        <w:tc>
          <w:tcPr>
            <w:tcW w:w="1630"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tcBorders>
              <w:left w:val="single" w:sz="6" w:space="0" w:color="000000"/>
              <w:right w:val="single" w:sz="6" w:space="0" w:color="000000"/>
            </w:tcBorders>
            <w:shd w:val="clear" w:color="auto" w:fill="D2D2D2"/>
          </w:tcPr>
          <w:p>
            <w:pPr/>
          </w:p>
        </w:tc>
        <w:tc>
          <w:tcPr>
            <w:tcW w:w="788"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right w:val="single" w:sz="6" w:space="0" w:color="000000"/>
            </w:tcBorders>
            <w:shd w:val="clear" w:color="auto" w:fill="D2D2D2"/>
          </w:tcPr>
          <w:p>
            <w:pPr/>
          </w:p>
        </w:tc>
      </w:tr>
      <w:tr>
        <w:trPr>
          <w:trHeight w:val="210" w:hRule="exact"/>
        </w:trPr>
        <w:tc>
          <w:tcPr>
            <w:tcW w:w="1630"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8" w:type="dxa"/>
            <w:vMerge/>
            <w:tcBorders>
              <w:left w:val="single" w:sz="6" w:space="0" w:color="000000"/>
              <w:right w:val="single" w:sz="6" w:space="0" w:color="000000"/>
            </w:tcBorders>
            <w:shd w:val="clear" w:color="auto" w:fill="D2D2D2"/>
          </w:tcPr>
          <w:p>
            <w:pPr/>
          </w:p>
        </w:tc>
        <w:tc>
          <w:tcPr>
            <w:tcW w:w="788" w:type="dxa"/>
            <w:vMerge w:val="restart"/>
            <w:tcBorders>
              <w:top w:val="nil" w:sz="6" w:space="0" w:color="auto"/>
              <w:left w:val="single" w:sz="6" w:space="0" w:color="000000"/>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58" w:hRule="exact"/>
        </w:trPr>
        <w:tc>
          <w:tcPr>
            <w:tcW w:w="1630"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8" w:type="dxa"/>
            <w:vMerge/>
            <w:tcBorders>
              <w:left w:val="single" w:sz="6" w:space="0" w:color="000000"/>
              <w:bottom w:val="single" w:sz="6" w:space="0" w:color="000000"/>
              <w:right w:val="single" w:sz="6" w:space="0" w:color="000000"/>
            </w:tcBorders>
            <w:shd w:val="clear" w:color="auto" w:fill="D2D2D2"/>
          </w:tcPr>
          <w:p>
            <w:pPr/>
          </w:p>
        </w:tc>
        <w:tc>
          <w:tcPr>
            <w:tcW w:w="788"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5" w:hRule="exact"/>
        </w:trPr>
        <w:tc>
          <w:tcPr>
            <w:tcW w:w="1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65"/>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1,227,46</w:t>
            </w:r>
          </w:p>
          <w:p>
            <w:pPr>
              <w:pStyle w:val="TableParagraph"/>
              <w:spacing w:line="240" w:lineRule="auto" w:before="93"/>
              <w:ind w:left="82" w:right="0"/>
              <w:jc w:val="left"/>
              <w:rPr>
                <w:rFonts w:ascii="Times New Roman" w:hAnsi="Times New Roman" w:cs="Times New Roman" w:eastAsia="Times New Roman" w:hint="default"/>
                <w:sz w:val="18"/>
                <w:szCs w:val="18"/>
              </w:rPr>
            </w:pPr>
            <w:r>
              <w:rPr>
                <w:rFonts w:ascii="Times New Roman"/>
                <w:sz w:val="18"/>
              </w:rPr>
              <w:t>8,248.88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100.00%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45,653,0</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26.53</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3.72%</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 w:right="0"/>
              <w:jc w:val="center"/>
              <w:rPr>
                <w:rFonts w:ascii="Times New Roman" w:hAnsi="Times New Roman" w:cs="Times New Roman" w:eastAsia="Times New Roman" w:hint="default"/>
                <w:sz w:val="18"/>
                <w:szCs w:val="18"/>
              </w:rPr>
            </w:pPr>
            <w:r>
              <w:rPr>
                <w:rFonts w:ascii="Times New Roman"/>
                <w:sz w:val="18"/>
              </w:rPr>
              <w:t>1,181,815</w:t>
            </w:r>
          </w:p>
          <w:p>
            <w:pPr>
              <w:pStyle w:val="TableParagraph"/>
              <w:spacing w:line="240" w:lineRule="auto" w:before="93"/>
              <w:ind w:left="202" w:right="0"/>
              <w:jc w:val="center"/>
              <w:rPr>
                <w:rFonts w:ascii="Times New Roman" w:hAnsi="Times New Roman" w:cs="Times New Roman" w:eastAsia="Times New Roman" w:hint="default"/>
                <w:sz w:val="18"/>
                <w:szCs w:val="18"/>
              </w:rPr>
            </w:pPr>
            <w:r>
              <w:rPr>
                <w:rFonts w:ascii="Times New Roman"/>
                <w:sz w:val="18"/>
              </w:rPr>
              <w:t>,222.35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869,816,8</w:t>
            </w:r>
          </w:p>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39.88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36,996,71</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9.93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4.25%</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832,820,11</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9.95</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796"/>
        <w:gridCol w:w="796"/>
        <w:gridCol w:w="931"/>
      </w:tblGrid>
      <w:tr>
        <w:trPr>
          <w:trHeight w:val="4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6"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软件服务用户组合</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1,227,46</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8,248.88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left"/>
              <w:rPr>
                <w:rFonts w:ascii="Times New Roman" w:hAnsi="Times New Roman" w:cs="Times New Roman" w:eastAsia="Times New Roman" w:hint="default"/>
                <w:sz w:val="18"/>
                <w:szCs w:val="18"/>
              </w:rPr>
            </w:pPr>
            <w:r>
              <w:rPr>
                <w:rFonts w:ascii="Times New Roman"/>
                <w:sz w:val="18"/>
              </w:rPr>
              <w:t>45,653,0</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26.53</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3.72%</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center"/>
              <w:rPr>
                <w:rFonts w:ascii="Times New Roman" w:hAnsi="Times New Roman" w:cs="Times New Roman" w:eastAsia="Times New Roman" w:hint="default"/>
                <w:sz w:val="18"/>
                <w:szCs w:val="18"/>
              </w:rPr>
            </w:pPr>
            <w:r>
              <w:rPr>
                <w:rFonts w:ascii="Times New Roman"/>
                <w:sz w:val="18"/>
              </w:rPr>
              <w:t>1,181,815</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,222.35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869,816,8</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39.88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36,996,71</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9.93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4.25%</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832,820,11</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9.95</w:t>
            </w:r>
          </w:p>
        </w:tc>
      </w:tr>
      <w:tr>
        <w:trPr>
          <w:trHeight w:val="721"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1,227,46</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8,248.88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45,653,0</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26.53</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3.72%</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1,181,815</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,222.35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869,816,8</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39.88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36,996,71</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9.93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4.25%</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832,820,11</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9.95</w:t>
            </w:r>
          </w:p>
        </w:tc>
      </w:tr>
    </w:tbl>
    <w:p>
      <w:pPr>
        <w:pStyle w:val="BodyText"/>
        <w:spacing w:line="240" w:lineRule="auto" w:before="44"/>
        <w:ind w:right="1105"/>
        <w:jc w:val="left"/>
      </w:pPr>
      <w:r>
        <w:rPr/>
        <w:t>按单项计提坏账准备：</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6"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9"/>
        <w:ind w:right="1105"/>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13,339,111.15</w:t>
      </w:r>
    </w:p>
    <w:p>
      <w:pPr>
        <w:pStyle w:val="BodyText"/>
        <w:spacing w:line="240" w:lineRule="auto" w:before="8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软件服务用户组合</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1,227,468,248.88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45,653,026.53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3.72%</w:t>
            </w:r>
            <w:r>
              <w:rPr>
                <w:rFonts w:ascii="Times New Roman"/>
                <w:sz w:val="18"/>
              </w:rPr>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1,227,468,248.88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45,653,026.53</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352" w:lineRule="auto" w:before="44"/>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2122" w:space="6724"/>
            <w:col w:w="206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7"/>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8"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2" w:lineRule="auto" w:before="44"/>
        <w:ind w:right="1749"/>
        <w:jc w:val="left"/>
      </w:pPr>
      <w:r>
        <w:rPr/>
        <w:t>确定该组合依据的说明： 如是按照预期信用损失一般模型计提应收账款坏账准备，请参照其他应收款的披露方式披露坏账准备的相关信息：</w:t>
      </w:r>
    </w:p>
    <w:p>
      <w:pPr>
        <w:pStyle w:val="BodyText"/>
        <w:spacing w:line="240" w:lineRule="auto" w:before="55"/>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10"/>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907"/>
        <w:gridCol w:w="1277"/>
        <w:gridCol w:w="811"/>
        <w:gridCol w:w="1111"/>
        <w:gridCol w:w="1232"/>
      </w:tblGrid>
      <w:tr>
        <w:trPr>
          <w:trHeight w:val="361" w:hRule="exact"/>
        </w:trPr>
        <w:tc>
          <w:tcPr>
            <w:tcW w:w="19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
              <w:ind w:left="57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
              <w:ind w:left="27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81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
              <w:ind w:left="13"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111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
              <w:ind w:left="195"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23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583" w:hRule="exact"/>
        </w:trPr>
        <w:tc>
          <w:tcPr>
            <w:tcW w:w="1907" w:type="dxa"/>
            <w:tcBorders>
              <w:top w:val="single" w:sz="6" w:space="0" w:color="000000"/>
              <w:left w:val="single" w:sz="6" w:space="0" w:color="000000"/>
              <w:bottom w:val="single" w:sz="6" w:space="0" w:color="000000"/>
              <w:right w:val="single" w:sz="6" w:space="0" w:color="000000"/>
            </w:tcBorders>
            <w:shd w:val="clear" w:color="auto" w:fill="C0C0C0"/>
          </w:tcPr>
          <w:p>
            <w:pPr/>
          </w:p>
        </w:tc>
        <w:tc>
          <w:tcPr>
            <w:tcW w:w="127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90" w:lineRule="auto" w:before="7"/>
              <w:ind w:left="270" w:right="0" w:hanging="270"/>
              <w:jc w:val="left"/>
              <w:rPr>
                <w:rFonts w:ascii="宋体" w:hAnsi="宋体" w:cs="宋体" w:eastAsia="宋体" w:hint="default"/>
                <w:sz w:val="18"/>
                <w:szCs w:val="18"/>
              </w:rPr>
            </w:pPr>
            <w:r>
              <w:rPr>
                <w:rFonts w:ascii="宋体" w:hAnsi="宋体" w:cs="宋体" w:eastAsia="宋体" w:hint="default"/>
                <w:sz w:val="18"/>
                <w:szCs w:val="18"/>
              </w:rPr>
              <w:t>未来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个月预期 信用损失</w:t>
            </w:r>
          </w:p>
        </w:tc>
        <w:tc>
          <w:tcPr>
            <w:tcW w:w="81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321" w:lineRule="auto"/>
              <w:ind w:left="14" w:right="0" w:hanging="1"/>
              <w:jc w:val="center"/>
              <w:rPr>
                <w:rFonts w:ascii="宋体" w:hAnsi="宋体" w:cs="宋体" w:eastAsia="宋体" w:hint="default"/>
                <w:sz w:val="18"/>
                <w:szCs w:val="18"/>
              </w:rPr>
            </w:pPr>
            <w:r>
              <w:rPr>
                <w:rFonts w:ascii="宋体" w:hAnsi="宋体" w:cs="宋体" w:eastAsia="宋体" w:hint="default"/>
                <w:sz w:val="18"/>
                <w:szCs w:val="18"/>
              </w:rPr>
              <w:t>整个存续 期预期信</w:t>
            </w:r>
          </w:p>
          <w:p>
            <w:pPr>
              <w:pStyle w:val="TableParagraph"/>
              <w:spacing w:line="304" w:lineRule="auto" w:before="33"/>
              <w:ind w:left="1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用损失</w:t>
            </w:r>
            <w:r>
              <w:rPr>
                <w:rFonts w:ascii="Times New Roman" w:hAnsi="Times New Roman" w:cs="Times New Roman" w:eastAsia="Times New Roman" w:hint="default"/>
                <w:sz w:val="18"/>
                <w:szCs w:val="18"/>
              </w:rPr>
              <w:t>(</w:t>
            </w:r>
            <w:r>
              <w:rPr>
                <w:rFonts w:ascii="宋体" w:hAnsi="宋体" w:cs="宋体" w:eastAsia="宋体" w:hint="default"/>
                <w:sz w:val="18"/>
                <w:szCs w:val="18"/>
              </w:rPr>
              <w:t>未 发生信用 减值</w:t>
            </w:r>
            <w:r>
              <w:rPr>
                <w:rFonts w:ascii="Times New Roman" w:hAnsi="Times New Roman" w:cs="Times New Roman" w:eastAsia="Times New Roman" w:hint="default"/>
                <w:sz w:val="18"/>
                <w:szCs w:val="18"/>
              </w:rPr>
              <w:t>)</w:t>
            </w:r>
          </w:p>
        </w:tc>
        <w:tc>
          <w:tcPr>
            <w:tcW w:w="2343"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304" w:lineRule="auto" w:before="7"/>
              <w:ind w:left="600" w:right="43" w:hanging="541"/>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整个存续期预期信用损失</w:t>
            </w:r>
            <w:r>
              <w:rPr>
                <w:rFonts w:ascii="Times New Roman" w:hAnsi="Times New Roman" w:cs="Times New Roman" w:eastAsia="Times New Roman" w:hint="default"/>
                <w:sz w:val="18"/>
                <w:szCs w:val="18"/>
              </w:rPr>
              <w:t>(</w:t>
            </w:r>
            <w:r>
              <w:rPr>
                <w:rFonts w:ascii="宋体" w:hAnsi="宋体" w:cs="宋体" w:eastAsia="宋体" w:hint="default"/>
                <w:sz w:val="18"/>
                <w:szCs w:val="18"/>
              </w:rPr>
              <w:t>已 发生信用减值</w:t>
            </w:r>
            <w:r>
              <w:rPr>
                <w:rFonts w:ascii="Times New Roman" w:hAnsi="Times New Roman" w:cs="Times New Roman" w:eastAsia="Times New Roman" w:hint="default"/>
                <w:sz w:val="18"/>
                <w:szCs w:val="18"/>
              </w:rPr>
              <w:t>)</w:t>
            </w:r>
          </w:p>
        </w:tc>
      </w:tr>
      <w:tr>
        <w:trPr>
          <w:trHeight w:val="353" w:hRule="exact"/>
        </w:trPr>
        <w:tc>
          <w:tcPr>
            <w:tcW w:w="19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3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日余额</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36,996,719.93</w:t>
            </w:r>
          </w:p>
        </w:tc>
        <w:tc>
          <w:tcPr>
            <w:tcW w:w="811"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36,996,719.93</w:t>
            </w:r>
          </w:p>
        </w:tc>
      </w:tr>
      <w:tr>
        <w:trPr>
          <w:trHeight w:val="653" w:hRule="exact"/>
        </w:trPr>
        <w:tc>
          <w:tcPr>
            <w:tcW w:w="19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76" w:lineRule="auto" w:before="22"/>
              <w:ind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日余额在本 期</w:t>
            </w:r>
          </w:p>
        </w:tc>
        <w:tc>
          <w:tcPr>
            <w:tcW w:w="127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81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4"/>
              <w:ind w:left="1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1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4"/>
              <w:ind w:left="37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23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5" w:hRule="exact"/>
        </w:trPr>
        <w:tc>
          <w:tcPr>
            <w:tcW w:w="19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3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277"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19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277"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19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3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转回第二阶段</w:t>
            </w:r>
          </w:p>
        </w:tc>
        <w:tc>
          <w:tcPr>
            <w:tcW w:w="1277"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9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3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转回第一阶段</w:t>
            </w:r>
          </w:p>
        </w:tc>
        <w:tc>
          <w:tcPr>
            <w:tcW w:w="1277"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9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
              <w:jc w:val="right"/>
              <w:rPr>
                <w:rFonts w:ascii="Times New Roman" w:hAnsi="Times New Roman" w:cs="Times New Roman" w:eastAsia="Times New Roman" w:hint="default"/>
                <w:sz w:val="18"/>
                <w:szCs w:val="18"/>
              </w:rPr>
            </w:pPr>
            <w:r>
              <w:rPr>
                <w:rFonts w:ascii="Times New Roman"/>
                <w:sz w:val="18"/>
              </w:rPr>
              <w:t>8,616,306.60</w:t>
            </w:r>
          </w:p>
        </w:tc>
        <w:tc>
          <w:tcPr>
            <w:tcW w:w="811"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0" w:right="0"/>
              <w:jc w:val="left"/>
              <w:rPr>
                <w:rFonts w:ascii="Times New Roman" w:hAnsi="Times New Roman" w:cs="Times New Roman" w:eastAsia="Times New Roman" w:hint="default"/>
                <w:sz w:val="18"/>
                <w:szCs w:val="18"/>
              </w:rPr>
            </w:pPr>
            <w:r>
              <w:rPr>
                <w:rFonts w:ascii="Times New Roman"/>
                <w:sz w:val="18"/>
              </w:rPr>
              <w:t>4,722,804.55</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13,339,111.15</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07"/>
        <w:gridCol w:w="1277"/>
        <w:gridCol w:w="811"/>
        <w:gridCol w:w="1111"/>
        <w:gridCol w:w="1232"/>
      </w:tblGrid>
      <w:tr>
        <w:trPr>
          <w:trHeight w:val="345" w:hRule="exact"/>
        </w:trPr>
        <w:tc>
          <w:tcPr>
            <w:tcW w:w="19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277"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19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277"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9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277"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0" w:right="0"/>
              <w:jc w:val="left"/>
              <w:rPr>
                <w:rFonts w:ascii="Times New Roman" w:hAnsi="Times New Roman" w:cs="Times New Roman" w:eastAsia="Times New Roman" w:hint="default"/>
                <w:sz w:val="18"/>
                <w:szCs w:val="18"/>
              </w:rPr>
            </w:pPr>
            <w:r>
              <w:rPr>
                <w:rFonts w:ascii="Times New Roman"/>
                <w:sz w:val="18"/>
              </w:rPr>
              <w:t>4,722,804.55</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
              <w:jc w:val="right"/>
              <w:rPr>
                <w:rFonts w:ascii="Times New Roman" w:hAnsi="Times New Roman" w:cs="Times New Roman" w:eastAsia="Times New Roman" w:hint="default"/>
                <w:sz w:val="18"/>
                <w:szCs w:val="18"/>
              </w:rPr>
            </w:pPr>
            <w:r>
              <w:rPr>
                <w:rFonts w:ascii="Times New Roman"/>
                <w:sz w:val="18"/>
              </w:rPr>
              <w:t>4,722,804.55</w:t>
            </w:r>
          </w:p>
        </w:tc>
      </w:tr>
      <w:tr>
        <w:trPr>
          <w:trHeight w:val="661" w:hRule="exact"/>
        </w:trPr>
        <w:tc>
          <w:tcPr>
            <w:tcW w:w="19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0"/>
              <w:jc w:val="right"/>
              <w:rPr>
                <w:rFonts w:ascii="Times New Roman" w:hAnsi="Times New Roman" w:cs="Times New Roman" w:eastAsia="Times New Roman" w:hint="default"/>
                <w:sz w:val="18"/>
                <w:szCs w:val="18"/>
              </w:rPr>
            </w:pPr>
            <w:r>
              <w:rPr>
                <w:rFonts w:ascii="Times New Roman"/>
                <w:sz w:val="18"/>
              </w:rPr>
              <w:t>40,000.00</w:t>
            </w:r>
          </w:p>
        </w:tc>
        <w:tc>
          <w:tcPr>
            <w:tcW w:w="811"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
              <w:jc w:val="right"/>
              <w:rPr>
                <w:rFonts w:ascii="Times New Roman" w:hAnsi="Times New Roman" w:cs="Times New Roman" w:eastAsia="Times New Roman" w:hint="default"/>
                <w:sz w:val="18"/>
                <w:szCs w:val="18"/>
              </w:rPr>
            </w:pPr>
            <w:r>
              <w:rPr>
                <w:rFonts w:ascii="Times New Roman"/>
                <w:sz w:val="18"/>
              </w:rPr>
              <w:t>40,000.00</w:t>
            </w:r>
          </w:p>
        </w:tc>
      </w:tr>
      <w:tr>
        <w:trPr>
          <w:trHeight w:val="345" w:hRule="exact"/>
        </w:trPr>
        <w:tc>
          <w:tcPr>
            <w:tcW w:w="190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3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日余额</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45,653,026.53</w:t>
            </w:r>
          </w:p>
        </w:tc>
        <w:tc>
          <w:tcPr>
            <w:tcW w:w="811"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45,653,026.53</w:t>
            </w:r>
          </w:p>
        </w:tc>
      </w:tr>
    </w:tbl>
    <w:p>
      <w:pPr>
        <w:spacing w:line="240" w:lineRule="auto" w:before="2"/>
        <w:rPr>
          <w:rFonts w:ascii="宋体" w:hAnsi="宋体" w:cs="宋体" w:eastAsia="宋体" w:hint="default"/>
          <w:sz w:val="24"/>
          <w:szCs w:val="24"/>
        </w:rPr>
      </w:pPr>
    </w:p>
    <w:p>
      <w:pPr>
        <w:pStyle w:val="BodyText"/>
        <w:spacing w:line="240" w:lineRule="auto" w:before="44"/>
        <w:ind w:right="1105"/>
        <w:jc w:val="left"/>
      </w:pPr>
      <w:r>
        <w:rPr/>
        <w:t>按账龄披露</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1,090,289,511.42</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61,724,917.70</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42,352,186.94</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33,101,632.82</w:t>
            </w:r>
          </w:p>
        </w:tc>
      </w:tr>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12,546,082.08</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15,866,937.61</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4,688,613.13</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1,227,468,248.88</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2）本期计提、收回或转回的坏账准备情况" w:id="529"/>
      <w:bookmarkEnd w:id="52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1105"/>
        <w:jc w:val="left"/>
      </w:pPr>
      <w:r>
        <w:rPr/>
        <w:t>本期计提坏账准备情况：</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36,996,719.93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13,339,111.15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4,722,804.55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40,000.00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45,653,026.53</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36,996,719.93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13,339,111.15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4,722,804.55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40,000.00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45,653,026.53</w:t>
            </w:r>
          </w:p>
        </w:tc>
      </w:tr>
    </w:tbl>
    <w:p>
      <w:pPr>
        <w:pStyle w:val="BodyText"/>
        <w:spacing w:line="240" w:lineRule="auto" w:before="45"/>
        <w:ind w:right="1105"/>
        <w:jc w:val="left"/>
      </w:pPr>
      <w:r>
        <w:rPr/>
        <w:t>其中本期坏账准备收回或转回金额重要的：</w:t>
      </w:r>
    </w:p>
    <w:p>
      <w:pPr>
        <w:pStyle w:val="BodyText"/>
        <w:spacing w:line="240" w:lineRule="auto" w:before="10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379"/>
        <w:gridCol w:w="3094"/>
        <w:gridCol w:w="3109"/>
      </w:tblGrid>
      <w:tr>
        <w:trPr>
          <w:trHeight w:val="390" w:hRule="exact"/>
        </w:trPr>
        <w:tc>
          <w:tcPr>
            <w:tcW w:w="33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1"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3）本期实际核销的应收账款情况" w:id="530"/>
      <w:bookmarkEnd w:id="53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986"/>
        <w:gridCol w:w="4596"/>
      </w:tblGrid>
      <w:tr>
        <w:trPr>
          <w:trHeight w:val="405"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45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5" w:hRule="exact"/>
        </w:trPr>
        <w:tc>
          <w:tcPr>
            <w:tcW w:w="4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应收项目款</w:t>
            </w:r>
          </w:p>
        </w:tc>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4,722,804.55</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1105"/>
        <w:jc w:val="left"/>
      </w:pPr>
      <w:r>
        <w:rPr/>
        <w:t>其中重要的应收账款核销情况：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05"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40"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4"/>
        <w:ind w:right="1105"/>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40"/>
        <w:ind w:right="1105"/>
        <w:jc w:val="left"/>
        <w:rPr>
          <w:b w:val="0"/>
          <w:bCs w:val="0"/>
        </w:rPr>
      </w:pPr>
      <w:bookmarkStart w:name="（4）按欠款方归集的期末余额前五名的应收账款情况" w:id="531"/>
      <w:bookmarkEnd w:id="53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2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915" w:right="105" w:hanging="811"/>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96"/>
              <w:jc w:val="left"/>
              <w:rPr>
                <w:rFonts w:ascii="宋体" w:hAnsi="宋体" w:cs="宋体" w:eastAsia="宋体" w:hint="default"/>
                <w:sz w:val="18"/>
                <w:szCs w:val="18"/>
              </w:rPr>
            </w:pPr>
            <w:r>
              <w:rPr>
                <w:rFonts w:ascii="宋体" w:hAnsi="宋体" w:cs="宋体" w:eastAsia="宋体" w:hint="default"/>
                <w:sz w:val="18"/>
                <w:szCs w:val="18"/>
              </w:rPr>
              <w:t>北京中电普华信息技术有限 公司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74,547,859.00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6.07%</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7,020,233.61</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国网山东省电力公司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65,173,840.03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5.31%</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5,046,602.00</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96"/>
              <w:jc w:val="left"/>
              <w:rPr>
                <w:rFonts w:ascii="宋体" w:hAnsi="宋体" w:cs="宋体" w:eastAsia="宋体" w:hint="default"/>
                <w:sz w:val="18"/>
                <w:szCs w:val="18"/>
              </w:rPr>
            </w:pPr>
            <w:r>
              <w:rPr>
                <w:rFonts w:ascii="宋体" w:hAnsi="宋体" w:cs="宋体" w:eastAsia="宋体" w:hint="default"/>
                <w:sz w:val="18"/>
                <w:szCs w:val="18"/>
              </w:rPr>
              <w:t>河南九域腾龙信息工程有限 公司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53,817,005.91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4.38%</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2,925,775.60</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96"/>
              <w:jc w:val="left"/>
              <w:rPr>
                <w:rFonts w:ascii="宋体" w:hAnsi="宋体" w:cs="宋体" w:eastAsia="宋体" w:hint="default"/>
                <w:sz w:val="18"/>
                <w:szCs w:val="18"/>
              </w:rPr>
            </w:pPr>
            <w:r>
              <w:rPr>
                <w:rFonts w:ascii="宋体" w:hAnsi="宋体" w:cs="宋体" w:eastAsia="宋体" w:hint="default"/>
                <w:sz w:val="18"/>
                <w:szCs w:val="18"/>
              </w:rPr>
              <w:t>国网浙江省电力有限公司信 息通信分公司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46,768,263.05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3.81%</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375,886.49</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96"/>
              <w:jc w:val="left"/>
              <w:rPr>
                <w:rFonts w:ascii="宋体" w:hAnsi="宋体" w:cs="宋体" w:eastAsia="宋体" w:hint="default"/>
                <w:sz w:val="18"/>
                <w:szCs w:val="18"/>
              </w:rPr>
            </w:pPr>
            <w:r>
              <w:rPr>
                <w:rFonts w:ascii="宋体" w:hAnsi="宋体" w:cs="宋体" w:eastAsia="宋体" w:hint="default"/>
                <w:sz w:val="18"/>
                <w:szCs w:val="18"/>
              </w:rPr>
              <w:t>国网吉林省电力有限公司信 息通信公司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46,088,420.70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3.76%</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425,126.02</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286,395,388.69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23.33%</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5）因金融资产转移而终止确认的应收账款" w:id="532"/>
      <w:bookmarkEnd w:id="532"/>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6）转移应收账款且继续涉入形成的资产、负债金额" w:id="533"/>
      <w:bookmarkEnd w:id="533"/>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54"/>
        <w:ind w:right="1105"/>
        <w:jc w:val="left"/>
        <w:rPr>
          <w:b w:val="0"/>
          <w:bCs w:val="0"/>
        </w:rPr>
      </w:pPr>
      <w:bookmarkStart w:name="2、其他应收款" w:id="534"/>
      <w:bookmarkEnd w:id="53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9"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1,124,733.73</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341,382,979.04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116,779,716.99</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341,382,979.04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117,904,450.72</w:t>
            </w:r>
          </w:p>
        </w:tc>
      </w:tr>
    </w:tbl>
    <w:p>
      <w:pPr>
        <w:spacing w:line="240" w:lineRule="auto" w:before="11"/>
        <w:rPr>
          <w:rFonts w:ascii="宋体" w:hAnsi="宋体" w:cs="宋体" w:eastAsia="宋体" w:hint="default"/>
          <w:sz w:val="19"/>
          <w:szCs w:val="19"/>
        </w:rPr>
      </w:pPr>
    </w:p>
    <w:p>
      <w:pPr>
        <w:pStyle w:val="Heading3"/>
        <w:spacing w:line="508" w:lineRule="auto" w:before="35"/>
        <w:ind w:right="9129"/>
        <w:jc w:val="left"/>
        <w:rPr>
          <w:b w:val="0"/>
          <w:bCs w:val="0"/>
        </w:rPr>
      </w:pPr>
      <w:bookmarkStart w:name="（1）应收利息" w:id="535"/>
      <w:bookmarkEnd w:id="535"/>
      <w:r>
        <w:rPr>
          <w:b w:val="0"/>
          <w:bCs w:val="0"/>
        </w:rPr>
      </w:r>
      <w:r>
        <w:rPr/>
        <w:t>（</w:t>
      </w:r>
      <w:r>
        <w:rPr>
          <w:rFonts w:ascii="Times New Roman" w:hAnsi="Times New Roman" w:cs="Times New Roman" w:eastAsia="Times New Roman" w:hint="default"/>
        </w:rPr>
        <w:t>1</w:t>
      </w:r>
      <w:r>
        <w:rPr/>
        <w:t>）应收利息</w:t>
      </w:r>
      <w:r>
        <w:rPr>
          <w:w w:val="99"/>
        </w:rPr>
        <w:t> </w:t>
      </w:r>
      <w:bookmarkStart w:name="1）应收利息分类" w:id="536"/>
      <w:bookmarkEnd w:id="536"/>
      <w:r>
        <w:rPr>
          <w:w w:val="99"/>
        </w:rPr>
      </w:r>
      <w:r>
        <w:rPr>
          <w:rFonts w:ascii="Times New Roman" w:hAnsi="Times New Roman" w:cs="Times New Roman" w:eastAsia="Times New Roman" w:hint="default"/>
          <w:w w:val="95"/>
        </w:rPr>
        <w:t>1</w:t>
      </w:r>
      <w:r>
        <w:rPr>
          <w:w w:val="95"/>
        </w:rPr>
        <w:t>）应收利息分类</w:t>
      </w:r>
      <w:r>
        <w:rPr>
          <w:b w:val="0"/>
          <w:bCs w:val="0"/>
        </w:rPr>
      </w:r>
    </w:p>
    <w:p>
      <w:pPr>
        <w:pStyle w:val="BodyText"/>
        <w:spacing w:line="240" w:lineRule="auto" w:before="69"/>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银行存款利息</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1,124,733.73</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1,124,733.73</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2）重要逾期利息" w:id="537"/>
      <w:bookmarkEnd w:id="537"/>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2"/>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4"/>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3）坏账准备计提情况" w:id="538"/>
      <w:bookmarkEnd w:id="538"/>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496" w:lineRule="auto"/>
        <w:ind w:right="9129"/>
        <w:jc w:val="left"/>
        <w:rPr>
          <w:b w:val="0"/>
          <w:bCs w:val="0"/>
        </w:rPr>
      </w:pPr>
      <w:bookmarkStart w:name="（2）应收股利" w:id="539"/>
      <w:bookmarkEnd w:id="539"/>
      <w:r>
        <w:rPr>
          <w:b w:val="0"/>
          <w:bCs w:val="0"/>
        </w:rPr>
      </w:r>
      <w:r>
        <w:rPr/>
        <w:t>（</w:t>
      </w:r>
      <w:r>
        <w:rPr>
          <w:rFonts w:ascii="Times New Roman" w:hAnsi="Times New Roman" w:cs="Times New Roman" w:eastAsia="Times New Roman" w:hint="default"/>
        </w:rPr>
        <w:t>2</w:t>
      </w:r>
      <w:r>
        <w:rPr/>
        <w:t>）应收股利</w:t>
      </w:r>
      <w:r>
        <w:rPr>
          <w:w w:val="99"/>
        </w:rPr>
        <w:t> </w:t>
      </w:r>
      <w:bookmarkStart w:name="1）应收股利分类" w:id="540"/>
      <w:bookmarkEnd w:id="540"/>
      <w:r>
        <w:rPr>
          <w:w w:val="99"/>
        </w:rPr>
      </w:r>
      <w:r>
        <w:rPr>
          <w:rFonts w:ascii="Times New Roman" w:hAnsi="Times New Roman" w:cs="Times New Roman" w:eastAsia="Times New Roman" w:hint="default"/>
          <w:w w:val="95"/>
        </w:rPr>
        <w:t>1</w:t>
      </w:r>
      <w:r>
        <w:rPr>
          <w:w w:val="95"/>
        </w:rPr>
        <w:t>）应收股利分类</w:t>
      </w:r>
      <w:r>
        <w:rPr>
          <w:b w:val="0"/>
          <w:bCs w:val="0"/>
        </w:rPr>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2）重要的账龄超过1年的应收股利" w:id="541"/>
      <w:bookmarkEnd w:id="541"/>
      <w:r>
        <w:rPr>
          <w:b w:val="0"/>
          <w:bCs w:val="0"/>
        </w:rPr>
      </w:r>
      <w:r>
        <w:rPr>
          <w:rFonts w:ascii="Times New Roman" w:hAnsi="Times New Roman" w:cs="Times New Roman" w:eastAsia="Times New Roman" w:hint="default"/>
        </w:rPr>
        <w:t>2</w:t>
      </w:r>
      <w:r>
        <w:rPr/>
        <w:t>）重要的账龄超过</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年的应收股利</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2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3）坏账准备计提情况" w:id="542"/>
      <w:bookmarkEnd w:id="542"/>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6"/>
        <w:rPr>
          <w:rFonts w:ascii="宋体" w:hAnsi="宋体" w:cs="宋体" w:eastAsia="宋体" w:hint="default"/>
          <w:sz w:val="25"/>
          <w:szCs w:val="25"/>
        </w:rPr>
      </w:pPr>
    </w:p>
    <w:p>
      <w:pPr>
        <w:pStyle w:val="Heading3"/>
        <w:spacing w:line="496" w:lineRule="auto"/>
        <w:ind w:right="7481"/>
        <w:jc w:val="left"/>
        <w:rPr>
          <w:b w:val="0"/>
          <w:bCs w:val="0"/>
        </w:rPr>
      </w:pPr>
      <w:bookmarkStart w:name="（3）其他应收款" w:id="543"/>
      <w:bookmarkEnd w:id="543"/>
      <w:r>
        <w:rPr>
          <w:b w:val="0"/>
          <w:bCs w:val="0"/>
        </w:rPr>
      </w:r>
      <w:r>
        <w:rPr/>
        <w:t>（</w:t>
      </w:r>
      <w:r>
        <w:rPr>
          <w:rFonts w:ascii="Times New Roman" w:hAnsi="Times New Roman" w:cs="Times New Roman" w:eastAsia="Times New Roman" w:hint="default"/>
        </w:rPr>
        <w:t>3</w:t>
      </w:r>
      <w:r>
        <w:rPr/>
        <w:t>）其他应收款</w:t>
      </w:r>
      <w:r>
        <w:rPr>
          <w:w w:val="99"/>
        </w:rPr>
        <w:t> </w:t>
      </w:r>
      <w:bookmarkStart w:name="1）其他应收款按款项性质分类情况" w:id="544"/>
      <w:bookmarkEnd w:id="544"/>
      <w:r>
        <w:rPr>
          <w:w w:val="99"/>
        </w:rPr>
      </w:r>
      <w:r>
        <w:rPr>
          <w:rFonts w:ascii="Times New Roman" w:hAnsi="Times New Roman" w:cs="Times New Roman" w:eastAsia="Times New Roman" w:hint="default"/>
        </w:rPr>
        <w:t>1</w:t>
      </w:r>
      <w:r>
        <w:rPr/>
        <w:t>）其他应收款按款项性质分类情况</w:t>
      </w:r>
      <w:r>
        <w:rPr>
          <w:b w:val="0"/>
          <w:bCs w:val="0"/>
        </w:rPr>
      </w:r>
    </w:p>
    <w:p>
      <w:pPr>
        <w:pStyle w:val="BodyText"/>
        <w:spacing w:line="240" w:lineRule="auto" w:before="8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应收暂付及单位往来款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300,327,291.13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84,067,294.95</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应收押金和保证金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37,306,459.95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31,615,587.18</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应收员工借款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4,371,982.45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1,524,789.60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77"/>
        <w:gridCol w:w="3207"/>
        <w:gridCol w:w="3199"/>
      </w:tblGrid>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2042" w:right="0"/>
              <w:jc w:val="left"/>
              <w:rPr>
                <w:rFonts w:ascii="Times New Roman" w:hAnsi="Times New Roman" w:cs="Times New Roman" w:eastAsia="Times New Roman" w:hint="default"/>
                <w:sz w:val="18"/>
                <w:szCs w:val="18"/>
              </w:rPr>
            </w:pPr>
            <w:r>
              <w:rPr>
                <w:rFonts w:ascii="Times New Roman"/>
                <w:sz w:val="18"/>
              </w:rPr>
              <w:t>342,005,733.53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42" w:right="0"/>
              <w:jc w:val="left"/>
              <w:rPr>
                <w:rFonts w:ascii="Times New Roman" w:hAnsi="Times New Roman" w:cs="Times New Roman" w:eastAsia="Times New Roman" w:hint="default"/>
                <w:sz w:val="18"/>
                <w:szCs w:val="18"/>
              </w:rPr>
            </w:pPr>
            <w:r>
              <w:rPr>
                <w:rFonts w:ascii="Times New Roman"/>
                <w:sz w:val="18"/>
              </w:rPr>
              <w:t>117,207,671.73</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2）坏账准备计提情况" w:id="545"/>
      <w:bookmarkEnd w:id="545"/>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00"/>
        <w:gridCol w:w="1667"/>
        <w:gridCol w:w="2103"/>
        <w:gridCol w:w="2102"/>
        <w:gridCol w:w="1802"/>
      </w:tblGrid>
      <w:tr>
        <w:trPr>
          <w:trHeight w:val="405" w:hRule="exact"/>
        </w:trPr>
        <w:tc>
          <w:tcPr>
            <w:tcW w:w="1900" w:type="dxa"/>
            <w:tcBorders>
              <w:top w:val="single" w:sz="6" w:space="0" w:color="000000"/>
              <w:left w:val="single" w:sz="6" w:space="0" w:color="000000"/>
              <w:bottom w:val="nil" w:sz="6" w:space="0" w:color="auto"/>
              <w:right w:val="single" w:sz="6" w:space="0" w:color="000000"/>
            </w:tcBorders>
            <w:shd w:val="clear" w:color="auto" w:fill="D2D2D2"/>
          </w:tcPr>
          <w:p>
            <w:pPr/>
          </w:p>
        </w:tc>
        <w:tc>
          <w:tcPr>
            <w:tcW w:w="16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65"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38" w:hRule="exact"/>
        </w:trPr>
        <w:tc>
          <w:tcPr>
            <w:tcW w:w="190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28" w:lineRule="exact"/>
              <w:ind w:left="5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7" w:type="dxa"/>
            <w:vMerge w:val="restart"/>
            <w:tcBorders>
              <w:top w:val="single" w:sz="6" w:space="0" w:color="000000"/>
              <w:left w:val="single" w:sz="6" w:space="0" w:color="000000"/>
              <w:right w:val="single" w:sz="6" w:space="0" w:color="000000"/>
            </w:tcBorders>
            <w:shd w:val="clear" w:color="auto" w:fill="D2D2D2"/>
          </w:tcPr>
          <w:p>
            <w:pPr>
              <w:pStyle w:val="TableParagraph"/>
              <w:spacing w:line="288" w:lineRule="auto" w:before="45"/>
              <w:ind w:left="555"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right w:val="single" w:sz="6" w:space="0" w:color="000000"/>
            </w:tcBorders>
            <w:shd w:val="clear" w:color="auto" w:fill="D2D2D2"/>
          </w:tcPr>
          <w:p>
            <w:pPr/>
          </w:p>
        </w:tc>
      </w:tr>
      <w:tr>
        <w:trPr>
          <w:trHeight w:val="367" w:hRule="exact"/>
        </w:trPr>
        <w:tc>
          <w:tcPr>
            <w:tcW w:w="1900" w:type="dxa"/>
            <w:tcBorders>
              <w:top w:val="nil" w:sz="6" w:space="0" w:color="auto"/>
              <w:left w:val="single" w:sz="6" w:space="0" w:color="000000"/>
              <w:bottom w:val="single" w:sz="6" w:space="0" w:color="000000"/>
              <w:right w:val="single" w:sz="6" w:space="0" w:color="000000"/>
            </w:tcBorders>
            <w:shd w:val="clear" w:color="auto" w:fill="D2D2D2"/>
          </w:tcPr>
          <w:p>
            <w:pPr/>
          </w:p>
        </w:tc>
        <w:tc>
          <w:tcPr>
            <w:tcW w:w="1667" w:type="dxa"/>
            <w:vMerge/>
            <w:tcBorders>
              <w:left w:val="single" w:sz="6" w:space="0" w:color="000000"/>
              <w:bottom w:val="single" w:sz="6" w:space="0" w:color="000000"/>
              <w:right w:val="single" w:sz="6" w:space="0" w:color="000000"/>
            </w:tcBorders>
            <w:shd w:val="clear" w:color="auto" w:fill="D2D2D2"/>
          </w:tcPr>
          <w:p>
            <w:pPr/>
          </w:p>
        </w:tc>
        <w:tc>
          <w:tcPr>
            <w:tcW w:w="2103" w:type="dxa"/>
            <w:vMerge/>
            <w:tcBorders>
              <w:left w:val="single" w:sz="6" w:space="0" w:color="000000"/>
              <w:bottom w:val="single" w:sz="6" w:space="0" w:color="000000"/>
              <w:right w:val="single" w:sz="6" w:space="0" w:color="000000"/>
            </w:tcBorders>
            <w:shd w:val="clear" w:color="auto" w:fill="D2D2D2"/>
          </w:tcPr>
          <w:p>
            <w:pPr/>
          </w:p>
        </w:tc>
        <w:tc>
          <w:tcPr>
            <w:tcW w:w="2102" w:type="dxa"/>
            <w:vMerge/>
            <w:tcBorders>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427,954.74</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427,954.74</w:t>
            </w:r>
          </w:p>
        </w:tc>
      </w:tr>
      <w:tr>
        <w:trPr>
          <w:trHeight w:val="158" w:hRule="exact"/>
        </w:trPr>
        <w:tc>
          <w:tcPr>
            <w:tcW w:w="1900" w:type="dxa"/>
            <w:vMerge w:val="restart"/>
            <w:tcBorders>
              <w:top w:val="single" w:sz="6" w:space="0" w:color="000000"/>
              <w:left w:val="single" w:sz="6" w:space="0" w:color="000000"/>
              <w:right w:val="single" w:sz="6" w:space="0" w:color="000000"/>
            </w:tcBorders>
            <w:shd w:val="clear" w:color="auto" w:fill="D2D2D2"/>
          </w:tcPr>
          <w:p>
            <w:pPr>
              <w:pStyle w:val="TableParagraph"/>
              <w:spacing w:line="273" w:lineRule="auto" w:before="60"/>
              <w:ind w:left="7"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67"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80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900" w:type="dxa"/>
            <w:vMerge/>
            <w:tcBorders>
              <w:left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73" w:hRule="exact"/>
        </w:trPr>
        <w:tc>
          <w:tcPr>
            <w:tcW w:w="1900" w:type="dxa"/>
            <w:vMerge/>
            <w:tcBorders>
              <w:left w:val="single" w:sz="6" w:space="0" w:color="000000"/>
              <w:bottom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391"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1,047,703.65</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1,047,703.65</w:t>
            </w: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1,242,503.40</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1,242,503.40</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622,754.49</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622,754.49</w:t>
            </w:r>
          </w:p>
        </w:tc>
      </w:tr>
    </w:tbl>
    <w:p>
      <w:pPr>
        <w:pStyle w:val="BodyText"/>
        <w:spacing w:line="240" w:lineRule="auto" w:before="44"/>
        <w:ind w:right="1105"/>
        <w:jc w:val="left"/>
      </w:pPr>
      <w:r>
        <w:rPr/>
        <w:t>损失准备本期变动金额重大的账面余额变动情况</w:t>
      </w:r>
    </w:p>
    <w:p>
      <w:pPr>
        <w:pStyle w:val="BodyText"/>
        <w:spacing w:line="316" w:lineRule="auto" w:before="125"/>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pStyle w:val="BodyText"/>
        <w:spacing w:line="240" w:lineRule="auto" w:before="67"/>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324,808,766.23</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17,020,167.30</w:t>
            </w:r>
          </w:p>
        </w:tc>
      </w:tr>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176,800.00</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132,800.00</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44,000.00</w:t>
            </w:r>
          </w:p>
        </w:tc>
      </w:tr>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342,005,733.53</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3）本期计提、收回或转回的坏账准备情况" w:id="546"/>
      <w:bookmarkEnd w:id="546"/>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5"/>
        <w:jc w:val="left"/>
      </w:pPr>
      <w:r>
        <w:rPr/>
        <w:t>本期计提坏账准备情况：</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77"/>
        <w:gridCol w:w="1096"/>
        <w:gridCol w:w="1337"/>
        <w:gridCol w:w="1441"/>
        <w:gridCol w:w="1202"/>
        <w:gridCol w:w="1352"/>
        <w:gridCol w:w="1577"/>
      </w:tblGrid>
      <w:tr>
        <w:trPr>
          <w:trHeight w:val="406" w:hRule="exact"/>
        </w:trPr>
        <w:tc>
          <w:tcPr>
            <w:tcW w:w="15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0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577" w:type="dxa"/>
            <w:vMerge/>
            <w:tcBorders>
              <w:left w:val="single" w:sz="6" w:space="0" w:color="000000"/>
              <w:bottom w:val="single" w:sz="6" w:space="0" w:color="000000"/>
              <w:right w:val="single" w:sz="6" w:space="0" w:color="000000"/>
            </w:tcBorders>
            <w:shd w:val="clear" w:color="auto" w:fill="D2D2D2"/>
          </w:tcPr>
          <w:p>
            <w:pPr/>
          </w:p>
        </w:tc>
        <w:tc>
          <w:tcPr>
            <w:tcW w:w="1096" w:type="dxa"/>
            <w:vMerge/>
            <w:tcBorders>
              <w:left w:val="single" w:sz="6" w:space="0" w:color="000000"/>
              <w:bottom w:val="single" w:sz="6" w:space="0" w:color="000000"/>
              <w:right w:val="single" w:sz="6" w:space="0" w:color="000000"/>
            </w:tcBorders>
            <w:shd w:val="clear" w:color="auto" w:fill="D2D2D2"/>
          </w:tcPr>
          <w:p>
            <w:pP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计提</w:t>
            </w:r>
          </w:p>
        </w:tc>
        <w:tc>
          <w:tcPr>
            <w:tcW w:w="14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低风险用户组合</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427,954.74</w:t>
            </w:r>
          </w:p>
        </w:tc>
        <w:tc>
          <w:tcPr>
            <w:tcW w:w="1337"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1,047,703.65</w:t>
            </w:r>
          </w:p>
        </w:tc>
        <w:tc>
          <w:tcPr>
            <w:tcW w:w="120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1,242,503.40</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622,754.49</w:t>
            </w:r>
          </w:p>
        </w:tc>
      </w:tr>
      <w:tr>
        <w:trPr>
          <w:trHeight w:val="39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9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427,954.74</w:t>
            </w:r>
          </w:p>
        </w:tc>
        <w:tc>
          <w:tcPr>
            <w:tcW w:w="1337"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1,047,703.65</w:t>
            </w:r>
          </w:p>
        </w:tc>
        <w:tc>
          <w:tcPr>
            <w:tcW w:w="120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1,242,503.40</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622,754.49</w:t>
            </w:r>
          </w:p>
        </w:tc>
      </w:tr>
    </w:tbl>
    <w:p>
      <w:pPr>
        <w:pStyle w:val="BodyText"/>
        <w:spacing w:line="240" w:lineRule="auto" w:before="45"/>
        <w:ind w:right="1105"/>
        <w:jc w:val="left"/>
      </w:pPr>
      <w:r>
        <w:rPr/>
        <w:t>其中本期坏账准备转回或收回金额重要的：</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从兴技术有限公司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1,242,503.40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1,242,503.40</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4）本期实际核销的其他应收款情况" w:id="547"/>
      <w:bookmarkEnd w:id="547"/>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4"/>
        <w:ind w:right="1105"/>
        <w:jc w:val="left"/>
      </w:pPr>
      <w:r>
        <w:rPr/>
        <w:t>其中重要的其他应收款核销情况：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06"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540"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4"/>
        <w:ind w:right="1105"/>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5）按欠款方归集的期末余额前五名的其他应收款情况" w:id="548"/>
      <w:bookmarkEnd w:id="548"/>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06"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5" w:right="76"/>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20"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30"/>
              <w:jc w:val="left"/>
              <w:rPr>
                <w:rFonts w:ascii="宋体" w:hAnsi="宋体" w:cs="宋体" w:eastAsia="宋体" w:hint="default"/>
                <w:sz w:val="18"/>
                <w:szCs w:val="18"/>
              </w:rPr>
            </w:pPr>
            <w:r>
              <w:rPr>
                <w:rFonts w:ascii="宋体" w:hAnsi="宋体" w:cs="宋体" w:eastAsia="宋体" w:hint="default"/>
                <w:sz w:val="18"/>
                <w:szCs w:val="18"/>
              </w:rPr>
              <w:t>朗新数据科技有限公 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76"/>
              <w:jc w:val="left"/>
              <w:rPr>
                <w:rFonts w:ascii="宋体" w:hAnsi="宋体" w:cs="宋体" w:eastAsia="宋体" w:hint="default"/>
                <w:sz w:val="18"/>
                <w:szCs w:val="18"/>
              </w:rPr>
            </w:pPr>
            <w:r>
              <w:rPr>
                <w:rFonts w:ascii="宋体" w:hAnsi="宋体" w:cs="宋体" w:eastAsia="宋体" w:hint="default"/>
                <w:sz w:val="18"/>
                <w:szCs w:val="18"/>
              </w:rPr>
              <w:t>应收暂付及单位往 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110,428,181.80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32.29%</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瀚云科技有限公司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76"/>
              <w:jc w:val="left"/>
              <w:rPr>
                <w:rFonts w:ascii="宋体" w:hAnsi="宋体" w:cs="宋体" w:eastAsia="宋体" w:hint="default"/>
                <w:sz w:val="18"/>
                <w:szCs w:val="18"/>
              </w:rPr>
            </w:pPr>
            <w:r>
              <w:rPr>
                <w:rFonts w:ascii="宋体" w:hAnsi="宋体" w:cs="宋体" w:eastAsia="宋体" w:hint="default"/>
                <w:sz w:val="18"/>
                <w:szCs w:val="18"/>
              </w:rPr>
              <w:t>应收暂付及单位往 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58,724,734.18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17.17%</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涵谷科技有限公司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76"/>
              <w:jc w:val="left"/>
              <w:rPr>
                <w:rFonts w:ascii="宋体" w:hAnsi="宋体" w:cs="宋体" w:eastAsia="宋体" w:hint="default"/>
                <w:sz w:val="18"/>
                <w:szCs w:val="18"/>
              </w:rPr>
            </w:pPr>
            <w:r>
              <w:rPr>
                <w:rFonts w:ascii="宋体" w:hAnsi="宋体" w:cs="宋体" w:eastAsia="宋体" w:hint="default"/>
                <w:sz w:val="18"/>
                <w:szCs w:val="18"/>
              </w:rPr>
              <w:t>应收暂付及单位往 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40,071,852.97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11.72%</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30"/>
              <w:jc w:val="left"/>
              <w:rPr>
                <w:rFonts w:ascii="宋体" w:hAnsi="宋体" w:cs="宋体" w:eastAsia="宋体" w:hint="default"/>
                <w:sz w:val="18"/>
                <w:szCs w:val="18"/>
              </w:rPr>
            </w:pPr>
            <w:r>
              <w:rPr>
                <w:rFonts w:ascii="宋体" w:hAnsi="宋体" w:cs="宋体" w:eastAsia="宋体" w:hint="default"/>
                <w:sz w:val="18"/>
                <w:szCs w:val="18"/>
              </w:rPr>
              <w:t>新耀能源科技有限公 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76"/>
              <w:jc w:val="left"/>
              <w:rPr>
                <w:rFonts w:ascii="宋体" w:hAnsi="宋体" w:cs="宋体" w:eastAsia="宋体" w:hint="default"/>
                <w:sz w:val="18"/>
                <w:szCs w:val="18"/>
              </w:rPr>
            </w:pPr>
            <w:r>
              <w:rPr>
                <w:rFonts w:ascii="宋体" w:hAnsi="宋体" w:cs="宋体" w:eastAsia="宋体" w:hint="default"/>
                <w:sz w:val="18"/>
                <w:szCs w:val="18"/>
              </w:rPr>
              <w:t>应收暂付及单位往 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32,558,780.99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9.52%</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30"/>
              <w:jc w:val="left"/>
              <w:rPr>
                <w:rFonts w:ascii="宋体" w:hAnsi="宋体" w:cs="宋体" w:eastAsia="宋体" w:hint="default"/>
                <w:sz w:val="18"/>
                <w:szCs w:val="18"/>
              </w:rPr>
            </w:pPr>
            <w:r>
              <w:rPr>
                <w:rFonts w:ascii="宋体" w:hAnsi="宋体" w:cs="宋体" w:eastAsia="宋体" w:hint="default"/>
                <w:sz w:val="18"/>
                <w:szCs w:val="18"/>
              </w:rPr>
              <w:t>朗新云商科技有限公 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76"/>
              <w:jc w:val="left"/>
              <w:rPr>
                <w:rFonts w:ascii="宋体" w:hAnsi="宋体" w:cs="宋体" w:eastAsia="宋体" w:hint="default"/>
                <w:sz w:val="18"/>
                <w:szCs w:val="18"/>
              </w:rPr>
            </w:pPr>
            <w:r>
              <w:rPr>
                <w:rFonts w:ascii="宋体" w:hAnsi="宋体" w:cs="宋体" w:eastAsia="宋体" w:hint="default"/>
                <w:sz w:val="18"/>
                <w:szCs w:val="18"/>
              </w:rPr>
              <w:t>应收暂付及单位往 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25,045,820.10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76"/>
              <w:jc w:val="left"/>
              <w:rPr>
                <w:rFonts w:ascii="宋体" w:hAnsi="宋体" w:cs="宋体" w:eastAsia="宋体" w:hint="default"/>
                <w:sz w:val="18"/>
                <w:szCs w:val="18"/>
              </w:rPr>
            </w:pPr>
            <w:r>
              <w:rPr>
                <w:rFonts w:ascii="宋体" w:hAnsi="宋体" w:cs="宋体" w:eastAsia="宋体" w:hint="default"/>
                <w:sz w:val="18"/>
                <w:szCs w:val="18"/>
              </w:rPr>
              <w:t>一年以内、一到二 年</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7.32%</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266,829,370.04</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78.02%</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6）涉及政府补助的应收款项" w:id="549"/>
      <w:bookmarkEnd w:id="549"/>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027"/>
        <w:gridCol w:w="1863"/>
        <w:gridCol w:w="1877"/>
        <w:gridCol w:w="1862"/>
        <w:gridCol w:w="1952"/>
      </w:tblGrid>
      <w:tr>
        <w:trPr>
          <w:trHeight w:val="705" w:hRule="exact"/>
        </w:trPr>
        <w:tc>
          <w:tcPr>
            <w:tcW w:w="20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7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06" w:right="60" w:hanging="631"/>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07"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1105"/>
        <w:jc w:val="left"/>
        <w:rPr>
          <w:b w:val="0"/>
          <w:bCs w:val="0"/>
        </w:rPr>
      </w:pPr>
      <w:bookmarkStart w:name="7）因金融资产转移而终止确认的其他应收款" w:id="550"/>
      <w:bookmarkEnd w:id="550"/>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8）转移其他应收款且继续涉入形成的资产、负债金额" w:id="551"/>
      <w:bookmarkEnd w:id="551"/>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5"/>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1105"/>
        <w:jc w:val="left"/>
        <w:rPr>
          <w:b w:val="0"/>
          <w:bCs w:val="0"/>
        </w:rPr>
      </w:pPr>
      <w:bookmarkStart w:name="3、长期股权投资" w:id="552"/>
      <w:bookmarkEnd w:id="55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82"/>
        <w:gridCol w:w="1367"/>
        <w:gridCol w:w="1366"/>
        <w:gridCol w:w="1367"/>
        <w:gridCol w:w="1367"/>
      </w:tblGrid>
      <w:tr>
        <w:trPr>
          <w:trHeight w:val="405"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23"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3,711,142,558.54</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3,711,142,558.54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142,867,958.71</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142,867,958.71</w:t>
            </w:r>
          </w:p>
        </w:tc>
      </w:tr>
      <w:tr>
        <w:trPr>
          <w:trHeight w:val="72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68"/>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28,860,558.24</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28,860,558.24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140,914,487.65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140,914,487.65</w:t>
            </w: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3,740,003,116.78</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3,740,003,116.78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283,782,446.36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283,782,446.36</w:t>
            </w: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1）对子公司投资" w:id="553"/>
      <w:bookmarkEnd w:id="55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262"/>
        <w:gridCol w:w="1172"/>
        <w:gridCol w:w="1171"/>
        <w:gridCol w:w="1172"/>
        <w:gridCol w:w="1156"/>
        <w:gridCol w:w="1216"/>
        <w:gridCol w:w="1217"/>
        <w:gridCol w:w="1216"/>
      </w:tblGrid>
      <w:tr>
        <w:trPr>
          <w:trHeight w:val="405" w:hRule="exact"/>
        </w:trPr>
        <w:tc>
          <w:tcPr>
            <w:tcW w:w="126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72"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0"/>
              <w:ind w:left="285" w:right="88" w:hanging="181"/>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6"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7"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0"/>
              <w:ind w:left="390" w:right="28" w:hanging="361"/>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75"/>
              <w:ind w:left="420" w:right="59" w:hanging="361"/>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390" w:hRule="exact"/>
        </w:trPr>
        <w:tc>
          <w:tcPr>
            <w:tcW w:w="1262" w:type="dxa"/>
            <w:vMerge/>
            <w:tcBorders>
              <w:left w:val="single" w:sz="6" w:space="0" w:color="000000"/>
              <w:bottom w:val="single" w:sz="6" w:space="0" w:color="000000"/>
              <w:right w:val="single" w:sz="6" w:space="0" w:color="000000"/>
            </w:tcBorders>
            <w:shd w:val="clear" w:color="auto" w:fill="D2D2D2"/>
          </w:tcPr>
          <w:p>
            <w:pPr/>
          </w:p>
        </w:tc>
        <w:tc>
          <w:tcPr>
            <w:tcW w:w="1172" w:type="dxa"/>
            <w:vMerge/>
            <w:tcBorders>
              <w:left w:val="single" w:sz="6" w:space="0" w:color="000000"/>
              <w:bottom w:val="single" w:sz="6" w:space="0" w:color="000000"/>
              <w:right w:val="single" w:sz="6" w:space="0" w:color="000000"/>
            </w:tcBorders>
            <w:shd w:val="clear" w:color="auto" w:fill="D2D2D2"/>
          </w:tcPr>
          <w:p>
            <w:pP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25"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7" w:type="dxa"/>
            <w:vMerge/>
            <w:tcBorders>
              <w:left w:val="single" w:sz="6" w:space="0" w:color="000000"/>
              <w:bottom w:val="single" w:sz="6" w:space="0" w:color="000000"/>
              <w:right w:val="single" w:sz="6" w:space="0" w:color="000000"/>
            </w:tcBorders>
            <w:shd w:val="clear" w:color="auto" w:fill="D2D2D2"/>
          </w:tcPr>
          <w:p>
            <w:pPr/>
          </w:p>
        </w:tc>
        <w:tc>
          <w:tcPr>
            <w:tcW w:w="1216"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50"/>
              <w:jc w:val="left"/>
              <w:rPr>
                <w:rFonts w:ascii="宋体" w:hAnsi="宋体" w:cs="宋体" w:eastAsia="宋体" w:hint="default"/>
                <w:sz w:val="18"/>
                <w:szCs w:val="18"/>
              </w:rPr>
            </w:pPr>
            <w:r>
              <w:rPr>
                <w:rFonts w:ascii="宋体" w:hAnsi="宋体" w:cs="宋体" w:eastAsia="宋体" w:hint="default"/>
                <w:sz w:val="18"/>
                <w:szCs w:val="18"/>
              </w:rPr>
              <w:t>北京朗新科技 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95,000,000.00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95,000,000.00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杭州朗新智能 技术有限公司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15" w:right="149"/>
              <w:jc w:val="both"/>
              <w:rPr>
                <w:rFonts w:ascii="宋体" w:hAnsi="宋体" w:cs="宋体" w:eastAsia="宋体" w:hint="default"/>
                <w:sz w:val="18"/>
                <w:szCs w:val="18"/>
              </w:rPr>
            </w:pPr>
            <w:r>
              <w:rPr>
                <w:rFonts w:ascii="宋体" w:hAnsi="宋体" w:cs="宋体" w:eastAsia="宋体" w:hint="default"/>
                <w:sz w:val="18"/>
                <w:szCs w:val="18"/>
              </w:rPr>
              <w:t>朗新科技有限 公司（厄瓜多 尔）</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153,142.50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153,142.50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新耀能源科技 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8,453,807.86</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1,545,754.20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9,999,562.06</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9"/>
              <w:jc w:val="left"/>
              <w:rPr>
                <w:rFonts w:ascii="宋体" w:hAnsi="宋体" w:cs="宋体" w:eastAsia="宋体" w:hint="default"/>
                <w:sz w:val="18"/>
                <w:szCs w:val="18"/>
              </w:rPr>
            </w:pPr>
            <w:r>
              <w:rPr>
                <w:rFonts w:ascii="宋体" w:hAnsi="宋体" w:cs="宋体" w:eastAsia="宋体" w:hint="default"/>
                <w:sz w:val="18"/>
                <w:szCs w:val="18"/>
              </w:rPr>
              <w:t>朗新金关信息 科技有限公司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15,076,936.95</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213,812.43</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15,290,749.38</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49"/>
              <w:jc w:val="left"/>
              <w:rPr>
                <w:rFonts w:ascii="宋体" w:hAnsi="宋体" w:cs="宋体" w:eastAsia="宋体" w:hint="default"/>
                <w:sz w:val="18"/>
                <w:szCs w:val="18"/>
              </w:rPr>
            </w:pPr>
            <w:r>
              <w:rPr>
                <w:rFonts w:ascii="宋体" w:hAnsi="宋体" w:cs="宋体" w:eastAsia="宋体" w:hint="default"/>
                <w:sz w:val="18"/>
                <w:szCs w:val="18"/>
              </w:rPr>
              <w:t>朗新云商科技 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3,513,528.45</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662,545.05</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4,176,073.50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9"/>
              <w:jc w:val="left"/>
              <w:rPr>
                <w:rFonts w:ascii="宋体" w:hAnsi="宋体" w:cs="宋体" w:eastAsia="宋体" w:hint="default"/>
                <w:sz w:val="18"/>
                <w:szCs w:val="18"/>
              </w:rPr>
            </w:pPr>
            <w:r>
              <w:rPr>
                <w:rFonts w:ascii="宋体" w:hAnsi="宋体" w:cs="宋体" w:eastAsia="宋体" w:hint="default"/>
                <w:sz w:val="18"/>
                <w:szCs w:val="18"/>
              </w:rPr>
              <w:t>朗新数据科技 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5,248,240.97</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2,260,085.58</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7,508,326.55</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朗新投资管理 无锡有限公司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1,067,099.00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1,067,099.00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瀚云科技有限 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4,355,202.98</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1,328,114.18</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5,683,317.16</w:t>
            </w:r>
          </w:p>
        </w:tc>
        <w:tc>
          <w:tcPr>
            <w:tcW w:w="121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62"/>
        <w:gridCol w:w="1172"/>
        <w:gridCol w:w="1171"/>
        <w:gridCol w:w="1172"/>
        <w:gridCol w:w="1156"/>
        <w:gridCol w:w="1216"/>
        <w:gridCol w:w="1217"/>
        <w:gridCol w:w="1216"/>
      </w:tblGrid>
      <w:tr>
        <w:trPr>
          <w:trHeight w:val="72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朗新智元科技 有限公司</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2,550,000.00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55,043.84</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2,605,043.84</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9"/>
              <w:jc w:val="left"/>
              <w:rPr>
                <w:rFonts w:ascii="宋体" w:hAnsi="宋体" w:cs="宋体" w:eastAsia="宋体" w:hint="default"/>
                <w:sz w:val="18"/>
                <w:szCs w:val="18"/>
              </w:rPr>
            </w:pPr>
            <w:r>
              <w:rPr>
                <w:rFonts w:ascii="宋体" w:hAnsi="宋体" w:cs="宋体" w:eastAsia="宋体" w:hint="default"/>
                <w:sz w:val="18"/>
                <w:szCs w:val="18"/>
              </w:rPr>
              <w:t>云筑智联科技 有限公司</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912,592.04</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912,592.04</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4"/>
              <w:jc w:val="left"/>
              <w:rPr>
                <w:rFonts w:ascii="宋体" w:hAnsi="宋体" w:cs="宋体" w:eastAsia="宋体" w:hint="default"/>
                <w:sz w:val="18"/>
                <w:szCs w:val="18"/>
              </w:rPr>
            </w:pPr>
            <w:r>
              <w:rPr>
                <w:rFonts w:ascii="宋体" w:hAnsi="宋体" w:cs="宋体" w:eastAsia="宋体" w:hint="default"/>
                <w:sz w:val="18"/>
                <w:szCs w:val="18"/>
              </w:rPr>
              <w:t>清大朗新（厦 </w:t>
            </w:r>
            <w:r>
              <w:rPr>
                <w:rFonts w:ascii="宋体" w:hAnsi="宋体" w:cs="宋体" w:eastAsia="宋体" w:hint="default"/>
                <w:spacing w:val="-7"/>
                <w:sz w:val="18"/>
                <w:szCs w:val="18"/>
              </w:rPr>
              <w:t>门）科技有限公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500,000.00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z w:val="18"/>
                <w:szCs w:val="18"/>
              </w:rPr>
              <w:t>易天气（北京） 科技有限公司</w:t>
            </w:r>
          </w:p>
          <w:p>
            <w:pPr>
              <w:pStyle w:val="TableParagraph"/>
              <w:spacing w:line="240" w:lineRule="auto" w:before="33"/>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（附注九</w:t>
            </w:r>
            <w:r>
              <w:rPr>
                <w:rFonts w:ascii="Times New Roman" w:hAnsi="Times New Roman" w:cs="Times New Roman" w:eastAsia="Times New Roman" w:hint="default"/>
                <w:sz w:val="18"/>
                <w:szCs w:val="18"/>
              </w:rPr>
              <w:t>(1))</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15,000,000.00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涵谷科技有限 公司（附注九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2,550,000.00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471,889.26</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3,021,889.26</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45"/>
              <w:ind w:left="15" w:right="14"/>
              <w:jc w:val="left"/>
              <w:rPr>
                <w:rFonts w:ascii="宋体" w:hAnsi="宋体" w:cs="宋体" w:eastAsia="宋体" w:hint="default"/>
                <w:sz w:val="18"/>
                <w:szCs w:val="18"/>
              </w:rPr>
            </w:pPr>
            <w:r>
              <w:rPr>
                <w:rFonts w:ascii="宋体" w:hAnsi="宋体" w:cs="宋体" w:eastAsia="宋体" w:hint="default"/>
                <w:spacing w:val="-7"/>
                <w:sz w:val="18"/>
                <w:szCs w:val="18"/>
              </w:rPr>
              <w:t>无锡朗易（附注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40,000,000.00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邦道科技有限 公司（附注八</w:t>
            </w:r>
          </w:p>
          <w:p>
            <w:pPr>
              <w:pStyle w:val="TableParagraph"/>
              <w:spacing w:line="240" w:lineRule="auto" w:before="86"/>
              <w:ind w:left="15" w:right="0"/>
              <w:jc w:val="left"/>
              <w:rPr>
                <w:rFonts w:ascii="Times New Roman" w:hAnsi="Times New Roman" w:cs="Times New Roman" w:eastAsia="Times New Roman" w:hint="default"/>
                <w:sz w:val="18"/>
                <w:szCs w:val="18"/>
              </w:rPr>
            </w:pPr>
            <w:r>
              <w:rPr>
                <w:rFonts w:ascii="Times New Roman"/>
                <w:sz w:val="18"/>
              </w:rPr>
              <w:t>(1))</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940,999,564.5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783,333.37</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941,782,897.87</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易视腾科技股 </w:t>
            </w:r>
            <w:r>
              <w:rPr>
                <w:rFonts w:ascii="宋体" w:hAnsi="宋体" w:cs="宋体" w:eastAsia="宋体" w:hint="default"/>
                <w:spacing w:val="-7"/>
                <w:sz w:val="18"/>
                <w:szCs w:val="18"/>
              </w:rPr>
              <w:t>份有限公司（附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注八</w:t>
            </w:r>
            <w:r>
              <w:rPr>
                <w:rFonts w:ascii="Times New Roman" w:hAnsi="Times New Roman" w:cs="Times New Roman" w:eastAsia="Times New Roman" w:hint="default"/>
                <w:sz w:val="18"/>
                <w:szCs w:val="18"/>
              </w:rPr>
              <w:t>(1))</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2,558,441,865.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38</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2,558,441,865.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38</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142,867,958.7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3,560,041,429.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88</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8,233,169.95</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3,711,142,558.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54</w:t>
            </w:r>
          </w:p>
        </w:tc>
        <w:tc>
          <w:tcPr>
            <w:tcW w:w="121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2）对联营、合营企业投资" w:id="554"/>
      <w:bookmarkEnd w:id="55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405" w:hRule="exact"/>
        </w:trPr>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9" w:lineRule="auto"/>
              <w:ind w:left="30"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98"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9" w:lineRule="auto"/>
              <w:ind w:left="15"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04" w:lineRule="auto"/>
              <w:ind w:left="15" w:right="4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36"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4" w:right="4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4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29"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10" w:right="4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5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45"/>
              <w:jc w:val="left"/>
              <w:rPr>
                <w:rFonts w:ascii="宋体" w:hAnsi="宋体" w:cs="宋体" w:eastAsia="宋体" w:hint="default"/>
                <w:sz w:val="18"/>
                <w:szCs w:val="18"/>
              </w:rPr>
            </w:pPr>
            <w:r>
              <w:rPr>
                <w:rFonts w:ascii="宋体" w:hAnsi="宋体" w:cs="宋体" w:eastAsia="宋体" w:hint="default"/>
                <w:sz w:val="18"/>
                <w:szCs w:val="18"/>
              </w:rPr>
              <w:t>邦道科技 有限公司</w:t>
            </w:r>
          </w:p>
          <w:p>
            <w:pPr>
              <w:pStyle w:val="TableParagraph"/>
              <w:spacing w:line="240" w:lineRule="auto" w:before="3"/>
              <w:ind w:left="15" w:right="0"/>
              <w:jc w:val="left"/>
              <w:rPr>
                <w:rFonts w:ascii="宋体" w:hAnsi="宋体" w:cs="宋体" w:eastAsia="宋体" w:hint="default"/>
                <w:sz w:val="18"/>
                <w:szCs w:val="18"/>
              </w:rPr>
            </w:pPr>
            <w:r>
              <w:rPr>
                <w:rFonts w:ascii="宋体" w:hAnsi="宋体" w:cs="宋体" w:eastAsia="宋体" w:hint="default"/>
                <w:sz w:val="18"/>
                <w:szCs w:val="18"/>
              </w:rPr>
              <w:t>（附注八</w:t>
            </w:r>
          </w:p>
          <w:p>
            <w:pPr>
              <w:pStyle w:val="TableParagraph"/>
              <w:spacing w:line="240" w:lineRule="auto" w:before="136"/>
              <w:ind w:left="15" w:right="0"/>
              <w:jc w:val="left"/>
              <w:rPr>
                <w:rFonts w:ascii="Times New Roman" w:hAnsi="Times New Roman" w:cs="Times New Roman" w:eastAsia="Times New Roman" w:hint="default"/>
                <w:sz w:val="18"/>
                <w:szCs w:val="18"/>
              </w:rPr>
            </w:pPr>
            <w:r>
              <w:rPr>
                <w:rFonts w:ascii="Times New Roman"/>
                <w:sz w:val="18"/>
              </w:rPr>
              <w:t>(1))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110,062,8</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31.29</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30,476,12</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1.18</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460,612.0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3</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-140,999,</w:t>
            </w:r>
          </w:p>
          <w:p>
            <w:pPr>
              <w:pStyle w:val="TableParagraph"/>
              <w:spacing w:line="240" w:lineRule="auto" w:before="93"/>
              <w:ind w:left="223" w:right="0"/>
              <w:jc w:val="center"/>
              <w:rPr>
                <w:rFonts w:ascii="Times New Roman" w:hAnsi="Times New Roman" w:cs="Times New Roman" w:eastAsia="Times New Roman" w:hint="default"/>
                <w:sz w:val="18"/>
                <w:szCs w:val="18"/>
              </w:rPr>
            </w:pPr>
            <w:r>
              <w:rPr>
                <w:rFonts w:ascii="Times New Roman"/>
                <w:sz w:val="18"/>
              </w:rPr>
              <w:t>564.50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22"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3"/>
              <w:jc w:val="both"/>
              <w:rPr>
                <w:rFonts w:ascii="宋体" w:hAnsi="宋体" w:cs="宋体" w:eastAsia="宋体" w:hint="default"/>
                <w:sz w:val="18"/>
                <w:szCs w:val="18"/>
              </w:rPr>
            </w:pPr>
            <w:r>
              <w:rPr>
                <w:rFonts w:ascii="宋体" w:hAnsi="宋体" w:cs="宋体" w:eastAsia="宋体" w:hint="default"/>
                <w:sz w:val="18"/>
                <w:szCs w:val="18"/>
              </w:rPr>
              <w:t>视加慧联 科技有限 公司（附 注八</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851,656.3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-851,656.</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36</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720"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37" w:right="0"/>
              <w:jc w:val="left"/>
              <w:rPr>
                <w:rFonts w:ascii="Times New Roman" w:hAnsi="Times New Roman" w:cs="Times New Roman" w:eastAsia="Times New Roman" w:hint="default"/>
                <w:sz w:val="18"/>
                <w:szCs w:val="18"/>
              </w:rPr>
            </w:pPr>
            <w:r>
              <w:rPr>
                <w:rFonts w:ascii="Times New Roman"/>
                <w:sz w:val="18"/>
              </w:rPr>
              <w:t>110,914,4</w:t>
            </w:r>
          </w:p>
          <w:p>
            <w:pPr>
              <w:pStyle w:val="TableParagraph"/>
              <w:spacing w:line="240" w:lineRule="auto" w:before="93"/>
              <w:ind w:left="353" w:right="0"/>
              <w:jc w:val="left"/>
              <w:rPr>
                <w:rFonts w:ascii="Times New Roman" w:hAnsi="Times New Roman" w:cs="Times New Roman" w:eastAsia="Times New Roman" w:hint="default"/>
                <w:sz w:val="18"/>
                <w:szCs w:val="18"/>
              </w:rPr>
            </w:pPr>
            <w:r>
              <w:rPr>
                <w:rFonts w:ascii="Times New Roman"/>
                <w:sz w:val="18"/>
              </w:rPr>
              <w:t>87.65</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left"/>
              <w:rPr>
                <w:rFonts w:ascii="Times New Roman" w:hAnsi="Times New Roman" w:cs="Times New Roman" w:eastAsia="Times New Roman" w:hint="default"/>
                <w:sz w:val="18"/>
                <w:szCs w:val="18"/>
              </w:rPr>
            </w:pPr>
            <w:r>
              <w:rPr>
                <w:rFonts w:ascii="Times New Roman"/>
                <w:sz w:val="18"/>
              </w:rPr>
              <w:t>29,624,46</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4.82</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460,612.0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3</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center"/>
              <w:rPr>
                <w:rFonts w:ascii="Times New Roman" w:hAnsi="Times New Roman" w:cs="Times New Roman" w:eastAsia="Times New Roman" w:hint="default"/>
                <w:sz w:val="18"/>
                <w:szCs w:val="18"/>
              </w:rPr>
            </w:pPr>
            <w:r>
              <w:rPr>
                <w:rFonts w:ascii="Times New Roman"/>
                <w:sz w:val="18"/>
              </w:rPr>
              <w:t>-140,999,</w:t>
            </w:r>
          </w:p>
          <w:p>
            <w:pPr>
              <w:pStyle w:val="TableParagraph"/>
              <w:spacing w:line="240" w:lineRule="auto" w:before="93"/>
              <w:ind w:left="223" w:right="0"/>
              <w:jc w:val="center"/>
              <w:rPr>
                <w:rFonts w:ascii="Times New Roman" w:hAnsi="Times New Roman" w:cs="Times New Roman" w:eastAsia="Times New Roman" w:hint="default"/>
                <w:sz w:val="18"/>
                <w:szCs w:val="18"/>
              </w:rPr>
            </w:pPr>
            <w:r>
              <w:rPr>
                <w:rFonts w:ascii="Times New Roman"/>
                <w:sz w:val="18"/>
              </w:rPr>
              <w:t>564.50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5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无锡物联 网创新中 心有限公 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-1,139,44</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1.76</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28,860,55</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8.24</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left"/>
              <w:rPr>
                <w:rFonts w:ascii="Times New Roman" w:hAnsi="Times New Roman" w:cs="Times New Roman" w:eastAsia="Times New Roman" w:hint="default"/>
                <w:sz w:val="18"/>
                <w:szCs w:val="18"/>
              </w:rPr>
            </w:pPr>
            <w:r>
              <w:rPr>
                <w:rFonts w:ascii="Times New Roman"/>
                <w:sz w:val="18"/>
              </w:rPr>
              <w:t>-1,139,44</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1.76</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28,860,55</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8.24</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140,914,4</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87.65</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left"/>
              <w:rPr>
                <w:rFonts w:ascii="Times New Roman" w:hAnsi="Times New Roman" w:cs="Times New Roman" w:eastAsia="Times New Roman" w:hint="default"/>
                <w:sz w:val="18"/>
                <w:szCs w:val="18"/>
              </w:rPr>
            </w:pPr>
            <w:r>
              <w:rPr>
                <w:rFonts w:ascii="Times New Roman"/>
                <w:sz w:val="18"/>
              </w:rPr>
              <w:t>28,485,02</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3.06</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460,612.0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3</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 w:right="0"/>
              <w:jc w:val="center"/>
              <w:rPr>
                <w:rFonts w:ascii="Times New Roman" w:hAnsi="Times New Roman" w:cs="Times New Roman" w:eastAsia="Times New Roman" w:hint="default"/>
                <w:sz w:val="18"/>
                <w:szCs w:val="18"/>
              </w:rPr>
            </w:pPr>
            <w:r>
              <w:rPr>
                <w:rFonts w:ascii="Times New Roman"/>
                <w:sz w:val="18"/>
              </w:rPr>
              <w:t>-140,999,</w:t>
            </w:r>
          </w:p>
          <w:p>
            <w:pPr>
              <w:pStyle w:val="TableParagraph"/>
              <w:spacing w:line="240" w:lineRule="auto" w:before="93"/>
              <w:ind w:left="223" w:right="0"/>
              <w:jc w:val="center"/>
              <w:rPr>
                <w:rFonts w:ascii="Times New Roman" w:hAnsi="Times New Roman" w:cs="Times New Roman" w:eastAsia="Times New Roman" w:hint="default"/>
                <w:sz w:val="18"/>
                <w:szCs w:val="18"/>
              </w:rPr>
            </w:pPr>
            <w:r>
              <w:rPr>
                <w:rFonts w:ascii="Times New Roman"/>
                <w:sz w:val="18"/>
              </w:rPr>
              <w:t>564.50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28,860,55</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8.24</w:t>
            </w: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508" w:lineRule="auto" w:before="35"/>
        <w:ind w:right="8535"/>
        <w:jc w:val="left"/>
        <w:rPr>
          <w:b w:val="0"/>
          <w:bCs w:val="0"/>
        </w:rPr>
      </w:pPr>
      <w:bookmarkStart w:name="（3）其他说明" w:id="555"/>
      <w:bookmarkEnd w:id="555"/>
      <w:r>
        <w:rPr>
          <w:b w:val="0"/>
          <w:bCs w:val="0"/>
        </w:rPr>
      </w:r>
      <w:r>
        <w:rPr/>
        <w:t>（</w:t>
      </w:r>
      <w:r>
        <w:rPr>
          <w:rFonts w:ascii="Times New Roman" w:hAnsi="Times New Roman" w:cs="Times New Roman" w:eastAsia="Times New Roman" w:hint="default"/>
        </w:rPr>
        <w:t>3</w:t>
      </w:r>
      <w:r>
        <w:rPr/>
        <w:t>）其他说明</w:t>
      </w:r>
      <w:r>
        <w:rPr>
          <w:w w:val="99"/>
        </w:rPr>
        <w:t> </w:t>
      </w:r>
      <w:bookmarkStart w:name="4、营业收入和营业成本" w:id="556"/>
      <w:bookmarkEnd w:id="556"/>
      <w:r>
        <w:rPr>
          <w:w w:val="99"/>
        </w:rPr>
      </w:r>
      <w:r>
        <w:rPr>
          <w:rFonts w:ascii="Times New Roman" w:hAnsi="Times New Roman" w:cs="Times New Roman" w:eastAsia="Times New Roman" w:hint="default"/>
        </w:rPr>
        <w:t>4</w:t>
      </w:r>
      <w:r>
        <w:rPr/>
        <w:t>、营业收入和营业成本</w:t>
      </w:r>
      <w:r>
        <w:rPr>
          <w:b w:val="0"/>
          <w:bCs w:val="0"/>
        </w:rPr>
      </w:r>
    </w:p>
    <w:p>
      <w:pPr>
        <w:pStyle w:val="BodyText"/>
        <w:spacing w:line="240" w:lineRule="auto" w:before="6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90"/>
        <w:gridCol w:w="1832"/>
        <w:gridCol w:w="1923"/>
        <w:gridCol w:w="1907"/>
        <w:gridCol w:w="1922"/>
      </w:tblGrid>
      <w:tr>
        <w:trPr>
          <w:trHeight w:val="405" w:hRule="exact"/>
        </w:trPr>
        <w:tc>
          <w:tcPr>
            <w:tcW w:w="19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1990" w:type="dxa"/>
            <w:vMerge/>
            <w:tcBorders>
              <w:left w:val="single" w:sz="6" w:space="0" w:color="000000"/>
              <w:bottom w:val="single" w:sz="6" w:space="0" w:color="000000"/>
              <w:right w:val="single" w:sz="6" w:space="0" w:color="000000"/>
            </w:tcBorders>
            <w:shd w:val="clear" w:color="auto" w:fill="D2D2D2"/>
          </w:tcPr>
          <w:p>
            <w:pP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收入</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5"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1,342,983,676.65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678,563,713.68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991,529,672.28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511,601,110.22</w:t>
            </w:r>
          </w:p>
        </w:tc>
      </w:tr>
      <w:tr>
        <w:trPr>
          <w:trHeight w:val="406"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14,142,584.57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14,142,584.57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9,597,270.25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9,597,270.25</w:t>
            </w:r>
          </w:p>
        </w:tc>
      </w:tr>
      <w:tr>
        <w:trPr>
          <w:trHeight w:val="390"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1,357,126,261.22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692,706,298.25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1,001,126,942.53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521,198,380.47</w:t>
            </w:r>
          </w:p>
        </w:tc>
      </w:tr>
    </w:tbl>
    <w:p>
      <w:pPr>
        <w:pStyle w:val="BodyText"/>
        <w:spacing w:line="240" w:lineRule="auto" w:before="45"/>
        <w:ind w:right="1105"/>
        <w:jc w:val="left"/>
      </w:pPr>
      <w:r>
        <w:rPr/>
        <w:t>是否已执行新收入准则</w:t>
      </w:r>
    </w:p>
    <w:p>
      <w:pPr>
        <w:pStyle w:val="BodyText"/>
        <w:spacing w:line="319" w:lineRule="auto" w:before="139"/>
        <w:ind w:right="91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其他说明：</w:t>
      </w:r>
    </w:p>
    <w:p>
      <w:pPr>
        <w:spacing w:line="240" w:lineRule="auto" w:before="1"/>
        <w:rPr>
          <w:rFonts w:ascii="宋体" w:hAnsi="宋体" w:cs="宋体" w:eastAsia="宋体" w:hint="default"/>
          <w:sz w:val="24"/>
          <w:szCs w:val="24"/>
        </w:rPr>
      </w:pPr>
    </w:p>
    <w:p>
      <w:pPr>
        <w:pStyle w:val="Heading3"/>
        <w:spacing w:line="240" w:lineRule="auto"/>
        <w:ind w:right="1105"/>
        <w:jc w:val="left"/>
        <w:rPr>
          <w:b w:val="0"/>
          <w:bCs w:val="0"/>
        </w:rPr>
      </w:pPr>
      <w:bookmarkStart w:name="5、投资收益" w:id="557"/>
      <w:bookmarkEnd w:id="55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34"/>
        <w:gridCol w:w="3064"/>
        <w:gridCol w:w="3184"/>
      </w:tblGrid>
      <w:tr>
        <w:trPr>
          <w:trHeight w:val="406"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28,485,023.06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49,758,772.35</w:t>
            </w:r>
          </w:p>
        </w:tc>
      </w:tr>
      <w:tr>
        <w:trPr>
          <w:trHeight w:val="405"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理财产品在持有期间的投资收益</w:t>
            </w:r>
          </w:p>
        </w:tc>
        <w:tc>
          <w:tcPr>
            <w:tcW w:w="3064" w:type="dxa"/>
            <w:tcBorders>
              <w:top w:val="single" w:sz="6" w:space="0" w:color="000000"/>
              <w:left w:val="single" w:sz="6"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7,445,278.02</w:t>
            </w:r>
          </w:p>
        </w:tc>
      </w:tr>
      <w:tr>
        <w:trPr>
          <w:trHeight w:val="390"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28,485,023.06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57,204,050.37</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1105"/>
        <w:jc w:val="left"/>
        <w:rPr>
          <w:b w:val="0"/>
          <w:bCs w:val="0"/>
        </w:rPr>
      </w:pPr>
      <w:bookmarkStart w:name="6、其他" w:id="558"/>
      <w:bookmarkEnd w:id="558"/>
      <w:r>
        <w:rPr>
          <w:b w:val="0"/>
          <w:bCs w:val="0"/>
        </w:rPr>
      </w:r>
      <w:r>
        <w:rPr>
          <w:rFonts w:ascii="Times New Roman" w:hAnsi="Times New Roman" w:cs="Times New Roman" w:eastAsia="Times New Roman" w:hint="default"/>
        </w:rPr>
        <w:t>6</w:t>
      </w:r>
      <w:r>
        <w:rPr/>
        <w:t>、其他</w:t>
      </w:r>
      <w:r>
        <w:rPr>
          <w:b w:val="0"/>
          <w:bCs w:val="0"/>
        </w:rPr>
      </w:r>
    </w:p>
    <w:p>
      <w:pPr>
        <w:spacing w:line="240" w:lineRule="auto" w:before="2"/>
        <w:rPr>
          <w:rFonts w:ascii="宋体" w:hAnsi="宋体" w:cs="宋体" w:eastAsia="宋体" w:hint="default"/>
          <w:b/>
          <w:bCs/>
          <w:sz w:val="22"/>
          <w:szCs w:val="22"/>
        </w:rPr>
      </w:pPr>
    </w:p>
    <w:p>
      <w:pPr>
        <w:pStyle w:val="Heading2"/>
        <w:spacing w:line="240" w:lineRule="auto"/>
        <w:ind w:right="1105"/>
        <w:jc w:val="left"/>
        <w:rPr>
          <w:b w:val="0"/>
          <w:bCs w:val="0"/>
        </w:rPr>
      </w:pPr>
      <w:bookmarkStart w:name="十八、补充资料" w:id="559"/>
      <w:bookmarkEnd w:id="559"/>
      <w:r>
        <w:rPr>
          <w:b w:val="0"/>
          <w:bCs w:val="0"/>
        </w:rPr>
      </w:r>
      <w:r>
        <w:rPr/>
        <w:t>十八、补充资料</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05"/>
        <w:jc w:val="left"/>
        <w:rPr>
          <w:b w:val="0"/>
          <w:bCs w:val="0"/>
        </w:rPr>
      </w:pPr>
      <w:bookmarkStart w:name="1、当期非经常性损益明细表" w:id="560"/>
      <w:bookmarkEnd w:id="56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-898.93</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4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102,701,376.46</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47"/>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2,031,747.57</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47"/>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109,579,163.42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18"/>
              <w:jc w:val="left"/>
              <w:rPr>
                <w:rFonts w:ascii="宋体" w:hAnsi="宋体" w:cs="宋体" w:eastAsia="宋体" w:hint="default"/>
                <w:sz w:val="18"/>
                <w:szCs w:val="18"/>
              </w:rPr>
            </w:pPr>
            <w:r>
              <w:rPr>
                <w:rFonts w:ascii="宋体" w:hAnsi="宋体" w:cs="宋体" w:eastAsia="宋体" w:hint="default"/>
                <w:sz w:val="18"/>
                <w:szCs w:val="18"/>
              </w:rPr>
              <w:t>同一控制下合并易视腾科技</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月净利 润</w:t>
            </w:r>
          </w:p>
        </w:tc>
      </w:tr>
      <w:tr>
        <w:trPr>
          <w:trHeight w:val="2267"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29"/>
              <w:ind w:left="15" w:right="47"/>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1,977,152.60</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46"/>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499,885,773.84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91"/>
              <w:jc w:val="left"/>
              <w:rPr>
                <w:rFonts w:ascii="宋体" w:hAnsi="宋体" w:cs="宋体" w:eastAsia="宋体" w:hint="default"/>
                <w:sz w:val="18"/>
                <w:szCs w:val="18"/>
              </w:rPr>
            </w:pPr>
            <w:r>
              <w:rPr>
                <w:rFonts w:ascii="宋体" w:hAnsi="宋体" w:cs="宋体" w:eastAsia="宋体" w:hint="default"/>
                <w:sz w:val="18"/>
                <w:szCs w:val="18"/>
              </w:rPr>
              <w:t>非同一控制下企业合并邦道科技和数联 领航带来的</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-990,922.68</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w w:val="95"/>
                <w:sz w:val="18"/>
              </w:rPr>
              <w:t>-862,584.19</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12,430,564.84</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87,383,304.92</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614,506,938.33</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88" w:lineRule="auto" w:before="51"/>
        <w:ind w:right="1118"/>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89"/>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1"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44"/>
        <w:ind w:left="0" w:right="1125"/>
        <w:jc w:val="right"/>
      </w:pPr>
      <w:r>
        <w:rPr/>
        <w:pict>
          <v:shape style="position:absolute;margin-left:56.325001pt;margin-top:-78.858307pt;width:480.25pt;height:223.7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4"/>
                    <w:gridCol w:w="3064"/>
                    <w:gridCol w:w="3184"/>
                  </w:tblGrid>
                  <w:tr>
                    <w:trPr>
                      <w:trHeight w:val="4458"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6,281,071.66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根据财政部和国家税务总局</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95" w:lineRule="auto" w:before="51"/>
                          <w:ind w:left="15" w:right="14"/>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日发出《关于软件产品增值税政策 </w:t>
                        </w:r>
                        <w:r>
                          <w:rPr>
                            <w:rFonts w:ascii="宋体" w:hAnsi="宋体" w:cs="宋体" w:eastAsia="宋体" w:hint="default"/>
                            <w:spacing w:val="-6"/>
                            <w:sz w:val="18"/>
                            <w:szCs w:val="18"/>
                          </w:rPr>
                          <w:t>的通知》（财税</w:t>
                        </w:r>
                        <w:r>
                          <w:rPr>
                            <w:rFonts w:ascii="Times New Roman" w:hAnsi="Times New Roman" w:cs="Times New Roman" w:eastAsia="Times New Roman" w:hint="default"/>
                            <w:spacing w:val="-6"/>
                            <w:sz w:val="18"/>
                            <w:szCs w:val="18"/>
                          </w:rPr>
                          <w:t>[2011]100</w:t>
                        </w:r>
                        <w:r>
                          <w:rPr>
                            <w:rFonts w:ascii="Times New Roman" w:hAnsi="Times New Roman" w:cs="Times New Roman" w:eastAsia="Times New Roman" w:hint="default"/>
                            <w:spacing w:val="5"/>
                            <w:sz w:val="18"/>
                            <w:szCs w:val="18"/>
                          </w:rPr>
                          <w:t> </w:t>
                        </w:r>
                        <w:r>
                          <w:rPr>
                            <w:rFonts w:ascii="宋体" w:hAnsi="宋体" w:cs="宋体" w:eastAsia="宋体" w:hint="default"/>
                            <w:spacing w:val="-13"/>
                            <w:sz w:val="18"/>
                            <w:szCs w:val="18"/>
                          </w:rPr>
                          <w:t>号），本集团销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售的经认证的自行开发软件在获得主管</w:t>
                        </w:r>
                      </w:p>
                      <w:p>
                        <w:pPr>
                          <w:pStyle w:val="TableParagraph"/>
                          <w:spacing w:line="290" w:lineRule="auto" w:before="53"/>
                          <w:ind w:left="15" w:right="31"/>
                          <w:jc w:val="both"/>
                          <w:rPr>
                            <w:rFonts w:ascii="宋体" w:hAnsi="宋体" w:cs="宋体" w:eastAsia="宋体" w:hint="default"/>
                            <w:sz w:val="18"/>
                            <w:szCs w:val="18"/>
                          </w:rPr>
                        </w:pPr>
                        <w:r>
                          <w:rPr>
                            <w:rFonts w:ascii="宋体" w:hAnsi="宋体" w:cs="宋体" w:eastAsia="宋体" w:hint="default"/>
                            <w:sz w:val="18"/>
                            <w:szCs w:val="18"/>
                          </w:rPr>
                          <w:t>税务机关审批并按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税率（</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日前，本集团适用于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r>
                          <w:rPr>
                            <w:rFonts w:ascii="宋体" w:hAnsi="宋体" w:cs="宋体" w:eastAsia="宋体" w:hint="default"/>
                            <w:sz w:val="18"/>
                            <w:szCs w:val="18"/>
                          </w:rPr>
                          <w:t>销项税率</w:t>
                        </w:r>
                        <w:r>
                          <w:rPr>
                            <w:rFonts w:ascii="宋体" w:hAnsi="宋体" w:cs="宋体" w:eastAsia="宋体" w:hint="default"/>
                            <w:spacing w:val="-88"/>
                            <w:sz w:val="18"/>
                            <w:szCs w:val="18"/>
                          </w:rPr>
                          <w:t> </w:t>
                        </w:r>
                        <w:r>
                          <w:rPr>
                            <w:rFonts w:ascii="宋体" w:hAnsi="宋体" w:cs="宋体" w:eastAsia="宋体" w:hint="default"/>
                            <w:sz w:val="18"/>
                            <w:szCs w:val="18"/>
                          </w:rPr>
                          <w:t>征收增值税后，对增值税实际税负超过</w:t>
                        </w:r>
                      </w:p>
                      <w:p>
                        <w:pPr>
                          <w:pStyle w:val="TableParagraph"/>
                          <w:spacing w:line="312" w:lineRule="auto" w:before="57"/>
                          <w:ind w:left="15"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的部分实行即征即退政策。前述即征</w:t>
                        </w:r>
                        <w:r>
                          <w:rPr>
                            <w:rFonts w:ascii="宋体" w:hAnsi="宋体" w:cs="宋体" w:eastAsia="宋体" w:hint="default"/>
                            <w:w w:val="99"/>
                            <w:sz w:val="18"/>
                            <w:szCs w:val="18"/>
                          </w:rPr>
                          <w:t> </w:t>
                        </w:r>
                        <w:r>
                          <w:rPr>
                            <w:rFonts w:ascii="宋体" w:hAnsi="宋体" w:cs="宋体" w:eastAsia="宋体" w:hint="default"/>
                            <w:sz w:val="18"/>
                            <w:szCs w:val="18"/>
                          </w:rPr>
                          <w:t>即退的增值税退税被计入本集团的其他</w:t>
                        </w:r>
                        <w:r>
                          <w:rPr>
                            <w:rFonts w:ascii="宋体" w:hAnsi="宋体" w:cs="宋体" w:eastAsia="宋体" w:hint="default"/>
                            <w:w w:val="99"/>
                            <w:sz w:val="18"/>
                            <w:szCs w:val="18"/>
                          </w:rPr>
                          <w:t> </w:t>
                        </w:r>
                        <w:r>
                          <w:rPr>
                            <w:rFonts w:ascii="宋体" w:hAnsi="宋体" w:cs="宋体" w:eastAsia="宋体" w:hint="default"/>
                            <w:sz w:val="18"/>
                            <w:szCs w:val="18"/>
                          </w:rPr>
                          <w:t>收益，本集团认为该等增值税退税属于</w:t>
                        </w:r>
                        <w:r>
                          <w:rPr>
                            <w:rFonts w:ascii="宋体" w:hAnsi="宋体" w:cs="宋体" w:eastAsia="宋体" w:hint="default"/>
                            <w:w w:val="99"/>
                            <w:sz w:val="18"/>
                            <w:szCs w:val="18"/>
                          </w:rPr>
                          <w:t> </w:t>
                        </w:r>
                        <w:r>
                          <w:rPr>
                            <w:rFonts w:ascii="宋体" w:hAnsi="宋体" w:cs="宋体" w:eastAsia="宋体" w:hint="default"/>
                            <w:sz w:val="18"/>
                            <w:szCs w:val="18"/>
                          </w:rPr>
                          <w:t>与本集团正常主营的软件开发业务密切</w:t>
                        </w:r>
                        <w:r>
                          <w:rPr>
                            <w:rFonts w:ascii="宋体" w:hAnsi="宋体" w:cs="宋体" w:eastAsia="宋体" w:hint="default"/>
                            <w:w w:val="99"/>
                            <w:sz w:val="18"/>
                            <w:szCs w:val="18"/>
                          </w:rPr>
                          <w:t> </w:t>
                        </w:r>
                        <w:r>
                          <w:rPr>
                            <w:rFonts w:ascii="宋体" w:hAnsi="宋体" w:cs="宋体" w:eastAsia="宋体" w:hint="default"/>
                            <w:sz w:val="18"/>
                            <w:szCs w:val="18"/>
                          </w:rPr>
                          <w:t>相关，并符合国家政策规定、按照一定</w:t>
                        </w:r>
                        <w:r>
                          <w:rPr>
                            <w:rFonts w:ascii="宋体" w:hAnsi="宋体" w:cs="宋体" w:eastAsia="宋体" w:hint="default"/>
                            <w:w w:val="99"/>
                            <w:sz w:val="18"/>
                            <w:szCs w:val="18"/>
                          </w:rPr>
                          <w:t> </w:t>
                        </w:r>
                        <w:r>
                          <w:rPr>
                            <w:rFonts w:ascii="宋体" w:hAnsi="宋体" w:cs="宋体" w:eastAsia="宋体" w:hint="default"/>
                            <w:sz w:val="18"/>
                            <w:szCs w:val="18"/>
                          </w:rPr>
                          <w:t>标准定额或定量享受的政府补助，故未</w:t>
                        </w:r>
                      </w:p>
                      <w:p>
                        <w:pPr>
                          <w:pStyle w:val="TableParagraph"/>
                          <w:spacing w:line="240" w:lineRule="auto" w:before="25"/>
                          <w:ind w:left="15" w:right="0"/>
                          <w:jc w:val="both"/>
                          <w:rPr>
                            <w:rFonts w:ascii="宋体" w:hAnsi="宋体" w:cs="宋体" w:eastAsia="宋体" w:hint="default"/>
                            <w:sz w:val="18"/>
                            <w:szCs w:val="18"/>
                          </w:rPr>
                        </w:pPr>
                        <w:r>
                          <w:rPr>
                            <w:rFonts w:ascii="宋体" w:hAnsi="宋体" w:cs="宋体" w:eastAsia="宋体" w:hint="default"/>
                            <w:sz w:val="18"/>
                            <w:szCs w:val="18"/>
                          </w:rPr>
                          <w:t>计入本集团非经常性损益。</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3"/>
        <w:spacing w:line="240" w:lineRule="auto" w:before="35"/>
        <w:ind w:right="1105"/>
        <w:jc w:val="left"/>
        <w:rPr>
          <w:b w:val="0"/>
          <w:bCs w:val="0"/>
        </w:rPr>
      </w:pPr>
      <w:bookmarkStart w:name="2、净资产收益率及每股收益" w:id="561"/>
      <w:bookmarkEnd w:id="56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3"/>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2651"/>
        <w:gridCol w:w="3094"/>
        <w:gridCol w:w="1907"/>
        <w:gridCol w:w="1922"/>
      </w:tblGrid>
      <w:tr>
        <w:trPr>
          <w:trHeight w:val="203" w:hRule="exact"/>
        </w:trPr>
        <w:tc>
          <w:tcPr>
            <w:tcW w:w="2651" w:type="dxa"/>
            <w:tcBorders>
              <w:top w:val="single" w:sz="6" w:space="0" w:color="000000"/>
              <w:left w:val="single" w:sz="6" w:space="0" w:color="000000"/>
              <w:bottom w:val="nil" w:sz="6" w:space="0" w:color="auto"/>
              <w:right w:val="single" w:sz="6" w:space="0" w:color="000000"/>
            </w:tcBorders>
            <w:shd w:val="clear" w:color="auto" w:fill="D2D2D2"/>
          </w:tcPr>
          <w:p>
            <w:pPr/>
          </w:p>
        </w:tc>
        <w:tc>
          <w:tcPr>
            <w:tcW w:w="3094"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03" w:hRule="exact"/>
        </w:trPr>
        <w:tc>
          <w:tcPr>
            <w:tcW w:w="26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86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9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64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2651" w:type="dxa"/>
            <w:vMerge/>
            <w:tcBorders>
              <w:left w:val="single" w:sz="6" w:space="0" w:color="000000"/>
              <w:bottom w:val="nil" w:sz="6" w:space="0" w:color="auto"/>
              <w:right w:val="single" w:sz="6" w:space="0" w:color="000000"/>
            </w:tcBorders>
            <w:shd w:val="clear" w:color="auto" w:fill="D2D2D2"/>
          </w:tcPr>
          <w:p>
            <w:pPr/>
          </w:p>
        </w:tc>
        <w:tc>
          <w:tcPr>
            <w:tcW w:w="3094" w:type="dxa"/>
            <w:vMerge/>
            <w:tcBorders>
              <w:left w:val="single" w:sz="6" w:space="0" w:color="000000"/>
              <w:bottom w:val="nil" w:sz="6" w:space="0" w:color="auto"/>
              <w:right w:val="single" w:sz="6" w:space="0" w:color="000000"/>
            </w:tcBorders>
            <w:shd w:val="clear" w:color="auto" w:fill="D2D2D2"/>
          </w:tcPr>
          <w:p>
            <w:pP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3" w:hRule="exact"/>
        </w:trPr>
        <w:tc>
          <w:tcPr>
            <w:tcW w:w="2651" w:type="dxa"/>
            <w:tcBorders>
              <w:top w:val="nil" w:sz="6" w:space="0" w:color="auto"/>
              <w:left w:val="single" w:sz="6" w:space="0" w:color="000000"/>
              <w:bottom w:val="single" w:sz="6" w:space="0" w:color="000000"/>
              <w:right w:val="single" w:sz="6" w:space="0" w:color="000000"/>
            </w:tcBorders>
            <w:shd w:val="clear" w:color="auto" w:fill="D2D2D2"/>
          </w:tcPr>
          <w:p>
            <w:pPr/>
          </w:p>
        </w:tc>
        <w:tc>
          <w:tcPr>
            <w:tcW w:w="30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31.16%</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1.7805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1.7678</w:t>
            </w:r>
          </w:p>
        </w:tc>
      </w:tr>
      <w:tr>
        <w:trPr>
          <w:trHeight w:val="7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13.97%</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0.7332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0.7287</w:t>
            </w:r>
          </w:p>
        </w:tc>
      </w:tr>
    </w:tbl>
    <w:p>
      <w:pPr>
        <w:spacing w:line="240" w:lineRule="auto" w:before="11"/>
        <w:rPr>
          <w:rFonts w:ascii="宋体" w:hAnsi="宋体" w:cs="宋体" w:eastAsia="宋体" w:hint="default"/>
          <w:b/>
          <w:bCs/>
          <w:sz w:val="19"/>
          <w:szCs w:val="19"/>
        </w:rPr>
      </w:pPr>
    </w:p>
    <w:p>
      <w:pPr>
        <w:pStyle w:val="Heading3"/>
        <w:spacing w:line="240" w:lineRule="auto" w:before="35"/>
        <w:ind w:right="1105"/>
        <w:jc w:val="left"/>
        <w:rPr>
          <w:b w:val="0"/>
          <w:bCs w:val="0"/>
        </w:rPr>
      </w:pPr>
      <w:bookmarkStart w:name="3、境内外会计准则下会计数据差异" w:id="562"/>
      <w:bookmarkEnd w:id="562"/>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05"/>
        <w:jc w:val="left"/>
        <w:rPr>
          <w:b w:val="0"/>
          <w:bCs w:val="0"/>
        </w:rPr>
      </w:pPr>
      <w:bookmarkStart w:name="（1）同时按照国际会计准则与按中国会计准则披露的财务报告中净利润和净资产差异情况" w:id="563"/>
      <w:bookmarkEnd w:id="563"/>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6"/>
        <w:ind w:right="1105"/>
        <w:jc w:val="left"/>
        <w:rPr>
          <w:b w:val="0"/>
          <w:bCs w:val="0"/>
        </w:rPr>
      </w:pPr>
      <w:bookmarkStart w:name="（2）同时按照境外会计准则与按中国会计准则披露的财务报告中净利润和净资产差异情况" w:id="564"/>
      <w:bookmarkEnd w:id="564"/>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11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7" w:lineRule="auto"/>
        <w:ind w:right="1105"/>
        <w:jc w:val="left"/>
        <w:rPr>
          <w:b w:val="0"/>
          <w:bCs w:val="0"/>
        </w:rPr>
      </w:pPr>
      <w:bookmarkStart w:name="（3）境内外会计准则下会计数据差异原因说明，对已经境外审计机构审计的数据进行差异" w:id="565"/>
      <w:bookmarkEnd w:id="565"/>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53"/>
        </w:rPr>
        <w:t> </w:t>
      </w:r>
      <w:r>
        <w:rPr>
          <w:spacing w:val="-53"/>
        </w:rPr>
      </w:r>
      <w:r>
        <w:rPr/>
        <w:t>明该境外机构的名称</w:t>
      </w:r>
      <w:r>
        <w:rPr>
          <w:b w:val="0"/>
          <w:bCs w:val="0"/>
        </w:rPr>
      </w:r>
    </w:p>
    <w:p>
      <w:pPr>
        <w:spacing w:line="240" w:lineRule="auto" w:before="7"/>
        <w:rPr>
          <w:rFonts w:ascii="宋体" w:hAnsi="宋体" w:cs="宋体" w:eastAsia="宋体" w:hint="default"/>
          <w:b/>
          <w:bCs/>
          <w:sz w:val="25"/>
          <w:szCs w:val="25"/>
        </w:rPr>
      </w:pPr>
    </w:p>
    <w:p>
      <w:pPr>
        <w:pStyle w:val="Heading3"/>
        <w:spacing w:line="240" w:lineRule="auto"/>
        <w:ind w:right="1105"/>
        <w:jc w:val="left"/>
        <w:rPr>
          <w:b w:val="0"/>
          <w:bCs w:val="0"/>
        </w:rPr>
      </w:pPr>
      <w:bookmarkStart w:name="4、其他" w:id="566"/>
      <w:bookmarkEnd w:id="566"/>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1"/>
          <w:szCs w:val="21"/>
        </w:rPr>
      </w:pPr>
    </w:p>
    <w:p>
      <w:pPr>
        <w:pStyle w:val="Heading1"/>
        <w:spacing w:line="240" w:lineRule="auto"/>
        <w:ind w:left="3355" w:right="1105"/>
        <w:jc w:val="left"/>
        <w:rPr>
          <w:b w:val="0"/>
          <w:bCs w:val="0"/>
        </w:rPr>
      </w:pPr>
      <w:bookmarkStart w:name="_TOC_250000" w:id="567"/>
      <w:bookmarkStart w:name="第十三节备查文件目录" w:id="568"/>
      <w:r>
        <w:rPr>
          <w:b w:val="0"/>
          <w:bCs w:val="0"/>
        </w:rPr>
      </w:r>
      <w:r>
        <w:rPr>
          <w:spacing w:val="5"/>
        </w:rPr>
        <w:t>第十三节备查文件目录</w:t>
      </w:r>
      <w:bookmarkEnd w:id="567"/>
      <w:r>
        <w:rPr>
          <w:b w:val="0"/>
          <w:bCs w:val="0"/>
          <w:spacing w:val="5"/>
        </w:rPr>
      </w:r>
    </w:p>
    <w:p>
      <w:pPr>
        <w:spacing w:line="240" w:lineRule="auto" w:before="7"/>
        <w:rPr>
          <w:rFonts w:ascii="宋体" w:hAnsi="宋体" w:cs="宋体" w:eastAsia="宋体" w:hint="default"/>
          <w:b/>
          <w:bCs/>
          <w:sz w:val="42"/>
          <w:szCs w:val="42"/>
        </w:rPr>
      </w:pPr>
    </w:p>
    <w:p>
      <w:pPr>
        <w:pStyle w:val="BodyText"/>
        <w:spacing w:line="240" w:lineRule="auto"/>
        <w:ind w:right="1105"/>
        <w:jc w:val="left"/>
      </w:pPr>
      <w:r>
        <w:rPr/>
        <w:t>（一）载有法定代表人签名的年度报告文本；</w:t>
      </w:r>
    </w:p>
    <w:p>
      <w:pPr>
        <w:pStyle w:val="BodyText"/>
        <w:spacing w:line="240" w:lineRule="auto" w:before="109"/>
        <w:ind w:right="1105"/>
        <w:jc w:val="left"/>
      </w:pPr>
      <w:r>
        <w:rPr/>
        <w:t>（二）载有单位负责人、主管会计工作负责人、会计机构负责人签名并盖章的财务报告文本；</w:t>
      </w:r>
    </w:p>
    <w:p>
      <w:pPr>
        <w:pStyle w:val="BodyText"/>
        <w:spacing w:line="240" w:lineRule="auto" w:before="125"/>
        <w:ind w:right="1105"/>
        <w:jc w:val="left"/>
      </w:pPr>
      <w:r>
        <w:rPr/>
        <w:t>（三）其他有关资料。</w:t>
      </w:r>
    </w:p>
    <w:p>
      <w:pPr>
        <w:pStyle w:val="BodyText"/>
        <w:spacing w:line="240" w:lineRule="auto" w:before="110"/>
        <w:ind w:right="1105"/>
        <w:jc w:val="left"/>
      </w:pPr>
      <w:r>
        <w:rPr/>
        <w:t>（四）以上备查文件的备置地点：公司证券投资部、深圳交易所。</w:t>
      </w:r>
    </w:p>
    <w:sectPr>
      <w:pgSz w:w="11910" w:h="16850"/>
      <w:pgMar w:header="731" w:footer="981" w:top="1040" w:bottom="1180" w:left="10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326160" type="#_x0000_t75" stroked="false">
          <v:imagedata r:id="rId1" o:title=""/>
        </v:shape>
      </w:pict>
    </w:r>
    <w:r>
      <w:rPr/>
      <w:pict>
        <v:shape style="position:absolute;margin-left:534.419983pt;margin-top:795.707947pt;width:6.5pt;height:11pt;mso-position-horizontal-relative:page;mso-position-vertical-relative:page;z-index:-13261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326112" type="#_x0000_t75" stroked="false">
          <v:imagedata r:id="rId1" o:title=""/>
        </v:shape>
      </w:pict>
    </w:r>
    <w:r>
      <w:rPr/>
      <w:pict>
        <v:shape style="position:absolute;margin-left:528.919983pt;margin-top:782.207947pt;width:13pt;height:11pt;mso-position-horizontal-relative:page;mso-position-vertical-relative:page;z-index:-13260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r>
      <w:rPr/>
      <w:pict>
        <v:shape style="position:absolute;margin-left:534.419983pt;margin-top:782.207947pt;width:6.5pt;height:11pt;mso-position-horizontal-relative:page;mso-position-vertical-relative:page;z-index:-13260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r>
      <w:rPr/>
      <w:pict>
        <v:shape style="position:absolute;margin-left:529.919983pt;margin-top:782.207947pt;width:11pt;height:11pt;mso-position-horizontal-relative:page;mso-position-vertical-relative:page;z-index:-132604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41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326016" type="#_x0000_t75" stroked="false">
          <v:imagedata r:id="rId1" o:title=""/>
        </v:shape>
      </w:pict>
    </w:r>
    <w:r>
      <w:rPr/>
      <w:pict>
        <v:shape style="position:absolute;margin-left:528.919983pt;margin-top:782.207947pt;width:13pt;height:11pt;mso-position-horizontal-relative:page;mso-position-vertical-relative:page;z-index:-13259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325968" type="#_x0000_t75" stroked="false">
          <v:imagedata r:id="rId1" o:title=""/>
        </v:shape>
      </w:pict>
    </w:r>
    <w:r>
      <w:rPr/>
      <w:pict>
        <v:shape style="position:absolute;margin-left:525.400024pt;margin-top:782.207947pt;width:15.5pt;height:11pt;mso-position-horizontal-relative:page;mso-position-vertical-relative:page;z-index:-13259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325920" type="#_x0000_t75" stroked="false">
          <v:imagedata r:id="rId1" o:title=""/>
        </v:shape>
      </w:pict>
    </w:r>
    <w:r>
      <w:rPr/>
      <w:pict>
        <v:shape style="position:absolute;margin-left:524.400024pt;margin-top:782.207947pt;width:18.25pt;height:11pt;mso-position-horizontal-relative:page;mso-position-vertical-relative:page;z-index:-13258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325872" type="#_x0000_t75" stroked="false">
          <v:imagedata r:id="rId1" o:title=""/>
        </v:shape>
      </w:pict>
    </w:r>
    <w:r>
      <w:rPr/>
      <w:pict>
        <v:shape style="position:absolute;margin-left:525.400024pt;margin-top:782.207947pt;width:15.5pt;height:11pt;mso-position-horizontal-relative:page;mso-position-vertical-relative:page;z-index:-13258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325824" type="#_x0000_t75" stroked="false">
          <v:imagedata r:id="rId1" o:title=""/>
        </v:shape>
      </w:pict>
    </w:r>
    <w:r>
      <w:rPr/>
      <w:pict>
        <v:shape style="position:absolute;margin-left:524.400024pt;margin-top:782.207947pt;width:17.55pt;height:11pt;mso-position-horizontal-relative:page;mso-position-vertical-relative:page;z-index:-13258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235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5.170013pt;margin-top:35.565624pt;width:195.7pt;height:11.5pt;mso-position-horizontal-relative:page;mso-position-vertical-relative:page;z-index:-1326184" type="#_x0000_t202" filled="false" stroked="false">
          <v:textbox inset="0,0,0,0">
            <w:txbxContent>
              <w:p>
                <w:pPr>
                  <w:pStyle w:val="BodyText"/>
                  <w:spacing w:line="214" w:lineRule="exact"/>
                  <w:ind w:left="20" w:right="0"/>
                  <w:jc w:val="left"/>
                </w:pPr>
                <w:r>
                  <w:rPr/>
                  <w:t>朗新科技集团股份有限公司</w:t>
                </w:r>
                <w:r>
                  <w:rPr>
                    <w:spacing w:val="-42"/>
                  </w:rPr>
                  <w:t> </w:t>
                </w:r>
                <w:r>
                  <w:rPr>
                    <w:rFonts w:ascii="Times New Roman" w:hAnsi="Times New Roman" w:cs="Times New Roman" w:eastAsia="Times New Roman" w:hint="default"/>
                  </w:rPr>
                  <w:t>2019 </w:t>
                </w:r>
                <w:r>
                  <w:rPr/>
                  <w:t>年年度报告全文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lowerRoman"/>
      <w:lvlText w:val="(%1)"/>
      <w:lvlJc w:val="left"/>
      <w:pPr>
        <w:ind w:left="562" w:hanging="421"/>
        <w:jc w:val="left"/>
      </w:pPr>
      <w:rPr>
        <w:rFonts w:hint="default" w:ascii="Times New Roman" w:hAnsi="Times New Roman" w:eastAsia="Times New Roman"/>
        <w:spacing w:val="-5"/>
        <w:w w:val="99"/>
        <w:sz w:val="18"/>
        <w:szCs w:val="18"/>
      </w:rPr>
    </w:lvl>
    <w:lvl w:ilvl="1">
      <w:start w:val="1"/>
      <w:numFmt w:val="bullet"/>
      <w:lvlText w:val="•"/>
      <w:lvlJc w:val="left"/>
      <w:pPr>
        <w:ind w:left="1595" w:hanging="421"/>
      </w:pPr>
      <w:rPr>
        <w:rFonts w:hint="default"/>
      </w:rPr>
    </w:lvl>
    <w:lvl w:ilvl="2">
      <w:start w:val="1"/>
      <w:numFmt w:val="bullet"/>
      <w:lvlText w:val="•"/>
      <w:lvlJc w:val="left"/>
      <w:pPr>
        <w:ind w:left="2630" w:hanging="421"/>
      </w:pPr>
      <w:rPr>
        <w:rFonts w:hint="default"/>
      </w:rPr>
    </w:lvl>
    <w:lvl w:ilvl="3">
      <w:start w:val="1"/>
      <w:numFmt w:val="bullet"/>
      <w:lvlText w:val="•"/>
      <w:lvlJc w:val="left"/>
      <w:pPr>
        <w:ind w:left="3665" w:hanging="421"/>
      </w:pPr>
      <w:rPr>
        <w:rFonts w:hint="default"/>
      </w:rPr>
    </w:lvl>
    <w:lvl w:ilvl="4">
      <w:start w:val="1"/>
      <w:numFmt w:val="bullet"/>
      <w:lvlText w:val="•"/>
      <w:lvlJc w:val="left"/>
      <w:pPr>
        <w:ind w:left="4700" w:hanging="421"/>
      </w:pPr>
      <w:rPr>
        <w:rFonts w:hint="default"/>
      </w:rPr>
    </w:lvl>
    <w:lvl w:ilvl="5">
      <w:start w:val="1"/>
      <w:numFmt w:val="bullet"/>
      <w:lvlText w:val="•"/>
      <w:lvlJc w:val="left"/>
      <w:pPr>
        <w:ind w:left="5735" w:hanging="421"/>
      </w:pPr>
      <w:rPr>
        <w:rFonts w:hint="default"/>
      </w:rPr>
    </w:lvl>
    <w:lvl w:ilvl="6">
      <w:start w:val="1"/>
      <w:numFmt w:val="bullet"/>
      <w:lvlText w:val="•"/>
      <w:lvlJc w:val="left"/>
      <w:pPr>
        <w:ind w:left="6770" w:hanging="421"/>
      </w:pPr>
      <w:rPr>
        <w:rFonts w:hint="default"/>
      </w:rPr>
    </w:lvl>
    <w:lvl w:ilvl="7">
      <w:start w:val="1"/>
      <w:numFmt w:val="bullet"/>
      <w:lvlText w:val="•"/>
      <w:lvlJc w:val="left"/>
      <w:pPr>
        <w:ind w:left="7805" w:hanging="421"/>
      </w:pPr>
      <w:rPr>
        <w:rFonts w:hint="default"/>
      </w:rPr>
    </w:lvl>
    <w:lvl w:ilvl="8">
      <w:start w:val="1"/>
      <w:numFmt w:val="bullet"/>
      <w:lvlText w:val="•"/>
      <w:lvlJc w:val="left"/>
      <w:pPr>
        <w:ind w:left="8840" w:hanging="42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3"/>
      <w:ind w:left="141"/>
    </w:pPr>
    <w:rPr>
      <w:rFonts w:ascii="宋体" w:hAnsi="宋体" w:eastAsia="宋体"/>
      <w:b/>
      <w:bCs/>
      <w:sz w:val="24"/>
      <w:szCs w:val="24"/>
    </w:rPr>
  </w:style>
  <w:style w:styleId="BodyText" w:type="paragraph">
    <w:name w:val="Body Text"/>
    <w:basedOn w:val="Normal"/>
    <w:uiPriority w:val="1"/>
    <w:qFormat/>
    <w:pPr>
      <w:ind w:left="141"/>
    </w:pPr>
    <w:rPr>
      <w:rFonts w:ascii="宋体" w:hAnsi="宋体" w:eastAsia="宋体"/>
      <w:sz w:val="18"/>
      <w:szCs w:val="18"/>
    </w:rPr>
  </w:style>
  <w:style w:styleId="Heading1" w:type="paragraph">
    <w:name w:val="Heading 1"/>
    <w:basedOn w:val="Normal"/>
    <w:uiPriority w:val="1"/>
    <w:qFormat/>
    <w:pPr>
      <w:spacing w:before="9"/>
      <w:ind w:left="2782"/>
      <w:outlineLvl w:val="1"/>
    </w:pPr>
    <w:rPr>
      <w:rFonts w:ascii="宋体" w:hAnsi="宋体" w:eastAsia="宋体"/>
      <w:b/>
      <w:bCs/>
      <w:sz w:val="31"/>
      <w:szCs w:val="31"/>
    </w:rPr>
  </w:style>
  <w:style w:styleId="Heading2" w:type="paragraph">
    <w:name w:val="Heading 2"/>
    <w:basedOn w:val="Normal"/>
    <w:uiPriority w:val="1"/>
    <w:qFormat/>
    <w:pPr>
      <w:ind w:left="141"/>
      <w:outlineLvl w:val="2"/>
    </w:pPr>
    <w:rPr>
      <w:rFonts w:ascii="宋体" w:hAnsi="宋体" w:eastAsia="宋体"/>
      <w:b/>
      <w:bCs/>
      <w:sz w:val="24"/>
      <w:szCs w:val="24"/>
    </w:rPr>
  </w:style>
  <w:style w:styleId="Heading3" w:type="paragraph">
    <w:name w:val="Heading 3"/>
    <w:basedOn w:val="Normal"/>
    <w:uiPriority w:val="1"/>
    <w:qFormat/>
    <w:pPr>
      <w:ind w:left="141"/>
      <w:outlineLvl w:val="3"/>
    </w:pPr>
    <w:rPr>
      <w:rFonts w:ascii="宋体" w:hAnsi="宋体" w:eastAsia="宋体"/>
      <w:b/>
      <w:bCs/>
      <w:sz w:val="21"/>
      <w:szCs w:val="21"/>
    </w:rPr>
  </w:style>
  <w:style w:styleId="Heading4" w:type="paragraph">
    <w:name w:val="Heading 4"/>
    <w:basedOn w:val="Normal"/>
    <w:uiPriority w:val="1"/>
    <w:qFormat/>
    <w:pPr>
      <w:spacing w:before="44"/>
      <w:ind w:left="141"/>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longshine.com/" TargetMode="External"/><Relationship Id="rId10" Type="http://schemas.openxmlformats.org/officeDocument/2006/relationships/hyperlink" Target="mailto:ir@longshine.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hyperlink" Target="http://www.cninfo.com.cn/new/disclosure/detail?orgId=9900029863&amp;amp;announcementId=1205895997&amp;amp;announcementTime=2019-03-13%2011%3A12" TargetMode="External"/><Relationship Id="rId14" Type="http://schemas.openxmlformats.org/officeDocument/2006/relationships/hyperlink" Target="https://view.officeapps.live.com/op/view.aspx?src=http%3A%2F%2Fstatic.cninfo.com.cn%2Ffinalpage%2F2019-09-06%2F1206907040.docx" TargetMode="External"/><Relationship Id="rId15" Type="http://schemas.openxmlformats.org/officeDocument/2006/relationships/hyperlink" Target="https://view.officeapps.live.com/op/view.aspx?src=http%3A%2F%2Fstatic.cninfo.com.cn%2Ffinalpage%2F2019-10-30%2F1207046626.docx" TargetMode="External"/><Relationship Id="rId16" Type="http://schemas.openxmlformats.org/officeDocument/2006/relationships/footer" Target="footer3.xml"/><Relationship Id="rId17" Type="http://schemas.openxmlformats.org/officeDocument/2006/relationships/image" Target="media/image1.jpeg"/><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image" Target="media/image4.png"/><Relationship Id="rId21" Type="http://schemas.openxmlformats.org/officeDocument/2006/relationships/hyperlink" Target="http://www.cninfo.co/" TargetMode="External"/><Relationship Id="rId22" Type="http://schemas.openxmlformats.org/officeDocument/2006/relationships/hyperlink" Target="http://www.cninfo.com.cn/new/index" TargetMode="External"/><Relationship Id="rId23" Type="http://schemas.openxmlformats.org/officeDocument/2006/relationships/footer" Target="footer6.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朗新科技集团股份有限公司</dc:creator>
  <dc:title>朗新科技集团股份有限公司2019年年度报告全文</dc:title>
  <dcterms:created xsi:type="dcterms:W3CDTF">2020-05-19T02:45:04Z</dcterms:created>
  <dcterms:modified xsi:type="dcterms:W3CDTF">2020-05-19T02:45:04Z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2020-04-03T00:00:00Z</vt:filetime>
  </property>
  <property fmtid="{D5CDD505-2E9C-101B-9397-08002B2CF9AE}" pid="3" name="Creator">
    <vt:lpwstr>Microsoft® Office Word 2007</vt:lpwstr>
  </property>
  <property fmtid="{D5CDD505-2E9C-101B-9397-08002B2CF9AE}" pid="4" name="LastSaved">
    <vt:filetime>2020-05-18T00:00:00Z</vt:filetime>
  </property>
</Properties>
</file>