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170" w:lineRule="exact"/>
        <w:ind w:left="484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1410335" cy="7429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10335" cy="742950"/>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3041" w:right="3041" w:firstLine="0"/>
        <w:jc w:val="center"/>
        <w:rPr>
          <w:rFonts w:ascii="宋体" w:hAnsi="宋体" w:cs="宋体" w:eastAsia="宋体" w:hint="default"/>
          <w:sz w:val="36"/>
          <w:szCs w:val="36"/>
        </w:rPr>
      </w:pPr>
      <w:r>
        <w:rPr>
          <w:rFonts w:ascii="宋体" w:hAnsi="宋体" w:cs="宋体" w:eastAsia="宋体" w:hint="default"/>
          <w:b/>
          <w:bCs/>
          <w:sz w:val="36"/>
          <w:szCs w:val="36"/>
        </w:rPr>
        <w:t>创业黑马（北京）科技股份有限公司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040" w:right="304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3041" w:right="304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公司负责人牛文文、主管会计工作负责人韩雪冬及会计机构负责人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潘博声明：保证年度报告中财务报告的真实、准确、完整。</w:t>
      </w:r>
      <w:r>
        <w:rPr>
          <w:rFonts w:ascii="宋体" w:hAnsi="宋体" w:cs="宋体" w:eastAsia="宋体" w:hint="default"/>
          <w:sz w:val="28"/>
          <w:szCs w:val="28"/>
        </w:rPr>
      </w:r>
    </w:p>
    <w:p>
      <w:pPr>
        <w:spacing w:line="472" w:lineRule="auto"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本报告所涉及的经营业绩的预计等前瞻性陈述均属于公司计划性事项，存</w:t>
      </w:r>
      <w:r>
        <w:rPr>
          <w:rFonts w:ascii="宋体" w:hAnsi="宋体" w:cs="宋体" w:eastAsia="宋体" w:hint="default"/>
          <w:spacing w:val="3"/>
          <w:sz w:val="28"/>
          <w:szCs w:val="28"/>
        </w:rPr>
      </w:r>
    </w:p>
    <w:p>
      <w:pPr>
        <w:spacing w:line="408" w:lineRule="auto" w:before="0"/>
        <w:ind w:left="113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在一定的不确定性，不构成公司对投资者的实质性承诺，敬请投资者注意投资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风险。公司年度报告中如有涉及未来计划、规划等预测性陈述，均不构成公司</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对投资者及相关人士的承诺，投资者及相关人士均应当对此保持足够的风险认</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识，并且应当理解计划、预测与承诺之间的差异。</w:t>
      </w:r>
      <w:r>
        <w:rPr>
          <w:rFonts w:ascii="宋体" w:hAnsi="宋体" w:cs="宋体" w:eastAsia="宋体" w:hint="default"/>
          <w:sz w:val="28"/>
          <w:szCs w:val="28"/>
        </w:rPr>
      </w:r>
    </w:p>
    <w:p>
      <w:pPr>
        <w:spacing w:line="398"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本公司请投资者认真阅读报告全文，需要特别注意的风险因素详见本报告</w:t>
      </w:r>
      <w:r>
        <w:rPr>
          <w:rFonts w:ascii="宋体" w:hAnsi="宋体" w:cs="宋体" w:eastAsia="宋体" w:hint="default"/>
          <w:b/>
          <w:bCs/>
          <w:w w:val="99"/>
          <w:sz w:val="28"/>
          <w:szCs w:val="28"/>
        </w:rPr>
        <w:t> </w:t>
      </w:r>
      <w:r>
        <w:rPr>
          <w:rFonts w:ascii="宋体" w:hAnsi="宋体" w:cs="宋体" w:eastAsia="宋体" w:hint="default"/>
          <w:b/>
          <w:bCs/>
          <w:spacing w:val="-3"/>
          <w:sz w:val="28"/>
          <w:szCs w:val="28"/>
        </w:rPr>
        <w:t>第四节</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经营情况讨论与分析</w:t>
      </w:r>
      <w:r>
        <w:rPr>
          <w:rFonts w:ascii="Times New Roman" w:hAnsi="Times New Roman" w:cs="Times New Roman" w:eastAsia="Times New Roman" w:hint="default"/>
          <w:b/>
          <w:bCs/>
          <w:spacing w:val="-3"/>
          <w:sz w:val="28"/>
          <w:szCs w:val="28"/>
        </w:rPr>
        <w:t>”</w:t>
      </w:r>
      <w:r>
        <w:rPr>
          <w:rFonts w:ascii="Times New Roman" w:hAnsi="Times New Roman" w:cs="Times New Roman" w:eastAsia="Times New Roman" w:hint="default"/>
          <w:b/>
          <w:bCs/>
          <w:spacing w:val="-3"/>
          <w:sz w:val="28"/>
          <w:szCs w:val="28"/>
        </w:rPr>
        <w:t>-</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九、未来发展的展望</w:t>
      </w:r>
      <w:r>
        <w:rPr>
          <w:rFonts w:ascii="Times New Roman" w:hAnsi="Times New Roman" w:cs="Times New Roman" w:eastAsia="Times New Roman" w:hint="default"/>
          <w:b/>
          <w:bCs/>
          <w:spacing w:val="-3"/>
          <w:sz w:val="28"/>
          <w:szCs w:val="28"/>
        </w:rPr>
        <w:t>”</w:t>
      </w:r>
      <w:r>
        <w:rPr>
          <w:rFonts w:ascii="Times New Roman" w:hAnsi="Times New Roman" w:cs="Times New Roman" w:eastAsia="Times New Roman" w:hint="default"/>
          <w:b/>
          <w:bCs/>
          <w:spacing w:val="-3"/>
          <w:sz w:val="28"/>
          <w:szCs w:val="28"/>
        </w:rPr>
        <w:t>-</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（四）可能面对的风险</w:t>
      </w:r>
      <w:r>
        <w:rPr>
          <w:rFonts w:ascii="Times New Roman" w:hAnsi="Times New Roman" w:cs="Times New Roman" w:eastAsia="Times New Roman" w:hint="default"/>
          <w:b/>
          <w:bCs/>
          <w:spacing w:val="-3"/>
          <w:sz w:val="28"/>
          <w:szCs w:val="28"/>
        </w:rPr>
        <w:t>”</w:t>
      </w:r>
      <w:r>
        <w:rPr>
          <w:rFonts w:ascii="Times New Roman" w:hAnsi="Times New Roman" w:cs="Times New Roman" w:eastAsia="Times New Roman" w:hint="default"/>
          <w:b/>
          <w:bCs/>
          <w:w w:val="99"/>
          <w:sz w:val="28"/>
          <w:szCs w:val="28"/>
        </w:rPr>
        <w:t> </w:t>
      </w:r>
      <w:r>
        <w:rPr>
          <w:rFonts w:ascii="宋体" w:hAnsi="宋体" w:cs="宋体" w:eastAsia="宋体" w:hint="default"/>
          <w:b/>
          <w:bCs/>
          <w:sz w:val="28"/>
          <w:szCs w:val="28"/>
        </w:rPr>
        <w:t>中相应内容。</w:t>
      </w:r>
      <w:r>
        <w:rPr>
          <w:rFonts w:ascii="宋体" w:hAnsi="宋体" w:cs="宋体" w:eastAsia="宋体" w:hint="default"/>
          <w:sz w:val="28"/>
          <w:szCs w:val="28"/>
        </w:rPr>
      </w:r>
    </w:p>
    <w:p>
      <w:pPr>
        <w:spacing w:before="171"/>
        <w:ind w:left="1695" w:right="0" w:firstLine="0"/>
        <w:jc w:val="left"/>
        <w:rPr>
          <w:rFonts w:ascii="Times New Roman" w:hAnsi="Times New Roman" w:cs="Times New Roman" w:eastAsia="Times New Roman" w:hint="default"/>
          <w:sz w:val="28"/>
          <w:szCs w:val="28"/>
        </w:rPr>
      </w:pPr>
      <w:r>
        <w:rPr>
          <w:rFonts w:ascii="宋体" w:hAnsi="宋体" w:cs="宋体" w:eastAsia="宋体" w:hint="default"/>
          <w:b/>
          <w:bCs/>
          <w:spacing w:val="3"/>
          <w:sz w:val="28"/>
          <w:szCs w:val="28"/>
        </w:rPr>
        <w:t>公司经本次董事会审议通过的利润分配预案为：以公司总股本</w:t>
      </w:r>
      <w:r>
        <w:rPr>
          <w:rFonts w:ascii="宋体" w:hAnsi="宋体" w:cs="宋体" w:eastAsia="宋体" w:hint="default"/>
          <w:b/>
          <w:bCs/>
          <w:spacing w:val="-16"/>
          <w:sz w:val="28"/>
          <w:szCs w:val="28"/>
        </w:rPr>
        <w:t> </w:t>
      </w:r>
      <w:r>
        <w:rPr>
          <w:rFonts w:ascii="Times New Roman" w:hAnsi="Times New Roman" w:cs="Times New Roman" w:eastAsia="Times New Roman" w:hint="default"/>
          <w:b/>
          <w:bCs/>
          <w:sz w:val="28"/>
          <w:szCs w:val="28"/>
        </w:rPr>
        <w:t>68,000,000</w:t>
      </w:r>
      <w:r>
        <w:rPr>
          <w:rFonts w:ascii="Times New Roman" w:hAnsi="Times New Roman" w:cs="Times New Roman" w:eastAsia="Times New Roman" w:hint="default"/>
          <w:sz w:val="28"/>
          <w:szCs w:val="28"/>
        </w:rPr>
      </w:r>
    </w:p>
    <w:p>
      <w:pPr>
        <w:spacing w:before="236"/>
        <w:ind w:left="1133" w:right="0" w:firstLine="0"/>
        <w:jc w:val="both"/>
        <w:rPr>
          <w:rFonts w:ascii="宋体" w:hAnsi="宋体" w:cs="宋体" w:eastAsia="宋体" w:hint="default"/>
          <w:sz w:val="28"/>
          <w:szCs w:val="28"/>
        </w:rPr>
      </w:pPr>
      <w:r>
        <w:rPr>
          <w:rFonts w:ascii="宋体" w:hAnsi="宋体" w:cs="宋体" w:eastAsia="宋体" w:hint="default"/>
          <w:b/>
          <w:bCs/>
          <w:w w:val="99"/>
          <w:sz w:val="28"/>
          <w:szCs w:val="28"/>
        </w:rPr>
        <w:t>股为基</w:t>
      </w:r>
      <w:r>
        <w:rPr>
          <w:rFonts w:ascii="宋体" w:hAnsi="宋体" w:cs="宋体" w:eastAsia="宋体" w:hint="default"/>
          <w:b/>
          <w:bCs/>
          <w:spacing w:val="2"/>
          <w:w w:val="99"/>
          <w:sz w:val="28"/>
          <w:szCs w:val="28"/>
        </w:rPr>
        <w:t>数</w:t>
      </w: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64"/>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1.00</w:t>
      </w:r>
      <w:r>
        <w:rPr>
          <w:rFonts w:ascii="Times New Roman" w:hAnsi="Times New Roman" w:cs="Times New Roman" w:eastAsia="Times New Roman" w:hint="default"/>
          <w:b/>
          <w:bCs/>
          <w:spacing w:val="4"/>
          <w:sz w:val="28"/>
          <w:szCs w:val="28"/>
        </w:rPr>
        <w:t> </w:t>
      </w:r>
      <w:r>
        <w:rPr>
          <w:rFonts w:ascii="宋体" w:hAnsi="宋体" w:cs="宋体" w:eastAsia="宋体" w:hint="default"/>
          <w:b/>
          <w:bCs/>
          <w:w w:val="99"/>
          <w:sz w:val="28"/>
          <w:szCs w:val="28"/>
        </w:rPr>
        <w:t>元（含税</w:t>
      </w:r>
      <w:r>
        <w:rPr>
          <w:rFonts w:ascii="宋体" w:hAnsi="宋体" w:cs="宋体" w:eastAsia="宋体" w:hint="default"/>
          <w:b/>
          <w:bCs/>
          <w:spacing w:val="-140"/>
          <w:w w:val="99"/>
          <w:sz w:val="28"/>
          <w:szCs w:val="28"/>
        </w:rPr>
        <w:t>）</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5"/>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
          <w:w w:val="99"/>
          <w:sz w:val="28"/>
          <w:szCs w:val="28"/>
        </w:rPr>
        <w:t>股（含</w:t>
      </w:r>
      <w:r>
        <w:rPr>
          <w:rFonts w:ascii="宋体" w:hAnsi="宋体" w:cs="宋体" w:eastAsia="宋体" w:hint="default"/>
          <w:sz w:val="28"/>
          <w:szCs w:val="28"/>
        </w:rPr>
      </w:r>
    </w:p>
    <w:p>
      <w:pPr>
        <w:spacing w:before="237"/>
        <w:ind w:left="1133" w:right="0" w:firstLine="0"/>
        <w:jc w:val="both"/>
        <w:rPr>
          <w:rFonts w:ascii="宋体" w:hAnsi="宋体" w:cs="宋体" w:eastAsia="宋体" w:hint="default"/>
          <w:sz w:val="28"/>
          <w:szCs w:val="28"/>
        </w:rPr>
      </w:pPr>
      <w:r>
        <w:rPr>
          <w:rFonts w:ascii="宋体" w:hAnsi="宋体" w:cs="宋体" w:eastAsia="宋体" w:hint="default"/>
          <w:b/>
          <w:bCs/>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b/>
          <w:bCs/>
          <w:spacing w:val="2"/>
          <w:w w:val="99"/>
          <w:sz w:val="28"/>
          <w:szCs w:val="28"/>
        </w:rPr>
        <w:t>以</w:t>
      </w:r>
      <w:r>
        <w:rPr>
          <w:rFonts w:ascii="宋体" w:hAnsi="宋体" w:cs="宋体" w:eastAsia="宋体" w:hint="default"/>
          <w:b/>
          <w:bCs/>
          <w:w w:val="99"/>
          <w:sz w:val="28"/>
          <w:szCs w:val="28"/>
        </w:rPr>
        <w:t>资本公</w:t>
      </w:r>
      <w:r>
        <w:rPr>
          <w:rFonts w:ascii="宋体" w:hAnsi="宋体" w:cs="宋体" w:eastAsia="宋体" w:hint="default"/>
          <w:b/>
          <w:bCs/>
          <w:spacing w:val="2"/>
          <w:w w:val="99"/>
          <w:sz w:val="28"/>
          <w:szCs w:val="28"/>
        </w:rPr>
        <w:t>积</w:t>
      </w:r>
      <w:r>
        <w:rPr>
          <w:rFonts w:ascii="宋体" w:hAnsi="宋体" w:cs="宋体" w:eastAsia="宋体" w:hint="default"/>
          <w:b/>
          <w:bCs/>
          <w:w w:val="99"/>
          <w:sz w:val="28"/>
          <w:szCs w:val="28"/>
        </w:rPr>
        <w:t>金向全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65"/>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股转</w:t>
      </w:r>
      <w:r>
        <w:rPr>
          <w:rFonts w:ascii="宋体" w:hAnsi="宋体" w:cs="宋体" w:eastAsia="宋体" w:hint="default"/>
          <w:b/>
          <w:bCs/>
          <w:w w:val="99"/>
          <w:sz w:val="28"/>
          <w:szCs w:val="28"/>
        </w:rPr>
        <w:t>增</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041" w:right="304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25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152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spacing w:before="946"/>
        <w:ind w:left="3041" w:right="304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创业黑马、公司、本公司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创业黑马（北京）科技股份有限公司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北京证监局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中国证券监督管理委员会北京证监局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创业黑马（北京）科技股份有限公司股东大会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创业黑马（北京）科技股份有限公司董事会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创业黑马（北京）科技股份有限公司监事会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创业黑马（北京）科技股份有限公司公司章程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会计师、审计机构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蓝创文化</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蓝创文化传媒（天津）合伙企业（有限合伙）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原投时创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北京原投时创文化传媒有限公司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创业嘉乐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北京创业嘉乐文化传媒交流中心（有限合伙）</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624" w:right="0"/>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910840"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创业黑马</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300688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创业黑马（北京）科技股份有限公司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创业黑马</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Dark Horse </w:t>
            </w:r>
            <w:r>
              <w:rPr>
                <w:rFonts w:ascii="Times New Roman"/>
                <w:spacing w:val="-3"/>
                <w:sz w:val="18"/>
              </w:rPr>
              <w:t>Venture </w:t>
            </w:r>
            <w:r>
              <w:rPr>
                <w:rFonts w:ascii="Times New Roman"/>
                <w:sz w:val="18"/>
              </w:rPr>
              <w:t>(Beijing) Technology Co.</w:t>
            </w:r>
            <w:r>
              <w:rPr>
                <w:rFonts w:ascii="Times New Roman"/>
                <w:spacing w:val="-23"/>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牛文文</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北京市朝阳区酒仙桥北路甲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 </w:t>
            </w:r>
            <w:r>
              <w:rPr>
                <w:rFonts w:ascii="宋体" w:hAnsi="宋体" w:cs="宋体" w:eastAsia="宋体" w:hint="default"/>
                <w:sz w:val="18"/>
                <w:szCs w:val="18"/>
              </w:rPr>
              <w:t>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100190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北京市海淀区北四环西路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 </w:t>
            </w:r>
            <w:r>
              <w:rPr>
                <w:rFonts w:ascii="宋体" w:hAnsi="宋体" w:cs="宋体" w:eastAsia="宋体" w:hint="default"/>
                <w:sz w:val="18"/>
                <w:szCs w:val="18"/>
              </w:rPr>
              <w:t>号方正国际大厦六层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100081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www.iheima.com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zq@iheima.com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李豪</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北京市海淀区北四环西路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号方正国际</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大厦六层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601 </w:t>
            </w:r>
            <w:r>
              <w:rPr>
                <w:rFonts w:ascii="宋体" w:hAnsi="宋体" w:cs="宋体" w:eastAsia="宋体" w:hint="default"/>
                <w:sz w:val="18"/>
                <w:szCs w:val="18"/>
              </w:rPr>
              <w:t>室</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北京市海淀区北四环西路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号方正国际</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大厦六层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601 </w:t>
            </w:r>
            <w:r>
              <w:rPr>
                <w:rFonts w:ascii="宋体" w:hAnsi="宋体" w:cs="宋体" w:eastAsia="宋体" w:hint="default"/>
                <w:sz w:val="18"/>
                <w:szCs w:val="18"/>
              </w:rPr>
              <w:t>室</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010-62691933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010-62691933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010-62691933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010-62691933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zq@iheima.com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zq@iheima.com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北京市海淀区北四环西路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 </w:t>
            </w:r>
            <w:r>
              <w:rPr>
                <w:rFonts w:ascii="宋体" w:hAnsi="宋体" w:cs="宋体" w:eastAsia="宋体" w:hint="default"/>
                <w:sz w:val="18"/>
                <w:szCs w:val="18"/>
              </w:rPr>
              <w:t>号方正国际大厦六层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室证券事务部</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北京市海淀区车公庄西路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号外文文化创意园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王玥、林涛</w:t>
            </w:r>
          </w:p>
        </w:tc>
      </w:tr>
    </w:tbl>
    <w:p>
      <w:pPr>
        <w:pStyle w:val="BodyText"/>
        <w:spacing w:line="240" w:lineRule="auto" w:before="51"/>
        <w:ind w:left="1134" w:right="0"/>
        <w:jc w:val="left"/>
      </w:pPr>
      <w:r>
        <w:rPr/>
        <w:t>公司聘请的报告期内履行持续督导职责的保荐机构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7"/>
              <w:jc w:val="left"/>
              <w:rPr>
                <w:rFonts w:ascii="宋体" w:hAnsi="宋体" w:cs="宋体" w:eastAsia="宋体" w:hint="default"/>
                <w:sz w:val="18"/>
                <w:szCs w:val="18"/>
              </w:rPr>
            </w:pPr>
            <w:r>
              <w:rPr>
                <w:rFonts w:ascii="宋体" w:hAnsi="宋体" w:cs="宋体" w:eastAsia="宋体" w:hint="default"/>
                <w:sz w:val="18"/>
                <w:szCs w:val="18"/>
              </w:rPr>
              <w:t>深圳市福田区益田路江苏大 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傅承、吴虹生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134" w:right="0"/>
        <w:jc w:val="left"/>
      </w:pPr>
      <w:r>
        <w:rPr/>
        <w:t>公司聘请的报告期内履行持续督导职责的财务顾问</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184,541,810.94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184,207,222.24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166,758,769.86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47,172,804.89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40,537,983.98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5,329,207.28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33,554,483.37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31,796,164.91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19,070,922.59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13,974,725.75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42,699,098.78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55,502,764.73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460,102,533.47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261,131,108.53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224,275,049.11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376,302,848.10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176,226,641.43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113.53%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134,577,120.66</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24,365,482.49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48,193,579.50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47,694,306.44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64,288,442.51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775,856.52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14,492,199.10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6,346,470.63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25,558,278.64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347,250.60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10,181,918.74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2,714,170.00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20,311,144.03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-18,606,153.11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4,914,017.82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975,401.92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26,691,459.12</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4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356,404.80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43,234.04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15,864,204.97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13,994,755.16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1,716,175.44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2,449,421.91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225,616.43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2,440.97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-16,113.33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429,551.27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-1,131,421.00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-14,980,695.00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4,367,231.27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4,140,836.14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536,431.68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686,919.86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233,416.09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370,315.34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13,618,321.52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8,741,819.07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-13,741,715.31</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40" w:lineRule="auto" w:before="61"/>
        <w:ind w:right="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说明原因</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1"/>
        <w:jc w:val="center"/>
        <w:rPr>
          <w:b w:val="0"/>
          <w:bCs w:val="0"/>
        </w:rPr>
      </w:pPr>
      <w:bookmarkStart w:name="_TOC_250009"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12" w:lineRule="auto" w:before="25"/>
        <w:ind w:right="0" w:firstLine="360"/>
        <w:jc w:val="left"/>
      </w:pPr>
      <w:r>
        <w:rPr>
          <w:spacing w:val="-2"/>
        </w:rPr>
        <w:t>创业黑马是一家聚焦于帮助创新创业企业成长的综合性创业服务提供商。公司主营业务为创业服务，具体为通过线上线</w:t>
      </w:r>
      <w:r>
        <w:rPr/>
        <w:t> </w:t>
      </w:r>
      <w:r>
        <w:rPr>
          <w:spacing w:val="-4"/>
        </w:rPr>
        <w:t>下相结合的商业模式，向创业群体提供包含创业辅导培训、以创业赛事活动为代表的公关服务、创业资讯等在内的综合服务。</w:t>
      </w:r>
      <w:r>
        <w:rPr>
          <w:spacing w:val="-44"/>
        </w:rPr>
        <w:t> </w:t>
      </w:r>
      <w:r>
        <w:rPr>
          <w:spacing w:val="-44"/>
        </w:rPr>
      </w:r>
      <w:r>
        <w:rPr/>
        <w:t>公司基于庞大的创业社群基础，整合多方资源构建了以</w:t>
      </w:r>
      <w:r>
        <w:rPr>
          <w:rFonts w:ascii="Times New Roman" w:hAnsi="Times New Roman" w:cs="Times New Roman" w:eastAsia="Times New Roman" w:hint="default"/>
        </w:rPr>
        <w:t>“</w:t>
      </w:r>
      <w:r>
        <w:rPr/>
        <w:t>发现、辅导、培养、孵化、加速</w:t>
      </w:r>
      <w:r>
        <w:rPr>
          <w:rFonts w:ascii="Times New Roman" w:hAnsi="Times New Roman" w:cs="Times New Roman" w:eastAsia="Times New Roman" w:hint="default"/>
        </w:rPr>
        <w:t>”</w:t>
      </w:r>
      <w:r>
        <w:rPr/>
        <w:t>为特征的创业服务生态，不断开发 新的自营服务产品，同时接入第三方服务产品，全方位提升服务创业企业的能力，在国内创业服务行业处于领先地位。</w:t>
      </w:r>
    </w:p>
    <w:p>
      <w:pPr>
        <w:pStyle w:val="BodyText"/>
        <w:spacing w:line="338" w:lineRule="auto" w:before="62"/>
        <w:ind w:left="1494" w:right="0"/>
        <w:jc w:val="left"/>
      </w:pPr>
      <w:r>
        <w:rPr/>
        <w:t>（</w:t>
      </w:r>
      <w:r>
        <w:rPr>
          <w:rFonts w:ascii="Times New Roman" w:hAnsi="Times New Roman" w:cs="Times New Roman" w:eastAsia="Times New Roman" w:hint="default"/>
        </w:rPr>
        <w:t>1</w:t>
      </w:r>
      <w:r>
        <w:rPr/>
        <w:t>）创业辅导培训服务 </w:t>
      </w:r>
      <w:r>
        <w:rPr>
          <w:spacing w:val="-2"/>
        </w:rPr>
        <w:t>创业创新企业迫切希望学习创业成长的理论知识和实战经验，并接触成功企业家思想和资源。公司通过邀请乐于向创业</w:t>
      </w:r>
    </w:p>
    <w:p>
      <w:pPr>
        <w:pStyle w:val="BodyText"/>
        <w:spacing w:line="319" w:lineRule="auto" w:before="2"/>
        <w:ind w:left="1134" w:right="1032"/>
        <w:jc w:val="left"/>
      </w:pPr>
      <w:r>
        <w:rPr/>
        <w:t>者分享经验的知名企业家、知名投资人、行业专家担任导师，选拔具有创新精神的高成长企业创始人、核心人员作为学员， </w:t>
      </w:r>
      <w:r>
        <w:rPr>
          <w:spacing w:val="-2"/>
        </w:rPr>
        <w:t>通过多样化的辅导方式，助力创业企业加速成长。针对创业企业的学习和交流需求，逐步推出了一系列创业辅导培训项目或</w:t>
      </w:r>
      <w:r>
        <w:rPr>
          <w:spacing w:val="-66"/>
        </w:rPr>
        <w:t> </w:t>
      </w:r>
      <w:r>
        <w:rPr>
          <w:spacing w:val="-66"/>
        </w:rPr>
      </w:r>
      <w:r>
        <w:rPr/>
        <w:t>课程，包括黑马成长营、创业实验室、千里马计划、国际游学以及高管营等项目。</w:t>
      </w:r>
    </w:p>
    <w:p>
      <w:pPr>
        <w:pStyle w:val="BodyText"/>
        <w:spacing w:line="319" w:lineRule="auto" w:before="55"/>
        <w:ind w:right="0" w:firstLine="360"/>
        <w:jc w:val="left"/>
      </w:pPr>
      <w:r>
        <w:rPr>
          <w:spacing w:val="-2"/>
        </w:rPr>
        <w:t>公司独特有效的课程体系经过多年建设日益完善，能够满足创业企业多层级的学习及合作需求，对学员和导师形成了强</w:t>
      </w:r>
      <w:r>
        <w:rPr/>
        <w:t> </w:t>
      </w:r>
      <w:r>
        <w:rPr>
          <w:spacing w:val="-4"/>
        </w:rPr>
        <w:t>大吸引力，实现了导师群体稳定增长、学员在课程体系中循环往复地流动，为创业辅导培训业务的持续增长奠定了良好基础。</w:t>
      </w:r>
    </w:p>
    <w:p>
      <w:pPr>
        <w:pStyle w:val="BodyText"/>
        <w:spacing w:line="338" w:lineRule="auto" w:before="56"/>
        <w:ind w:left="1493" w:right="1116"/>
        <w:jc w:val="left"/>
      </w:pPr>
      <w:r>
        <w:rPr/>
        <w:t>（</w:t>
      </w:r>
      <w:r>
        <w:rPr>
          <w:rFonts w:ascii="Times New Roman" w:hAnsi="Times New Roman" w:cs="Times New Roman" w:eastAsia="Times New Roman" w:hint="default"/>
        </w:rPr>
        <w:t>2</w:t>
      </w:r>
      <w:r>
        <w:rPr/>
        <w:t>）公关服务 </w:t>
      </w:r>
      <w:r>
        <w:rPr>
          <w:spacing w:val="-2"/>
        </w:rPr>
        <w:t>公司围绕创业相关群体，提供具体包括品牌传播、产品推广、创意营销、广告投放等在内的公关服务，公司的公关服务</w:t>
      </w:r>
    </w:p>
    <w:p>
      <w:pPr>
        <w:pStyle w:val="BodyText"/>
        <w:spacing w:line="357" w:lineRule="auto" w:before="4"/>
        <w:ind w:left="1493" w:right="0" w:hanging="360"/>
        <w:jc w:val="left"/>
      </w:pPr>
      <w:r>
        <w:rPr/>
        <w:t>将线下活动与线上传播相结合，协助品牌企业、园区类政府机构等客户影响创业群体，针对该群体进行宣传推广。 </w:t>
      </w:r>
      <w:r>
        <w:rPr>
          <w:spacing w:val="-2"/>
        </w:rPr>
        <w:t>具体而言，公司的线下公关服务以各类活动为主，公关客户通过购买冠名权、享受专项推广服务等方式支付赞助费；线</w:t>
      </w:r>
    </w:p>
    <w:p>
      <w:pPr>
        <w:pStyle w:val="BodyText"/>
        <w:spacing w:line="237" w:lineRule="exact"/>
        <w:ind w:right="0"/>
        <w:jc w:val="left"/>
      </w:pPr>
      <w:r>
        <w:rPr/>
        <w:t>上公关服务以公司自有资讯平台</w:t>
      </w:r>
      <w:r>
        <w:rPr>
          <w:rFonts w:ascii="Times New Roman" w:hAnsi="Times New Roman" w:cs="Times New Roman" w:eastAsia="Times New Roman" w:hint="default"/>
        </w:rPr>
        <w:t>i</w:t>
      </w:r>
      <w:r>
        <w:rPr/>
        <w:t>黑马网、</w:t>
      </w:r>
      <w:r>
        <w:rPr>
          <w:rFonts w:ascii="Times New Roman" w:hAnsi="Times New Roman" w:cs="Times New Roman" w:eastAsia="Times New Roman" w:hint="default"/>
        </w:rPr>
        <w:t>“i</w:t>
      </w:r>
      <w:r>
        <w:rPr/>
        <w:t>黑马</w:t>
      </w:r>
      <w:r>
        <w:rPr>
          <w:rFonts w:ascii="Times New Roman" w:hAnsi="Times New Roman" w:cs="Times New Roman" w:eastAsia="Times New Roman" w:hint="default"/>
        </w:rPr>
        <w:t>”</w:t>
      </w:r>
      <w:r>
        <w:rPr/>
        <w:t>微信公众号、</w:t>
      </w:r>
      <w:r>
        <w:rPr>
          <w:rFonts w:ascii="Times New Roman" w:hAnsi="Times New Roman" w:cs="Times New Roman" w:eastAsia="Times New Roman" w:hint="default"/>
        </w:rPr>
        <w:t>“i</w:t>
      </w:r>
      <w:r>
        <w:rPr/>
        <w:t>黑马</w:t>
      </w:r>
      <w:r>
        <w:rPr>
          <w:rFonts w:ascii="Times New Roman" w:hAnsi="Times New Roman" w:cs="Times New Roman" w:eastAsia="Times New Roman" w:hint="default"/>
        </w:rPr>
        <w:t>”</w:t>
      </w:r>
      <w:r>
        <w:rPr/>
        <w:t>新浪微博、</w:t>
      </w:r>
      <w:r>
        <w:rPr>
          <w:rFonts w:ascii="Times New Roman" w:hAnsi="Times New Roman" w:cs="Times New Roman" w:eastAsia="Times New Roman" w:hint="default"/>
        </w:rPr>
        <w:t>“</w:t>
      </w:r>
      <w:r>
        <w:rPr/>
        <w:t>创业家</w:t>
      </w:r>
      <w:r>
        <w:rPr>
          <w:rFonts w:ascii="Times New Roman" w:hAnsi="Times New Roman" w:cs="Times New Roman" w:eastAsia="Times New Roman" w:hint="default"/>
        </w:rPr>
        <w:t>”</w:t>
      </w:r>
      <w:r>
        <w:rPr/>
        <w:t>微信公众号、</w:t>
      </w:r>
      <w:r>
        <w:rPr>
          <w:rFonts w:ascii="Times New Roman" w:hAnsi="Times New Roman" w:cs="Times New Roman" w:eastAsia="Times New Roman" w:hint="default"/>
        </w:rPr>
        <w:t>“</w:t>
      </w:r>
      <w:r>
        <w:rPr/>
        <w:t>创业家传媒</w:t>
      </w:r>
      <w:r>
        <w:rPr>
          <w:rFonts w:ascii="Times New Roman" w:hAnsi="Times New Roman" w:cs="Times New Roman" w:eastAsia="Times New Roman" w:hint="default"/>
        </w:rPr>
        <w:t>”</w:t>
      </w:r>
      <w:r>
        <w:rPr/>
        <w:t>新浪</w:t>
      </w:r>
    </w:p>
    <w:p>
      <w:pPr>
        <w:pStyle w:val="BodyText"/>
        <w:spacing w:line="240" w:lineRule="auto" w:before="64"/>
        <w:ind w:right="0"/>
        <w:jc w:val="left"/>
      </w:pPr>
      <w:r>
        <w:rPr/>
        <w:t>微博以及</w:t>
      </w:r>
      <w:r>
        <w:rPr>
          <w:rFonts w:ascii="Times New Roman" w:hAnsi="Times New Roman" w:cs="Times New Roman" w:eastAsia="Times New Roman" w:hint="default"/>
        </w:rPr>
        <w:t>“</w:t>
      </w:r>
      <w:r>
        <w:rPr/>
        <w:t>创业家</w:t>
      </w:r>
      <w:r>
        <w:rPr>
          <w:rFonts w:ascii="Times New Roman" w:hAnsi="Times New Roman" w:cs="Times New Roman" w:eastAsia="Times New Roman" w:hint="default"/>
        </w:rPr>
        <w:t>”APP</w:t>
      </w:r>
      <w:r>
        <w:rPr/>
        <w:t>对客户进行宣传推广。</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报告期内，处置北京科创空间投资发展有限公司股权所致。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报告期内，购置设备和办公家具所致。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报告期内，购置线上业务系统和管理信息系统所致。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上期末银行承兑汇票到期，已收到相关款项所致。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报告期内，四季度业务较多，款项尚未收回所致。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报告期内，办公场所房租涨价及租赁面积增加导致预付房租增加所致。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报告期内，办公场所房租涨价及租赁面积增加导致房租押金增加所致。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报告期内，公司使用闲置自有资金购买结构性存款所致。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报告期内，各地路演中心的建设装修费增加所致。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报告期内，计提资产减值准备所致。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报告期内，路演中心建成，建设装修费转入长期待摊费用所致。</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38" w:lineRule="auto" w:before="26"/>
        <w:ind w:left="1494" w:right="0" w:firstLine="1"/>
        <w:jc w:val="left"/>
      </w:pPr>
      <w:r>
        <w:rPr>
          <w:rFonts w:ascii="Times New Roman" w:hAnsi="Times New Roman" w:cs="Times New Roman" w:eastAsia="Times New Roman" w:hint="default"/>
          <w:b/>
          <w:bCs/>
        </w:rPr>
        <w:t>1</w:t>
      </w:r>
      <w:r>
        <w:rPr>
          <w:rFonts w:ascii="宋体" w:hAnsi="宋体" w:cs="宋体" w:eastAsia="宋体" w:hint="default"/>
          <w:b/>
          <w:bCs/>
        </w:rPr>
        <w:t>、良好的品牌形象</w:t>
      </w:r>
      <w:r>
        <w:rPr>
          <w:rFonts w:ascii="宋体" w:hAnsi="宋体" w:cs="宋体" w:eastAsia="宋体" w:hint="default"/>
          <w:b/>
          <w:bCs/>
          <w:w w:val="99"/>
        </w:rPr>
        <w:t> </w:t>
      </w:r>
      <w:r>
        <w:rPr>
          <w:spacing w:val="-2"/>
        </w:rPr>
        <w:t>公司是国内创业服务领域的先行者之一，在业界享有较高的知名度。公司经过多年耕耘建立了完善的创业服务体系，累</w:t>
      </w:r>
    </w:p>
    <w:p>
      <w:pPr>
        <w:pStyle w:val="BodyText"/>
        <w:spacing w:line="307" w:lineRule="auto" w:before="2"/>
        <w:ind w:left="1134" w:right="1032"/>
        <w:jc w:val="left"/>
      </w:pPr>
      <w:r>
        <w:rPr/>
        <w:t>计深度培育及服务了数万家高成长创新型企业，其中</w:t>
      </w:r>
      <w:r>
        <w:rPr>
          <w:rFonts w:ascii="Times New Roman" w:hAnsi="Times New Roman" w:cs="Times New Roman" w:eastAsia="Times New Roman" w:hint="default"/>
        </w:rPr>
        <w:t>9</w:t>
      </w:r>
      <w:r>
        <w:rPr/>
        <w:t>家学员企业已经在国内外主流资本市场上市，公司也因此被誉为创新 </w:t>
      </w:r>
      <w:r>
        <w:rPr>
          <w:spacing w:val="-2"/>
        </w:rPr>
        <w:t>创业领域的</w:t>
      </w:r>
      <w:r>
        <w:rPr>
          <w:rFonts w:ascii="Times New Roman" w:hAnsi="Times New Roman" w:cs="Times New Roman" w:eastAsia="Times New Roman" w:hint="default"/>
          <w:spacing w:val="-2"/>
        </w:rPr>
        <w:t>“</w:t>
      </w:r>
      <w:r>
        <w:rPr>
          <w:spacing w:val="-2"/>
        </w:rPr>
        <w:t>独角兽工场</w:t>
      </w:r>
      <w:r>
        <w:rPr>
          <w:rFonts w:ascii="Times New Roman" w:hAnsi="Times New Roman" w:cs="Times New Roman" w:eastAsia="Times New Roman" w:hint="default"/>
          <w:spacing w:val="-2"/>
        </w:rPr>
        <w:t>”</w:t>
      </w:r>
      <w:r>
        <w:rPr>
          <w:spacing w:val="-2"/>
        </w:rPr>
        <w:t>。公司服务的专业度也得到了创业者及媒体、政府机构、投资机构等相关方的高度认可，成为了创</w:t>
      </w:r>
      <w:r>
        <w:rPr>
          <w:spacing w:val="-44"/>
        </w:rPr>
        <w:t> </w:t>
      </w:r>
      <w:r>
        <w:rPr>
          <w:spacing w:val="-44"/>
        </w:rPr>
      </w:r>
      <w:r>
        <w:rPr/>
        <w:t>业服务领域的标杆，为公司树立了良好的品牌形象。同时公司以用户社群为基础的运营模式也有利于品牌在用户中的深化， 帮助公司强化品牌影响力。</w:t>
      </w:r>
    </w:p>
    <w:p>
      <w:pPr>
        <w:spacing w:line="338" w:lineRule="auto" w:before="67"/>
        <w:ind w:left="149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、以国内领先的创业案例库为基础的课程研发及教学体系</w:t>
      </w:r>
      <w:r>
        <w:rPr>
          <w:rFonts w:ascii="宋体" w:hAnsi="宋体" w:cs="宋体" w:eastAsia="宋体" w:hint="default"/>
          <w:b/>
          <w:bCs/>
          <w:w w:val="99"/>
          <w:sz w:val="18"/>
          <w:szCs w:val="18"/>
        </w:rPr>
        <w:t> </w:t>
      </w:r>
      <w:r>
        <w:rPr>
          <w:rFonts w:ascii="宋体" w:hAnsi="宋体" w:cs="宋体" w:eastAsia="宋体" w:hint="default"/>
          <w:spacing w:val="-4"/>
          <w:sz w:val="18"/>
          <w:szCs w:val="18"/>
        </w:rPr>
        <w:t>公司从创业资讯业务开始就投入了大量的人力和资源持续开发国内领先企业的创业案例，并形成了规模庞大、内容丰富、</w:t>
      </w:r>
    </w:p>
    <w:p>
      <w:pPr>
        <w:pStyle w:val="BodyText"/>
        <w:spacing w:line="309" w:lineRule="auto" w:before="2"/>
        <w:ind w:right="1132"/>
        <w:jc w:val="both"/>
      </w:pPr>
      <w:r>
        <w:rPr>
          <w:spacing w:val="-2"/>
        </w:rPr>
        <w:t>实用性较强的创业案例库。将案例企业创始人以及核心高管转化成为结合自身企业实战进行体系化授课的创业导师，形成实</w:t>
      </w:r>
      <w:r>
        <w:rPr>
          <w:spacing w:val="-64"/>
        </w:rPr>
        <w:t> </w:t>
      </w:r>
      <w:r>
        <w:rPr>
          <w:spacing w:val="-64"/>
        </w:rPr>
      </w:r>
      <w:r>
        <w:rPr/>
        <w:t>战、独特的创业辅导培训课程</w:t>
      </w:r>
      <w:r>
        <w:rPr>
          <w:spacing w:val="-19"/>
        </w:rPr>
        <w:t> </w:t>
      </w:r>
      <w:r>
        <w:rPr/>
        <w:t>。这样从创业资讯</w:t>
      </w:r>
      <w:r>
        <w:rPr>
          <w:rFonts w:ascii="Times New Roman" w:hAnsi="Times New Roman" w:cs="Times New Roman" w:eastAsia="Times New Roman" w:hint="default"/>
        </w:rPr>
        <w:t>—</w:t>
      </w:r>
      <w:r>
        <w:rPr/>
        <w:t>创业案例库</w:t>
      </w:r>
      <w:r>
        <w:rPr>
          <w:rFonts w:ascii="Times New Roman" w:hAnsi="Times New Roman" w:cs="Times New Roman" w:eastAsia="Times New Roman" w:hint="default"/>
        </w:rPr>
        <w:t>—</w:t>
      </w:r>
      <w:r>
        <w:rPr/>
        <w:t>课程体系</w:t>
      </w:r>
      <w:r>
        <w:rPr>
          <w:rFonts w:ascii="Times New Roman" w:hAnsi="Times New Roman" w:cs="Times New Roman" w:eastAsia="Times New Roman" w:hint="default"/>
        </w:rPr>
        <w:t>—</w:t>
      </w:r>
      <w:r>
        <w:rPr/>
        <w:t>培训授课的机制源于公司自身的内容与推广服 务能力，并结合所构建的创业者社群基础，难以复制，成为公司的优势之一。</w:t>
      </w:r>
    </w:p>
    <w:p>
      <w:pPr>
        <w:pStyle w:val="BodyText"/>
        <w:spacing w:line="309" w:lineRule="auto" w:before="62"/>
        <w:ind w:right="1132" w:firstLine="360"/>
        <w:jc w:val="both"/>
      </w:pPr>
      <w:r>
        <w:rPr>
          <w:spacing w:val="-2"/>
        </w:rPr>
        <w:t>公司聚集了多位博士及行业专家，针对创业者成长过程中的学习需求研发出了一套完整的创业教学课程体系。面向种子</w:t>
      </w:r>
      <w:r>
        <w:rPr/>
        <w:t> 期、初创期、成长期和</w:t>
      </w:r>
      <w:r>
        <w:rPr>
          <w:rFonts w:ascii="Times New Roman" w:hAnsi="Times New Roman" w:cs="Times New Roman" w:eastAsia="Times New Roman" w:hint="default"/>
        </w:rPr>
        <w:t>Pre-IPO</w:t>
      </w:r>
      <w:r>
        <w:rPr/>
        <w:t>等不同阶段的企业创始人、核心人员提供自我成长、商业模式、团队建设、品牌营销、融资 实务等多维度的培训课程。这些课程具有较强的实操指导功能，拥有较高的复购率和市场口碑。</w:t>
      </w:r>
    </w:p>
    <w:p>
      <w:pPr>
        <w:spacing w:line="338" w:lineRule="auto" w:before="65"/>
        <w:ind w:left="149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、领先的创新创业资讯服务平台</w:t>
      </w:r>
      <w:r>
        <w:rPr>
          <w:rFonts w:ascii="宋体" w:hAnsi="宋体" w:cs="宋体" w:eastAsia="宋体" w:hint="default"/>
          <w:b/>
          <w:bCs/>
          <w:w w:val="99"/>
          <w:sz w:val="18"/>
          <w:szCs w:val="18"/>
        </w:rPr>
        <w:t> </w:t>
      </w:r>
      <w:r>
        <w:rPr>
          <w:rFonts w:ascii="宋体" w:hAnsi="宋体" w:cs="宋体" w:eastAsia="宋体" w:hint="default"/>
          <w:spacing w:val="-2"/>
          <w:sz w:val="18"/>
          <w:szCs w:val="18"/>
        </w:rPr>
        <w:t>公司业务起源于为创新创业人群提供资讯服务，包括创业领域最新信息、创业案例分析、创业企业深度内容报道等，从</w:t>
      </w:r>
    </w:p>
    <w:p>
      <w:pPr>
        <w:pStyle w:val="BodyText"/>
        <w:spacing w:line="307" w:lineRule="auto" w:before="2"/>
        <w:ind w:right="1132"/>
        <w:jc w:val="both"/>
      </w:pPr>
      <w:r>
        <w:rPr>
          <w:spacing w:val="-2"/>
        </w:rPr>
        <w:t>而覆盖广泛的创业投资人群，作为用户流量入口。经过多年发展，公司的创业资讯服务已经发展为一个依托于互联网新媒体</w:t>
      </w:r>
      <w:r>
        <w:rPr>
          <w:spacing w:val="-66"/>
        </w:rPr>
        <w:t> </w:t>
      </w:r>
      <w:r>
        <w:rPr>
          <w:spacing w:val="-66"/>
        </w:rPr>
      </w:r>
      <w:r>
        <w:rPr/>
        <w:t>的庞大创新创业资讯平台，包括</w:t>
      </w:r>
      <w:r>
        <w:rPr>
          <w:rFonts w:ascii="Times New Roman" w:hAnsi="Times New Roman" w:cs="Times New Roman" w:eastAsia="Times New Roman" w:hint="default"/>
        </w:rPr>
        <w:t>i</w:t>
      </w:r>
      <w:r>
        <w:rPr/>
        <w:t>黑马网、</w:t>
      </w:r>
      <w:r>
        <w:rPr>
          <w:rFonts w:ascii="Times New Roman" w:hAnsi="Times New Roman" w:cs="Times New Roman" w:eastAsia="Times New Roman" w:hint="default"/>
        </w:rPr>
        <w:t>“i</w:t>
      </w:r>
      <w:r>
        <w:rPr/>
        <w:t>黑马</w:t>
      </w:r>
      <w:r>
        <w:rPr>
          <w:rFonts w:ascii="Times New Roman" w:hAnsi="Times New Roman" w:cs="Times New Roman" w:eastAsia="Times New Roman" w:hint="default"/>
        </w:rPr>
        <w:t>”</w:t>
      </w:r>
      <w:r>
        <w:rPr/>
        <w:t>新浪微博、</w:t>
      </w:r>
      <w:r>
        <w:rPr>
          <w:rFonts w:ascii="Times New Roman" w:hAnsi="Times New Roman" w:cs="Times New Roman" w:eastAsia="Times New Roman" w:hint="default"/>
        </w:rPr>
        <w:t>“i</w:t>
      </w:r>
      <w:r>
        <w:rPr/>
        <w:t>黑马</w:t>
      </w:r>
      <w:r>
        <w:rPr>
          <w:rFonts w:ascii="Times New Roman" w:hAnsi="Times New Roman" w:cs="Times New Roman" w:eastAsia="Times New Roman" w:hint="default"/>
        </w:rPr>
        <w:t>”</w:t>
      </w:r>
      <w:r>
        <w:rPr/>
        <w:t>微信公众号、</w:t>
      </w:r>
      <w:r>
        <w:rPr>
          <w:rFonts w:ascii="Times New Roman" w:hAnsi="Times New Roman" w:cs="Times New Roman" w:eastAsia="Times New Roman" w:hint="default"/>
        </w:rPr>
        <w:t>“</w:t>
      </w:r>
      <w:r>
        <w:rPr/>
        <w:t>创业家传媒</w:t>
      </w:r>
      <w:r>
        <w:rPr>
          <w:rFonts w:ascii="Times New Roman" w:hAnsi="Times New Roman" w:cs="Times New Roman" w:eastAsia="Times New Roman" w:hint="default"/>
        </w:rPr>
        <w:t>”</w:t>
      </w:r>
      <w:r>
        <w:rPr/>
        <w:t>新浪微博、</w:t>
      </w:r>
      <w:r>
        <w:rPr>
          <w:rFonts w:ascii="Times New Roman" w:hAnsi="Times New Roman" w:cs="Times New Roman" w:eastAsia="Times New Roman" w:hint="default"/>
        </w:rPr>
        <w:t>“</w:t>
      </w:r>
      <w:r>
        <w:rPr/>
        <w:t>创业家</w:t>
      </w:r>
      <w:r>
        <w:rPr>
          <w:rFonts w:ascii="Times New Roman" w:hAnsi="Times New Roman" w:cs="Times New Roman" w:eastAsia="Times New Roman" w:hint="default"/>
        </w:rPr>
        <w:t>”</w:t>
      </w:r>
      <w:r>
        <w:rPr/>
        <w:t>微信公 </w:t>
      </w:r>
      <w:r>
        <w:rPr>
          <w:spacing w:val="-1"/>
        </w:rPr>
        <w:t>众号及创业家</w:t>
      </w:r>
      <w:r>
        <w:rPr>
          <w:rFonts w:ascii="Times New Roman" w:hAnsi="Times New Roman" w:cs="Times New Roman" w:eastAsia="Times New Roman" w:hint="default"/>
          <w:spacing w:val="-1"/>
        </w:rPr>
        <w:t>APP</w:t>
      </w:r>
      <w:r>
        <w:rPr>
          <w:spacing w:val="-1"/>
        </w:rPr>
        <w:t>等。截至</w:t>
      </w:r>
      <w:r>
        <w:rPr>
          <w:rFonts w:ascii="Times New Roman" w:hAnsi="Times New Roman" w:cs="Times New Roman" w:eastAsia="Times New Roman" w:hint="default"/>
          <w:spacing w:val="-1"/>
        </w:rPr>
        <w:t>2017</w:t>
      </w:r>
      <w:r>
        <w:rPr>
          <w:spacing w:val="-1"/>
        </w:rPr>
        <w:t>年年底，公司创新创业资讯平台累计覆盖近千万用户，具备较强的传播能力与影响力，在为</w:t>
      </w:r>
      <w:r>
        <w:rPr/>
        <w:t> 创业群体提供免费资讯的同时，协助公司线下活动进行线上传播，从而为品牌推广等公关服务奠定了良好的基础。</w:t>
      </w:r>
    </w:p>
    <w:p>
      <w:pPr>
        <w:pStyle w:val="BodyText"/>
        <w:spacing w:line="338" w:lineRule="auto" w:before="65"/>
        <w:ind w:left="1493" w:right="1035" w:firstLine="1"/>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Times New Roman" w:hAnsi="Times New Roman" w:cs="Times New Roman" w:eastAsia="Times New Roman" w:hint="default"/>
          <w:b/>
          <w:bCs/>
        </w:rPr>
        <w:t>“</w:t>
      </w:r>
      <w:r>
        <w:rPr>
          <w:rFonts w:ascii="宋体" w:hAnsi="宋体" w:cs="宋体" w:eastAsia="宋体" w:hint="default"/>
          <w:b/>
          <w:bCs/>
        </w:rPr>
        <w:t>一站式</w:t>
      </w:r>
      <w:r>
        <w:rPr>
          <w:rFonts w:ascii="Times New Roman" w:hAnsi="Times New Roman" w:cs="Times New Roman" w:eastAsia="Times New Roman" w:hint="default"/>
          <w:b/>
          <w:bCs/>
        </w:rPr>
        <w:t>”</w:t>
      </w:r>
      <w:r>
        <w:rPr>
          <w:rFonts w:ascii="宋体" w:hAnsi="宋体" w:cs="宋体" w:eastAsia="宋体" w:hint="default"/>
          <w:b/>
          <w:bCs/>
        </w:rPr>
        <w:t>服务体系</w:t>
      </w:r>
      <w:r>
        <w:rPr>
          <w:rFonts w:ascii="宋体" w:hAnsi="宋体" w:cs="宋体" w:eastAsia="宋体" w:hint="default"/>
          <w:b/>
          <w:bCs/>
          <w:w w:val="99"/>
        </w:rPr>
        <w:t> </w:t>
      </w:r>
      <w:r>
        <w:rPr>
          <w:spacing w:val="-3"/>
        </w:rPr>
        <w:t>公司的服务体系具有典型的</w:t>
      </w:r>
      <w:r>
        <w:rPr>
          <w:rFonts w:ascii="Times New Roman" w:hAnsi="Times New Roman" w:cs="Times New Roman" w:eastAsia="Times New Roman" w:hint="default"/>
          <w:spacing w:val="-3"/>
        </w:rPr>
        <w:t>“</w:t>
      </w:r>
      <w:r>
        <w:rPr>
          <w:spacing w:val="-3"/>
        </w:rPr>
        <w:t>一站式</w:t>
      </w:r>
      <w:r>
        <w:rPr>
          <w:rFonts w:ascii="Times New Roman" w:hAnsi="Times New Roman" w:cs="Times New Roman" w:eastAsia="Times New Roman" w:hint="default"/>
          <w:spacing w:val="-3"/>
        </w:rPr>
        <w:t>”</w:t>
      </w:r>
      <w:r>
        <w:rPr>
          <w:spacing w:val="-3"/>
        </w:rPr>
        <w:t>特征，围绕创业者的核心成长需求，基于创业资讯服务、创业辅导培训、公关服务、</w:t>
      </w:r>
    </w:p>
    <w:p>
      <w:pPr>
        <w:pStyle w:val="BodyText"/>
        <w:spacing w:line="217" w:lineRule="exact"/>
        <w:ind w:left="1134" w:right="0"/>
        <w:jc w:val="both"/>
      </w:pPr>
      <w:r>
        <w:rPr/>
        <w:t>线下活动等提供信息、学习、推广，以及融资支持等全面且深入的服务。这些服务产品相辅相成、互为犄角，具体表现为：</w:t>
      </w:r>
    </w:p>
    <w:p>
      <w:pPr>
        <w:pStyle w:val="BodyText"/>
        <w:spacing w:line="307" w:lineRule="auto" w:before="76"/>
        <w:ind w:right="1130"/>
        <w:jc w:val="both"/>
      </w:pPr>
      <w:r>
        <w:rPr>
          <w:spacing w:val="-2"/>
        </w:rPr>
        <w:t>免费资讯服务业务建立起用户入口和品牌影响力，为其他服务建立了百万量级的用户池；辅导培训与赛事活动公关服务则深</w:t>
      </w:r>
      <w:r>
        <w:rPr>
          <w:spacing w:val="-64"/>
        </w:rPr>
        <w:t> </w:t>
      </w:r>
      <w:r>
        <w:rPr>
          <w:spacing w:val="-64"/>
        </w:rPr>
      </w:r>
      <w:r>
        <w:rPr>
          <w:spacing w:val="-2"/>
        </w:rPr>
        <w:t>度服务用户，建立盈利模式，形成闭环。各项服务总体上构成一个有机整体，均衡发展，结构稳定。</w:t>
      </w:r>
      <w:r>
        <w:rPr>
          <w:rFonts w:ascii="Times New Roman" w:hAnsi="Times New Roman" w:cs="Times New Roman" w:eastAsia="Times New Roman" w:hint="default"/>
          <w:spacing w:val="-2"/>
        </w:rPr>
        <w:t>“</w:t>
      </w:r>
      <w:r>
        <w:rPr>
          <w:spacing w:val="-2"/>
        </w:rPr>
        <w:t>一站式</w:t>
      </w:r>
      <w:r>
        <w:rPr>
          <w:rFonts w:ascii="Times New Roman" w:hAnsi="Times New Roman" w:cs="Times New Roman" w:eastAsia="Times New Roman" w:hint="default"/>
          <w:spacing w:val="-2"/>
        </w:rPr>
        <w:t>”</w:t>
      </w:r>
      <w:r>
        <w:rPr>
          <w:spacing w:val="-2"/>
        </w:rPr>
        <w:t>服务体系也为</w:t>
      </w:r>
      <w:r>
        <w:rPr>
          <w:spacing w:val="-44"/>
        </w:rPr>
        <w:t> </w:t>
      </w:r>
      <w:r>
        <w:rPr>
          <w:spacing w:val="-2"/>
        </w:rPr>
        <w:t>用户带来了较大便利，有利于强化用户黏性，并可显著降低新用户获取成本。未来</w:t>
      </w:r>
      <w:r>
        <w:rPr>
          <w:rFonts w:ascii="Times New Roman" w:hAnsi="Times New Roman" w:cs="Times New Roman" w:eastAsia="Times New Roman" w:hint="default"/>
          <w:spacing w:val="-2"/>
        </w:rPr>
        <w:t>“</w:t>
      </w:r>
      <w:r>
        <w:rPr>
          <w:spacing w:val="-2"/>
        </w:rPr>
        <w:t>一站式</w:t>
      </w:r>
      <w:r>
        <w:rPr>
          <w:rFonts w:ascii="Times New Roman" w:hAnsi="Times New Roman" w:cs="Times New Roman" w:eastAsia="Times New Roman" w:hint="default"/>
          <w:spacing w:val="-2"/>
        </w:rPr>
        <w:t>”</w:t>
      </w:r>
      <w:r>
        <w:rPr>
          <w:spacing w:val="-2"/>
        </w:rPr>
        <w:t>服务体系将针对创业群体的衍生</w:t>
      </w:r>
      <w:r>
        <w:rPr>
          <w:spacing w:val="-44"/>
        </w:rPr>
        <w:t> </w:t>
      </w:r>
      <w:r>
        <w:rPr/>
        <w:t>需求，推出新的增值服务，并打造开放平台引入第三方服务，进一步增强服务创业人群的能力。</w:t>
      </w:r>
    </w:p>
    <w:p>
      <w:pPr>
        <w:pStyle w:val="BodyText"/>
        <w:spacing w:line="338" w:lineRule="auto" w:before="65"/>
        <w:ind w:left="1496" w:right="1124" w:hanging="2"/>
        <w:jc w:val="left"/>
      </w:pPr>
      <w:r>
        <w:rPr>
          <w:rFonts w:ascii="Times New Roman" w:hAnsi="Times New Roman" w:cs="Times New Roman" w:eastAsia="Times New Roman" w:hint="default"/>
          <w:b/>
          <w:bCs/>
        </w:rPr>
        <w:t>5</w:t>
      </w:r>
      <w:r>
        <w:rPr>
          <w:rFonts w:ascii="宋体" w:hAnsi="宋体" w:cs="宋体" w:eastAsia="宋体" w:hint="default"/>
          <w:b/>
          <w:bCs/>
        </w:rPr>
        <w:t>、领先的创业服务生态</w:t>
      </w:r>
      <w:r>
        <w:rPr>
          <w:rFonts w:ascii="宋体" w:hAnsi="宋体" w:cs="宋体" w:eastAsia="宋体" w:hint="default"/>
          <w:b/>
          <w:bCs/>
          <w:w w:val="99"/>
        </w:rPr>
        <w:t> </w:t>
      </w:r>
      <w:r>
        <w:rPr>
          <w:spacing w:val="-1"/>
        </w:rPr>
        <w:t>公司在不断满足创业群体多样化需求的过程中，基于</w:t>
      </w:r>
      <w:r>
        <w:rPr>
          <w:rFonts w:ascii="Times New Roman" w:hAnsi="Times New Roman" w:cs="Times New Roman" w:eastAsia="Times New Roman" w:hint="default"/>
          <w:spacing w:val="-1"/>
        </w:rPr>
        <w:t>“</w:t>
      </w:r>
      <w:r>
        <w:rPr>
          <w:spacing w:val="-1"/>
        </w:rPr>
        <w:t>一站式</w:t>
      </w:r>
      <w:r>
        <w:rPr>
          <w:rFonts w:ascii="Times New Roman" w:hAnsi="Times New Roman" w:cs="Times New Roman" w:eastAsia="Times New Roman" w:hint="default"/>
          <w:spacing w:val="-1"/>
        </w:rPr>
        <w:t>”</w:t>
      </w:r>
      <w:r>
        <w:rPr>
          <w:spacing w:val="-1"/>
        </w:rPr>
        <w:t>服务体系形成了以</w:t>
      </w:r>
      <w:r>
        <w:rPr>
          <w:rFonts w:ascii="Times New Roman" w:hAnsi="Times New Roman" w:cs="Times New Roman" w:eastAsia="Times New Roman" w:hint="default"/>
          <w:spacing w:val="-1"/>
        </w:rPr>
        <w:t>“</w:t>
      </w:r>
      <w:r>
        <w:rPr>
          <w:spacing w:val="-1"/>
        </w:rPr>
        <w:t>发现、辅导、培养、孵化、加速</w:t>
      </w:r>
      <w:r>
        <w:rPr>
          <w:rFonts w:ascii="Times New Roman" w:hAnsi="Times New Roman" w:cs="Times New Roman" w:eastAsia="Times New Roman" w:hint="default"/>
          <w:spacing w:val="-1"/>
        </w:rPr>
        <w:t>”</w:t>
      </w:r>
      <w:r>
        <w:rPr>
          <w:spacing w:val="-1"/>
        </w:rPr>
        <w:t>为特</w:t>
      </w:r>
    </w:p>
    <w:p>
      <w:pPr>
        <w:spacing w:after="0" w:line="338"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2" w:lineRule="auto" w:before="44"/>
        <w:ind w:right="1131"/>
        <w:jc w:val="both"/>
      </w:pPr>
      <w:r>
        <w:rPr>
          <w:spacing w:val="-2"/>
        </w:rPr>
        <w:t>征的创业服务生态，在</w:t>
      </w:r>
      <w:r>
        <w:rPr>
          <w:rFonts w:ascii="Times New Roman" w:hAnsi="Times New Roman" w:cs="Times New Roman" w:eastAsia="Times New Roman" w:hint="default"/>
          <w:spacing w:val="-2"/>
        </w:rPr>
        <w:t>“</w:t>
      </w:r>
      <w:r>
        <w:rPr>
          <w:spacing w:val="-2"/>
        </w:rPr>
        <w:t>北上广</w:t>
      </w:r>
      <w:r>
        <w:rPr>
          <w:rFonts w:ascii="Times New Roman" w:hAnsi="Times New Roman" w:cs="Times New Roman" w:eastAsia="Times New Roman" w:hint="default"/>
          <w:spacing w:val="-2"/>
        </w:rPr>
        <w:t>”</w:t>
      </w:r>
      <w:r>
        <w:rPr>
          <w:spacing w:val="-2"/>
        </w:rPr>
        <w:t>等一线城市汇聚了数百位知名企业家导师和上百家投资机构，形成了较为完善的创业筛选和</w:t>
      </w:r>
      <w:r>
        <w:rPr>
          <w:spacing w:val="-44"/>
        </w:rPr>
        <w:t> </w:t>
      </w:r>
      <w:r>
        <w:rPr>
          <w:spacing w:val="-44"/>
        </w:rPr>
      </w:r>
      <w:r>
        <w:rPr>
          <w:spacing w:val="-2"/>
        </w:rPr>
        <w:t>辅导培训体系，创业者可以从中获得实战知识、合作机会及融资资源，显著加快自身的成长。同时各参与方在生态内有机互</w:t>
      </w:r>
      <w:r>
        <w:rPr>
          <w:spacing w:val="-66"/>
        </w:rPr>
        <w:t> </w:t>
      </w:r>
      <w:r>
        <w:rPr>
          <w:spacing w:val="-66"/>
        </w:rPr>
      </w:r>
      <w:r>
        <w:rPr>
          <w:spacing w:val="-2"/>
        </w:rPr>
        <w:t>动，相互合作，实现互利共赢，产生了较大的自发性平台交易量，使生态得以持续成长，从而进一步保证了公司业务的可持</w:t>
      </w:r>
      <w:r>
        <w:rPr>
          <w:spacing w:val="-66"/>
        </w:rPr>
        <w:t> </w:t>
      </w:r>
      <w:r>
        <w:rPr>
          <w:spacing w:val="-66"/>
        </w:rPr>
      </w:r>
      <w:r>
        <w:rPr/>
        <w:t>续发展。目前公司的创业服务生态正在从一线城市延伸至二三四线城市，为公司带来新的市场空间。</w:t>
      </w:r>
    </w:p>
    <w:p>
      <w:pPr>
        <w:spacing w:after="0" w:line="312"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_TOC_250008" w:id="22"/>
      <w:bookmarkStart w:name="第四节 经营情况讨论与分析" w:id="23"/>
      <w:r>
        <w:rPr>
          <w:b w:val="0"/>
          <w:bCs w:val="0"/>
        </w:rPr>
      </w:r>
      <w:r>
        <w:rPr/>
        <w:t>第四节</w:t>
      </w:r>
      <w:r>
        <w:rPr>
          <w:spacing w:val="-10"/>
        </w:rPr>
        <w:t> </w:t>
      </w:r>
      <w:r>
        <w:rPr/>
        <w:t>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0" w:firstLine="360"/>
        <w:jc w:val="both"/>
      </w:pPr>
      <w:r>
        <w:rPr>
          <w:spacing w:val="-2"/>
        </w:rPr>
        <w:t>报告期内，公司紧紧围绕致力于成为中国领先的综合性创业服务平台的发展目标，以及</w:t>
      </w:r>
      <w:r>
        <w:rPr>
          <w:rFonts w:ascii="Times New Roman" w:hAnsi="Times New Roman" w:cs="Times New Roman" w:eastAsia="Times New Roman" w:hint="default"/>
          <w:spacing w:val="-2"/>
        </w:rPr>
        <w:t>“</w:t>
      </w:r>
      <w:r>
        <w:rPr>
          <w:spacing w:val="-2"/>
        </w:rPr>
        <w:t>平台化、全国化、在线化</w:t>
      </w:r>
      <w:r>
        <w:rPr>
          <w:rFonts w:ascii="Times New Roman" w:hAnsi="Times New Roman" w:cs="Times New Roman" w:eastAsia="Times New Roman" w:hint="default"/>
          <w:spacing w:val="-2"/>
        </w:rPr>
        <w:t>”</w:t>
      </w:r>
      <w:r>
        <w:rPr>
          <w:spacing w:val="-2"/>
        </w:rPr>
        <w:t>的总</w:t>
      </w:r>
      <w:r>
        <w:rPr/>
        <w:t> </w:t>
      </w:r>
      <w:r>
        <w:rPr>
          <w:spacing w:val="-2"/>
        </w:rPr>
        <w:t>体发展战略，通过区域拓展、业务延伸，强化公司在创业服务领域内的竞争优势，将优质创业服务资源和创新型服务延伸至</w:t>
      </w:r>
      <w:r>
        <w:rPr>
          <w:spacing w:val="-66"/>
        </w:rPr>
        <w:t> </w:t>
      </w:r>
      <w:r>
        <w:rPr>
          <w:spacing w:val="-66"/>
        </w:rPr>
      </w:r>
      <w:r>
        <w:rPr/>
        <w:t>更广大的地域和受众人群，显著扩大了创业服务生态的外延，实现了营收规模的平稳发展。</w:t>
      </w:r>
    </w:p>
    <w:p>
      <w:pPr>
        <w:pStyle w:val="BodyText"/>
        <w:spacing w:line="300" w:lineRule="auto" w:before="62"/>
        <w:ind w:right="0" w:firstLine="360"/>
        <w:jc w:val="left"/>
      </w:pPr>
      <w:r>
        <w:rPr>
          <w:rFonts w:ascii="Times New Roman" w:hAnsi="Times New Roman" w:cs="Times New Roman" w:eastAsia="Times New Roman" w:hint="default"/>
          <w:spacing w:val="-2"/>
        </w:rPr>
        <w:t>2017</w:t>
      </w:r>
      <w:r>
        <w:rPr>
          <w:spacing w:val="-2"/>
        </w:rPr>
        <w:t>年国内的创新创业开始与产业升级紧密结合，广大二三线城市的中小企业主迫切需要学习创新模式、对接资本。同</w:t>
      </w:r>
      <w:r>
        <w:rPr/>
        <w:t> </w:t>
      </w:r>
      <w:r>
        <w:rPr>
          <w:spacing w:val="-3"/>
        </w:rPr>
        <w:t>时，</w:t>
      </w:r>
      <w:r>
        <w:rPr>
          <w:rFonts w:ascii="Times New Roman" w:hAnsi="Times New Roman" w:cs="Times New Roman" w:eastAsia="Times New Roman" w:hint="default"/>
          <w:spacing w:val="-3"/>
        </w:rPr>
        <w:t>“</w:t>
      </w:r>
      <w:r>
        <w:rPr>
          <w:spacing w:val="-3"/>
        </w:rPr>
        <w:t>中国制造</w:t>
      </w:r>
      <w:r>
        <w:rPr>
          <w:rFonts w:ascii="Times New Roman" w:hAnsi="Times New Roman" w:cs="Times New Roman" w:eastAsia="Times New Roman" w:hint="default"/>
          <w:spacing w:val="-3"/>
        </w:rPr>
        <w:t>2025”</w:t>
      </w:r>
      <w:r>
        <w:rPr>
          <w:spacing w:val="-3"/>
        </w:rPr>
        <w:t>蓝图的落地实施也需要激活本地的中小企业，围绕创新产业形成新的全国布局。在</w:t>
      </w:r>
      <w:r>
        <w:rPr>
          <w:rFonts w:ascii="Times New Roman" w:hAnsi="Times New Roman" w:cs="Times New Roman" w:eastAsia="Times New Roman" w:hint="default"/>
          <w:spacing w:val="-3"/>
        </w:rPr>
        <w:t>“</w:t>
      </w:r>
      <w:r>
        <w:rPr>
          <w:spacing w:val="-3"/>
        </w:rPr>
        <w:t>北上广</w:t>
      </w:r>
      <w:r>
        <w:rPr>
          <w:rFonts w:ascii="Times New Roman" w:hAnsi="Times New Roman" w:cs="Times New Roman" w:eastAsia="Times New Roman" w:hint="default"/>
          <w:spacing w:val="-3"/>
        </w:rPr>
        <w:t>”</w:t>
      </w:r>
      <w:r>
        <w:rPr>
          <w:spacing w:val="-3"/>
        </w:rPr>
        <w:t>已经成为</w:t>
      </w:r>
      <w:r>
        <w:rPr>
          <w:rFonts w:ascii="Times New Roman" w:hAnsi="Times New Roman" w:cs="Times New Roman" w:eastAsia="Times New Roman" w:hint="default"/>
          <w:spacing w:val="-3"/>
        </w:rPr>
        <w:t>“</w:t>
      </w:r>
      <w:r>
        <w:rPr>
          <w:spacing w:val="-3"/>
        </w:rPr>
        <w:t>独</w:t>
      </w:r>
      <w:r>
        <w:rPr>
          <w:spacing w:val="-38"/>
        </w:rPr>
        <w:t> </w:t>
      </w:r>
      <w:r>
        <w:rPr>
          <w:spacing w:val="-2"/>
        </w:rPr>
        <w:t>角兽</w:t>
      </w:r>
      <w:r>
        <w:rPr>
          <w:rFonts w:ascii="Times New Roman" w:hAnsi="Times New Roman" w:cs="Times New Roman" w:eastAsia="Times New Roman" w:hint="default"/>
          <w:spacing w:val="-2"/>
        </w:rPr>
        <w:t>”</w:t>
      </w:r>
      <w:r>
        <w:rPr>
          <w:spacing w:val="-2"/>
        </w:rPr>
        <w:t>的新一代创新型企业，也需要寻找城市合伙人进行全国布局。这为公司实现创业服务生态的延伸扩张提供了巨大机遇，</w:t>
      </w:r>
      <w:r>
        <w:rPr>
          <w:spacing w:val="-52"/>
        </w:rPr>
        <w:t> </w:t>
      </w:r>
      <w:r>
        <w:rPr>
          <w:spacing w:val="-52"/>
        </w:rPr>
      </w:r>
      <w:r>
        <w:rPr/>
        <w:t>也为公司的快速成长增添了新的动力。</w:t>
      </w:r>
    </w:p>
    <w:p>
      <w:pPr>
        <w:pStyle w:val="BodyText"/>
        <w:spacing w:line="302" w:lineRule="auto" w:before="70"/>
        <w:ind w:left="1134" w:right="1133" w:firstLine="360"/>
        <w:jc w:val="both"/>
      </w:pPr>
      <w:r>
        <w:rPr>
          <w:spacing w:val="-1"/>
        </w:rPr>
        <w:t>报告期内，公司实现营业总收入</w:t>
      </w:r>
      <w:r>
        <w:rPr>
          <w:rFonts w:ascii="Times New Roman" w:hAnsi="Times New Roman" w:cs="Times New Roman" w:eastAsia="Times New Roman" w:hint="default"/>
          <w:spacing w:val="-1"/>
        </w:rPr>
        <w:t>18,454.18</w:t>
      </w:r>
      <w:r>
        <w:rPr>
          <w:spacing w:val="-1"/>
        </w:rPr>
        <w:t>万元，较上年基本持平；实现营业利润</w:t>
      </w:r>
      <w:r>
        <w:rPr>
          <w:rFonts w:ascii="Times New Roman" w:hAnsi="Times New Roman" w:cs="Times New Roman" w:eastAsia="Times New Roman" w:hint="default"/>
          <w:spacing w:val="-1"/>
        </w:rPr>
        <w:t>6,326.20</w:t>
      </w:r>
      <w:r>
        <w:rPr>
          <w:spacing w:val="-1"/>
        </w:rPr>
        <w:t>万元，较上年增长</w:t>
      </w:r>
      <w:r>
        <w:rPr>
          <w:rFonts w:ascii="Times New Roman" w:hAnsi="Times New Roman" w:cs="Times New Roman" w:eastAsia="Times New Roman" w:hint="default"/>
          <w:spacing w:val="-1"/>
        </w:rPr>
        <w:t>39.84%</w:t>
      </w:r>
      <w:r>
        <w:rPr>
          <w:spacing w:val="-1"/>
        </w:rPr>
        <w:t>；实</w:t>
      </w:r>
      <w:r>
        <w:rPr>
          <w:spacing w:val="-2"/>
        </w:rPr>
        <w:t> </w:t>
      </w:r>
      <w:r>
        <w:rPr/>
        <w:t>现利润总额</w:t>
      </w:r>
      <w:r>
        <w:rPr>
          <w:rFonts w:ascii="Times New Roman" w:hAnsi="Times New Roman" w:cs="Times New Roman" w:eastAsia="Times New Roman" w:hint="default"/>
        </w:rPr>
        <w:t>6,326.14</w:t>
      </w:r>
      <w:r>
        <w:rPr/>
        <w:t>万元，较上年增长</w:t>
      </w:r>
      <w:r>
        <w:rPr>
          <w:rFonts w:ascii="Times New Roman" w:hAnsi="Times New Roman" w:cs="Times New Roman" w:eastAsia="Times New Roman" w:hint="default"/>
        </w:rPr>
        <w:t>6.75%</w:t>
      </w:r>
      <w:r>
        <w:rPr/>
        <w:t>；实现归属于上市公司股东的净利润</w:t>
      </w:r>
      <w:r>
        <w:rPr>
          <w:rFonts w:ascii="Times New Roman" w:hAnsi="Times New Roman" w:cs="Times New Roman" w:eastAsia="Times New Roman" w:hint="default"/>
        </w:rPr>
        <w:t>4,717.28</w:t>
      </w:r>
      <w:r>
        <w:rPr/>
        <w:t>万元，较上年增长</w:t>
      </w:r>
      <w:r>
        <w:rPr>
          <w:rFonts w:ascii="Times New Roman" w:hAnsi="Times New Roman" w:cs="Times New Roman" w:eastAsia="Times New Roman" w:hint="default"/>
        </w:rPr>
        <w:t>16.37%</w:t>
      </w:r>
      <w:r>
        <w:rPr/>
        <w:t>。</w:t>
      </w:r>
    </w:p>
    <w:p>
      <w:pPr>
        <w:pStyle w:val="BodyText"/>
        <w:spacing w:line="302" w:lineRule="auto" w:before="50"/>
        <w:ind w:left="1134" w:right="1216" w:firstLine="360"/>
        <w:jc w:val="both"/>
      </w:pPr>
      <w:r>
        <w:rPr/>
        <w:t>其中，创业辅导培训业务实现业务收入</w:t>
      </w:r>
      <w:r>
        <w:rPr>
          <w:rFonts w:ascii="Times New Roman" w:hAnsi="Times New Roman" w:cs="Times New Roman" w:eastAsia="Times New Roman" w:hint="default"/>
        </w:rPr>
        <w:t>9,413.35</w:t>
      </w:r>
      <w:r>
        <w:rPr/>
        <w:t>万元，较上年下降</w:t>
      </w:r>
      <w:r>
        <w:rPr>
          <w:rFonts w:ascii="Times New Roman" w:hAnsi="Times New Roman" w:cs="Times New Roman" w:eastAsia="Times New Roman" w:hint="default"/>
        </w:rPr>
        <w:t>6.34%</w:t>
      </w:r>
      <w:r>
        <w:rPr/>
        <w:t>，主要原因是公司对创业辅导培训业务的产品 结构进行优化调整，停止了毛利率较低的培训项目黑马华营所致。</w:t>
      </w:r>
    </w:p>
    <w:p>
      <w:pPr>
        <w:pStyle w:val="BodyText"/>
        <w:spacing w:line="300" w:lineRule="auto" w:before="68"/>
        <w:ind w:right="0" w:firstLine="360"/>
        <w:jc w:val="left"/>
      </w:pPr>
      <w:r>
        <w:rPr>
          <w:rFonts w:ascii="Times New Roman" w:hAnsi="Times New Roman" w:cs="Times New Roman" w:eastAsia="Times New Roman" w:hint="default"/>
          <w:spacing w:val="-3"/>
        </w:rPr>
        <w:t>2017</w:t>
      </w:r>
      <w:r>
        <w:rPr>
          <w:spacing w:val="-3"/>
        </w:rPr>
        <w:t>年创业辅导培训业务进行了产品优化和创新。重点加大对二三线创业者的渗透，结合各地创业企业的需求，推出</w:t>
      </w:r>
      <w:r>
        <w:rPr>
          <w:rFonts w:ascii="Times New Roman" w:hAnsi="Times New Roman" w:cs="Times New Roman" w:eastAsia="Times New Roman" w:hint="default"/>
          <w:spacing w:val="-3"/>
        </w:rPr>
        <w:t>“</w:t>
      </w:r>
      <w:r>
        <w:rPr>
          <w:spacing w:val="-3"/>
        </w:rPr>
        <w:t>黑</w:t>
      </w:r>
      <w:r>
        <w:rPr/>
        <w:t> 马城市分院</w:t>
      </w:r>
      <w:r>
        <w:rPr>
          <w:rFonts w:ascii="Times New Roman" w:hAnsi="Times New Roman" w:cs="Times New Roman" w:eastAsia="Times New Roman" w:hint="default"/>
        </w:rPr>
        <w:t>”</w:t>
      </w:r>
      <w:r>
        <w:rPr/>
        <w:t>产品，势头强劲；针对企业中高级管理层推出</w:t>
      </w:r>
      <w:r>
        <w:rPr>
          <w:rFonts w:ascii="Times New Roman" w:hAnsi="Times New Roman" w:cs="Times New Roman" w:eastAsia="Times New Roman" w:hint="default"/>
        </w:rPr>
        <w:t>“</w:t>
      </w:r>
      <w:r>
        <w:rPr/>
        <w:t>高管营</w:t>
      </w:r>
      <w:r>
        <w:rPr>
          <w:rFonts w:ascii="Times New Roman" w:hAnsi="Times New Roman" w:cs="Times New Roman" w:eastAsia="Times New Roman" w:hint="default"/>
        </w:rPr>
        <w:t>”</w:t>
      </w:r>
      <w:r>
        <w:rPr/>
        <w:t>产品，扩大培训目标人群，加快创业辅导培训业务由创 </w:t>
      </w:r>
      <w:r>
        <w:rPr>
          <w:spacing w:val="-3"/>
        </w:rPr>
        <w:t>业培训向管理培训市场延展；</w:t>
      </w:r>
      <w:r>
        <w:rPr>
          <w:rFonts w:ascii="Times New Roman" w:hAnsi="Times New Roman" w:cs="Times New Roman" w:eastAsia="Times New Roman" w:hint="default"/>
          <w:spacing w:val="-3"/>
        </w:rPr>
        <w:t>“</w:t>
      </w:r>
      <w:r>
        <w:rPr>
          <w:spacing w:val="-3"/>
        </w:rPr>
        <w:t>创业实验室</w:t>
      </w:r>
      <w:r>
        <w:rPr>
          <w:rFonts w:ascii="Times New Roman" w:hAnsi="Times New Roman" w:cs="Times New Roman" w:eastAsia="Times New Roman" w:hint="default"/>
          <w:spacing w:val="-3"/>
        </w:rPr>
        <w:t>—</w:t>
      </w:r>
      <w:r>
        <w:rPr>
          <w:spacing w:val="-3"/>
        </w:rPr>
        <w:t>导师营</w:t>
      </w:r>
      <w:r>
        <w:rPr>
          <w:rFonts w:ascii="Times New Roman" w:hAnsi="Times New Roman" w:cs="Times New Roman" w:eastAsia="Times New Roman" w:hint="default"/>
          <w:spacing w:val="-3"/>
        </w:rPr>
        <w:t>”</w:t>
      </w:r>
      <w:r>
        <w:rPr>
          <w:spacing w:val="-3"/>
        </w:rPr>
        <w:t>继续保持增长势头，在第一批导师基础上，新增签约导师数量增长明显，</w:t>
      </w:r>
      <w:r>
        <w:rPr>
          <w:spacing w:val="-74"/>
        </w:rPr>
        <w:t> </w:t>
      </w:r>
      <w:r>
        <w:rPr>
          <w:spacing w:val="-74"/>
        </w:rPr>
      </w:r>
      <w:r>
        <w:rPr/>
        <w:t>其中多名导师连续开设</w:t>
      </w:r>
      <w:r>
        <w:rPr>
          <w:rFonts w:ascii="Times New Roman" w:hAnsi="Times New Roman" w:cs="Times New Roman" w:eastAsia="Times New Roman" w:hint="default"/>
        </w:rPr>
        <w:t>2</w:t>
      </w:r>
      <w:r>
        <w:rPr/>
        <w:t>期、</w:t>
      </w:r>
      <w:r>
        <w:rPr>
          <w:rFonts w:ascii="Times New Roman" w:hAnsi="Times New Roman" w:cs="Times New Roman" w:eastAsia="Times New Roman" w:hint="default"/>
        </w:rPr>
        <w:t>3</w:t>
      </w:r>
      <w:r>
        <w:rPr/>
        <w:t>期课程，导师、学员双向满意度稳步提升。创业辅导培训业务</w:t>
      </w:r>
      <w:r>
        <w:rPr>
          <w:rFonts w:ascii="Times New Roman" w:hAnsi="Times New Roman" w:cs="Times New Roman" w:eastAsia="Times New Roman" w:hint="default"/>
        </w:rPr>
        <w:t>2017</w:t>
      </w:r>
      <w:r>
        <w:rPr/>
        <w:t>年开课次数累计</w:t>
      </w:r>
      <w:r>
        <w:rPr>
          <w:rFonts w:ascii="Times New Roman" w:hAnsi="Times New Roman" w:cs="Times New Roman" w:eastAsia="Times New Roman" w:hint="default"/>
        </w:rPr>
        <w:t>100</w:t>
      </w:r>
      <w:r>
        <w:rPr/>
        <w:t>次，培 训人次</w:t>
      </w:r>
      <w:r>
        <w:rPr>
          <w:rFonts w:ascii="Times New Roman" w:hAnsi="Times New Roman" w:cs="Times New Roman" w:eastAsia="Times New Roman" w:hint="default"/>
        </w:rPr>
        <w:t>4400</w:t>
      </w:r>
      <w:r>
        <w:rPr/>
        <w:t>余人次，较上年均出现较高增长，特别是随着</w:t>
      </w:r>
      <w:r>
        <w:rPr>
          <w:rFonts w:ascii="Times New Roman" w:hAnsi="Times New Roman" w:cs="Times New Roman" w:eastAsia="Times New Roman" w:hint="default"/>
        </w:rPr>
        <w:t>“</w:t>
      </w:r>
      <w:r>
        <w:rPr/>
        <w:t>黑马城市分院</w:t>
      </w:r>
      <w:r>
        <w:rPr>
          <w:rFonts w:ascii="Times New Roman" w:hAnsi="Times New Roman" w:cs="Times New Roman" w:eastAsia="Times New Roman" w:hint="default"/>
        </w:rPr>
        <w:t>”</w:t>
      </w:r>
      <w:r>
        <w:rPr/>
        <w:t>在全国的逐步推广，培训人次出现显著增长。</w:t>
      </w:r>
    </w:p>
    <w:p>
      <w:pPr>
        <w:pStyle w:val="BodyText"/>
        <w:spacing w:line="309" w:lineRule="auto" w:before="51"/>
        <w:ind w:left="1134" w:right="1132" w:firstLine="360"/>
        <w:jc w:val="both"/>
      </w:pPr>
      <w:r>
        <w:rPr>
          <w:spacing w:val="-1"/>
        </w:rPr>
        <w:t>公关服务业务持续健康发展，</w:t>
      </w:r>
      <w:r>
        <w:rPr>
          <w:rFonts w:ascii="Times New Roman" w:hAnsi="Times New Roman" w:cs="Times New Roman" w:eastAsia="Times New Roman" w:hint="default"/>
          <w:spacing w:val="-1"/>
        </w:rPr>
        <w:t>2017</w:t>
      </w:r>
      <w:r>
        <w:rPr>
          <w:spacing w:val="-1"/>
        </w:rPr>
        <w:t>年实现业务收入</w:t>
      </w:r>
      <w:r>
        <w:rPr>
          <w:rFonts w:ascii="Times New Roman" w:hAnsi="Times New Roman" w:cs="Times New Roman" w:eastAsia="Times New Roman" w:hint="default"/>
          <w:spacing w:val="-1"/>
        </w:rPr>
        <w:t>8,375.10</w:t>
      </w:r>
      <w:r>
        <w:rPr>
          <w:spacing w:val="-1"/>
        </w:rPr>
        <w:t>万元，较上年上升</w:t>
      </w:r>
      <w:r>
        <w:rPr>
          <w:rFonts w:ascii="Times New Roman" w:hAnsi="Times New Roman" w:cs="Times New Roman" w:eastAsia="Times New Roman" w:hint="default"/>
          <w:spacing w:val="-1"/>
        </w:rPr>
        <w:t>19.48%</w:t>
      </w:r>
      <w:r>
        <w:rPr>
          <w:spacing w:val="-1"/>
        </w:rPr>
        <w:t>，主要原因是公司上市后的品牌影</w:t>
      </w:r>
      <w:r>
        <w:rPr/>
        <w:t> </w:t>
      </w:r>
      <w:r>
        <w:rPr>
          <w:spacing w:val="-2"/>
        </w:rPr>
        <w:t>响力显著提升，促进了公关服务业务的发展。在原有线上新媒体传播服务，线下活动、赛事服务基础上，拓展了新媒体的广</w:t>
      </w:r>
      <w:r>
        <w:rPr>
          <w:spacing w:val="-66"/>
        </w:rPr>
        <w:t> </w:t>
      </w:r>
      <w:r>
        <w:rPr>
          <w:spacing w:val="-66"/>
        </w:rPr>
      </w:r>
      <w:r>
        <w:rPr/>
        <w:t>告服务。</w:t>
      </w:r>
    </w:p>
    <w:p>
      <w:pPr>
        <w:pStyle w:val="BodyText"/>
        <w:spacing w:line="338" w:lineRule="auto" w:before="65"/>
        <w:ind w:left="1494" w:right="1422"/>
        <w:jc w:val="left"/>
      </w:pPr>
      <w:r>
        <w:rPr/>
        <w:t>会员收入</w:t>
      </w:r>
      <w:r>
        <w:rPr>
          <w:rFonts w:ascii="Times New Roman" w:hAnsi="Times New Roman" w:cs="Times New Roman" w:eastAsia="Times New Roman" w:hint="default"/>
        </w:rPr>
        <w:t>372.27</w:t>
      </w:r>
      <w:r>
        <w:rPr/>
        <w:t>万元，较</w:t>
      </w:r>
      <w:r>
        <w:rPr>
          <w:rFonts w:ascii="Times New Roman" w:hAnsi="Times New Roman" w:cs="Times New Roman" w:eastAsia="Times New Roman" w:hint="default"/>
        </w:rPr>
        <w:t>2016</w:t>
      </w:r>
      <w:r>
        <w:rPr/>
        <w:t>年下降</w:t>
      </w:r>
      <w:r>
        <w:rPr>
          <w:rFonts w:ascii="Times New Roman" w:hAnsi="Times New Roman" w:cs="Times New Roman" w:eastAsia="Times New Roman" w:hint="default"/>
        </w:rPr>
        <w:t>68.02%</w:t>
      </w:r>
      <w:r>
        <w:rPr/>
        <w:t>，原因是公司将会员服务逐渐向线上转移，由收费模式转向免费模式。 报告期内，公司在原有业务基础上，重点开展了以下创新业务：</w:t>
      </w:r>
    </w:p>
    <w:p>
      <w:pPr>
        <w:pStyle w:val="BodyText"/>
        <w:spacing w:line="240" w:lineRule="auto" w:before="42"/>
        <w:ind w:left="1494" w:right="0"/>
        <w:jc w:val="left"/>
      </w:pPr>
      <w:r>
        <w:rPr>
          <w:rFonts w:ascii="Times New Roman" w:hAnsi="Times New Roman" w:cs="Times New Roman" w:eastAsia="Times New Roman" w:hint="default"/>
        </w:rPr>
        <w:t>1</w:t>
      </w:r>
      <w:r>
        <w:rPr/>
        <w:t>、推进</w:t>
      </w:r>
      <w:r>
        <w:rPr>
          <w:rFonts w:ascii="Times New Roman" w:hAnsi="Times New Roman" w:cs="Times New Roman" w:eastAsia="Times New Roman" w:hint="default"/>
        </w:rPr>
        <w:t>“</w:t>
      </w:r>
      <w:r>
        <w:rPr/>
        <w:t>黑马百城计划</w:t>
      </w:r>
      <w:r>
        <w:rPr>
          <w:rFonts w:ascii="Times New Roman" w:hAnsi="Times New Roman" w:cs="Times New Roman" w:eastAsia="Times New Roman" w:hint="default"/>
        </w:rPr>
        <w:t>”</w:t>
      </w:r>
      <w:r>
        <w:rPr/>
        <w:t>在全国的发展</w:t>
      </w:r>
    </w:p>
    <w:p>
      <w:pPr>
        <w:pStyle w:val="BodyText"/>
        <w:spacing w:line="307" w:lineRule="auto" w:before="102"/>
        <w:ind w:right="1130"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月，公司判断一线城市双创生态趋于成熟，而二三线城市传统企业转型、优势产业升级亟待助推发展。基于全 </w:t>
      </w:r>
      <w:r>
        <w:rPr>
          <w:spacing w:val="-2"/>
        </w:rPr>
        <w:t>国化的战略方向，以及原有创业辅导培训、政府园区服务等业务的扎实基础，公司顺势推出</w:t>
      </w:r>
      <w:r>
        <w:rPr>
          <w:rFonts w:ascii="Times New Roman" w:hAnsi="Times New Roman" w:cs="Times New Roman" w:eastAsia="Times New Roman" w:hint="default"/>
          <w:spacing w:val="-2"/>
        </w:rPr>
        <w:t>“</w:t>
      </w:r>
      <w:r>
        <w:rPr>
          <w:spacing w:val="-2"/>
        </w:rPr>
        <w:t>黑马百城计划</w:t>
      </w:r>
      <w:r>
        <w:rPr>
          <w:rFonts w:ascii="Times New Roman" w:hAnsi="Times New Roman" w:cs="Times New Roman" w:eastAsia="Times New Roman" w:hint="default"/>
          <w:spacing w:val="-2"/>
        </w:rPr>
        <w:t>”</w:t>
      </w:r>
      <w:r>
        <w:rPr>
          <w:spacing w:val="-2"/>
        </w:rPr>
        <w:t>，将公司独有的</w:t>
      </w:r>
      <w:r>
        <w:rPr>
          <w:spacing w:val="-43"/>
        </w:rPr>
        <w:t> </w:t>
      </w:r>
      <w:r>
        <w:rPr>
          <w:spacing w:val="-43"/>
        </w:rPr>
      </w:r>
      <w:r>
        <w:rPr>
          <w:spacing w:val="-2"/>
        </w:rPr>
        <w:t>创业服务生态体系，下沉到全国更多城市，帮助二三线城市的实体经济转型升级，帮助更多企业实现互联网、数据化、智能</w:t>
      </w:r>
      <w:r>
        <w:rPr>
          <w:spacing w:val="-66"/>
        </w:rPr>
        <w:t> </w:t>
      </w:r>
      <w:r>
        <w:rPr>
          <w:spacing w:val="-66"/>
        </w:rPr>
      </w:r>
      <w:r>
        <w:rPr/>
        <w:t>化创新发展。</w:t>
      </w:r>
    </w:p>
    <w:p>
      <w:pPr>
        <w:pStyle w:val="BodyText"/>
        <w:spacing w:line="304" w:lineRule="auto" w:before="64"/>
        <w:ind w:right="1131" w:firstLine="360"/>
        <w:jc w:val="both"/>
      </w:pPr>
      <w:r>
        <w:rPr>
          <w:rFonts w:ascii="Times New Roman" w:hAnsi="Times New Roman" w:cs="Times New Roman" w:eastAsia="Times New Roman" w:hint="default"/>
        </w:rPr>
        <w:t>“</w:t>
      </w:r>
      <w:r>
        <w:rPr/>
        <w:t>黑马百城计划</w:t>
      </w:r>
      <w:r>
        <w:rPr>
          <w:rFonts w:ascii="Times New Roman" w:hAnsi="Times New Roman" w:cs="Times New Roman" w:eastAsia="Times New Roman" w:hint="default"/>
        </w:rPr>
        <w:t>”</w:t>
      </w:r>
      <w:r>
        <w:rPr/>
        <w:t>先期以公司建立</w:t>
      </w:r>
      <w:r>
        <w:rPr>
          <w:rFonts w:ascii="Times New Roman" w:hAnsi="Times New Roman" w:cs="Times New Roman" w:eastAsia="Times New Roman" w:hint="default"/>
        </w:rPr>
        <w:t>“</w:t>
      </w:r>
      <w:r>
        <w:rPr/>
        <w:t>黑马全球路演中心</w:t>
      </w:r>
      <w:r>
        <w:rPr>
          <w:rFonts w:ascii="Times New Roman" w:hAnsi="Times New Roman" w:cs="Times New Roman" w:eastAsia="Times New Roman" w:hint="default"/>
        </w:rPr>
        <w:t>”</w:t>
      </w:r>
      <w:r>
        <w:rPr/>
        <w:t>、合作</w:t>
      </w:r>
      <w:r>
        <w:rPr>
          <w:rFonts w:ascii="Times New Roman" w:hAnsi="Times New Roman" w:cs="Times New Roman" w:eastAsia="Times New Roman" w:hint="default"/>
        </w:rPr>
        <w:t>“</w:t>
      </w:r>
      <w:r>
        <w:rPr/>
        <w:t>黑马大赛</w:t>
      </w:r>
      <w:r>
        <w:rPr>
          <w:rFonts w:ascii="Times New Roman" w:hAnsi="Times New Roman" w:cs="Times New Roman" w:eastAsia="Times New Roman" w:hint="default"/>
        </w:rPr>
        <w:t>”</w:t>
      </w:r>
      <w:r>
        <w:rPr/>
        <w:t>等业务的热点城市为依托，在当地建设</w:t>
      </w:r>
      <w:r>
        <w:rPr>
          <w:rFonts w:ascii="Times New Roman" w:hAnsi="Times New Roman" w:cs="Times New Roman" w:eastAsia="Times New Roman" w:hint="default"/>
        </w:rPr>
        <w:t>“</w:t>
      </w:r>
      <w:r>
        <w:rPr/>
        <w:t>黑马城 市学院</w:t>
      </w:r>
      <w:r>
        <w:rPr>
          <w:rFonts w:ascii="Times New Roman" w:hAnsi="Times New Roman" w:cs="Times New Roman" w:eastAsia="Times New Roman" w:hint="default"/>
        </w:rPr>
        <w:t>”</w:t>
      </w:r>
      <w:r>
        <w:rPr/>
        <w:t>，为二三线城市的中小企业主人群提供多样化服务。一是创业辅导培训，通过实时互动的视频设备实现了异地与本 </w:t>
      </w:r>
      <w:r>
        <w:rPr>
          <w:spacing w:val="-2"/>
        </w:rPr>
        <w:t>地导师双师授课、多城同步上课的创新模式，从而将公司在</w:t>
      </w:r>
      <w:r>
        <w:rPr>
          <w:rFonts w:ascii="Times New Roman" w:hAnsi="Times New Roman" w:cs="Times New Roman" w:eastAsia="Times New Roman" w:hint="default"/>
          <w:spacing w:val="-2"/>
        </w:rPr>
        <w:t>“</w:t>
      </w:r>
      <w:r>
        <w:rPr>
          <w:spacing w:val="-2"/>
        </w:rPr>
        <w:t>北上广</w:t>
      </w:r>
      <w:r>
        <w:rPr>
          <w:rFonts w:ascii="Times New Roman" w:hAnsi="Times New Roman" w:cs="Times New Roman" w:eastAsia="Times New Roman" w:hint="default"/>
          <w:spacing w:val="-2"/>
        </w:rPr>
        <w:t>”</w:t>
      </w:r>
      <w:r>
        <w:rPr>
          <w:spacing w:val="-2"/>
        </w:rPr>
        <w:t>积累的优质导师资源延伸到二三线城市。二是创新加速</w:t>
      </w:r>
      <w:r>
        <w:rPr>
          <w:spacing w:val="-44"/>
        </w:rPr>
        <w:t> </w:t>
      </w:r>
      <w:r>
        <w:rPr>
          <w:spacing w:val="-44"/>
        </w:rPr>
      </w:r>
      <w:r>
        <w:rPr>
          <w:spacing w:val="-2"/>
        </w:rPr>
        <w:t>服务，如企业级服务、投融资对接、政策对接等。三是活动赛事服务，如行业高峰论坛、黑马大赛行业赛等。四是媒体公关</w:t>
      </w:r>
      <w:r>
        <w:rPr>
          <w:spacing w:val="-72"/>
        </w:rPr>
        <w:t> </w:t>
      </w:r>
      <w:r>
        <w:rPr>
          <w:spacing w:val="-72"/>
        </w:rPr>
      </w:r>
      <w:r>
        <w:rPr>
          <w:spacing w:val="-2"/>
        </w:rPr>
        <w:t>服务，如行业榜单、产业生态报告等。</w:t>
      </w:r>
      <w:r>
        <w:rPr>
          <w:rFonts w:ascii="Times New Roman" w:hAnsi="Times New Roman" w:cs="Times New Roman" w:eastAsia="Times New Roman" w:hint="default"/>
          <w:spacing w:val="-2"/>
        </w:rPr>
        <w:t>“</w:t>
      </w:r>
      <w:r>
        <w:rPr>
          <w:spacing w:val="-2"/>
        </w:rPr>
        <w:t>黑马百城计划</w:t>
      </w:r>
      <w:r>
        <w:rPr>
          <w:rFonts w:ascii="Times New Roman" w:hAnsi="Times New Roman" w:cs="Times New Roman" w:eastAsia="Times New Roman" w:hint="default"/>
          <w:spacing w:val="-2"/>
        </w:rPr>
        <w:t>”</w:t>
      </w:r>
      <w:r>
        <w:rPr>
          <w:spacing w:val="-2"/>
        </w:rPr>
        <w:t>显著扩大了公司业务的覆盖范围，为公司业务打开了更广阔的增长空</w:t>
      </w:r>
      <w:r>
        <w:rPr>
          <w:spacing w:val="-44"/>
        </w:rPr>
        <w:t> </w:t>
      </w:r>
      <w:r>
        <w:rPr>
          <w:spacing w:val="-44"/>
        </w:rPr>
      </w:r>
      <w:r>
        <w:rPr/>
        <w:t>间。</w:t>
      </w:r>
    </w:p>
    <w:p>
      <w:pPr>
        <w:pStyle w:val="BodyText"/>
        <w:spacing w:line="300" w:lineRule="auto" w:before="66"/>
        <w:ind w:right="1131" w:firstLine="360"/>
        <w:jc w:val="both"/>
      </w:pPr>
      <w:r>
        <w:rPr>
          <w:rFonts w:ascii="Times New Roman" w:hAnsi="Times New Roman" w:cs="Times New Roman" w:eastAsia="Times New Roman" w:hint="default"/>
          <w:spacing w:val="-2"/>
        </w:rPr>
        <w:t>“</w:t>
      </w:r>
      <w:r>
        <w:rPr>
          <w:spacing w:val="-2"/>
        </w:rPr>
        <w:t>黑马百城计划</w:t>
      </w:r>
      <w:r>
        <w:rPr>
          <w:rFonts w:ascii="Times New Roman" w:hAnsi="Times New Roman" w:cs="Times New Roman" w:eastAsia="Times New Roman" w:hint="default"/>
          <w:spacing w:val="-2"/>
        </w:rPr>
        <w:t>”</w:t>
      </w:r>
      <w:r>
        <w:rPr>
          <w:spacing w:val="-2"/>
        </w:rPr>
        <w:t>推出后受到了本地政府和中小企业主人群的欢迎，呈快速发展之势，也进一步验证了二三四线城市的巨</w:t>
      </w:r>
      <w:r>
        <w:rPr/>
        <w:t> 大市场需求。</w:t>
      </w:r>
      <w:r>
        <w:rPr>
          <w:rFonts w:ascii="Times New Roman" w:hAnsi="Times New Roman" w:cs="Times New Roman" w:eastAsia="Times New Roman" w:hint="default"/>
        </w:rPr>
        <w:t>“</w:t>
      </w:r>
      <w:r>
        <w:rPr/>
        <w:t>黑马百城计划</w:t>
      </w:r>
      <w:r>
        <w:rPr>
          <w:rFonts w:ascii="Times New Roman" w:hAnsi="Times New Roman" w:cs="Times New Roman" w:eastAsia="Times New Roman" w:hint="default"/>
        </w:rPr>
        <w:t>”</w:t>
      </w:r>
      <w:r>
        <w:rPr/>
        <w:t>以与各地政府和高新园区合作为主，一般一次签约期为三年，截至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w:t>
      </w:r>
      <w:r>
        <w:rPr/>
        <w:t>黑马百城计 划</w:t>
      </w:r>
      <w:r>
        <w:rPr>
          <w:rFonts w:ascii="Times New Roman" w:hAnsi="Times New Roman" w:cs="Times New Roman" w:eastAsia="Times New Roman" w:hint="default"/>
        </w:rPr>
        <w:t>”</w:t>
      </w:r>
      <w:r>
        <w:rPr/>
        <w:t>已经落地南京、南昌、成都、武汉、沈阳、郑州等</w:t>
      </w:r>
      <w:r>
        <w:rPr>
          <w:rFonts w:ascii="Times New Roman" w:hAnsi="Times New Roman" w:cs="Times New Roman" w:eastAsia="Times New Roman" w:hint="default"/>
        </w:rPr>
        <w:t>9</w:t>
      </w:r>
      <w:r>
        <w:rPr/>
        <w:t>座城市，黑马城市分院总共开课</w:t>
      </w:r>
      <w:r>
        <w:rPr>
          <w:rFonts w:ascii="Times New Roman" w:hAnsi="Times New Roman" w:cs="Times New Roman" w:eastAsia="Times New Roman" w:hint="default"/>
        </w:rPr>
        <w:t>4</w:t>
      </w:r>
      <w:r>
        <w:rPr/>
        <w:t>次，报名学员人数达</w:t>
      </w:r>
      <w:r>
        <w:rPr>
          <w:rFonts w:ascii="Times New Roman" w:hAnsi="Times New Roman" w:cs="Times New Roman" w:eastAsia="Times New Roman" w:hint="default"/>
        </w:rPr>
        <w:t>1200</w:t>
      </w:r>
      <w:r>
        <w:rPr/>
        <w:t>余人，经 过筛选后的参课学员人数超过</w:t>
      </w:r>
      <w:r>
        <w:rPr>
          <w:rFonts w:ascii="Times New Roman" w:hAnsi="Times New Roman" w:cs="Times New Roman" w:eastAsia="Times New Roman" w:hint="default"/>
        </w:rPr>
        <w:t>400</w:t>
      </w:r>
      <w:r>
        <w:rPr/>
        <w:t>人。</w:t>
      </w:r>
    </w:p>
    <w:p>
      <w:pPr>
        <w:spacing w:after="0" w:line="300"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1493" w:right="0"/>
        <w:jc w:val="left"/>
      </w:pPr>
      <w:r>
        <w:rPr>
          <w:rFonts w:ascii="Times New Roman" w:hAnsi="Times New Roman" w:cs="Times New Roman" w:eastAsia="Times New Roman" w:hint="default"/>
        </w:rPr>
        <w:t>2</w:t>
      </w:r>
      <w:r>
        <w:rPr/>
        <w:t>、推出</w:t>
      </w:r>
      <w:r>
        <w:rPr>
          <w:rFonts w:ascii="Times New Roman" w:hAnsi="Times New Roman" w:cs="Times New Roman" w:eastAsia="Times New Roman" w:hint="default"/>
        </w:rPr>
        <w:t>“</w:t>
      </w:r>
      <w:r>
        <w:rPr/>
        <w:t>高管营</w:t>
      </w:r>
      <w:r>
        <w:rPr>
          <w:rFonts w:ascii="Times New Roman" w:hAnsi="Times New Roman" w:cs="Times New Roman" w:eastAsia="Times New Roman" w:hint="default"/>
        </w:rPr>
        <w:t>”</w:t>
      </w:r>
      <w:r>
        <w:rPr/>
        <w:t>辅导培训产品，扩大辅导培训业务的用户基数</w:t>
      </w:r>
    </w:p>
    <w:p>
      <w:pPr>
        <w:pStyle w:val="BodyText"/>
        <w:spacing w:line="300" w:lineRule="auto" w:before="101"/>
        <w:ind w:right="1153"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月，公司基于创业辅导培训服务累计培养的数千名高成长企业创始人学员群体，推出了创新型培训产品</w:t>
      </w:r>
      <w:r>
        <w:rPr>
          <w:rFonts w:ascii="Times New Roman" w:hAnsi="Times New Roman" w:cs="Times New Roman" w:eastAsia="Times New Roman" w:hint="default"/>
        </w:rPr>
        <w:t>“</w:t>
      </w:r>
      <w:r>
        <w:rPr/>
        <w:t>高管 营</w:t>
      </w:r>
      <w:r>
        <w:rPr>
          <w:rFonts w:ascii="Times New Roman" w:hAnsi="Times New Roman" w:cs="Times New Roman" w:eastAsia="Times New Roman" w:hint="default"/>
        </w:rPr>
        <w:t>”</w:t>
      </w:r>
      <w:r>
        <w:rPr/>
        <w:t>，旨在实现企业高管与创始人同频，帮助创始人培养事业合伙人的宗旨。截止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月底，</w:t>
      </w:r>
      <w:r>
        <w:rPr>
          <w:rFonts w:ascii="Times New Roman" w:hAnsi="Times New Roman" w:cs="Times New Roman" w:eastAsia="Times New Roman" w:hint="default"/>
        </w:rPr>
        <w:t>“</w:t>
      </w:r>
      <w:r>
        <w:rPr/>
        <w:t>高管营</w:t>
      </w:r>
      <w:r>
        <w:rPr>
          <w:rFonts w:ascii="Times New Roman" w:hAnsi="Times New Roman" w:cs="Times New Roman" w:eastAsia="Times New Roman" w:hint="default"/>
        </w:rPr>
        <w:t>”</w:t>
      </w:r>
      <w:r>
        <w:rPr/>
        <w:t>辅导培训产品开 办</w:t>
      </w:r>
      <w:r>
        <w:rPr>
          <w:rFonts w:ascii="Times New Roman" w:hAnsi="Times New Roman" w:cs="Times New Roman" w:eastAsia="Times New Roman" w:hint="default"/>
        </w:rPr>
        <w:t>3</w:t>
      </w:r>
      <w:r>
        <w:rPr/>
        <w:t>期，累计培训学员超过</w:t>
      </w:r>
      <w:r>
        <w:rPr>
          <w:rFonts w:ascii="Times New Roman" w:hAnsi="Times New Roman" w:cs="Times New Roman" w:eastAsia="Times New Roman" w:hint="default"/>
        </w:rPr>
        <w:t>150</w:t>
      </w:r>
      <w:r>
        <w:rPr/>
        <w:t>人，其中</w:t>
      </w:r>
      <w:r>
        <w:rPr>
          <w:rFonts w:ascii="Times New Roman" w:hAnsi="Times New Roman" w:cs="Times New Roman" w:eastAsia="Times New Roman" w:hint="default"/>
        </w:rPr>
        <w:t>30%</w:t>
      </w:r>
      <w:r>
        <w:rPr/>
        <w:t>以上学员来自于复购的老学员企业，形成了良好的口碑效应。</w:t>
      </w:r>
    </w:p>
    <w:p>
      <w:pPr>
        <w:pStyle w:val="BodyText"/>
        <w:spacing w:line="302" w:lineRule="auto" w:before="53"/>
        <w:ind w:right="0" w:firstLine="360"/>
        <w:jc w:val="left"/>
      </w:pPr>
      <w:r>
        <w:rPr>
          <w:rFonts w:ascii="Times New Roman" w:hAnsi="Times New Roman" w:cs="Times New Roman" w:eastAsia="Times New Roman" w:hint="default"/>
          <w:spacing w:val="-2"/>
        </w:rPr>
        <w:t>“</w:t>
      </w:r>
      <w:r>
        <w:rPr>
          <w:spacing w:val="-2"/>
        </w:rPr>
        <w:t>高管营</w:t>
      </w:r>
      <w:r>
        <w:rPr>
          <w:rFonts w:ascii="Times New Roman" w:hAnsi="Times New Roman" w:cs="Times New Roman" w:eastAsia="Times New Roman" w:hint="default"/>
          <w:spacing w:val="-2"/>
        </w:rPr>
        <w:t>”</w:t>
      </w:r>
      <w:r>
        <w:rPr>
          <w:spacing w:val="-2"/>
        </w:rPr>
        <w:t>的成功推出将加快公司的辅导培训业务向管理培训市场渗透，从而将公司辅导培训业务的用户从企业创始人拓</w:t>
      </w:r>
      <w:r>
        <w:rPr/>
        <w:t> 展至管理层，大幅拓宽了用户基数。</w:t>
      </w:r>
    </w:p>
    <w:p>
      <w:pPr>
        <w:pStyle w:val="BodyText"/>
        <w:spacing w:line="240" w:lineRule="auto" w:before="69"/>
        <w:ind w:left="1493"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、开发创业资讯服务产品</w:t>
      </w:r>
      <w:r>
        <w:rPr>
          <w:rFonts w:ascii="Times New Roman" w:hAnsi="Times New Roman" w:cs="Times New Roman" w:eastAsia="Times New Roman" w:hint="default"/>
        </w:rPr>
        <w:t>“</w:t>
      </w:r>
      <w:r>
        <w:rPr/>
        <w:t>创业家</w:t>
      </w:r>
      <w:r>
        <w:rPr>
          <w:rFonts w:ascii="Times New Roman" w:hAnsi="Times New Roman" w:cs="Times New Roman" w:eastAsia="Times New Roman" w:hint="default"/>
        </w:rPr>
        <w:t>”APP</w:t>
      </w:r>
    </w:p>
    <w:p>
      <w:pPr>
        <w:pStyle w:val="BodyText"/>
        <w:spacing w:line="319" w:lineRule="auto" w:before="101"/>
        <w:ind w:left="1134" w:right="0" w:firstLine="360"/>
        <w:jc w:val="left"/>
      </w:pPr>
      <w:r>
        <w:rPr>
          <w:spacing w:val="-2"/>
        </w:rPr>
        <w:t>近年以来，基于数据挖掘和人工智能技术应用的资讯服务产品发展迅猛。此类产品可以为用户精准推荐有价值的、个性</w:t>
      </w:r>
      <w:r>
        <w:rPr/>
        <w:t> </w:t>
      </w:r>
      <w:r>
        <w:rPr>
          <w:spacing w:val="-4"/>
        </w:rPr>
        <w:t>化的内容，并连接人、信息和服务，被证明是非常成功的新型媒体产品，也是国内移动互联网领域成长最快的产品服务形态。</w:t>
      </w:r>
      <w:r>
        <w:rPr>
          <w:spacing w:val="-46"/>
        </w:rPr>
        <w:t> </w:t>
      </w:r>
      <w:r>
        <w:rPr>
          <w:spacing w:val="-46"/>
        </w:rPr>
      </w:r>
      <w:r>
        <w:rPr/>
        <w:t>目前，此类资讯服务产品正在出现向垂直领域拓展的趋势。</w:t>
      </w:r>
    </w:p>
    <w:p>
      <w:pPr>
        <w:pStyle w:val="BodyText"/>
        <w:spacing w:line="300" w:lineRule="auto" w:before="56"/>
        <w:ind w:right="1147"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月，公司在创业资讯业务的基础上，开发了新产品</w:t>
      </w:r>
      <w:r>
        <w:rPr>
          <w:rFonts w:ascii="Times New Roman" w:hAnsi="Times New Roman" w:cs="Times New Roman" w:eastAsia="Times New Roman" w:hint="default"/>
        </w:rPr>
        <w:t>“</w:t>
      </w:r>
      <w:r>
        <w:rPr/>
        <w:t>创业家</w:t>
      </w:r>
      <w:r>
        <w:rPr>
          <w:rFonts w:ascii="Times New Roman" w:hAnsi="Times New Roman" w:cs="Times New Roman" w:eastAsia="Times New Roman" w:hint="default"/>
        </w:rPr>
        <w:t>APP”</w:t>
      </w:r>
      <w:r>
        <w:rPr/>
        <w:t>，面向国内数千万企业主和生意人群提供精准 的资讯内容和垂直服务。同时还引入上海连尚网络科技有限公司作为合作伙伴，通过</w:t>
      </w:r>
      <w:r>
        <w:rPr>
          <w:rFonts w:ascii="Times New Roman" w:hAnsi="Times New Roman" w:cs="Times New Roman" w:eastAsia="Times New Roman" w:hint="default"/>
        </w:rPr>
        <w:t>“</w:t>
      </w:r>
      <w:r>
        <w:rPr/>
        <w:t>内容</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的方式更加高效地覆盖用 户群体，实现用户数的指数级扩张。</w:t>
      </w:r>
    </w:p>
    <w:p>
      <w:pPr>
        <w:spacing w:line="240" w:lineRule="auto" w:before="7"/>
        <w:rPr>
          <w:rFonts w:ascii="宋体" w:hAnsi="宋体" w:cs="宋体" w:eastAsia="宋体" w:hint="default"/>
          <w:sz w:val="21"/>
          <w:szCs w:val="21"/>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133" w:right="647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973"/>
        <w:jc w:val="left"/>
      </w:pPr>
      <w:r>
        <w:rPr/>
        <w:t>公司是否需要遵守光伏产业链相关业的披露要求 否</w:t>
      </w:r>
    </w:p>
    <w:p>
      <w:pPr>
        <w:pStyle w:val="BodyText"/>
        <w:spacing w:line="338" w:lineRule="auto" w:before="29"/>
        <w:ind w:right="139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2"/>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0"/>
        <w:ind w:right="1136"/>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3"/>
        <w:ind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2"/>
        <w:ind w:left="1134" w:right="0"/>
        <w:jc w:val="left"/>
      </w:pPr>
      <w:r>
        <w:rPr/>
        <w:t>营业收入整体情况</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85"/>
        <w:gridCol w:w="1600"/>
        <w:gridCol w:w="1589"/>
        <w:gridCol w:w="1600"/>
        <w:gridCol w:w="1583"/>
        <w:gridCol w:w="1601"/>
      </w:tblGrid>
      <w:tr>
        <w:trPr>
          <w:trHeight w:val="206"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184,541,810.94</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184,207,222.24</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r>
        <w:trPr>
          <w:trHeight w:val="397"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商业服务业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184,541,810.94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184,207,222.24</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创业辅导培训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94,133,524.44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100,501,221.26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公关服务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83,751,040.68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70,094,457.54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会员服务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3,722,671.89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11,641,793.04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2,934,573.93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1,969,750.40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184,541,810.94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184,207,222.24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单位：元</w:t>
      </w:r>
    </w:p>
    <w:p>
      <w:pPr>
        <w:spacing w:after="0" w:line="240" w:lineRule="auto"/>
        <w:jc w:val="center"/>
        <w:sectPr>
          <w:type w:val="continuous"/>
          <w:pgSz w:w="11910" w:h="16840"/>
          <w:pgMar w:top="1060" w:bottom="1160" w:left="0" w:right="0"/>
          <w:cols w:num="2" w:equalWidth="0">
            <w:col w:w="4195" w:space="472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184,541,810.94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67,451,259.25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创业辅导培训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94,133,524.44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23,389,154.65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公关服务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83,751,040.68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35,149,278.88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184,541,810.94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67,451,259.25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w:t>
            </w:r>
          </w:p>
        </w:tc>
      </w:tr>
    </w:tbl>
    <w:p>
      <w:pPr>
        <w:pStyle w:val="BodyText"/>
        <w:spacing w:line="240" w:lineRule="auto" w:before="51"/>
        <w:ind w:left="113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92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否</w:t>
      </w:r>
    </w:p>
    <w:p>
      <w:pPr>
        <w:pStyle w:val="BodyText"/>
        <w:spacing w:line="240" w:lineRule="auto" w:before="42"/>
        <w:ind w:left="1134" w:right="0"/>
        <w:jc w:val="left"/>
      </w:pPr>
      <w:r>
        <w:rPr/>
        <w:t>详见本报告第五节</w:t>
      </w:r>
      <w:r>
        <w:rPr>
          <w:rFonts w:ascii="Times New Roman" w:hAnsi="Times New Roman" w:cs="Times New Roman" w:eastAsia="Times New Roman" w:hint="default"/>
        </w:rPr>
        <w:t>“</w:t>
      </w:r>
      <w:r>
        <w:rPr/>
        <w:t>重要事项</w:t>
      </w:r>
      <w:r>
        <w:rPr>
          <w:rFonts w:ascii="Times New Roman" w:hAnsi="Times New Roman" w:cs="Times New Roman" w:eastAsia="Times New Roman" w:hint="default"/>
        </w:rPr>
        <w:t>”—“</w:t>
      </w:r>
      <w:r>
        <w:rPr/>
        <w:t>十六、重大合同及其履行情况</w:t>
      </w:r>
      <w:r>
        <w:rPr>
          <w:rFonts w:ascii="Times New Roman" w:hAnsi="Times New Roman" w:cs="Times New Roman" w:eastAsia="Times New Roman" w:hint="default"/>
        </w:rPr>
        <w:t>”—“4</w:t>
      </w:r>
      <w:r>
        <w:rPr/>
        <w:t>、其他重大合同</w:t>
      </w:r>
      <w:r>
        <w:rPr>
          <w:rFonts w:ascii="Times New Roman" w:hAnsi="Times New Roman" w:cs="Times New Roman" w:eastAsia="Times New Roman" w:hint="default"/>
        </w:rPr>
        <w:t>”</w:t>
      </w:r>
      <w:r>
        <w:rPr/>
        <w:t>中披露的内容。</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产品分类</w:t>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创业辅导培训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23,389,154.65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27,783,257.05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公关服务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35,149,278.88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52.11%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36,168,380.57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会员服务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4,460,475.78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6,121,711.28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-27.14%</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4,452,349.94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1,918,301.09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132.10%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149" w:type="dxa"/>
        <w:tblLayout w:type="fixed"/>
        <w:tblCellMar>
          <w:top w:w="0" w:type="dxa"/>
          <w:left w:w="0" w:type="dxa"/>
          <w:bottom w:w="0" w:type="dxa"/>
          <w:right w:w="0" w:type="dxa"/>
        </w:tblCellMar>
        <w:tblLook w:val="01E0"/>
      </w:tblPr>
      <w:tblGrid>
        <w:gridCol w:w="3119"/>
        <w:gridCol w:w="1560"/>
        <w:gridCol w:w="1176"/>
        <w:gridCol w:w="1518"/>
        <w:gridCol w:w="1536"/>
      </w:tblGrid>
      <w:tr>
        <w:trPr>
          <w:trHeight w:val="34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注册时间</w:t>
            </w:r>
            <w:r>
              <w:rPr>
                <w:rFonts w:ascii="宋体" w:hAnsi="宋体" w:cs="宋体" w:eastAsia="宋体" w:hint="default"/>
                <w:sz w:val="18"/>
                <w:szCs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西藏黑马信息技术服务有限公司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2017-01-05</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西藏</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南昌致新信息技术服务有限公司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2017-03-07</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南昌</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嘉兴致新投资管理有限公司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2017-11-28</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北京创闻天下科技有限公司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2017-06-30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51.20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合肥创润信息技术有限责任公司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2017-09-13</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镇江创启科技服务有限公司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2017-11-23</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镇江</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武汉经际信息科技有限公司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2017-11-14</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沈阳创润信息科技有限公司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2017-12-29</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黑马致通（嘉兴）投资管理有限公司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2017-12-28</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黑马致坤（嘉兴）投资管理有限公司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2017-12-20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黑马致科（嘉兴）投资管理有限公司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2017-12-20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134"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19,966,617.34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10.82%</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803"/>
        <w:gridCol w:w="3301"/>
        <w:gridCol w:w="2322"/>
        <w:gridCol w:w="3143"/>
      </w:tblGrid>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6,870,145.64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3,773,584.82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3,662,509.60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2,830,188.68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2,830,188.60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19,966,617.34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10.82%</w:t>
            </w:r>
          </w:p>
        </w:tc>
      </w:tr>
    </w:tbl>
    <w:p>
      <w:pPr>
        <w:pStyle w:val="BodyText"/>
        <w:spacing w:line="240" w:lineRule="auto" w:before="51"/>
        <w:ind w:left="1134" w:right="0"/>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6,230,902.01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13.75%</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2,014,201.08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1,142,090.21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971,698.10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902,912.62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6,230,902.01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13.75%</w:t>
            </w:r>
          </w:p>
        </w:tc>
      </w:tr>
    </w:tbl>
    <w:p>
      <w:pPr>
        <w:pStyle w:val="BodyText"/>
        <w:spacing w:line="240" w:lineRule="auto" w:before="51"/>
        <w:ind w:left="1134" w:right="0"/>
        <w:jc w:val="left"/>
      </w:pPr>
      <w:r>
        <w:rPr/>
        <w:t>主要供应商其他情况说明</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25,487,365.72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21,337,401.06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47,189,009.19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44,174,042.98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4" w:right="0"/>
              <w:jc w:val="left"/>
              <w:rPr>
                <w:rFonts w:ascii="Times New Roman" w:hAnsi="Times New Roman" w:cs="Times New Roman" w:eastAsia="Times New Roman" w:hint="default"/>
                <w:sz w:val="18"/>
                <w:szCs w:val="18"/>
              </w:rPr>
            </w:pPr>
            <w:r>
              <w:rPr>
                <w:rFonts w:ascii="Times New Roman"/>
                <w:sz w:val="18"/>
              </w:rPr>
              <w:t>-3,052,147.07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-1,488,359.79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3" w:right="0"/>
              <w:jc w:val="left"/>
              <w:rPr>
                <w:rFonts w:ascii="Times New Roman" w:hAnsi="Times New Roman" w:cs="Times New Roman" w:eastAsia="Times New Roman" w:hint="default"/>
                <w:sz w:val="18"/>
                <w:szCs w:val="18"/>
              </w:rPr>
            </w:pPr>
            <w:r>
              <w:rPr>
                <w:rFonts w:ascii="Times New Roman"/>
                <w:sz w:val="18"/>
              </w:rPr>
              <w:t>-105.07%</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报告期公司货币资金增加导致利息 收入增加</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报告期内开展的研发项目有：网络互动教学平台、群组学习服务平台、线上线下共享大咖平台、碎片化在线学习系统。</w:t>
      </w:r>
    </w:p>
    <w:p>
      <w:pPr>
        <w:spacing w:after="0" w:line="338"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9,775,591.53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8,849,368.55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4,019,046.02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研发投入总额占营业收入的比重较上年发生显著变化的原因</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179,344,594.13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201,526,694.51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-11.01%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165,369,868.38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158,827,595.73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13,974,725.75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42,699,098.78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-67.27%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221,949,934.47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50,292,198.86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341.32%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349,814,807.99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53,200,906.69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557.54%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-127,864,873.52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-2,908,707.83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-4,295.93%</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163,990,000.00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327,979,900.00%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10,050,626.23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5,127,000.00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96.03%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153,939,373.77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-5,126,950.00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3,102.55%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40,049,226.00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34,663,440.95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15.54%</w:t>
            </w:r>
          </w:p>
        </w:tc>
      </w:tr>
    </w:tbl>
    <w:p>
      <w:pPr>
        <w:pStyle w:val="BodyText"/>
        <w:spacing w:line="240" w:lineRule="auto" w:before="51"/>
        <w:ind w:left="1134" w:right="0"/>
        <w:jc w:val="left"/>
      </w:pPr>
      <w:r>
        <w:rPr/>
        <w:t>相关数据同比发生重大变动的主要影响因素说明</w:t>
      </w:r>
    </w:p>
    <w:p>
      <w:pPr>
        <w:pStyle w:val="BodyText"/>
        <w:spacing w:line="324" w:lineRule="auto" w:before="116"/>
        <w:ind w:right="33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经营活动产生的现金流量净额下降主要是应收账款增加及支付的各项税费增加所致； 投资活动产生的现金流量净额下降主要是利用闲置资金购买结构性存款，投资支出增加所致； 筹资活动产生的现金流量净额增加主要是公司收到公开发行股票募集资金所致。</w:t>
      </w:r>
    </w:p>
    <w:p>
      <w:pPr>
        <w:spacing w:after="0" w:line="324"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报告期内公司经营活动产生的现金净流量与本年度净利润存在重大差异的原因说明</w:t>
      </w:r>
    </w:p>
    <w:p>
      <w:pPr>
        <w:pStyle w:val="BodyText"/>
        <w:spacing w:line="338" w:lineRule="auto" w:before="116"/>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报告期内公司经营活动产生的现金净流量与本年度净利润差异较大的原因为应收账款增加及支付的各项税费增加所致。</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512"/>
        <w:gridCol w:w="1916"/>
        <w:gridCol w:w="1623"/>
        <w:gridCol w:w="2166"/>
        <w:gridCol w:w="2340"/>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7"/>
              <w:jc w:val="righ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2"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2,808,870.73</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4.44%</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50"/>
              <w:jc w:val="left"/>
              <w:rPr>
                <w:rFonts w:ascii="宋体" w:hAnsi="宋体" w:cs="宋体" w:eastAsia="宋体" w:hint="default"/>
                <w:sz w:val="18"/>
                <w:szCs w:val="18"/>
              </w:rPr>
            </w:pPr>
            <w:r>
              <w:rPr>
                <w:rFonts w:ascii="宋体" w:hAnsi="宋体" w:cs="宋体" w:eastAsia="宋体" w:hint="default"/>
                <w:sz w:val="18"/>
                <w:szCs w:val="18"/>
              </w:rPr>
              <w:t>报告期结构性存款收益及 处置股权收益</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318"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1,775,204.50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2.81%</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50"/>
              <w:jc w:val="both"/>
              <w:rPr>
                <w:rFonts w:ascii="宋体" w:hAnsi="宋体" w:cs="宋体" w:eastAsia="宋体" w:hint="default"/>
                <w:sz w:val="18"/>
                <w:szCs w:val="18"/>
              </w:rPr>
            </w:pPr>
            <w:r>
              <w:rPr>
                <w:rFonts w:ascii="宋体" w:hAnsi="宋体" w:cs="宋体" w:eastAsia="宋体" w:hint="default"/>
                <w:sz w:val="18"/>
                <w:szCs w:val="18"/>
              </w:rPr>
              <w:t>报告期内公司应收账款及 其他应收款相应计提的坏 账准备</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62"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871.64</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50"/>
              <w:jc w:val="left"/>
              <w:rPr>
                <w:rFonts w:ascii="宋体" w:hAnsi="宋体" w:cs="宋体" w:eastAsia="宋体" w:hint="default"/>
                <w:sz w:val="18"/>
                <w:szCs w:val="18"/>
              </w:rPr>
            </w:pPr>
            <w:r>
              <w:rPr>
                <w:rFonts w:ascii="宋体" w:hAnsi="宋体" w:cs="宋体" w:eastAsia="宋体" w:hint="default"/>
                <w:sz w:val="18"/>
                <w:szCs w:val="18"/>
              </w:rPr>
              <w:t>报告期毁损报废固定资产 处置收入</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62"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46" w:right="0"/>
              <w:jc w:val="left"/>
              <w:rPr>
                <w:rFonts w:ascii="Times New Roman" w:hAnsi="Times New Roman" w:cs="Times New Roman" w:eastAsia="Times New Roman" w:hint="default"/>
                <w:sz w:val="18"/>
                <w:szCs w:val="18"/>
              </w:rPr>
            </w:pPr>
            <w:r>
              <w:rPr>
                <w:rFonts w:ascii="Times New Roman"/>
                <w:sz w:val="18"/>
              </w:rPr>
              <w:t>1,474.69</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50"/>
              <w:jc w:val="left"/>
              <w:rPr>
                <w:rFonts w:ascii="宋体" w:hAnsi="宋体" w:cs="宋体" w:eastAsia="宋体" w:hint="default"/>
                <w:sz w:val="18"/>
                <w:szCs w:val="18"/>
              </w:rPr>
            </w:pPr>
            <w:r>
              <w:rPr>
                <w:rFonts w:ascii="宋体" w:hAnsi="宋体" w:cs="宋体" w:eastAsia="宋体" w:hint="default"/>
                <w:sz w:val="18"/>
                <w:szCs w:val="18"/>
              </w:rPr>
              <w:t>报告期毁损报废固定资产 处置损失及税收滞纳金</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8" w:right="0"/>
              <w:jc w:val="left"/>
              <w:rPr>
                <w:rFonts w:ascii="Times New Roman" w:hAnsi="Times New Roman" w:cs="Times New Roman" w:eastAsia="Times New Roman" w:hint="default"/>
                <w:sz w:val="18"/>
                <w:szCs w:val="18"/>
              </w:rPr>
            </w:pPr>
            <w:r>
              <w:rPr>
                <w:rFonts w:ascii="Times New Roman"/>
                <w:sz w:val="18"/>
              </w:rPr>
              <w:t>15,864,204.97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6" w:right="0"/>
              <w:jc w:val="left"/>
              <w:rPr>
                <w:rFonts w:ascii="Times New Roman" w:hAnsi="Times New Roman" w:cs="Times New Roman" w:eastAsia="Times New Roman" w:hint="default"/>
                <w:sz w:val="18"/>
                <w:szCs w:val="18"/>
              </w:rPr>
            </w:pPr>
            <w:r>
              <w:rPr>
                <w:rFonts w:ascii="Times New Roman"/>
                <w:sz w:val="18"/>
              </w:rPr>
              <w:t>25.08%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0"/>
              <w:jc w:val="right"/>
              <w:rPr>
                <w:rFonts w:ascii="宋体" w:hAnsi="宋体" w:cs="宋体" w:eastAsia="宋体" w:hint="default"/>
                <w:sz w:val="18"/>
                <w:szCs w:val="18"/>
              </w:rPr>
            </w:pPr>
            <w:r>
              <w:rPr>
                <w:rFonts w:ascii="宋体" w:hAnsi="宋体" w:cs="宋体" w:eastAsia="宋体" w:hint="default"/>
                <w:sz w:val="18"/>
                <w:szCs w:val="18"/>
              </w:rPr>
              <w:t>报告期收到政府补助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267,067,107.2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58.05%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227,017,881.24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86.94%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-28.89%</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报告期公开发行股票收到募集资金 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46,046,620.06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10.01%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15,509,024.02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5.94%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4.07%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报告期内第四季度业务较多，款项尚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未收回所致。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4,140,551.18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1.59%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-1.59%</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报告期内，处置北京科创空间投资发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展有限公司股权所致。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3,560,875.06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2,639,731.01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报告期购置设备和办公家具所致。</w:t>
            </w: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131,152,376.5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3,055,334.85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报告期公司使用闲置资金购买结构 性存款所致。</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line="544" w:lineRule="auto" w:before="0"/>
        <w:ind w:left="1133" w:right="727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3、截至报告期末的资产权利受限情况" w:id="43"/>
      <w:bookmarkEnd w:id="4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2"/>
        <w:spacing w:line="240" w:lineRule="auto" w:before="100"/>
        <w:ind w:left="1134"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135,000,000.00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21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嘉兴致 新投资 管理有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3" w:right="119"/>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88" w:right="0"/>
              <w:jc w:val="left"/>
              <w:rPr>
                <w:rFonts w:ascii="Times New Roman" w:hAnsi="Times New Roman" w:cs="Times New Roman" w:eastAsia="Times New Roman" w:hint="default"/>
                <w:sz w:val="18"/>
                <w:szCs w:val="18"/>
              </w:rPr>
            </w:pPr>
            <w:r>
              <w:rPr>
                <w:rFonts w:ascii="Times New Roman"/>
                <w:sz w:val="18"/>
              </w:rPr>
              <w:t>85,000,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83"/>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详见巨 潮资讯 </w:t>
            </w:r>
            <w:r>
              <w:rPr>
                <w:rFonts w:ascii="宋体" w:hAnsi="宋体" w:cs="宋体" w:eastAsia="宋体" w:hint="default"/>
                <w:spacing w:val="-14"/>
                <w:sz w:val="18"/>
                <w:szCs w:val="18"/>
              </w:rPr>
              <w:t>网的《关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于对外 投资设 立全资 子公司 的公告》</w:t>
            </w:r>
          </w:p>
          <w:p>
            <w:pPr>
              <w:pStyle w:val="TableParagraph"/>
              <w:spacing w:line="302" w:lineRule="auto" w:before="19"/>
              <w:ind w:left="23" w:right="8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2017- 027</w:t>
            </w:r>
            <w:r>
              <w:rPr>
                <w:rFonts w:ascii="宋体" w:hAnsi="宋体" w:cs="宋体" w:eastAsia="宋体" w:hint="default"/>
                <w:sz w:val="18"/>
                <w:szCs w:val="18"/>
              </w:rPr>
              <w:t>）</w:t>
            </w:r>
          </w:p>
        </w:tc>
      </w:tr>
      <w:tr>
        <w:trPr>
          <w:trHeight w:val="321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4"/>
              <w:ind w:left="22" w:right="59"/>
              <w:jc w:val="left"/>
              <w:rPr>
                <w:rFonts w:ascii="宋体" w:hAnsi="宋体" w:cs="宋体" w:eastAsia="宋体" w:hint="default"/>
                <w:sz w:val="18"/>
                <w:szCs w:val="18"/>
              </w:rPr>
            </w:pPr>
            <w:r>
              <w:rPr>
                <w:rFonts w:ascii="宋体" w:hAnsi="宋体" w:cs="宋体" w:eastAsia="宋体" w:hint="default"/>
                <w:sz w:val="18"/>
                <w:szCs w:val="18"/>
              </w:rPr>
              <w:t>黑马致 通</w:t>
            </w:r>
            <w:r>
              <w:rPr>
                <w:rFonts w:ascii="Times New Roman" w:hAnsi="Times New Roman" w:cs="Times New Roman" w:eastAsia="Times New Roman" w:hint="default"/>
                <w:sz w:val="18"/>
                <w:szCs w:val="18"/>
              </w:rPr>
              <w:t>(</w:t>
            </w:r>
            <w:r>
              <w:rPr>
                <w:rFonts w:ascii="宋体" w:hAnsi="宋体" w:cs="宋体" w:eastAsia="宋体" w:hint="default"/>
                <w:sz w:val="18"/>
                <w:szCs w:val="18"/>
              </w:rPr>
              <w:t>嘉 兴</w:t>
            </w:r>
            <w:r>
              <w:rPr>
                <w:rFonts w:ascii="Times New Roman" w:hAnsi="Times New Roman" w:cs="Times New Roman" w:eastAsia="Times New Roman" w:hint="default"/>
                <w:sz w:val="18"/>
                <w:szCs w:val="18"/>
              </w:rPr>
              <w:t>)</w:t>
            </w:r>
            <w:r>
              <w:rPr>
                <w:rFonts w:ascii="宋体" w:hAnsi="宋体" w:cs="宋体" w:eastAsia="宋体" w:hint="default"/>
                <w:sz w:val="18"/>
                <w:szCs w:val="18"/>
              </w:rPr>
              <w:t>投资 管理有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3" w:right="119"/>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88"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83"/>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详见巨 潮资讯 </w:t>
            </w:r>
            <w:r>
              <w:rPr>
                <w:rFonts w:ascii="宋体" w:hAnsi="宋体" w:cs="宋体" w:eastAsia="宋体" w:hint="default"/>
                <w:spacing w:val="-14"/>
                <w:sz w:val="18"/>
                <w:szCs w:val="18"/>
              </w:rPr>
              <w:t>网的《关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于对外 投资设 立全资 孙公司 的公告》</w:t>
            </w:r>
          </w:p>
          <w:p>
            <w:pPr>
              <w:pStyle w:val="TableParagraph"/>
              <w:spacing w:line="302" w:lineRule="auto" w:before="19"/>
              <w:ind w:left="23" w:right="8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2017- 032</w:t>
            </w:r>
            <w:r>
              <w:rPr>
                <w:rFonts w:ascii="宋体" w:hAnsi="宋体" w:cs="宋体" w:eastAsia="宋体" w:hint="default"/>
                <w:sz w:val="18"/>
                <w:szCs w:val="18"/>
              </w:rPr>
              <w:t>）</w:t>
            </w:r>
          </w:p>
        </w:tc>
      </w:tr>
    </w:tbl>
    <w:p>
      <w:pPr>
        <w:spacing w:after="0" w:line="302"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2"/>
        <w:gridCol w:w="662"/>
        <w:gridCol w:w="663"/>
        <w:gridCol w:w="658"/>
        <w:gridCol w:w="655"/>
        <w:gridCol w:w="658"/>
        <w:gridCol w:w="629"/>
        <w:gridCol w:w="740"/>
        <w:gridCol w:w="734"/>
        <w:gridCol w:w="733"/>
        <w:gridCol w:w="724"/>
      </w:tblGrid>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135,000</w:t>
            </w:r>
          </w:p>
          <w:p>
            <w:pPr>
              <w:pStyle w:val="TableParagraph"/>
              <w:spacing w:line="240" w:lineRule="auto" w:before="106"/>
              <w:ind w:left="89"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0"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15,173.16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4,556.06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4,556.06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10,617.1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115"/>
              <w:jc w:val="both"/>
              <w:rPr>
                <w:rFonts w:ascii="宋体" w:hAnsi="宋体" w:cs="宋体" w:eastAsia="宋体" w:hint="default"/>
                <w:sz w:val="18"/>
                <w:szCs w:val="18"/>
              </w:rPr>
            </w:pPr>
            <w:r>
              <w:rPr>
                <w:rFonts w:ascii="宋体" w:hAnsi="宋体" w:cs="宋体" w:eastAsia="宋体" w:hint="default"/>
                <w:sz w:val="18"/>
                <w:szCs w:val="18"/>
              </w:rPr>
              <w:t>募集资金 专户存储 及购买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天通知存 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15,173.16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4,556.06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4,556.06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10,617.1</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332"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一、募集资金基本情况</w:t>
            </w:r>
          </w:p>
          <w:p>
            <w:pPr>
              <w:pStyle w:val="TableParagraph"/>
              <w:spacing w:line="300" w:lineRule="auto" w:before="115"/>
              <w:ind w:left="22" w:right="20"/>
              <w:jc w:val="left"/>
              <w:rPr>
                <w:rFonts w:ascii="宋体" w:hAnsi="宋体" w:cs="宋体" w:eastAsia="宋体" w:hint="default"/>
                <w:sz w:val="18"/>
                <w:szCs w:val="18"/>
              </w:rPr>
            </w:pPr>
            <w:r>
              <w:rPr>
                <w:rFonts w:ascii="宋体" w:hAnsi="宋体" w:cs="宋体" w:eastAsia="宋体" w:hint="default"/>
                <w:spacing w:val="-6"/>
                <w:sz w:val="18"/>
                <w:szCs w:val="18"/>
              </w:rPr>
              <w:t>经中国证券监督管理委员会《关于核准创业黑马（北京）科技股份有限公司首次公开发行股票的批复》（证监许可</w:t>
            </w:r>
            <w:r>
              <w:rPr>
                <w:rFonts w:ascii="Times New Roman" w:hAnsi="Times New Roman" w:cs="Times New Roman" w:eastAsia="Times New Roman" w:hint="default"/>
                <w:spacing w:val="-6"/>
                <w:sz w:val="18"/>
                <w:szCs w:val="18"/>
              </w:rPr>
              <w:t>[2017]1312</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pacing w:val="-23"/>
                <w:sz w:val="18"/>
                <w:szCs w:val="18"/>
              </w:rPr>
            </w:r>
            <w:r>
              <w:rPr>
                <w:rFonts w:ascii="宋体" w:hAnsi="宋体" w:cs="宋体" w:eastAsia="宋体" w:hint="default"/>
                <w:sz w:val="18"/>
                <w:szCs w:val="18"/>
              </w:rPr>
              <w:t>号）核准，公司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月于深圳证券交易所向社会公众公开发行人民币普通股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1,700.00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万股，发行价为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10.75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股，募集资金总额为人民币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182,750,000.00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元，扣除承销及保荐费用人民币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21,260,000.00</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元，余额为人民币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161,490,000.00</w:t>
            </w:r>
          </w:p>
          <w:p>
            <w:pPr>
              <w:pStyle w:val="TableParagraph"/>
              <w:spacing w:line="340" w:lineRule="auto" w:before="64"/>
              <w:ind w:left="22" w:right="618"/>
              <w:jc w:val="left"/>
              <w:rPr>
                <w:rFonts w:ascii="宋体" w:hAnsi="宋体" w:cs="宋体" w:eastAsia="宋体" w:hint="default"/>
                <w:sz w:val="18"/>
                <w:szCs w:val="18"/>
              </w:rPr>
            </w:pPr>
            <w:r>
              <w:rPr>
                <w:rFonts w:ascii="宋体" w:hAnsi="宋体" w:cs="宋体" w:eastAsia="宋体" w:hint="default"/>
                <w:sz w:val="18"/>
                <w:szCs w:val="18"/>
              </w:rPr>
              <w:t>元，另外扣除中介机构费和其他发行费用人民币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9,758,400.00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元，实际募集资金净额为人民币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151,731,600.00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二、募集资金使用情况</w:t>
            </w:r>
          </w:p>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日，本公司募集资金累计投入募投项目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4,556.06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万元，其中黑马众创空间项目投入金额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2,678.54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元；线上业务系统和管理信息系统项目投入金额</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1,877.52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日，扣除存为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天通知存款的募集</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10,531.58 </w:t>
            </w:r>
            <w:r>
              <w:rPr>
                <w:rFonts w:ascii="宋体" w:hAnsi="宋体" w:cs="宋体" w:eastAsia="宋体" w:hint="default"/>
                <w:sz w:val="18"/>
                <w:szCs w:val="18"/>
              </w:rPr>
              <w:t>万元，募集资金账户余额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万元（其中包含募集资金专户利息收入扣除银行手续费支出后的净额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67"/>
        <w:gridCol w:w="783"/>
        <w:gridCol w:w="780"/>
        <w:gridCol w:w="780"/>
        <w:gridCol w:w="779"/>
        <w:gridCol w:w="780"/>
        <w:gridCol w:w="780"/>
        <w:gridCol w:w="780"/>
        <w:gridCol w:w="780"/>
        <w:gridCol w:w="780"/>
        <w:gridCol w:w="780"/>
      </w:tblGrid>
      <w:tr>
        <w:trPr>
          <w:trHeight w:val="1338"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5"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7"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黑马众创空间</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12,005.11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12,005.11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2,678.54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2,678.54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799.15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线上业务系统和管理 信息系统</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3,168.05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3,168.05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1,877.52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1,877.52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59.26%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15,173.16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15,173.16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4,556.06</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4,556.06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799.15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15,173.16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15,173.16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4,556.06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4,556.06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799.15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8"/>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7" w:type="dxa"/>
            <w:vMerge/>
            <w:tcBorders>
              <w:left w:val="single" w:sz="4" w:space="0" w:color="000000"/>
              <w:bottom w:val="single" w:sz="4" w:space="0" w:color="000000"/>
              <w:right w:val="single" w:sz="4" w:space="0" w:color="000000"/>
            </w:tcBorders>
            <w:shd w:val="clear" w:color="auto" w:fill="D2D2D2"/>
          </w:tcPr>
          <w:p>
            <w:pPr/>
          </w:p>
        </w:tc>
        <w:tc>
          <w:tcPr>
            <w:tcW w:w="7802" w:type="dxa"/>
            <w:gridSpan w:val="10"/>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7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2"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2"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7" w:type="dxa"/>
            <w:vMerge/>
            <w:tcBorders>
              <w:left w:val="single" w:sz="4" w:space="0" w:color="000000"/>
              <w:right w:val="single" w:sz="4" w:space="0" w:color="000000"/>
            </w:tcBorders>
            <w:shd w:val="clear" w:color="auto" w:fill="D2D2D2"/>
          </w:tcPr>
          <w:p>
            <w:pPr/>
          </w:p>
        </w:tc>
        <w:tc>
          <w:tcPr>
            <w:tcW w:w="7802"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67" w:type="dxa"/>
            <w:vMerge/>
            <w:tcBorders>
              <w:left w:val="single" w:sz="4" w:space="0" w:color="000000"/>
              <w:bottom w:val="nil" w:sz="6" w:space="0" w:color="auto"/>
              <w:right w:val="single" w:sz="4" w:space="0" w:color="000000"/>
            </w:tcBorders>
            <w:shd w:val="clear" w:color="auto" w:fill="D2D2D2"/>
          </w:tcPr>
          <w:p>
            <w:pPr/>
          </w:p>
        </w:tc>
        <w:tc>
          <w:tcPr>
            <w:tcW w:w="7802"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2" w:type="dxa"/>
            <w:gridSpan w:val="10"/>
            <w:vMerge/>
            <w:tcBorders>
              <w:left w:val="single" w:sz="9" w:space="0" w:color="D2D2D2"/>
              <w:bottom w:val="single" w:sz="4" w:space="0" w:color="000000"/>
              <w:right w:val="single" w:sz="4" w:space="0" w:color="000000"/>
            </w:tcBorders>
          </w:tcPr>
          <w:p>
            <w:pPr/>
          </w:p>
        </w:tc>
      </w:tr>
      <w:tr>
        <w:trPr>
          <w:trHeight w:val="251" w:hRule="exact"/>
        </w:trPr>
        <w:tc>
          <w:tcPr>
            <w:tcW w:w="17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2"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2"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7" w:type="dxa"/>
            <w:vMerge/>
            <w:tcBorders>
              <w:left w:val="single" w:sz="4" w:space="0" w:color="000000"/>
              <w:right w:val="single" w:sz="4" w:space="0" w:color="000000"/>
            </w:tcBorders>
            <w:shd w:val="clear" w:color="auto" w:fill="D2D2D2"/>
          </w:tcPr>
          <w:p>
            <w:pPr/>
          </w:p>
        </w:tc>
        <w:tc>
          <w:tcPr>
            <w:tcW w:w="7802"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67" w:type="dxa"/>
            <w:vMerge/>
            <w:tcBorders>
              <w:left w:val="single" w:sz="4" w:space="0" w:color="000000"/>
              <w:bottom w:val="nil" w:sz="6" w:space="0" w:color="auto"/>
              <w:right w:val="single" w:sz="4" w:space="0" w:color="000000"/>
            </w:tcBorders>
            <w:shd w:val="clear" w:color="auto" w:fill="D2D2D2"/>
          </w:tcPr>
          <w:p>
            <w:pPr/>
          </w:p>
        </w:tc>
        <w:tc>
          <w:tcPr>
            <w:tcW w:w="7802"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2"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7" w:type="dxa"/>
            <w:vMerge w:val="restart"/>
            <w:tcBorders>
              <w:top w:val="single" w:sz="4" w:space="0" w:color="000000"/>
              <w:left w:val="single" w:sz="4" w:space="0" w:color="000000"/>
              <w:right w:val="single" w:sz="4" w:space="0" w:color="000000"/>
            </w:tcBorders>
            <w:shd w:val="clear" w:color="auto" w:fill="D2D2D2"/>
          </w:tcPr>
          <w:p>
            <w:pPr/>
          </w:p>
        </w:tc>
        <w:tc>
          <w:tcPr>
            <w:tcW w:w="78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72" w:hRule="exact"/>
        </w:trPr>
        <w:tc>
          <w:tcPr>
            <w:tcW w:w="1767" w:type="dxa"/>
            <w:vMerge/>
            <w:tcBorders>
              <w:left w:val="single" w:sz="4" w:space="0" w:color="000000"/>
              <w:bottom w:val="nil" w:sz="6" w:space="0" w:color="auto"/>
              <w:right w:val="single" w:sz="4" w:space="0" w:color="000000"/>
            </w:tcBorders>
            <w:shd w:val="clear" w:color="auto" w:fill="D2D2D2"/>
          </w:tcPr>
          <w:p>
            <w:pPr/>
          </w:p>
        </w:tc>
        <w:tc>
          <w:tcPr>
            <w:tcW w:w="7802"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0"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日止，本公司黑马众创空间项目先期投入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2,678.54 </w:t>
            </w:r>
            <w:r>
              <w:rPr>
                <w:rFonts w:ascii="宋体" w:hAnsi="宋体" w:cs="宋体" w:eastAsia="宋体" w:hint="default"/>
                <w:sz w:val="18"/>
                <w:szCs w:val="18"/>
              </w:rPr>
              <w:t>万元，线上业务系统和管理</w:t>
            </w:r>
          </w:p>
          <w:p>
            <w:pPr>
              <w:pStyle w:val="TableParagraph"/>
              <w:spacing w:line="307" w:lineRule="auto" w:before="61"/>
              <w:ind w:left="20" w:right="25"/>
              <w:jc w:val="both"/>
              <w:rPr>
                <w:rFonts w:ascii="宋体" w:hAnsi="宋体" w:cs="宋体" w:eastAsia="宋体" w:hint="default"/>
                <w:sz w:val="18"/>
                <w:szCs w:val="18"/>
              </w:rPr>
            </w:pPr>
            <w:r>
              <w:rPr>
                <w:rFonts w:ascii="宋体" w:hAnsi="宋体" w:cs="宋体" w:eastAsia="宋体" w:hint="default"/>
                <w:sz w:val="18"/>
                <w:szCs w:val="18"/>
              </w:rPr>
              <w:t>信息系统项目先期投入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1,877.52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万元，合计先期投入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4,556.06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万元。上述先期投入情况已经天职国 际会计师事务所（特殊普通合伙）审核，并出具《以自筹资金预先投入募集资金投资项目的鉴证报 </w:t>
            </w:r>
            <w:r>
              <w:rPr>
                <w:rFonts w:ascii="宋体" w:hAnsi="宋体" w:cs="宋体" w:eastAsia="宋体" w:hint="default"/>
                <w:spacing w:val="-5"/>
                <w:sz w:val="18"/>
                <w:szCs w:val="18"/>
              </w:rPr>
              <w:t>告》（天职业字［</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16189</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号）。</w:t>
            </w:r>
            <w:r>
              <w:rPr>
                <w:rFonts w:ascii="Times New Roman" w:hAnsi="Times New Roman" w:cs="Times New Roman" w:eastAsia="Times New Roman" w:hint="default"/>
                <w:spacing w:val="-13"/>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日，经本公司第一届董事会第十四次会议批准， 上述资金已全部置换转出。</w:t>
            </w:r>
          </w:p>
        </w:tc>
      </w:tr>
      <w:tr>
        <w:trPr>
          <w:trHeight w:val="703" w:hRule="exact"/>
        </w:trPr>
        <w:tc>
          <w:tcPr>
            <w:tcW w:w="17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2" w:type="dxa"/>
            <w:gridSpan w:val="10"/>
            <w:vMerge/>
            <w:tcBorders>
              <w:left w:val="single" w:sz="9" w:space="0" w:color="D2D2D2"/>
              <w:right w:val="single" w:sz="4" w:space="0" w:color="000000"/>
            </w:tcBorders>
          </w:tcPr>
          <w:p>
            <w:pPr/>
          </w:p>
        </w:tc>
      </w:tr>
      <w:tr>
        <w:trPr>
          <w:trHeight w:val="675" w:hRule="exact"/>
        </w:trPr>
        <w:tc>
          <w:tcPr>
            <w:tcW w:w="17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2"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112"/>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7" w:type="dxa"/>
            <w:vMerge/>
            <w:tcBorders>
              <w:left w:val="single" w:sz="4" w:space="0" w:color="000000"/>
              <w:bottom w:val="single" w:sz="4" w:space="0" w:color="000000"/>
              <w:right w:val="single" w:sz="4" w:space="0" w:color="000000"/>
            </w:tcBorders>
            <w:shd w:val="clear" w:color="auto" w:fill="D2D2D2"/>
          </w:tcPr>
          <w:p>
            <w:pPr/>
          </w:p>
        </w:tc>
        <w:tc>
          <w:tcPr>
            <w:tcW w:w="7802" w:type="dxa"/>
            <w:gridSpan w:val="10"/>
            <w:tcBorders>
              <w:top w:val="single" w:sz="4" w:space="0" w:color="000000"/>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尚未使用的募集资金目前存在于公司银行募集资金专户中，将按照募集资金投资项目的建设计划逐 步投入。如公司变更募集资金投资项目，将履行相应的董事会或股东大会审议程序，并及时披露。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日公司召开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年第二次临时股东大会审议通过了《关于使用部分闲置募集资金</w:t>
            </w:r>
          </w:p>
          <w:p>
            <w:pPr>
              <w:pStyle w:val="TableParagraph"/>
              <w:spacing w:line="246" w:lineRule="exact"/>
              <w:ind w:left="22" w:right="0"/>
              <w:jc w:val="both"/>
              <w:rPr>
                <w:rFonts w:ascii="宋体" w:hAnsi="宋体" w:cs="宋体" w:eastAsia="宋体" w:hint="default"/>
                <w:sz w:val="18"/>
                <w:szCs w:val="18"/>
              </w:rPr>
            </w:pPr>
            <w:r>
              <w:rPr>
                <w:rFonts w:ascii="宋体" w:hAnsi="宋体" w:cs="宋体" w:eastAsia="宋体" w:hint="default"/>
                <w:sz w:val="18"/>
                <w:szCs w:val="18"/>
              </w:rPr>
              <w:t>和自有资金进行现金管理的议案</w:t>
            </w:r>
            <w:r>
              <w:rPr>
                <w:rFonts w:ascii="宋体" w:hAnsi="宋体" w:cs="宋体" w:eastAsia="宋体" w:hint="default"/>
                <w:spacing w:val="-90"/>
                <w:sz w:val="18"/>
                <w:szCs w:val="18"/>
              </w:rPr>
              <w:t>》</w:t>
            </w:r>
            <w:r>
              <w:rPr>
                <w:rFonts w:ascii="宋体" w:hAnsi="宋体" w:cs="宋体" w:eastAsia="宋体" w:hint="default"/>
                <w:sz w:val="18"/>
                <w:szCs w:val="18"/>
              </w:rPr>
              <w:t>，同意公司使用不超过</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万元闲置募集资金进行现金管理，</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购买投资期限不超过</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个月的银行保本型产品（包括但不限于协定存款、结构性存款、有保本约定</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的投资产品等</w:t>
            </w:r>
            <w:r>
              <w:rPr>
                <w:rFonts w:ascii="宋体" w:hAnsi="宋体" w:cs="宋体" w:eastAsia="宋体" w:hint="default"/>
                <w:spacing w:val="-90"/>
                <w:sz w:val="18"/>
                <w:szCs w:val="18"/>
              </w:rPr>
              <w:t>）</w:t>
            </w:r>
            <w:r>
              <w:rPr>
                <w:rFonts w:ascii="宋体" w:hAnsi="宋体" w:cs="宋体" w:eastAsia="宋体" w:hint="default"/>
                <w:sz w:val="18"/>
                <w:szCs w:val="18"/>
              </w:rPr>
              <w:t>。自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19  </w:t>
            </w:r>
            <w:r>
              <w:rPr>
                <w:rFonts w:ascii="宋体" w:hAnsi="宋体" w:cs="宋体" w:eastAsia="宋体" w:hint="default"/>
                <w:sz w:val="18"/>
                <w:szCs w:val="18"/>
              </w:rPr>
              <w:t>日股东大会审议通过之日起的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个月内有效，在上述额度</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及有效期内可以循环滚动使用。截至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日，公司存为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天通知存款的募集资金为</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10,531.58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北京创业未 来传媒技术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传媒技术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17,165,400.0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61,897,973.3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52,229,845.2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45,647,819.4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25,822,790.5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19,229,322.0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left="1134" w:right="0"/>
        <w:jc w:val="left"/>
      </w:pPr>
      <w:r>
        <w:rPr/>
        <w:t>报告期内取得和处置子公司的情况</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西藏黑马信息技术服务有限公司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南昌致新信息技术服务有限公司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嘉兴致新投资管理有限公司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北京创闻天下科技有限公司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合肥创润信息技术有限责任公司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镇江创启科技服务有限公司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武汉经际信息科技有限公司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沈阳创润信息科技有限公司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黑马致通（嘉兴）投资管理有限公司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黑马致坤（嘉兴）投资管理有限公司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黑马致科（嘉兴）投资管理有限公司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bl>
    <w:p>
      <w:pPr>
        <w:pStyle w:val="BodyText"/>
        <w:spacing w:line="360" w:lineRule="auto" w:before="51"/>
        <w:ind w:left="1134" w:right="6612"/>
        <w:jc w:val="left"/>
      </w:pPr>
      <w:r>
        <w:rPr/>
        <w:t>主要控股参股公司情况说明 公司报告期内无应当披露的重要控股参股公司信息。</w:t>
      </w:r>
    </w:p>
    <w:p>
      <w:pPr>
        <w:spacing w:line="240" w:lineRule="auto" w:before="1"/>
        <w:rPr>
          <w:rFonts w:ascii="宋体" w:hAnsi="宋体" w:cs="宋体" w:eastAsia="宋体" w:hint="default"/>
          <w:sz w:val="18"/>
          <w:szCs w:val="18"/>
        </w:rPr>
      </w:pPr>
    </w:p>
    <w:p>
      <w:pPr>
        <w:pStyle w:val="Heading2"/>
        <w:spacing w:line="240" w:lineRule="auto"/>
        <w:ind w:left="1134"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3" w:right="0"/>
        <w:jc w:val="left"/>
      </w:pPr>
      <w:r>
        <w:rPr/>
        <w:t>（一）行业格局和趋势 </w:t>
      </w:r>
      <w:r>
        <w:rPr>
          <w:spacing w:val="-2"/>
        </w:rPr>
        <w:t>近年来，在国家</w:t>
      </w:r>
      <w:r>
        <w:rPr>
          <w:rFonts w:ascii="Times New Roman" w:hAnsi="Times New Roman" w:cs="Times New Roman" w:eastAsia="Times New Roman" w:hint="default"/>
          <w:spacing w:val="-2"/>
        </w:rPr>
        <w:t>“</w:t>
      </w:r>
      <w:r>
        <w:rPr>
          <w:spacing w:val="-2"/>
        </w:rPr>
        <w:t>双创</w:t>
      </w:r>
      <w:r>
        <w:rPr>
          <w:rFonts w:ascii="Times New Roman" w:hAnsi="Times New Roman" w:cs="Times New Roman" w:eastAsia="Times New Roman" w:hint="default"/>
          <w:spacing w:val="-2"/>
        </w:rPr>
        <w:t>”</w:t>
      </w:r>
      <w:r>
        <w:rPr>
          <w:spacing w:val="-2"/>
        </w:rPr>
        <w:t>政策的大力推动下，国内创新创业保持了较高的活跃度，创业人群基数不断扩大，带动了创业服</w:t>
      </w:r>
    </w:p>
    <w:p>
      <w:pPr>
        <w:pStyle w:val="BodyText"/>
        <w:spacing w:line="201" w:lineRule="exact"/>
        <w:ind w:left="1134" w:right="0"/>
        <w:jc w:val="left"/>
      </w:pPr>
      <w:r>
        <w:rPr/>
        <w:t>务需求的持续增长。市场上涌现出一批包括公司在内的、商业运作模式新颖、组织力量强大、专业水平较高的创业服务支持</w:t>
      </w:r>
    </w:p>
    <w:p>
      <w:pPr>
        <w:pStyle w:val="BodyText"/>
        <w:spacing w:line="319" w:lineRule="auto" w:before="76"/>
        <w:ind w:left="1134" w:right="0"/>
        <w:jc w:val="left"/>
      </w:pPr>
      <w:r>
        <w:rPr>
          <w:spacing w:val="-2"/>
        </w:rPr>
        <w:t>机构。各类创业服务支持机构从不同的角度出发，侧重满足不同的市场需求，衍生出不同的商业模式，促进了创业服务行业</w:t>
      </w:r>
      <w:r>
        <w:rPr>
          <w:spacing w:val="-65"/>
        </w:rPr>
        <w:t> </w:t>
      </w:r>
      <w:r>
        <w:rPr>
          <w:spacing w:val="-65"/>
        </w:rPr>
      </w:r>
      <w:r>
        <w:rPr/>
        <w:t>的繁荣发展，行业的参与主体与服务能力均快速提升。</w:t>
      </w:r>
    </w:p>
    <w:p>
      <w:pPr>
        <w:pStyle w:val="BodyText"/>
        <w:spacing w:line="309" w:lineRule="auto" w:before="56"/>
        <w:ind w:right="1129" w:firstLine="360"/>
        <w:jc w:val="both"/>
      </w:pPr>
      <w:r>
        <w:rPr>
          <w:spacing w:val="-2"/>
        </w:rPr>
        <w:t>与旺盛的市场需求相比，国内创业服务行业仍处于发展初期，广大创业人群仍有许多尚待发掘和满足的服务需求，这为</w:t>
      </w:r>
      <w:r>
        <w:rPr/>
        <w:t> </w:t>
      </w:r>
      <w:r>
        <w:rPr>
          <w:spacing w:val="-2"/>
        </w:rPr>
        <w:t>创业服务行业提供了广阔的发展空间。一方面，伴随创新创业浪潮的区域性扩散，创业人群正在从传统的</w:t>
      </w:r>
      <w:r>
        <w:rPr>
          <w:rFonts w:ascii="Times New Roman" w:hAnsi="Times New Roman" w:cs="Times New Roman" w:eastAsia="Times New Roman" w:hint="default"/>
          <w:spacing w:val="-2"/>
        </w:rPr>
        <w:t>“</w:t>
      </w:r>
      <w:r>
        <w:rPr>
          <w:spacing w:val="-2"/>
        </w:rPr>
        <w:t>北上广</w:t>
      </w:r>
      <w:r>
        <w:rPr>
          <w:rFonts w:ascii="Times New Roman" w:hAnsi="Times New Roman" w:cs="Times New Roman" w:eastAsia="Times New Roman" w:hint="default"/>
          <w:spacing w:val="-2"/>
        </w:rPr>
        <w:t>”</w:t>
      </w:r>
      <w:r>
        <w:rPr>
          <w:spacing w:val="-2"/>
        </w:rPr>
        <w:t>等一线城</w:t>
      </w:r>
      <w:r>
        <w:rPr>
          <w:spacing w:val="-42"/>
        </w:rPr>
        <w:t> </w:t>
      </w:r>
      <w:r>
        <w:rPr>
          <w:spacing w:val="-2"/>
        </w:rPr>
        <w:t>市，</w:t>
      </w:r>
      <w:r>
        <w:rPr>
          <w:rFonts w:ascii="Times New Roman" w:hAnsi="Times New Roman" w:cs="Times New Roman" w:eastAsia="Times New Roman" w:hint="default"/>
          <w:spacing w:val="-2"/>
        </w:rPr>
        <w:t>“</w:t>
      </w:r>
      <w:r>
        <w:rPr>
          <w:spacing w:val="-2"/>
        </w:rPr>
        <w:t>下沉</w:t>
      </w:r>
      <w:r>
        <w:rPr>
          <w:rFonts w:ascii="Times New Roman" w:hAnsi="Times New Roman" w:cs="Times New Roman" w:eastAsia="Times New Roman" w:hint="default"/>
          <w:spacing w:val="-2"/>
        </w:rPr>
        <w:t>”</w:t>
      </w:r>
      <w:r>
        <w:rPr>
          <w:spacing w:val="-2"/>
        </w:rPr>
        <w:t>至更广大的二三四线城市，从而激发了更为庞大的创业服务需求；另一方面，大量创新型企业正在围绕国家重点</w:t>
      </w:r>
      <w:r>
        <w:rPr>
          <w:spacing w:val="-45"/>
        </w:rPr>
        <w:t> </w:t>
      </w:r>
      <w:r>
        <w:rPr>
          <w:spacing w:val="-45"/>
        </w:rPr>
      </w:r>
      <w:r>
        <w:rPr>
          <w:spacing w:val="-2"/>
        </w:rPr>
        <w:t>发展的战略性新兴产业形成新的全国布局，遍布于二三四线城市的传统企业也迫切需要学习创新模式、借助各类创新手段实</w:t>
      </w:r>
      <w:r>
        <w:rPr>
          <w:spacing w:val="-64"/>
        </w:rPr>
        <w:t> </w:t>
      </w:r>
      <w:r>
        <w:rPr>
          <w:spacing w:val="-64"/>
        </w:rPr>
      </w:r>
      <w:r>
        <w:rPr/>
        <w:t>现转型升级。</w:t>
      </w:r>
    </w:p>
    <w:p>
      <w:pPr>
        <w:pStyle w:val="BodyText"/>
        <w:spacing w:line="319" w:lineRule="auto" w:before="62"/>
        <w:ind w:right="1133" w:firstLine="360"/>
        <w:jc w:val="both"/>
      </w:pPr>
      <w:r>
        <w:rPr>
          <w:spacing w:val="-2"/>
        </w:rPr>
        <w:t>上述趋势对创业服务机构提出了更高要求，既要迅速扩大服务所覆盖的区域范围、惠及更多创业人群，又要提升自身的</w:t>
      </w:r>
      <w:r>
        <w:rPr/>
        <w:t> 服务能力，不断精准满足创业人群细分化的服务需求。这也将成为创业服务行业下一步的演进与发展方向。</w:t>
      </w:r>
    </w:p>
    <w:p>
      <w:pPr>
        <w:pStyle w:val="BodyText"/>
        <w:spacing w:line="357" w:lineRule="auto" w:before="56"/>
        <w:ind w:left="1493" w:right="1127"/>
        <w:jc w:val="left"/>
      </w:pPr>
      <w:r>
        <w:rPr/>
        <w:t>（二）公司发展战略 </w:t>
      </w:r>
      <w:r>
        <w:rPr>
          <w:spacing w:val="-1"/>
        </w:rPr>
        <w:t>公司秉承</w:t>
      </w:r>
      <w:r>
        <w:rPr>
          <w:rFonts w:ascii="Times New Roman" w:hAnsi="Times New Roman" w:cs="Times New Roman" w:eastAsia="Times New Roman" w:hint="default"/>
          <w:spacing w:val="-1"/>
        </w:rPr>
        <w:t>“</w:t>
      </w:r>
      <w:r>
        <w:rPr>
          <w:spacing w:val="-1"/>
        </w:rPr>
        <w:t>推进中国商业新力量成长，发现培养下一代中国商业领袖</w:t>
      </w:r>
      <w:r>
        <w:rPr>
          <w:rFonts w:ascii="Times New Roman" w:hAnsi="Times New Roman" w:cs="Times New Roman" w:eastAsia="Times New Roman" w:hint="default"/>
          <w:spacing w:val="-1"/>
        </w:rPr>
        <w:t>”</w:t>
      </w:r>
      <w:r>
        <w:rPr>
          <w:spacing w:val="-1"/>
        </w:rPr>
        <w:t>的愿景，以打造</w:t>
      </w:r>
      <w:r>
        <w:rPr>
          <w:rFonts w:ascii="Times New Roman" w:hAnsi="Times New Roman" w:cs="Times New Roman" w:eastAsia="Times New Roman" w:hint="default"/>
          <w:spacing w:val="-1"/>
        </w:rPr>
        <w:t>“</w:t>
      </w:r>
      <w:r>
        <w:rPr>
          <w:spacing w:val="-1"/>
        </w:rPr>
        <w:t>一站式</w:t>
      </w:r>
      <w:r>
        <w:rPr>
          <w:rFonts w:ascii="Times New Roman" w:hAnsi="Times New Roman" w:cs="Times New Roman" w:eastAsia="Times New Roman" w:hint="default"/>
          <w:spacing w:val="-1"/>
        </w:rPr>
        <w:t>”</w:t>
      </w:r>
      <w:r>
        <w:rPr>
          <w:spacing w:val="-1"/>
        </w:rPr>
        <w:t>综合性创业服务平台为出</w:t>
      </w:r>
    </w:p>
    <w:p>
      <w:pPr>
        <w:pStyle w:val="BodyText"/>
        <w:spacing w:line="201" w:lineRule="exact"/>
        <w:ind w:right="0"/>
        <w:jc w:val="left"/>
      </w:pPr>
      <w:r>
        <w:rPr/>
        <w:t>发点，为创业者成长所需的推广、学习、融资需求提供各项支持服务。同时在国家创新发展战略的指引下，重点布局产业升</w:t>
      </w:r>
    </w:p>
    <w:p>
      <w:pPr>
        <w:pStyle w:val="BodyText"/>
        <w:spacing w:line="319" w:lineRule="auto" w:before="77"/>
        <w:ind w:right="0"/>
        <w:jc w:val="left"/>
      </w:pPr>
      <w:r>
        <w:rPr>
          <w:spacing w:val="-2"/>
        </w:rPr>
        <w:t>级服务，走出北上广、走出互联网、走出创投圈，将一线城市的优质创新资源延伸至更广大的二三四线城市，助力实体产业</w:t>
      </w:r>
      <w:r>
        <w:rPr>
          <w:spacing w:val="-66"/>
        </w:rPr>
        <w:t> </w:t>
      </w:r>
      <w:r>
        <w:rPr>
          <w:spacing w:val="-66"/>
        </w:rPr>
      </w:r>
      <w:r>
        <w:rPr/>
        <w:t>实现转型升级，并联合各地政府及创新产业上市公司共同孵化、培育更多创新型企业加速成为</w:t>
      </w:r>
      <w:r>
        <w:rPr>
          <w:rFonts w:ascii="Times New Roman" w:hAnsi="Times New Roman" w:cs="Times New Roman" w:eastAsia="Times New Roman" w:hint="default"/>
        </w:rPr>
        <w:t>“</w:t>
      </w:r>
      <w:r>
        <w:rPr/>
        <w:t>独角兽</w:t>
      </w:r>
      <w:r>
        <w:rPr>
          <w:rFonts w:ascii="Times New Roman" w:hAnsi="Times New Roman" w:cs="Times New Roman" w:eastAsia="Times New Roman" w:hint="default"/>
        </w:rPr>
        <w:t>”</w:t>
      </w:r>
      <w:r>
        <w:rPr/>
        <w:t>企业。</w:t>
      </w:r>
    </w:p>
    <w:p>
      <w:pPr>
        <w:pStyle w:val="BodyText"/>
        <w:spacing w:line="357" w:lineRule="auto" w:before="36"/>
        <w:ind w:left="1493" w:right="2653"/>
        <w:jc w:val="left"/>
      </w:pPr>
      <w:r>
        <w:rPr/>
        <w:t>（三）经营计划 围绕成为中国领先的综合性创业服务平台的发展目标，公司</w:t>
      </w:r>
      <w:r>
        <w:rPr>
          <w:rFonts w:ascii="Times New Roman" w:hAnsi="Times New Roman" w:cs="Times New Roman" w:eastAsia="Times New Roman" w:hint="default"/>
        </w:rPr>
        <w:t>2018</w:t>
      </w:r>
      <w:r>
        <w:rPr/>
        <w:t>年度经营计划主要包括以下内容：</w:t>
      </w:r>
    </w:p>
    <w:p>
      <w:pPr>
        <w:spacing w:after="0" w:line="357"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left="1494" w:right="1126"/>
        <w:jc w:val="left"/>
      </w:pPr>
      <w:r>
        <w:rPr>
          <w:rFonts w:ascii="Times New Roman" w:hAnsi="Times New Roman" w:cs="Times New Roman" w:eastAsia="Times New Roman" w:hint="default"/>
        </w:rPr>
        <w:t>1</w:t>
      </w:r>
      <w:r>
        <w:rPr/>
        <w:t>、进一步推进公司业务全国化的</w:t>
      </w:r>
      <w:r>
        <w:rPr>
          <w:rFonts w:ascii="Times New Roman" w:hAnsi="Times New Roman" w:cs="Times New Roman" w:eastAsia="Times New Roman" w:hint="default"/>
        </w:rPr>
        <w:t>“</w:t>
      </w:r>
      <w:r>
        <w:rPr/>
        <w:t>下沉</w:t>
      </w:r>
      <w:r>
        <w:rPr>
          <w:rFonts w:ascii="Times New Roman" w:hAnsi="Times New Roman" w:cs="Times New Roman" w:eastAsia="Times New Roman" w:hint="default"/>
        </w:rPr>
        <w:t>”</w:t>
      </w:r>
      <w:r>
        <w:rPr/>
        <w:t>战略 </w:t>
      </w:r>
      <w:r>
        <w:rPr>
          <w:spacing w:val="-1"/>
        </w:rPr>
        <w:t>公司将继续加强服务资源与渠道的</w:t>
      </w:r>
      <w:r>
        <w:rPr>
          <w:rFonts w:ascii="Times New Roman" w:hAnsi="Times New Roman" w:cs="Times New Roman" w:eastAsia="Times New Roman" w:hint="default"/>
          <w:spacing w:val="-1"/>
        </w:rPr>
        <w:t>“</w:t>
      </w:r>
      <w:r>
        <w:rPr>
          <w:spacing w:val="-1"/>
        </w:rPr>
        <w:t>下沉</w:t>
      </w:r>
      <w:r>
        <w:rPr>
          <w:rFonts w:ascii="Times New Roman" w:hAnsi="Times New Roman" w:cs="Times New Roman" w:eastAsia="Times New Roman" w:hint="default"/>
          <w:spacing w:val="-1"/>
        </w:rPr>
        <w:t>”</w:t>
      </w:r>
      <w:r>
        <w:rPr>
          <w:spacing w:val="-1"/>
        </w:rPr>
        <w:t>，大力发展</w:t>
      </w:r>
      <w:r>
        <w:rPr>
          <w:rFonts w:ascii="Times New Roman" w:hAnsi="Times New Roman" w:cs="Times New Roman" w:eastAsia="Times New Roman" w:hint="default"/>
          <w:spacing w:val="-1"/>
        </w:rPr>
        <w:t>“</w:t>
      </w:r>
      <w:r>
        <w:rPr>
          <w:spacing w:val="-1"/>
        </w:rPr>
        <w:t>黑马百城计划</w:t>
      </w:r>
      <w:r>
        <w:rPr>
          <w:rFonts w:ascii="Times New Roman" w:hAnsi="Times New Roman" w:cs="Times New Roman" w:eastAsia="Times New Roman" w:hint="default"/>
          <w:spacing w:val="-1"/>
        </w:rPr>
        <w:t>”</w:t>
      </w:r>
      <w:r>
        <w:rPr>
          <w:spacing w:val="-1"/>
        </w:rPr>
        <w:t>业务，加强服务内容结构化以及业务模式的强复制</w:t>
      </w:r>
    </w:p>
    <w:p>
      <w:pPr>
        <w:pStyle w:val="BodyText"/>
        <w:spacing w:line="230" w:lineRule="exact"/>
        <w:ind w:right="0"/>
        <w:jc w:val="left"/>
      </w:pPr>
      <w:r>
        <w:rPr/>
        <w:t>性，以</w:t>
      </w:r>
      <w:r>
        <w:rPr>
          <w:rFonts w:ascii="Times New Roman" w:hAnsi="Times New Roman" w:cs="Times New Roman" w:eastAsia="Times New Roman" w:hint="default"/>
        </w:rPr>
        <w:t>“</w:t>
      </w:r>
      <w:r>
        <w:rPr/>
        <w:t>北上广</w:t>
      </w:r>
      <w:r>
        <w:rPr>
          <w:rFonts w:ascii="Times New Roman" w:hAnsi="Times New Roman" w:cs="Times New Roman" w:eastAsia="Times New Roman" w:hint="default"/>
        </w:rPr>
        <w:t>”</w:t>
      </w:r>
      <w:r>
        <w:rPr/>
        <w:t>一线城市为出发点，加快在全国各地的落地布局，建立起分布于全国的网点服务系统，更加贴近并精准服务</w:t>
      </w:r>
    </w:p>
    <w:p>
      <w:pPr>
        <w:pStyle w:val="BodyText"/>
        <w:spacing w:line="348" w:lineRule="auto" w:before="64"/>
        <w:ind w:left="1493" w:right="1116" w:hanging="360"/>
        <w:jc w:val="left"/>
      </w:pPr>
      <w:r>
        <w:rPr/>
        <w:t>本地创业者，帮助二三线城市的实体经济转型升级，帮助更多企业实现互联网、数据化、智能化创新发展。 </w:t>
      </w:r>
      <w:r>
        <w:rPr>
          <w:rFonts w:ascii="Times New Roman" w:hAnsi="Times New Roman" w:cs="Times New Roman" w:eastAsia="Times New Roman" w:hint="default"/>
        </w:rPr>
        <w:t>2</w:t>
      </w:r>
      <w:r>
        <w:rPr/>
        <w:t>、开展创业投资孵化业务 </w:t>
      </w:r>
      <w:r>
        <w:rPr>
          <w:spacing w:val="-2"/>
        </w:rPr>
        <w:t>公司的主营业务为创业服务，将在原有创业辅导培训服务和公关服务的基础上，延伸开展创业投资孵化服务。在既有庞</w:t>
      </w:r>
    </w:p>
    <w:p>
      <w:pPr>
        <w:pStyle w:val="BodyText"/>
        <w:spacing w:line="338" w:lineRule="auto"/>
        <w:ind w:left="1493" w:right="0" w:hanging="360"/>
        <w:jc w:val="left"/>
      </w:pPr>
      <w:r>
        <w:rPr/>
        <w:t>大的辅导培训学员企业中筛选优秀项目，与企业家或投资人导师进行联合投资孵化，成为未来</w:t>
      </w:r>
      <w:r>
        <w:rPr>
          <w:rFonts w:ascii="Times New Roman" w:hAnsi="Times New Roman" w:cs="Times New Roman" w:eastAsia="Times New Roman" w:hint="default"/>
        </w:rPr>
        <w:t>“</w:t>
      </w:r>
      <w:r>
        <w:rPr/>
        <w:t>独角兽</w:t>
      </w:r>
      <w:r>
        <w:rPr>
          <w:rFonts w:ascii="Times New Roman" w:hAnsi="Times New Roman" w:cs="Times New Roman" w:eastAsia="Times New Roman" w:hint="default"/>
        </w:rPr>
        <w:t>”</w:t>
      </w:r>
      <w:r>
        <w:rPr/>
        <w:t>的孵化工场。 </w:t>
      </w:r>
      <w:r>
        <w:rPr>
          <w:rFonts w:ascii="Times New Roman" w:hAnsi="Times New Roman" w:cs="Times New Roman" w:eastAsia="Times New Roman" w:hint="default"/>
        </w:rPr>
        <w:t>3</w:t>
      </w:r>
      <w:r>
        <w:rPr/>
        <w:t>、进一步推进公司创业服务平台化模式的升级 公司在不断满足创业群体多样化需求的过程中，构建了</w:t>
      </w:r>
      <w:r>
        <w:rPr>
          <w:rFonts w:ascii="Times New Roman" w:hAnsi="Times New Roman" w:cs="Times New Roman" w:eastAsia="Times New Roman" w:hint="default"/>
        </w:rPr>
        <w:t>“</w:t>
      </w:r>
      <w:r>
        <w:rPr/>
        <w:t>共创、共享、共赢</w:t>
      </w:r>
      <w:r>
        <w:rPr>
          <w:rFonts w:ascii="Times New Roman" w:hAnsi="Times New Roman" w:cs="Times New Roman" w:eastAsia="Times New Roman" w:hint="default"/>
        </w:rPr>
        <w:t>”</w:t>
      </w:r>
      <w:r>
        <w:rPr/>
        <w:t>的创业服务生态，借助多点触达、多元服</w:t>
      </w:r>
    </w:p>
    <w:p>
      <w:pPr>
        <w:pStyle w:val="BodyText"/>
        <w:spacing w:line="230" w:lineRule="exact"/>
        <w:ind w:right="0"/>
        <w:jc w:val="left"/>
      </w:pPr>
      <w:r>
        <w:rPr/>
        <w:t>务的综合平台，为创业企业提供综合性的创业服务。创业者、企业家、投资人、政府园区等参与方形成了一种</w:t>
      </w:r>
      <w:r>
        <w:rPr>
          <w:rFonts w:ascii="Times New Roman" w:hAnsi="Times New Roman" w:cs="Times New Roman" w:eastAsia="Times New Roman" w:hint="default"/>
        </w:rPr>
        <w:t>“</w:t>
      </w:r>
      <w:r>
        <w:rPr/>
        <w:t>共生共享、</w:t>
      </w:r>
    </w:p>
    <w:p>
      <w:pPr>
        <w:pStyle w:val="BodyText"/>
        <w:spacing w:line="338" w:lineRule="auto" w:before="64"/>
        <w:ind w:left="1424" w:right="0" w:hanging="291"/>
        <w:jc w:val="left"/>
      </w:pPr>
      <w:r>
        <w:rPr/>
        <w:t>相互帮扶</w:t>
      </w:r>
      <w:r>
        <w:rPr>
          <w:rFonts w:ascii="Times New Roman" w:hAnsi="Times New Roman" w:cs="Times New Roman" w:eastAsia="Times New Roman" w:hint="default"/>
        </w:rPr>
        <w:t>”</w:t>
      </w:r>
      <w:r>
        <w:rPr/>
        <w:t>的关系，从而创造生态价值，使生态得以可持续成长，并进一步保证公司业务可持续发展。 </w:t>
      </w:r>
      <w:r>
        <w:rPr>
          <w:spacing w:val="-2"/>
        </w:rPr>
        <w:t>随着用户数量的扩大、服务能力的提升和平台参与方的增加，公司将进一步打造创业服务平台</w:t>
      </w:r>
      <w:r>
        <w:rPr>
          <w:rFonts w:ascii="Times New Roman" w:hAnsi="Times New Roman" w:cs="Times New Roman" w:eastAsia="Times New Roman" w:hint="default"/>
          <w:spacing w:val="-2"/>
        </w:rPr>
        <w:t>2.0</w:t>
      </w:r>
      <w:r>
        <w:rPr>
          <w:spacing w:val="-2"/>
        </w:rPr>
        <w:t>体系。公司将通过开放</w:t>
      </w:r>
    </w:p>
    <w:p>
      <w:pPr>
        <w:pStyle w:val="BodyText"/>
        <w:spacing w:line="217" w:lineRule="exact"/>
        <w:ind w:right="0"/>
        <w:jc w:val="left"/>
      </w:pPr>
      <w:r>
        <w:rPr/>
        <w:t>服务体系给优质的第三方服务商，最大限度地聚合外部服务资源，有效运用平台所掌握的丰富的创业资源，为创业者提供所</w:t>
      </w:r>
    </w:p>
    <w:p>
      <w:pPr>
        <w:pStyle w:val="BodyText"/>
        <w:spacing w:line="240" w:lineRule="auto" w:before="77"/>
        <w:ind w:right="0"/>
        <w:jc w:val="left"/>
      </w:pPr>
      <w:r>
        <w:rPr/>
        <w:t>需的全方位、综合性服务，构建起初步完善的创新创业服务支持生态圈。</w:t>
      </w:r>
    </w:p>
    <w:p>
      <w:pPr>
        <w:pStyle w:val="BodyText"/>
        <w:spacing w:line="240" w:lineRule="auto" w:before="116"/>
        <w:ind w:left="1493" w:right="0"/>
        <w:jc w:val="left"/>
      </w:pPr>
      <w:r>
        <w:rPr/>
        <w:t>（四）可能面对的风险</w:t>
      </w:r>
    </w:p>
    <w:p>
      <w:pPr>
        <w:pStyle w:val="BodyText"/>
        <w:spacing w:line="338" w:lineRule="auto" w:before="117"/>
        <w:ind w:left="1494" w:right="0"/>
        <w:jc w:val="left"/>
      </w:pPr>
      <w:r>
        <w:rPr>
          <w:rFonts w:ascii="Times New Roman" w:hAnsi="Times New Roman" w:cs="Times New Roman" w:eastAsia="Times New Roman" w:hint="default"/>
        </w:rPr>
        <w:t>1</w:t>
      </w:r>
      <w:r>
        <w:rPr/>
        <w:t>、人才流失的风险 </w:t>
      </w:r>
      <w:r>
        <w:rPr>
          <w:spacing w:val="-4"/>
        </w:rPr>
        <w:t>公司所处行业是人力资本密集型行业，人力资本是公司经营的核心要素。同时，公司业务正向创业服务平台化方向发展，</w:t>
      </w:r>
    </w:p>
    <w:p>
      <w:pPr>
        <w:pStyle w:val="BodyText"/>
        <w:spacing w:line="319" w:lineRule="auto" w:before="2"/>
        <w:ind w:left="1134" w:right="0"/>
        <w:jc w:val="left"/>
      </w:pPr>
      <w:r>
        <w:rPr>
          <w:spacing w:val="-2"/>
        </w:rPr>
        <w:t>这对公司人员的综合素质、跨领域的专业化知识、管理水平提出了更高的要求。若公司核心人员的流失或者公司不能培育发</w:t>
      </w:r>
      <w:r>
        <w:rPr>
          <w:spacing w:val="-66"/>
        </w:rPr>
        <w:t> </w:t>
      </w:r>
      <w:r>
        <w:rPr>
          <w:spacing w:val="-66"/>
        </w:rPr>
      </w:r>
      <w:r>
        <w:rPr/>
        <w:t>展新的核心人员会给公司经营带来较大的不确定性，进而在客户关系、培训服务、新业务拓展等诸多领域造成负面影响。</w:t>
      </w:r>
    </w:p>
    <w:p>
      <w:pPr>
        <w:pStyle w:val="BodyText"/>
        <w:spacing w:line="319" w:lineRule="auto" w:before="55"/>
        <w:ind w:right="0" w:firstLine="360"/>
        <w:jc w:val="left"/>
      </w:pPr>
      <w:r>
        <w:rPr>
          <w:spacing w:val="-4"/>
        </w:rPr>
        <w:t>针对上述风险，公司将遵循以能力定岗定级定薪、多种激励方式并行、促进可持续发展的原则，积极开展人才队伍建设，</w:t>
      </w:r>
      <w:r>
        <w:rPr/>
        <w:t> 增强核心人员的专业技能、综合素质以及公司认同感，实现公司人才队伍建设的跨越式发展。</w:t>
      </w:r>
    </w:p>
    <w:p>
      <w:pPr>
        <w:pStyle w:val="BodyText"/>
        <w:spacing w:line="338" w:lineRule="auto" w:before="58"/>
        <w:ind w:left="1494" w:right="1113"/>
        <w:jc w:val="left"/>
      </w:pPr>
      <w:r>
        <w:rPr>
          <w:rFonts w:ascii="Times New Roman" w:hAnsi="Times New Roman" w:cs="Times New Roman" w:eastAsia="Times New Roman" w:hint="default"/>
        </w:rPr>
        <w:t>2</w:t>
      </w:r>
      <w:r>
        <w:rPr/>
        <w:t>、市场竞争风险 近年来，政府大力推动</w:t>
      </w:r>
      <w:r>
        <w:rPr>
          <w:rFonts w:ascii="Times New Roman" w:hAnsi="Times New Roman" w:cs="Times New Roman" w:eastAsia="Times New Roman" w:hint="default"/>
        </w:rPr>
        <w:t>“</w:t>
      </w:r>
      <w:r>
        <w:rPr/>
        <w:t>大众创业、万众创新</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双创</w:t>
      </w:r>
      <w:r>
        <w:rPr>
          <w:rFonts w:ascii="Times New Roman" w:hAnsi="Times New Roman" w:cs="Times New Roman" w:eastAsia="Times New Roman" w:hint="default"/>
        </w:rPr>
        <w:t>”</w:t>
      </w:r>
      <w:r>
        <w:rPr/>
        <w:t>），为</w:t>
      </w:r>
      <w:r>
        <w:rPr>
          <w:rFonts w:ascii="Times New Roman" w:hAnsi="Times New Roman" w:cs="Times New Roman" w:eastAsia="Times New Roman" w:hint="default"/>
        </w:rPr>
        <w:t>“</w:t>
      </w:r>
      <w:r>
        <w:rPr/>
        <w:t>双创</w:t>
      </w:r>
      <w:r>
        <w:rPr>
          <w:rFonts w:ascii="Times New Roman" w:hAnsi="Times New Roman" w:cs="Times New Roman" w:eastAsia="Times New Roman" w:hint="default"/>
        </w:rPr>
        <w:t>”</w:t>
      </w:r>
      <w:r>
        <w:rPr/>
        <w:t>创造了良好的外部环境。围绕</w:t>
      </w:r>
      <w:r>
        <w:rPr>
          <w:rFonts w:ascii="Times New Roman" w:hAnsi="Times New Roman" w:cs="Times New Roman" w:eastAsia="Times New Roman" w:hint="default"/>
        </w:rPr>
        <w:t>“</w:t>
      </w:r>
      <w:r>
        <w:rPr/>
        <w:t>双创</w:t>
      </w:r>
      <w:r>
        <w:rPr>
          <w:rFonts w:ascii="Times New Roman" w:hAnsi="Times New Roman" w:cs="Times New Roman" w:eastAsia="Times New Roman" w:hint="default"/>
        </w:rPr>
        <w:t>”</w:t>
      </w:r>
      <w:r>
        <w:rPr/>
        <w:t>，创</w:t>
      </w:r>
    </w:p>
    <w:p>
      <w:pPr>
        <w:pStyle w:val="BodyText"/>
        <w:spacing w:line="217" w:lineRule="exact"/>
        <w:ind w:right="0"/>
        <w:jc w:val="left"/>
      </w:pPr>
      <w:r>
        <w:rPr/>
        <w:t>业服务行业也进入到了快速发展的阶段，在规模和业绩增长的同时，创业服务机构的类型和数量也增长较快，如各类创新型</w:t>
      </w:r>
    </w:p>
    <w:p>
      <w:pPr>
        <w:pStyle w:val="BodyText"/>
        <w:spacing w:line="319" w:lineRule="auto" w:before="76"/>
        <w:ind w:right="0"/>
        <w:jc w:val="left"/>
      </w:pPr>
      <w:r>
        <w:rPr>
          <w:spacing w:val="-2"/>
        </w:rPr>
        <w:t>孵化器、创客空间、创业信息服务机构等，行业内竞争日趋激烈。随着国内其他创业服务机构的进入，各类商业模式、服务</w:t>
      </w:r>
      <w:r>
        <w:rPr>
          <w:spacing w:val="-68"/>
        </w:rPr>
        <w:t> </w:t>
      </w:r>
      <w:r>
        <w:rPr>
          <w:spacing w:val="-68"/>
        </w:rPr>
      </w:r>
      <w:r>
        <w:rPr/>
        <w:t>模式将不断涌现，行业竞争将日趋激烈。</w:t>
      </w:r>
    </w:p>
    <w:p>
      <w:pPr>
        <w:pStyle w:val="BodyText"/>
        <w:spacing w:line="319" w:lineRule="auto" w:before="55"/>
        <w:ind w:right="0" w:firstLine="360"/>
        <w:jc w:val="left"/>
      </w:pPr>
      <w:r>
        <w:rPr>
          <w:spacing w:val="-4"/>
        </w:rPr>
        <w:t>针对上述风险，公司将积极学习借鉴优秀企业的优势产品及运作模式，在经营中持续优化自身商业模式和更新产品服务，</w:t>
      </w:r>
      <w:r>
        <w:rPr/>
        <w:t> 增强创新能力和市场抗压能力。</w:t>
      </w:r>
    </w:p>
    <w:p>
      <w:pPr>
        <w:pStyle w:val="BodyText"/>
        <w:spacing w:line="338" w:lineRule="auto" w:before="58"/>
        <w:ind w:left="1494" w:right="1032"/>
        <w:jc w:val="left"/>
      </w:pPr>
      <w:r>
        <w:rPr>
          <w:rFonts w:ascii="Times New Roman" w:hAnsi="Times New Roman" w:cs="Times New Roman" w:eastAsia="Times New Roman" w:hint="default"/>
        </w:rPr>
        <w:t>3</w:t>
      </w:r>
      <w:r>
        <w:rPr/>
        <w:t>、快速发展带来的管理风险 近些年来，公司发展保持较高的增长水平。在</w:t>
      </w:r>
      <w:r>
        <w:rPr>
          <w:rFonts w:ascii="Times New Roman" w:hAnsi="Times New Roman" w:cs="Times New Roman" w:eastAsia="Times New Roman" w:hint="default"/>
        </w:rPr>
        <w:t>2017</w:t>
      </w:r>
      <w:r>
        <w:rPr/>
        <w:t>年公开发行股票并上市后，公司规模将在目前的基础上进一步扩大。</w:t>
      </w:r>
    </w:p>
    <w:p>
      <w:pPr>
        <w:pStyle w:val="BodyText"/>
        <w:spacing w:line="217" w:lineRule="exact"/>
        <w:ind w:left="1134" w:right="0"/>
        <w:jc w:val="left"/>
      </w:pPr>
      <w:r>
        <w:rPr/>
        <w:t>公司资产规模的扩大和人员的增加会使得公司组织机构、管理体系趋于复杂。因此公司在完善管理体系、有效管理和运作、</w:t>
      </w:r>
    </w:p>
    <w:p>
      <w:pPr>
        <w:pStyle w:val="BodyText"/>
        <w:spacing w:line="357" w:lineRule="auto" w:before="77"/>
        <w:ind w:left="1494" w:right="0" w:hanging="360"/>
        <w:jc w:val="left"/>
      </w:pPr>
      <w:r>
        <w:rPr/>
        <w:t>提高管理层管理水平、保证公司运营方面存在一定的风险。 </w:t>
      </w:r>
      <w:r>
        <w:rPr>
          <w:spacing w:val="-2"/>
        </w:rPr>
        <w:t>针对上述风险，公司将完善提升内部控制体系，通过信息化平台建设等措施实施并完善内部控制流程及体系，同时通过</w:t>
      </w:r>
    </w:p>
    <w:p>
      <w:pPr>
        <w:pStyle w:val="BodyText"/>
        <w:spacing w:line="225" w:lineRule="exact"/>
        <w:ind w:left="1134" w:right="0"/>
        <w:jc w:val="left"/>
      </w:pPr>
      <w:r>
        <w:rPr/>
        <w:t>塑造企业文化、员工技能培训等多项措施，提高管理效率，降低管理风险。</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1"/>
        <w:jc w:val="center"/>
        <w:rPr>
          <w:b w:val="0"/>
          <w:bCs w:val="0"/>
        </w:rPr>
      </w:pPr>
      <w:bookmarkStart w:name="_TOC_250007" w:id="61"/>
      <w:bookmarkStart w:name="第五节 重要事项" w:id="62"/>
      <w:r>
        <w:rPr>
          <w:b w:val="0"/>
          <w:bCs w:val="0"/>
        </w:rPr>
      </w:r>
      <w:r>
        <w:rPr/>
        <w:t>第五节</w:t>
      </w:r>
      <w:r>
        <w:rPr>
          <w:spacing w:val="-5"/>
        </w:rPr>
        <w:t> </w:t>
      </w:r>
      <w:r>
        <w:rPr/>
        <w:t>重要事项</w:t>
      </w:r>
      <w:bookmarkEnd w:id="6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38" w:lineRule="auto" w:before="117"/>
        <w:ind w:left="1493" w:right="1116"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根据中国证监会鼓励企业现金分红，给予投资者稳定、合理回报的指导意见，在符合利润分配原则、保证公司正常经营</w:t>
      </w:r>
    </w:p>
    <w:p>
      <w:pPr>
        <w:pStyle w:val="BodyText"/>
        <w:spacing w:line="304" w:lineRule="auto" w:before="2"/>
        <w:ind w:right="1131"/>
        <w:jc w:val="both"/>
      </w:pPr>
      <w:r>
        <w:rPr>
          <w:spacing w:val="-2"/>
        </w:rPr>
        <w:t>和长远发展的前提下，为了更好的兼顾股东的即期利益和长远利益，使公司的价值能够更加公允、客观的体现，从长远角度</w:t>
      </w:r>
      <w:r>
        <w:rPr>
          <w:spacing w:val="-66"/>
        </w:rPr>
        <w:t> </w:t>
      </w:r>
      <w:r>
        <w:rPr>
          <w:spacing w:val="-66"/>
        </w:rPr>
      </w:r>
      <w:r>
        <w:rPr/>
        <w:t>回报投资者，使全体股东分享公司成长的经营成果，</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日第一届董事会第十九次会议审议通过了《关于</w:t>
      </w:r>
      <w:r>
        <w:rPr>
          <w:rFonts w:ascii="Times New Roman" w:hAnsi="Times New Roman" w:cs="Times New Roman" w:eastAsia="Times New Roman" w:hint="default"/>
        </w:rPr>
        <w:t>2017</w:t>
      </w:r>
      <w:r>
        <w:rPr/>
        <w:t>年度 利润分配预案的议案》，公司</w:t>
      </w:r>
      <w:r>
        <w:rPr>
          <w:rFonts w:ascii="Times New Roman" w:hAnsi="Times New Roman" w:cs="Times New Roman" w:eastAsia="Times New Roman" w:hint="default"/>
        </w:rPr>
        <w:t>2017</w:t>
      </w:r>
      <w:r>
        <w:rPr/>
        <w:t>年度公司利润分配预案如下：以截至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68,000,000</w:t>
      </w:r>
      <w:r>
        <w:rPr/>
        <w:t>股为基数，向 全体股东每</w:t>
      </w:r>
      <w:r>
        <w:rPr>
          <w:rFonts w:ascii="Times New Roman" w:hAnsi="Times New Roman" w:cs="Times New Roman" w:eastAsia="Times New Roman" w:hint="default"/>
        </w:rPr>
        <w:t>10</w:t>
      </w:r>
      <w:r>
        <w:rPr/>
        <w:t>股派发现金人民币</w:t>
      </w:r>
      <w:r>
        <w:rPr>
          <w:rFonts w:ascii="Times New Roman" w:hAnsi="Times New Roman" w:cs="Times New Roman" w:eastAsia="Times New Roman" w:hint="default"/>
        </w:rPr>
        <w:t>1</w:t>
      </w:r>
      <w:r>
        <w:rPr/>
        <w:t>元（含税），合计派发现金股利为人民币</w:t>
      </w:r>
      <w:r>
        <w:rPr>
          <w:rFonts w:ascii="Times New Roman" w:hAnsi="Times New Roman" w:cs="Times New Roman" w:eastAsia="Times New Roman" w:hint="default"/>
        </w:rPr>
        <w:t>6,800,000</w:t>
      </w:r>
      <w:r>
        <w:rPr/>
        <w:t>元（含税）。不以公积金转增股本，不 送红股。剩余未分配利润结转至以后年度。上述现金分红后，剩余未分配利润，继续留存公司用于支持公司经营需要。</w:t>
      </w:r>
    </w:p>
    <w:p>
      <w:pPr>
        <w:spacing w:line="240" w:lineRule="auto" w:before="4"/>
        <w:rPr>
          <w:rFonts w:ascii="宋体" w:hAnsi="宋体" w:cs="宋体" w:eastAsia="宋体" w:hint="default"/>
          <w:sz w:val="4"/>
          <w:szCs w:val="4"/>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134" w:right="0"/>
        <w:jc w:val="left"/>
      </w:pPr>
      <w:r>
        <w:rPr/>
        <w:t>公司报告期利润分配预案及资本公积金转增股本预案与公司章程和分红管理办法等的相关规定一致</w:t>
      </w:r>
    </w:p>
    <w:p>
      <w:pPr>
        <w:pStyle w:val="BodyText"/>
        <w:spacing w:line="348" w:lineRule="auto" w:before="116"/>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6,800,000.00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45,699,998.03</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6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创业黑马（北京）科技股份有限公司（以下简称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日召开第一届董事会第十九次会议，审议通过</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宋体" w:hAnsi="宋体" w:cs="宋体" w:eastAsia="宋体" w:hint="default"/>
          <w:sz w:val="28"/>
          <w:szCs w:val="28"/>
        </w:rPr>
      </w:pPr>
    </w:p>
    <w:p>
      <w:pPr>
        <w:spacing w:line="2878" w:lineRule="exact"/>
        <w:ind w:left="1129" w:right="0" w:firstLine="0"/>
        <w:rPr>
          <w:rFonts w:ascii="宋体" w:hAnsi="宋体" w:cs="宋体" w:eastAsia="宋体" w:hint="default"/>
          <w:sz w:val="20"/>
          <w:szCs w:val="20"/>
        </w:rPr>
      </w:pPr>
      <w:r>
        <w:rPr>
          <w:rFonts w:ascii="宋体" w:hAnsi="宋体" w:cs="宋体" w:eastAsia="宋体" w:hint="default"/>
          <w:position w:val="-57"/>
          <w:sz w:val="20"/>
          <w:szCs w:val="20"/>
        </w:rPr>
        <w:pict>
          <v:group style="width:481.75pt;height:143.9pt;mso-position-horizontal-relative:char;mso-position-vertical-relative:line" coordorigin="0,0" coordsize="9635,2878">
            <v:group style="position:absolute;left:10;top:10;width:9560;height:2" coordorigin="10,10" coordsize="9560,2">
              <v:shape style="position:absolute;left:10;top:10;width:9560;height:2" coordorigin="10,10" coordsize="9560,0" path="m10,10l9569,10e" filled="false" stroked="true" strokeweight=".48pt" strokecolor="#000000">
                <v:path arrowok="t"/>
              </v:shape>
            </v:group>
            <v:group style="position:absolute;left:5;top:5;width:2;height:2869" coordorigin="5,5" coordsize="2,2869">
              <v:shape style="position:absolute;left:5;top:5;width:2;height:2869" coordorigin="5,5" coordsize="0,2869" path="m5,5l5,2873e" filled="false" stroked="true" strokeweight=".48pt" strokecolor="#000000">
                <v:path arrowok="t"/>
              </v:shape>
            </v:group>
            <v:group style="position:absolute;left:10;top:2868;width:9560;height:2" coordorigin="10,2868" coordsize="9560,2">
              <v:shape style="position:absolute;left:10;top:2868;width:9560;height:2" coordorigin="10,2868" coordsize="9560,0" path="m10,2868l9569,2868e" filled="false" stroked="true" strokeweight=".48pt" strokecolor="#000000">
                <v:path arrowok="t"/>
              </v:shape>
            </v:group>
            <v:group style="position:absolute;left:9574;top:5;width:2;height:2869" coordorigin="9574,5" coordsize="2,2869">
              <v:shape style="position:absolute;left:9574;top:5;width:2;height:2869" coordorigin="9574,5" coordsize="0,2869" path="m9574,5l9574,2873e" filled="false" stroked="true" strokeweight=".48pt" strokecolor="#000000">
                <v:path arrowok="t"/>
              </v:shape>
              <v:shape style="position:absolute;left:0;top:0;width:9635;height:2878" type="#_x0000_t202" filled="false" stroked="false">
                <v:textbox inset="0,0,0,0">
                  <w:txbxContent>
                    <w:p>
                      <w:pPr>
                        <w:spacing w:before="25"/>
                        <w:ind w:left="32" w:right="0" w:firstLine="0"/>
                        <w:jc w:val="left"/>
                        <w:rPr>
                          <w:rFonts w:ascii="宋体" w:hAnsi="宋体" w:cs="宋体" w:eastAsia="宋体" w:hint="default"/>
                          <w:sz w:val="18"/>
                          <w:szCs w:val="18"/>
                        </w:rPr>
                      </w:pPr>
                      <w:r>
                        <w:rPr>
                          <w:rFonts w:ascii="宋体" w:hAnsi="宋体" w:cs="宋体" w:eastAsia="宋体" w:hint="default"/>
                          <w:sz w:val="18"/>
                          <w:szCs w:val="18"/>
                        </w:rPr>
                        <w:t>了《关于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年度利润分配预案的议案</w:t>
                      </w:r>
                      <w:r>
                        <w:rPr>
                          <w:rFonts w:ascii="宋体" w:hAnsi="宋体" w:cs="宋体" w:eastAsia="宋体" w:hint="default"/>
                          <w:spacing w:val="-90"/>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利润分配预案拟定如下：经天职国际会计师事务所（特殊普通</w:t>
                      </w:r>
                    </w:p>
                    <w:p>
                      <w:pPr>
                        <w:spacing w:before="63"/>
                        <w:ind w:left="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合伙）审计：公司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年度实现归属于上市公司股东的净利润为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47,172,804.89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元，母公司实现的净利润为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21,602,491.87</w:t>
                      </w:r>
                    </w:p>
                    <w:p>
                      <w:pPr>
                        <w:spacing w:before="63"/>
                        <w:ind w:left="32" w:right="0" w:firstLine="0"/>
                        <w:jc w:val="left"/>
                        <w:rPr>
                          <w:rFonts w:ascii="宋体" w:hAnsi="宋体" w:cs="宋体" w:eastAsia="宋体" w:hint="default"/>
                          <w:sz w:val="18"/>
                          <w:szCs w:val="18"/>
                        </w:rPr>
                      </w:pPr>
                      <w:r>
                        <w:rPr>
                          <w:rFonts w:ascii="宋体" w:hAnsi="宋体" w:cs="宋体" w:eastAsia="宋体" w:hint="default"/>
                          <w:sz w:val="18"/>
                          <w:szCs w:val="18"/>
                        </w:rPr>
                        <w:t>元。根据《公司章程》的有关规定，母公司应当提取利润的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2,160,249.19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元作为法定公积金。截至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spacing w:line="312" w:lineRule="auto" w:before="63"/>
                        <w:ind w:left="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日，母公司可供分配的利润为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45,699,998.03</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元，资本公积余额为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207,621,034.31</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元。根据中国证监会鼓励企业现金分红，</w:t>
                      </w:r>
                      <w:r>
                        <w:rPr>
                          <w:rFonts w:ascii="宋体" w:hAnsi="宋体" w:cs="宋体" w:eastAsia="宋体" w:hint="default"/>
                          <w:sz w:val="18"/>
                          <w:szCs w:val="18"/>
                        </w:rPr>
                        <w:t> 给予投资者稳定、合理回报的指导意见，在符合利润分配原则、保证公司正常经营和长远发展的前提下，为了更好的兼顾 股东的即期利益和长远利益，使公司的价值能够更加公允、客观的体现，从长远角度回报投资者，使全体股东分享公司成 长的经营成果，</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年度公司利润分配预案如下：以截至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w:t>
                      </w:r>
                    </w:p>
                    <w:p>
                      <w:pPr>
                        <w:spacing w:before="3"/>
                        <w:ind w:left="32" w:right="0" w:firstLine="0"/>
                        <w:jc w:val="left"/>
                        <w:rPr>
                          <w:rFonts w:ascii="宋体" w:hAnsi="宋体" w:cs="宋体" w:eastAsia="宋体" w:hint="default"/>
                          <w:sz w:val="18"/>
                          <w:szCs w:val="18"/>
                        </w:rPr>
                      </w:pPr>
                      <w:r>
                        <w:rPr>
                          <w:rFonts w:ascii="宋体" w:hAnsi="宋体" w:cs="宋体" w:eastAsia="宋体" w:hint="default"/>
                          <w:sz w:val="18"/>
                          <w:szCs w:val="18"/>
                        </w:rPr>
                        <w:t>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1"/>
                          <w:sz w:val="18"/>
                          <w:szCs w:val="18"/>
                        </w:rPr>
                        <w:t>发</w:t>
                      </w:r>
                      <w:r>
                        <w:rPr>
                          <w:rFonts w:ascii="宋体" w:hAnsi="宋体" w:cs="宋体" w:eastAsia="宋体" w:hint="default"/>
                          <w:sz w:val="18"/>
                          <w:szCs w:val="18"/>
                        </w:rPr>
                        <w:t>现金人民币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15"/>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合计派发现金股利为人民币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6,800,000.00 </w:t>
                      </w:r>
                      <w:r>
                        <w:rPr>
                          <w:rFonts w:ascii="宋体" w:hAnsi="宋体" w:cs="宋体" w:eastAsia="宋体" w:hint="default"/>
                          <w:spacing w:val="-15"/>
                          <w:sz w:val="18"/>
                          <w:szCs w:val="18"/>
                        </w:rPr>
                        <w:t>元</w:t>
                      </w:r>
                      <w:r>
                        <w:rPr>
                          <w:rFonts w:ascii="宋体" w:hAnsi="宋体" w:cs="宋体" w:eastAsia="宋体" w:hint="default"/>
                          <w:spacing w:val="-2"/>
                          <w:sz w:val="18"/>
                          <w:szCs w:val="18"/>
                        </w:rPr>
                        <w:t>（</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上述现金分红后</w:t>
                      </w:r>
                      <w:r>
                        <w:rPr>
                          <w:rFonts w:ascii="宋体" w:hAnsi="宋体" w:cs="宋体" w:eastAsia="宋体" w:hint="default"/>
                          <w:spacing w:val="-15"/>
                          <w:sz w:val="18"/>
                          <w:szCs w:val="18"/>
                        </w:rPr>
                        <w:t>，</w:t>
                      </w:r>
                      <w:r>
                        <w:rPr>
                          <w:rFonts w:ascii="宋体" w:hAnsi="宋体" w:cs="宋体" w:eastAsia="宋体" w:hint="default"/>
                          <w:sz w:val="18"/>
                          <w:szCs w:val="18"/>
                        </w:rPr>
                        <w:t>剩余未分</w:t>
                      </w:r>
                    </w:p>
                    <w:p>
                      <w:pPr>
                        <w:spacing w:before="64"/>
                        <w:ind w:left="32" w:right="0" w:firstLine="0"/>
                        <w:jc w:val="left"/>
                        <w:rPr>
                          <w:rFonts w:ascii="宋体" w:hAnsi="宋体" w:cs="宋体" w:eastAsia="宋体" w:hint="default"/>
                          <w:sz w:val="18"/>
                          <w:szCs w:val="18"/>
                        </w:rPr>
                      </w:pPr>
                      <w:r>
                        <w:rPr>
                          <w:rFonts w:ascii="宋体" w:hAnsi="宋体" w:cs="宋体" w:eastAsia="宋体" w:hint="default"/>
                          <w:sz w:val="18"/>
                          <w:szCs w:val="18"/>
                        </w:rPr>
                        <w:t>配利润，继续留存公司用于支持公司经营需要。本预案尚需提交公司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w:t>
                      </w:r>
                    </w:p>
                  </w:txbxContent>
                </v:textbox>
                <w10:wrap type="none"/>
              </v:shape>
            </v:group>
          </v:group>
        </w:pict>
      </w:r>
      <w:r>
        <w:rPr>
          <w:rFonts w:ascii="宋体" w:hAnsi="宋体" w:cs="宋体" w:eastAsia="宋体" w:hint="default"/>
          <w:position w:val="-57"/>
          <w:sz w:val="20"/>
          <w:szCs w:val="20"/>
        </w:rPr>
      </w:r>
    </w:p>
    <w:p>
      <w:pPr>
        <w:pStyle w:val="BodyText"/>
        <w:spacing w:line="240" w:lineRule="auto" w:before="46"/>
        <w:ind w:left="113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3"/>
        <w:ind w:right="0"/>
        <w:jc w:val="left"/>
      </w:pPr>
      <w:r>
        <w:rPr/>
        <w:t>（一）</w:t>
      </w:r>
      <w:r>
        <w:rPr>
          <w:rFonts w:ascii="Times New Roman" w:hAnsi="Times New Roman" w:cs="Times New Roman" w:eastAsia="Times New Roman" w:hint="default"/>
        </w:rPr>
        <w:t>2015</w:t>
      </w:r>
      <w:r>
        <w:rPr/>
        <w:t>年度利润分配方案：不进行利润分配。</w:t>
      </w:r>
      <w:r>
        <w:rPr>
          <w:rFonts w:ascii="Times New Roman" w:hAnsi="Times New Roman" w:cs="Times New Roman" w:eastAsia="Times New Roman" w:hint="default"/>
        </w:rPr>
        <w:t>2015</w:t>
      </w:r>
      <w:r>
        <w:rPr/>
        <w:t>年公司完成股份制改造，资本公积转增股本</w:t>
      </w:r>
      <w:r>
        <w:rPr>
          <w:rFonts w:ascii="Times New Roman" w:hAnsi="Times New Roman" w:cs="Times New Roman" w:eastAsia="Times New Roman" w:hint="default"/>
        </w:rPr>
        <w:t>2,965.17</w:t>
      </w:r>
      <w:r>
        <w:rPr/>
        <w:t>万元。</w:t>
      </w:r>
    </w:p>
    <w:p>
      <w:pPr>
        <w:pStyle w:val="BodyText"/>
        <w:spacing w:line="240" w:lineRule="auto" w:before="102"/>
        <w:ind w:right="0"/>
        <w:jc w:val="left"/>
      </w:pPr>
      <w:r>
        <w:rPr/>
        <w:t>（二）</w:t>
      </w:r>
      <w:r>
        <w:rPr>
          <w:rFonts w:ascii="Times New Roman" w:hAnsi="Times New Roman" w:cs="Times New Roman" w:eastAsia="Times New Roman" w:hint="default"/>
        </w:rPr>
        <w:t>2016</w:t>
      </w:r>
      <w:r>
        <w:rPr/>
        <w:t>年度利润分配方案：不进行利润分配。</w:t>
      </w:r>
    </w:p>
    <w:p>
      <w:pPr>
        <w:pStyle w:val="BodyText"/>
        <w:spacing w:line="321" w:lineRule="auto" w:before="101"/>
        <w:ind w:right="0"/>
        <w:jc w:val="left"/>
      </w:pPr>
      <w:r>
        <w:rPr>
          <w:spacing w:val="-2"/>
        </w:rPr>
        <w:t>（三）</w:t>
      </w:r>
      <w:r>
        <w:rPr>
          <w:rFonts w:ascii="Times New Roman" w:hAnsi="Times New Roman" w:cs="Times New Roman" w:eastAsia="Times New Roman" w:hint="default"/>
          <w:spacing w:val="-2"/>
        </w:rPr>
        <w:t>2017</w:t>
      </w:r>
      <w:r>
        <w:rPr>
          <w:spacing w:val="-2"/>
        </w:rPr>
        <w:t>年度利润分配方案：以截至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68,000,000</w:t>
      </w:r>
      <w:r>
        <w:rPr>
          <w:spacing w:val="-2"/>
        </w:rPr>
        <w:t>股为基数，向全体股东每</w:t>
      </w:r>
      <w:r>
        <w:rPr>
          <w:rFonts w:ascii="Times New Roman" w:hAnsi="Times New Roman" w:cs="Times New Roman" w:eastAsia="Times New Roman" w:hint="default"/>
          <w:spacing w:val="-2"/>
        </w:rPr>
        <w:t>10</w:t>
      </w:r>
      <w:r>
        <w:rPr>
          <w:spacing w:val="-2"/>
        </w:rPr>
        <w:t>股派发现金人民币</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2"/>
        </w:rPr>
        <w:t> </w:t>
      </w:r>
      <w:r>
        <w:rPr/>
        <w:t>元（含税），合计派发现金股利为人民币</w:t>
      </w:r>
      <w:r>
        <w:rPr>
          <w:rFonts w:ascii="Times New Roman" w:hAnsi="Times New Roman" w:cs="Times New Roman" w:eastAsia="Times New Roman" w:hint="default"/>
        </w:rPr>
        <w:t>6,800,000</w:t>
      </w:r>
      <w:r>
        <w:rPr/>
        <w:t>元（含税）。不以公积金转增股本，不送红股。 公司近三年（包括本报告期）普通股现金分红情况表</w:t>
      </w:r>
    </w:p>
    <w:p>
      <w:pPr>
        <w:pStyle w:val="BodyText"/>
        <w:spacing w:line="240" w:lineRule="auto" w:before="55"/>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8"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47,172,804.89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40,537,983.98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5,329,207.28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813"/>
        <w:gridCol w:w="1137"/>
        <w:gridCol w:w="1126"/>
        <w:gridCol w:w="1127"/>
        <w:gridCol w:w="1126"/>
        <w:gridCol w:w="1121"/>
        <w:gridCol w:w="1108"/>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09" w:hRule="exact"/>
        </w:trPr>
        <w:tc>
          <w:tcPr>
            <w:tcW w:w="2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03"/>
              <w:jc w:val="both"/>
              <w:rPr>
                <w:rFonts w:ascii="宋体" w:hAnsi="宋体" w:cs="宋体" w:eastAsia="宋体" w:hint="default"/>
                <w:sz w:val="18"/>
                <w:szCs w:val="18"/>
              </w:rPr>
            </w:pPr>
            <w:r>
              <w:rPr>
                <w:rFonts w:ascii="宋体" w:hAnsi="宋体" w:cs="宋体" w:eastAsia="宋体" w:hint="default"/>
                <w:sz w:val="18"/>
                <w:szCs w:val="18"/>
              </w:rPr>
              <w:t>在股份公司 股票上市之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300" w:lineRule="auto"/>
              <w:ind w:left="22" w:right="2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锁定期</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spacing w:val="-2"/>
                <w:sz w:val="18"/>
                <w:szCs w:val="18"/>
              </w:rPr>
              <w:t>之内，不转让</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z w:val="18"/>
                <w:szCs w:val="18"/>
              </w:rPr>
              <w:t>正常履行中， 不存在违反 该承诺的情</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形</w:t>
            </w:r>
          </w:p>
        </w:tc>
      </w:tr>
      <w:tr>
        <w:trPr>
          <w:trHeight w:val="392" w:hRule="exact"/>
        </w:trPr>
        <w:tc>
          <w:tcPr>
            <w:tcW w:w="2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37"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610" w:hRule="exact"/>
        </w:trPr>
        <w:tc>
          <w:tcPr>
            <w:tcW w:w="2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7"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10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或委托他人 管理本人于 本次发行前 直接或间接 持有的股份 公司股份，也 不由股份公 司回购本人 直接或间接 持有的股份 公司公开发 行股票前已 发行的股份。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14"/>
              <w:ind w:left="23" w:right="130"/>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北京创业嘉 乐文化传媒 交流中心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3"/>
              <w:jc w:val="both"/>
              <w:rPr>
                <w:rFonts w:ascii="宋体" w:hAnsi="宋体" w:cs="宋体" w:eastAsia="宋体" w:hint="default"/>
                <w:sz w:val="18"/>
                <w:szCs w:val="18"/>
              </w:rPr>
            </w:pPr>
            <w:r>
              <w:rPr>
                <w:rFonts w:ascii="宋体" w:hAnsi="宋体" w:cs="宋体" w:eastAsia="宋体" w:hint="default"/>
                <w:sz w:val="18"/>
                <w:szCs w:val="18"/>
              </w:rPr>
              <w:t>在股份公司 股票上市之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锁定期</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spacing w:val="-2"/>
                <w:sz w:val="18"/>
                <w:szCs w:val="18"/>
              </w:rPr>
              <w:t>内，不转让或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委托他人管 理本企业于 本次发行前 直接或间接 持有的股份 </w:t>
            </w:r>
            <w:r>
              <w:rPr>
                <w:rFonts w:ascii="宋体" w:hAnsi="宋体" w:cs="宋体" w:eastAsia="宋体" w:hint="default"/>
                <w:spacing w:val="-2"/>
                <w:sz w:val="18"/>
                <w:szCs w:val="18"/>
              </w:rPr>
              <w:t>公司股份，也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不由股份公 司回购本企 业直接或间 接持有的股 份公司公开 发行股票前 已发行的股 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3"/>
              <w:jc w:val="left"/>
              <w:rPr>
                <w:rFonts w:ascii="宋体" w:hAnsi="宋体" w:cs="宋体" w:eastAsia="宋体" w:hint="default"/>
                <w:sz w:val="18"/>
                <w:szCs w:val="18"/>
              </w:rPr>
            </w:pPr>
            <w:r>
              <w:rPr>
                <w:rFonts w:ascii="宋体" w:hAnsi="宋体" w:cs="宋体" w:eastAsia="宋体" w:hint="default"/>
                <w:sz w:val="18"/>
                <w:szCs w:val="18"/>
              </w:rPr>
              <w:t>正常履行中， 不存在违反 该承诺的情</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形</w:t>
            </w:r>
          </w:p>
        </w:tc>
      </w:tr>
      <w:tr>
        <w:trPr>
          <w:trHeight w:val="379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蓝创文化传 </w:t>
            </w:r>
            <w:r>
              <w:rPr>
                <w:rFonts w:ascii="宋体" w:hAnsi="宋体" w:cs="宋体" w:eastAsia="宋体" w:hint="default"/>
                <w:spacing w:val="-2"/>
                <w:sz w:val="18"/>
                <w:szCs w:val="18"/>
              </w:rPr>
              <w:t>媒（天津）合</w:t>
            </w:r>
            <w:r>
              <w:rPr>
                <w:rFonts w:ascii="宋体" w:hAnsi="宋体" w:cs="宋体" w:eastAsia="宋体" w:hint="default"/>
                <w:sz w:val="18"/>
                <w:szCs w:val="18"/>
              </w:rPr>
              <w:t> </w:t>
            </w:r>
            <w:r>
              <w:rPr>
                <w:rFonts w:ascii="宋体" w:hAnsi="宋体" w:cs="宋体" w:eastAsia="宋体" w:hint="default"/>
                <w:spacing w:val="-2"/>
                <w:sz w:val="18"/>
                <w:szCs w:val="18"/>
              </w:rPr>
              <w:t>伙企业（有限</w:t>
            </w:r>
            <w:r>
              <w:rPr>
                <w:rFonts w:ascii="宋体" w:hAnsi="宋体" w:cs="宋体" w:eastAsia="宋体" w:hint="default"/>
                <w:sz w:val="18"/>
                <w:szCs w:val="18"/>
              </w:rPr>
              <w:t> </w:t>
            </w:r>
            <w:r>
              <w:rPr>
                <w:rFonts w:ascii="宋体" w:hAnsi="宋体" w:cs="宋体" w:eastAsia="宋体" w:hint="default"/>
                <w:spacing w:val="-15"/>
                <w:sz w:val="18"/>
                <w:szCs w:val="18"/>
              </w:rPr>
              <w:t>合伙）、深圳</w:t>
            </w:r>
            <w:r>
              <w:rPr>
                <w:rFonts w:ascii="宋体" w:hAnsi="宋体" w:cs="宋体" w:eastAsia="宋体" w:hint="default"/>
                <w:sz w:val="18"/>
                <w:szCs w:val="18"/>
              </w:rPr>
              <w:t> 市达晨创丰 股权投资企 业（有限合 </w:t>
            </w:r>
            <w:r>
              <w:rPr>
                <w:rFonts w:ascii="宋体" w:hAnsi="宋体" w:cs="宋体" w:eastAsia="宋体" w:hint="default"/>
                <w:spacing w:val="-15"/>
                <w:sz w:val="18"/>
                <w:szCs w:val="18"/>
              </w:rPr>
              <w:t>伙）、浙江普</w:t>
            </w:r>
            <w:r>
              <w:rPr>
                <w:rFonts w:ascii="宋体" w:hAnsi="宋体" w:cs="宋体" w:eastAsia="宋体" w:hint="default"/>
                <w:sz w:val="18"/>
                <w:szCs w:val="18"/>
              </w:rPr>
              <w:t> 华天勤股权 投资合伙企 业（有限合 </w:t>
            </w:r>
            <w:r>
              <w:rPr>
                <w:rFonts w:ascii="宋体" w:hAnsi="宋体" w:cs="宋体" w:eastAsia="宋体" w:hint="default"/>
                <w:spacing w:val="-15"/>
                <w:sz w:val="18"/>
                <w:szCs w:val="18"/>
              </w:rPr>
              <w:t>伙）、北京用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3"/>
              <w:jc w:val="both"/>
              <w:rPr>
                <w:rFonts w:ascii="宋体" w:hAnsi="宋体" w:cs="宋体" w:eastAsia="宋体" w:hint="default"/>
                <w:sz w:val="18"/>
                <w:szCs w:val="18"/>
              </w:rPr>
            </w:pPr>
            <w:r>
              <w:rPr>
                <w:rFonts w:ascii="宋体" w:hAnsi="宋体" w:cs="宋体" w:eastAsia="宋体" w:hint="default"/>
                <w:sz w:val="18"/>
                <w:szCs w:val="18"/>
              </w:rPr>
              <w:t>在股份公司 股票上市之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锁定期</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spacing w:val="-2"/>
                <w:sz w:val="18"/>
                <w:szCs w:val="18"/>
              </w:rPr>
              <w:t>内，不转让或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委托他人管 理本企业于 本次发行前 直接或间接 持有的股份 </w:t>
            </w:r>
            <w:r>
              <w:rPr>
                <w:rFonts w:ascii="宋体" w:hAnsi="宋体" w:cs="宋体" w:eastAsia="宋体" w:hint="default"/>
                <w:spacing w:val="-2"/>
                <w:sz w:val="18"/>
                <w:szCs w:val="18"/>
              </w:rPr>
              <w:t>公司股份，也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不由股份公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6" w:lineRule="auto"/>
              <w:ind w:left="22" w:right="-3"/>
              <w:jc w:val="left"/>
              <w:rPr>
                <w:rFonts w:ascii="宋体" w:hAnsi="宋体" w:cs="宋体" w:eastAsia="宋体" w:hint="default"/>
                <w:sz w:val="18"/>
                <w:szCs w:val="18"/>
              </w:rPr>
            </w:pPr>
            <w:r>
              <w:rPr>
                <w:rFonts w:ascii="宋体" w:hAnsi="宋体" w:cs="宋体" w:eastAsia="宋体" w:hint="default"/>
                <w:sz w:val="18"/>
                <w:szCs w:val="18"/>
              </w:rPr>
              <w:t>正常履行中， 不存在违反 该承诺的情</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形</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285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友创新投资 </w:t>
            </w:r>
            <w:r>
              <w:rPr>
                <w:rFonts w:ascii="宋体" w:hAnsi="宋体" w:cs="宋体" w:eastAsia="宋体" w:hint="default"/>
                <w:spacing w:val="-2"/>
                <w:sz w:val="18"/>
                <w:szCs w:val="18"/>
              </w:rPr>
              <w:t>中心（有限合</w:t>
            </w:r>
            <w:r>
              <w:rPr>
                <w:rFonts w:ascii="宋体" w:hAnsi="宋体" w:cs="宋体" w:eastAsia="宋体" w:hint="default"/>
                <w:sz w:val="18"/>
                <w:szCs w:val="18"/>
              </w:rPr>
              <w:t> </w:t>
            </w:r>
            <w:r>
              <w:rPr>
                <w:rFonts w:ascii="宋体" w:hAnsi="宋体" w:cs="宋体" w:eastAsia="宋体" w:hint="default"/>
                <w:spacing w:val="-15"/>
                <w:sz w:val="18"/>
                <w:szCs w:val="18"/>
              </w:rPr>
              <w:t>伙）、苏州卓</w:t>
            </w:r>
            <w:r>
              <w:rPr>
                <w:rFonts w:ascii="宋体" w:hAnsi="宋体" w:cs="宋体" w:eastAsia="宋体" w:hint="default"/>
                <w:sz w:val="18"/>
                <w:szCs w:val="18"/>
              </w:rPr>
              <w:t> 燝投资中心</w:t>
            </w:r>
          </w:p>
          <w:p>
            <w:pPr>
              <w:pStyle w:val="TableParagraph"/>
              <w:spacing w:line="319" w:lineRule="auto" w:before="19"/>
              <w:ind w:left="23" w:right="100"/>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15"/>
                <w:sz w:val="18"/>
                <w:szCs w:val="18"/>
              </w:rPr>
              <w:t>伙）、深圳市</w:t>
            </w:r>
            <w:r>
              <w:rPr>
                <w:rFonts w:ascii="宋体" w:hAnsi="宋体" w:cs="宋体" w:eastAsia="宋体" w:hint="default"/>
                <w:sz w:val="18"/>
                <w:szCs w:val="18"/>
              </w:rPr>
              <w:t> 前海中咨旗 咨询有限公 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宋体" w:hAnsi="宋体" w:cs="宋体" w:eastAsia="宋体" w:hint="default"/>
                <w:sz w:val="18"/>
                <w:szCs w:val="18"/>
              </w:rPr>
            </w:pPr>
            <w:r>
              <w:rPr>
                <w:rFonts w:ascii="宋体" w:hAnsi="宋体" w:cs="宋体" w:eastAsia="宋体" w:hint="default"/>
                <w:sz w:val="18"/>
                <w:szCs w:val="18"/>
              </w:rPr>
              <w:t>司回购本企 业直接或间 接持有的股 份公司公开 发行股票前 已发行的股 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3"/>
              <w:jc w:val="both"/>
              <w:rPr>
                <w:rFonts w:ascii="宋体" w:hAnsi="宋体" w:cs="宋体" w:eastAsia="宋体" w:hint="default"/>
                <w:sz w:val="18"/>
                <w:szCs w:val="18"/>
              </w:rPr>
            </w:pPr>
            <w:r>
              <w:rPr>
                <w:rFonts w:ascii="宋体" w:hAnsi="宋体" w:cs="宋体" w:eastAsia="宋体" w:hint="default"/>
                <w:sz w:val="18"/>
                <w:szCs w:val="18"/>
              </w:rPr>
              <w:t>在股份公司 股票上市之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锁定期</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spacing w:val="-2"/>
                <w:sz w:val="18"/>
                <w:szCs w:val="18"/>
              </w:rPr>
              <w:t>内，不转让或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委托他人管 理本人于本 次发行前直 接或间接持 有的股份公 </w:t>
            </w:r>
            <w:r>
              <w:rPr>
                <w:rFonts w:ascii="宋体" w:hAnsi="宋体" w:cs="宋体" w:eastAsia="宋体" w:hint="default"/>
                <w:spacing w:val="-2"/>
                <w:sz w:val="18"/>
                <w:szCs w:val="18"/>
              </w:rPr>
              <w:t>司股份，也不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由股份公司 回购本人直 接或间接持 有的股份公 司公开发行 股票前已发 行的股份。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3"/>
              <w:jc w:val="left"/>
              <w:rPr>
                <w:rFonts w:ascii="宋体" w:hAnsi="宋体" w:cs="宋体" w:eastAsia="宋体" w:hint="default"/>
                <w:sz w:val="18"/>
                <w:szCs w:val="18"/>
              </w:rPr>
            </w:pPr>
            <w:r>
              <w:rPr>
                <w:rFonts w:ascii="宋体" w:hAnsi="宋体" w:cs="宋体" w:eastAsia="宋体" w:hint="default"/>
                <w:sz w:val="18"/>
                <w:szCs w:val="18"/>
              </w:rPr>
              <w:t>正常履行中， 不存在违反 该承诺的情</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形</w:t>
            </w:r>
          </w:p>
        </w:tc>
      </w:tr>
      <w:tr>
        <w:trPr>
          <w:trHeight w:val="535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刘义伟、王佳</w:t>
            </w:r>
            <w:r>
              <w:rPr>
                <w:rFonts w:ascii="宋体" w:hAnsi="宋体" w:cs="宋体" w:eastAsia="宋体" w:hint="default"/>
                <w:sz w:val="18"/>
                <w:szCs w:val="18"/>
              </w:rPr>
              <w:t> 佳、潘博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3"/>
              <w:jc w:val="both"/>
              <w:rPr>
                <w:rFonts w:ascii="宋体" w:hAnsi="宋体" w:cs="宋体" w:eastAsia="宋体" w:hint="default"/>
                <w:sz w:val="18"/>
                <w:szCs w:val="18"/>
              </w:rPr>
            </w:pPr>
            <w:r>
              <w:rPr>
                <w:rFonts w:ascii="宋体" w:hAnsi="宋体" w:cs="宋体" w:eastAsia="宋体" w:hint="default"/>
                <w:sz w:val="18"/>
                <w:szCs w:val="18"/>
              </w:rPr>
              <w:t>在股份公司 股票上市之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锁定期</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spacing w:val="-2"/>
                <w:sz w:val="18"/>
                <w:szCs w:val="18"/>
              </w:rPr>
              <w:t>之内，不转让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或委托他人 管理本人于 本次发行前 直接或间接 持有的股份 </w:t>
            </w:r>
            <w:r>
              <w:rPr>
                <w:rFonts w:ascii="宋体" w:hAnsi="宋体" w:cs="宋体" w:eastAsia="宋体" w:hint="default"/>
                <w:spacing w:val="-2"/>
                <w:sz w:val="18"/>
                <w:szCs w:val="18"/>
              </w:rPr>
              <w:t>公司股份，也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不由股份公 司回购本人 直接或间接 持有的股份 公司公开发 行股票前已</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6" w:lineRule="auto"/>
              <w:ind w:left="22" w:right="-3"/>
              <w:jc w:val="left"/>
              <w:rPr>
                <w:rFonts w:ascii="宋体" w:hAnsi="宋体" w:cs="宋体" w:eastAsia="宋体" w:hint="default"/>
                <w:sz w:val="18"/>
                <w:szCs w:val="18"/>
              </w:rPr>
            </w:pPr>
            <w:r>
              <w:rPr>
                <w:rFonts w:ascii="宋体" w:hAnsi="宋体" w:cs="宋体" w:eastAsia="宋体" w:hint="default"/>
                <w:sz w:val="18"/>
                <w:szCs w:val="18"/>
              </w:rPr>
              <w:t>正常履行中， 不存在违反 该承诺的情</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形</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发行的股份。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2571"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3"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于锁定期届 满后两年内， 在满足以下 条件的前提 下，可进行减 </w:t>
            </w:r>
            <w:r>
              <w:rPr>
                <w:rFonts w:ascii="宋体" w:hAnsi="宋体" w:cs="宋体" w:eastAsia="宋体" w:hint="default"/>
                <w:spacing w:val="-15"/>
                <w:sz w:val="18"/>
                <w:szCs w:val="18"/>
              </w:rPr>
              <w:t>持：（</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）锁定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期届满且没 有延长锁定 期的相关情 形，如有锁定</w:t>
            </w:r>
            <w:r>
              <w:rPr>
                <w:rFonts w:ascii="宋体" w:hAnsi="宋体" w:cs="宋体" w:eastAsia="宋体" w:hint="default"/>
                <w:sz w:val="18"/>
                <w:szCs w:val="18"/>
              </w:rPr>
              <w:t> 延长期，则顺 </w:t>
            </w:r>
            <w:r>
              <w:rPr>
                <w:rFonts w:ascii="宋体" w:hAnsi="宋体" w:cs="宋体" w:eastAsia="宋体" w:hint="default"/>
                <w:spacing w:val="-15"/>
                <w:sz w:val="18"/>
                <w:szCs w:val="18"/>
              </w:rPr>
              <w:t>延；（</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）如发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生本人需向 投资者进行 赔偿的情形， 本人已经全 额承担赔偿 责任。若本人</w:t>
            </w:r>
            <w:r>
              <w:rPr>
                <w:rFonts w:ascii="宋体" w:hAnsi="宋体" w:cs="宋体" w:eastAsia="宋体" w:hint="default"/>
                <w:sz w:val="18"/>
                <w:szCs w:val="18"/>
              </w:rPr>
              <w:t> 所持股份公 司股票在锁 定期满后两 年内进行减 持的，每年减 持不超过上 一年末本人 所持股份公 司股份数量</w:t>
            </w:r>
          </w:p>
          <w:p>
            <w:pPr>
              <w:pStyle w:val="TableParagraph"/>
              <w:spacing w:line="314"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20%</w:t>
            </w:r>
            <w:r>
              <w:rPr>
                <w:rFonts w:ascii="宋体" w:hAnsi="宋体" w:cs="宋体" w:eastAsia="宋体" w:hint="default"/>
                <w:spacing w:val="-5"/>
                <w:sz w:val="18"/>
                <w:szCs w:val="18"/>
              </w:rPr>
              <w:t>，减持</w:t>
            </w:r>
            <w:r>
              <w:rPr>
                <w:rFonts w:ascii="宋体" w:hAnsi="宋体" w:cs="宋体" w:eastAsia="宋体" w:hint="default"/>
                <w:sz w:val="18"/>
                <w:szCs w:val="18"/>
              </w:rPr>
              <w:t> 行为将通过 竞价交易以 及大宗交易 的方式进行， 本人将至少 提前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 日通知股份 公司公告本 次减持的数 量、减持价格 区间、减持时 间区间等。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z w:val="18"/>
                <w:szCs w:val="18"/>
              </w:rPr>
              <w:t>正常履行中， 不存在违反 该承诺的情</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形</w:t>
            </w:r>
          </w:p>
        </w:tc>
      </w:tr>
      <w:tr>
        <w:trPr>
          <w:trHeight w:val="98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0"/>
              <w:jc w:val="both"/>
              <w:rPr>
                <w:rFonts w:ascii="宋体" w:hAnsi="宋体" w:cs="宋体" w:eastAsia="宋体" w:hint="default"/>
                <w:sz w:val="18"/>
                <w:szCs w:val="18"/>
              </w:rPr>
            </w:pPr>
            <w:r>
              <w:rPr>
                <w:rFonts w:ascii="宋体" w:hAnsi="宋体" w:cs="宋体" w:eastAsia="宋体" w:hint="default"/>
                <w:sz w:val="18"/>
                <w:szCs w:val="18"/>
              </w:rPr>
              <w:t>北京创业嘉 乐文化传媒 交流中心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于锁定期届 满后两年内， 在满足以下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正常履行中， 不存在违反 该承诺的情</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15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条件的前提 下，可进行减 </w:t>
            </w:r>
            <w:r>
              <w:rPr>
                <w:rFonts w:ascii="宋体" w:hAnsi="宋体" w:cs="宋体" w:eastAsia="宋体" w:hint="default"/>
                <w:spacing w:val="-15"/>
                <w:sz w:val="18"/>
                <w:szCs w:val="18"/>
              </w:rPr>
              <w:t>持：（</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）锁定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期届满且没 有延长锁定 期的相关情 形，如有锁定</w:t>
            </w:r>
            <w:r>
              <w:rPr>
                <w:rFonts w:ascii="宋体" w:hAnsi="宋体" w:cs="宋体" w:eastAsia="宋体" w:hint="default"/>
                <w:sz w:val="18"/>
                <w:szCs w:val="18"/>
              </w:rPr>
              <w:t> 延长期，则顺 </w:t>
            </w:r>
            <w:r>
              <w:rPr>
                <w:rFonts w:ascii="宋体" w:hAnsi="宋体" w:cs="宋体" w:eastAsia="宋体" w:hint="default"/>
                <w:spacing w:val="-15"/>
                <w:sz w:val="18"/>
                <w:szCs w:val="18"/>
              </w:rPr>
              <w:t>延；（</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）如发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生本企业需 向投资者进 行赔偿的情 形，本企业已</w:t>
            </w:r>
            <w:r>
              <w:rPr>
                <w:rFonts w:ascii="宋体" w:hAnsi="宋体" w:cs="宋体" w:eastAsia="宋体" w:hint="default"/>
                <w:sz w:val="18"/>
                <w:szCs w:val="18"/>
              </w:rPr>
              <w:t> 经全额承担 赔偿责任。若 本企业所持 股份公司股 票在锁定期 满后两年内 进行减持的， 除届时法律 法规另有规 定或另有约 定外，本企业 每年减持股 份公司的股 份数量将不 超过上一年 末本企业所 持股份公司 股份数量的 </w:t>
            </w:r>
            <w:r>
              <w:rPr>
                <w:rFonts w:ascii="Times New Roman" w:hAnsi="Times New Roman" w:cs="Times New Roman" w:eastAsia="Times New Roman" w:hint="default"/>
                <w:sz w:val="18"/>
                <w:szCs w:val="18"/>
              </w:rPr>
              <w:t>20%</w:t>
            </w:r>
            <w:r>
              <w:rPr>
                <w:rFonts w:ascii="宋体" w:hAnsi="宋体" w:cs="宋体" w:eastAsia="宋体" w:hint="default"/>
                <w:sz w:val="18"/>
                <w:szCs w:val="18"/>
              </w:rPr>
              <w:t>（减持至 所持股份公 司股份不超</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19" w:lineRule="auto" w:before="63"/>
              <w:ind w:left="22" w:right="21"/>
              <w:jc w:val="left"/>
              <w:rPr>
                <w:rFonts w:ascii="宋体" w:hAnsi="宋体" w:cs="宋体" w:eastAsia="宋体" w:hint="default"/>
                <w:sz w:val="18"/>
                <w:szCs w:val="18"/>
              </w:rPr>
            </w:pPr>
            <w:r>
              <w:rPr>
                <w:rFonts w:ascii="宋体" w:hAnsi="宋体" w:cs="宋体" w:eastAsia="宋体" w:hint="default"/>
                <w:spacing w:val="-2"/>
                <w:sz w:val="18"/>
                <w:szCs w:val="18"/>
              </w:rPr>
              <w:t>时，可一次性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全部减持）。</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形</w:t>
            </w:r>
          </w:p>
        </w:tc>
      </w:tr>
      <w:tr>
        <w:trPr>
          <w:trHeight w:val="22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蓝创文化传 </w:t>
            </w:r>
            <w:r>
              <w:rPr>
                <w:rFonts w:ascii="宋体" w:hAnsi="宋体" w:cs="宋体" w:eastAsia="宋体" w:hint="default"/>
                <w:spacing w:val="-2"/>
                <w:sz w:val="18"/>
                <w:szCs w:val="18"/>
              </w:rPr>
              <w:t>媒（天津）合</w:t>
            </w:r>
            <w:r>
              <w:rPr>
                <w:rFonts w:ascii="宋体" w:hAnsi="宋体" w:cs="宋体" w:eastAsia="宋体" w:hint="default"/>
                <w:sz w:val="18"/>
                <w:szCs w:val="18"/>
              </w:rPr>
              <w:t> </w:t>
            </w:r>
            <w:r>
              <w:rPr>
                <w:rFonts w:ascii="宋体" w:hAnsi="宋体" w:cs="宋体" w:eastAsia="宋体" w:hint="default"/>
                <w:spacing w:val="-2"/>
                <w:sz w:val="18"/>
                <w:szCs w:val="18"/>
              </w:rPr>
              <w:t>伙企业（有限</w:t>
            </w:r>
            <w:r>
              <w:rPr>
                <w:rFonts w:ascii="宋体" w:hAnsi="宋体" w:cs="宋体" w:eastAsia="宋体" w:hint="default"/>
                <w:sz w:val="18"/>
                <w:szCs w:val="18"/>
              </w:rPr>
              <w:t> </w:t>
            </w:r>
            <w:r>
              <w:rPr>
                <w:rFonts w:ascii="宋体" w:hAnsi="宋体" w:cs="宋体" w:eastAsia="宋体" w:hint="default"/>
                <w:spacing w:val="-15"/>
                <w:sz w:val="18"/>
                <w:szCs w:val="18"/>
              </w:rPr>
              <w:t>合伙）、深圳</w:t>
            </w:r>
            <w:r>
              <w:rPr>
                <w:rFonts w:ascii="宋体" w:hAnsi="宋体" w:cs="宋体" w:eastAsia="宋体" w:hint="default"/>
                <w:sz w:val="18"/>
                <w:szCs w:val="18"/>
              </w:rPr>
              <w:t> 市达晨创丰 股权投资企 业（有限合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若本企业所 持股份公司 股票在上述 锁定期满后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个月内减 </w:t>
            </w:r>
            <w:r>
              <w:rPr>
                <w:rFonts w:ascii="宋体" w:hAnsi="宋体" w:cs="宋体" w:eastAsia="宋体" w:hint="default"/>
                <w:spacing w:val="-2"/>
                <w:sz w:val="18"/>
                <w:szCs w:val="18"/>
              </w:rPr>
              <w:t>持的，减持不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超过本企业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z w:val="18"/>
                <w:szCs w:val="18"/>
              </w:rPr>
              <w:t>正常履行中， 不存在违反 该承诺的情</w:t>
            </w:r>
          </w:p>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形</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22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所持股份公 司股份的 </w:t>
            </w:r>
            <w:r>
              <w:rPr>
                <w:rFonts w:ascii="Times New Roman" w:hAnsi="Times New Roman" w:cs="Times New Roman" w:eastAsia="Times New Roman" w:hint="default"/>
                <w:spacing w:val="-9"/>
                <w:sz w:val="18"/>
                <w:szCs w:val="18"/>
              </w:rPr>
              <w:t>100%</w:t>
            </w:r>
            <w:r>
              <w:rPr>
                <w:rFonts w:ascii="宋体" w:hAnsi="宋体" w:cs="宋体" w:eastAsia="宋体" w:hint="default"/>
                <w:spacing w:val="-9"/>
                <w:sz w:val="18"/>
                <w:szCs w:val="18"/>
              </w:rPr>
              <w:t>；若本企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业所持股份 公司股票在 锁定期满后 两年内减持， 减持应按照 市场价格进 行。本企业将</w:t>
            </w:r>
            <w:r>
              <w:rPr>
                <w:rFonts w:ascii="宋体" w:hAnsi="宋体" w:cs="宋体" w:eastAsia="宋体" w:hint="default"/>
                <w:sz w:val="18"/>
                <w:szCs w:val="18"/>
              </w:rPr>
              <w:t> 至少提前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交易日通知 股份公司公 告本次减持 的数量、减持 价格区间、减 持时间区间 等，并按照深 圳证券交易 所的规则及 时、准确、完 整地履行信 息披露义务。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刘义伟、王佳</w:t>
            </w:r>
            <w:r>
              <w:rPr>
                <w:rFonts w:ascii="宋体" w:hAnsi="宋体" w:cs="宋体" w:eastAsia="宋体" w:hint="default"/>
                <w:sz w:val="18"/>
                <w:szCs w:val="18"/>
              </w:rPr>
              <w:t> 佳、潘博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若本人于本 人承诺的股 票锁定期届 满后两年内 减持股份公 </w:t>
            </w:r>
            <w:r>
              <w:rPr>
                <w:rFonts w:ascii="宋体" w:hAnsi="宋体" w:cs="宋体" w:eastAsia="宋体" w:hint="default"/>
                <w:spacing w:val="-2"/>
                <w:sz w:val="18"/>
                <w:szCs w:val="18"/>
              </w:rPr>
              <w:t>司股票，股票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减持的价格 应不低于股 份公司首次 公开发行股 </w:t>
            </w:r>
            <w:r>
              <w:rPr>
                <w:rFonts w:ascii="宋体" w:hAnsi="宋体" w:cs="宋体" w:eastAsia="宋体" w:hint="default"/>
                <w:spacing w:val="-13"/>
                <w:w w:val="99"/>
                <w:sz w:val="18"/>
                <w:szCs w:val="18"/>
              </w:rPr>
              <w:t>票的发行价（</w:t>
            </w:r>
            <w:r>
              <w:rPr>
                <w:rFonts w:ascii="Times New Roman" w:hAnsi="Times New Roman" w:cs="Times New Roman" w:eastAsia="Times New Roman" w:hint="default"/>
                <w:spacing w:val="-13"/>
                <w:w w:val="99"/>
                <w:sz w:val="18"/>
                <w:szCs w:val="18"/>
              </w:rPr>
              <w:t>"</w:t>
            </w:r>
            <w:r>
              <w:rPr>
                <w:rFonts w:ascii="Times New Roman" w:hAnsi="Times New Roman" w:cs="Times New Roman" w:eastAsia="Times New Roman" w:hint="default"/>
                <w:spacing w:val="-39"/>
                <w:w w:val="99"/>
                <w:sz w:val="18"/>
                <w:szCs w:val="18"/>
              </w:rPr>
              <w:t> </w:t>
            </w:r>
            <w:r>
              <w:rPr>
                <w:rFonts w:ascii="宋体" w:hAnsi="宋体" w:cs="宋体" w:eastAsia="宋体" w:hint="default"/>
                <w:spacing w:val="-31"/>
                <w:w w:val="99"/>
                <w:sz w:val="18"/>
                <w:szCs w:val="18"/>
              </w:rPr>
              <w:t>发行价</w:t>
            </w:r>
            <w:r>
              <w:rPr>
                <w:rFonts w:ascii="Times New Roman" w:hAnsi="Times New Roman" w:cs="Times New Roman" w:eastAsia="Times New Roman" w:hint="default"/>
                <w:spacing w:val="-31"/>
                <w:w w:val="99"/>
                <w:sz w:val="18"/>
                <w:szCs w:val="18"/>
              </w:rPr>
              <w:t>"</w:t>
            </w:r>
            <w:r>
              <w:rPr>
                <w:rFonts w:ascii="宋体" w:hAnsi="宋体" w:cs="宋体" w:eastAsia="宋体" w:hint="default"/>
                <w:spacing w:val="-31"/>
                <w:w w:val="99"/>
                <w:sz w:val="18"/>
                <w:szCs w:val="18"/>
              </w:rPr>
              <w:t>）。</w:t>
            </w:r>
            <w:r>
              <w:rPr>
                <w:rFonts w:ascii="宋体" w:hAnsi="宋体" w:cs="宋体" w:eastAsia="宋体" w:hint="default"/>
                <w:w w:val="99"/>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3"/>
              <w:jc w:val="left"/>
              <w:rPr>
                <w:rFonts w:ascii="宋体" w:hAnsi="宋体" w:cs="宋体" w:eastAsia="宋体" w:hint="default"/>
                <w:sz w:val="18"/>
                <w:szCs w:val="18"/>
              </w:rPr>
            </w:pPr>
            <w:r>
              <w:rPr>
                <w:rFonts w:ascii="宋体" w:hAnsi="宋体" w:cs="宋体" w:eastAsia="宋体" w:hint="default"/>
                <w:sz w:val="18"/>
                <w:szCs w:val="18"/>
              </w:rPr>
              <w:t>正常履行中， 不存在违反 该承诺的情</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形</w:t>
            </w:r>
          </w:p>
        </w:tc>
      </w:tr>
      <w:tr>
        <w:trPr>
          <w:trHeight w:val="285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股价稳定承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股份公司上 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p>
            <w:pPr>
              <w:pStyle w:val="TableParagraph"/>
              <w:spacing w:line="314" w:lineRule="auto"/>
              <w:ind w:left="22" w:right="12"/>
              <w:jc w:val="left"/>
              <w:rPr>
                <w:rFonts w:ascii="宋体" w:hAnsi="宋体" w:cs="宋体" w:eastAsia="宋体" w:hint="default"/>
                <w:sz w:val="18"/>
                <w:szCs w:val="18"/>
              </w:rPr>
            </w:pPr>
            <w:r>
              <w:rPr>
                <w:rFonts w:ascii="宋体" w:hAnsi="宋体" w:cs="宋体" w:eastAsia="宋体" w:hint="default"/>
                <w:sz w:val="18"/>
                <w:szCs w:val="18"/>
              </w:rPr>
              <w:t>股价连续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 每日加权平 均价的算术 平均值（如果 因派发现金 红利、送股、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z w:val="18"/>
                <w:szCs w:val="18"/>
              </w:rPr>
              <w:t>正常履行中， 不存在违反 该承诺的情</w:t>
            </w:r>
          </w:p>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形</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转增股本、增</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发新股等原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因进行除权、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除息的，须按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定作复权处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理，下同）低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近一期经审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计的每股净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务报表中归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属于母公司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普通股股东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权益合计数</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年末股份公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下同</w:t>
            </w:r>
            <w:r>
              <w:rPr>
                <w:rFonts w:ascii="宋体" w:hAnsi="宋体" w:cs="宋体" w:eastAsia="宋体" w:hint="default"/>
                <w:spacing w:val="-90"/>
                <w:sz w:val="18"/>
                <w:szCs w:val="18"/>
              </w:rPr>
              <w:t>）</w:t>
            </w:r>
            <w:r>
              <w:rPr>
                <w:rFonts w:ascii="宋体" w:hAnsi="宋体" w:cs="宋体" w:eastAsia="宋体" w:hint="default"/>
                <w:sz w:val="18"/>
                <w:szCs w:val="18"/>
              </w:rPr>
              <w:t>（以下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简称为</w:t>
            </w:r>
            <w:r>
              <w:rPr>
                <w:rFonts w:ascii="Times New Roman" w:hAnsi="Times New Roman" w:cs="Times New Roman" w:eastAsia="Times New Roman" w:hint="default"/>
                <w:sz w:val="18"/>
                <w:szCs w:val="18"/>
              </w:rPr>
              <w:t>“</w:t>
            </w:r>
            <w:r>
              <w:rPr>
                <w:rFonts w:ascii="宋体" w:hAnsi="宋体" w:cs="宋体" w:eastAsia="宋体" w:hint="default"/>
                <w:sz w:val="18"/>
                <w:szCs w:val="18"/>
              </w:rPr>
              <w:t>触发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启动条件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本人将依据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规定及本承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诺内容，依照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以下程序实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施具体的稳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定股价措施：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触发启动条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件后</w:t>
            </w:r>
            <w:r>
              <w:rPr>
                <w:rFonts w:ascii="Times New Roman" w:hAnsi="Times New Roman" w:cs="Times New Roman" w:eastAsia="Times New Roman" w:hint="default"/>
                <w:sz w:val="18"/>
                <w:szCs w:val="18"/>
              </w:rPr>
              <w:t>,</w:t>
            </w:r>
            <w:r>
              <w:rPr>
                <w:rFonts w:ascii="宋体" w:hAnsi="宋体" w:cs="宋体" w:eastAsia="宋体" w:hint="default"/>
                <w:sz w:val="18"/>
                <w:szCs w:val="18"/>
              </w:rPr>
              <w:t>本人应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在符合《上市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公司收购管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理办法》等法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律法规的条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件和要求，且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不应导致股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份公司股权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分布不符合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上市条件的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前提下，对股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进行增持。本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97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人应在满足 上述前提之 日起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 </w:t>
            </w:r>
            <w:r>
              <w:rPr>
                <w:rFonts w:ascii="宋体" w:hAnsi="宋体" w:cs="宋体" w:eastAsia="宋体" w:hint="default"/>
                <w:spacing w:val="-2"/>
                <w:sz w:val="18"/>
                <w:szCs w:val="18"/>
              </w:rPr>
              <w:t>易日内，就增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持股份公司</w:t>
            </w:r>
          </w:p>
          <w:p>
            <w:pPr>
              <w:pStyle w:val="TableParagraph"/>
              <w:spacing w:line="316" w:lineRule="auto" w:before="20"/>
              <w:ind w:left="22" w:right="1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股股票的 具体计划（应 包括拟增持 的数量范围、 价格区间、完 成时间等信 息）书面通知 股份公司，并 由股份公司 进行公告。本 人应自公告 作出之日起 下一个交易 日开始启动 增持，并按照 计划完成增 持。本人将以 所获得的股 份公司上一 年度的现金 分红的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且不低于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万元的资金 增持股份公 </w:t>
            </w:r>
            <w:r>
              <w:rPr>
                <w:rFonts w:ascii="宋体" w:hAnsi="宋体" w:cs="宋体" w:eastAsia="宋体" w:hint="default"/>
                <w:spacing w:val="-2"/>
                <w:sz w:val="18"/>
                <w:szCs w:val="18"/>
              </w:rPr>
              <w:t>司股份，增持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价格不超过 股份公司近 一期经审计 的每股净资 产。</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刘义伟、潘 博、韩雪冬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股价稳定承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股份公司上 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p>
            <w:pPr>
              <w:pStyle w:val="TableParagraph"/>
              <w:spacing w:line="314" w:lineRule="auto"/>
              <w:ind w:left="22" w:right="12"/>
              <w:jc w:val="left"/>
              <w:rPr>
                <w:rFonts w:ascii="宋体" w:hAnsi="宋体" w:cs="宋体" w:eastAsia="宋体" w:hint="default"/>
                <w:sz w:val="18"/>
                <w:szCs w:val="18"/>
              </w:rPr>
            </w:pPr>
            <w:r>
              <w:rPr>
                <w:rFonts w:ascii="宋体" w:hAnsi="宋体" w:cs="宋体" w:eastAsia="宋体" w:hint="default"/>
                <w:sz w:val="18"/>
                <w:szCs w:val="18"/>
              </w:rPr>
              <w:t>股价连续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 每日加权平 均价的算术 平均值（如果 因派发现金 红利、送股、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z w:val="18"/>
                <w:szCs w:val="18"/>
              </w:rPr>
              <w:t>正常履行中， 不存在违反 该承诺的情</w:t>
            </w:r>
          </w:p>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形</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转增股本、增</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发新股等原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因进行除权、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除息的，须按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定作复权处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理，下同）低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近一期经审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计的每股净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务报表中归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属于母公司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普通股股东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权益合计数</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年末股份公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下同</w:t>
            </w:r>
            <w:r>
              <w:rPr>
                <w:rFonts w:ascii="宋体" w:hAnsi="宋体" w:cs="宋体" w:eastAsia="宋体" w:hint="default"/>
                <w:spacing w:val="-90"/>
                <w:sz w:val="18"/>
                <w:szCs w:val="18"/>
              </w:rPr>
              <w:t>）</w:t>
            </w:r>
            <w:r>
              <w:rPr>
                <w:rFonts w:ascii="宋体" w:hAnsi="宋体" w:cs="宋体" w:eastAsia="宋体" w:hint="default"/>
                <w:sz w:val="18"/>
                <w:szCs w:val="18"/>
              </w:rPr>
              <w:t>（以下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简称为</w:t>
            </w:r>
            <w:r>
              <w:rPr>
                <w:rFonts w:ascii="Times New Roman" w:hAnsi="Times New Roman" w:cs="Times New Roman" w:eastAsia="Times New Roman" w:hint="default"/>
                <w:sz w:val="18"/>
                <w:szCs w:val="18"/>
              </w:rPr>
              <w:t>“</w:t>
            </w:r>
            <w:r>
              <w:rPr>
                <w:rFonts w:ascii="宋体" w:hAnsi="宋体" w:cs="宋体" w:eastAsia="宋体" w:hint="default"/>
                <w:sz w:val="18"/>
                <w:szCs w:val="18"/>
              </w:rPr>
              <w:t>触发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启动条件</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本人将依据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规定及本承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诺内容，依照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以下程序实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施具体的稳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定股价措施：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触发启动条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件后，本人应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在符合《上市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公司收购管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理办法》及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董事、监事和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员所持本公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变动管理规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则》等法律法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规的条件和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要求，且不应</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53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导致股份公 司股权分布 不符合上市 条件的前提 下，对股份公 司股票进行 增持。股份公 司公告上述 增持计划后， 若股份公司 股价连续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 每日加权平 均价的算术 平均值超过 其近一期经 审计的每股 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本人 将终止增持 股份事宜，且 在未来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 内不再启动 股份增持事 宜。</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29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191"/>
              <w:jc w:val="left"/>
              <w:rPr>
                <w:rFonts w:ascii="宋体" w:hAnsi="宋体" w:cs="宋体" w:eastAsia="宋体" w:hint="default"/>
                <w:sz w:val="18"/>
                <w:szCs w:val="18"/>
              </w:rPr>
            </w:pPr>
            <w:r>
              <w:rPr>
                <w:rFonts w:ascii="宋体" w:hAnsi="宋体" w:cs="宋体" w:eastAsia="宋体" w:hint="default"/>
                <w:sz w:val="18"/>
                <w:szCs w:val="18"/>
              </w:rPr>
              <w:t>股价稳定承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本公司上市 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3"/>
                <w:sz w:val="18"/>
                <w:szCs w:val="18"/>
              </w:rPr>
              <w:t>年内，股</w:t>
            </w:r>
          </w:p>
          <w:p>
            <w:pPr>
              <w:pStyle w:val="TableParagraph"/>
              <w:spacing w:line="316" w:lineRule="auto"/>
              <w:ind w:left="22" w:right="12"/>
              <w:jc w:val="left"/>
              <w:rPr>
                <w:rFonts w:ascii="宋体" w:hAnsi="宋体" w:cs="宋体" w:eastAsia="宋体" w:hint="default"/>
                <w:sz w:val="18"/>
                <w:szCs w:val="18"/>
              </w:rPr>
            </w:pPr>
            <w:r>
              <w:rPr>
                <w:rFonts w:ascii="宋体" w:hAnsi="宋体" w:cs="宋体" w:eastAsia="宋体" w:hint="default"/>
                <w:sz w:val="18"/>
                <w:szCs w:val="18"/>
              </w:rPr>
              <w:t>价连续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交易日的每 日加权平均 价的算术平 均值（如果因 派发现金红 利、送股、转 增股本、增发 新股等原因 进行除权、除 息的，须按照 证券交易所 的有关规定 作复权处理， 下同）低于公 司近一期经 审计的每股 净资产（每股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22" w:right="-3"/>
              <w:jc w:val="left"/>
              <w:rPr>
                <w:rFonts w:ascii="宋体" w:hAnsi="宋体" w:cs="宋体" w:eastAsia="宋体" w:hint="default"/>
                <w:sz w:val="18"/>
                <w:szCs w:val="18"/>
              </w:rPr>
            </w:pPr>
            <w:r>
              <w:rPr>
                <w:rFonts w:ascii="宋体" w:hAnsi="宋体" w:cs="宋体" w:eastAsia="宋体" w:hint="default"/>
                <w:sz w:val="18"/>
                <w:szCs w:val="18"/>
              </w:rPr>
              <w:t>正常履行中， 不存在违反 该承诺的情</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形</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合并</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财务报表中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归属于母公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司普通股股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东权益合计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w:t>
            </w:r>
            <w:r>
              <w:rPr>
                <w:rFonts w:ascii="宋体" w:hAnsi="宋体" w:cs="宋体" w:eastAsia="宋体" w:hint="default"/>
                <w:sz w:val="18"/>
                <w:szCs w:val="18"/>
              </w:rPr>
              <w:t>年末公司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股份总数，下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90"/>
                <w:sz w:val="18"/>
                <w:szCs w:val="18"/>
              </w:rPr>
              <w:t>）</w:t>
            </w:r>
            <w:r>
              <w:rPr>
                <w:rFonts w:ascii="宋体" w:hAnsi="宋体" w:cs="宋体" w:eastAsia="宋体" w:hint="default"/>
                <w:sz w:val="18"/>
                <w:szCs w:val="18"/>
              </w:rPr>
              <w:t>（以下简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称为</w:t>
            </w:r>
            <w:r>
              <w:rPr>
                <w:rFonts w:ascii="Times New Roman" w:hAnsi="Times New Roman" w:cs="Times New Roman" w:eastAsia="Times New Roman" w:hint="default"/>
                <w:sz w:val="18"/>
                <w:szCs w:val="18"/>
              </w:rPr>
              <w:t>“</w:t>
            </w:r>
            <w:r>
              <w:rPr>
                <w:rFonts w:ascii="宋体" w:hAnsi="宋体" w:cs="宋体" w:eastAsia="宋体" w:hint="default"/>
                <w:sz w:val="18"/>
                <w:szCs w:val="18"/>
              </w:rPr>
              <w:t>触发启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动条件</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公司将依据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司章程规定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及本承诺内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容，依照以下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程序实施具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体的稳定股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价措施：触发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启动条件后，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为稳定股价，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符合《上市公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司回购社会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公众股份管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理办法（试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pacing w:val="-90"/>
                <w:sz w:val="18"/>
                <w:szCs w:val="18"/>
              </w:rPr>
              <w:t>）</w:t>
            </w:r>
            <w:r>
              <w:rPr>
                <w:rFonts w:ascii="宋体" w:hAnsi="宋体" w:cs="宋体" w:eastAsia="宋体" w:hint="default"/>
                <w:sz w:val="18"/>
                <w:szCs w:val="18"/>
              </w:rPr>
              <w:t>》及《关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以集中竞价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交易方式回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购股份的补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充规定》等相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的规定，且不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导致本公司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股权分布不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符合上市条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件的前提下，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向社会公众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份。本公司将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依据法律、法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规及公司章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程的规定，在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达到上述条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15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件之日起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交易日内召 开董事会讨 论稳定股价 </w:t>
            </w:r>
            <w:r>
              <w:rPr>
                <w:rFonts w:ascii="宋体" w:hAnsi="宋体" w:cs="宋体" w:eastAsia="宋体" w:hint="default"/>
                <w:spacing w:val="-2"/>
                <w:sz w:val="18"/>
                <w:szCs w:val="18"/>
              </w:rPr>
              <w:t>方案，并提交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股东大会审 </w:t>
            </w:r>
            <w:r>
              <w:rPr>
                <w:rFonts w:ascii="宋体" w:hAnsi="宋体" w:cs="宋体" w:eastAsia="宋体" w:hint="default"/>
                <w:spacing w:val="-2"/>
                <w:sz w:val="18"/>
                <w:szCs w:val="18"/>
              </w:rPr>
              <w:t>议。本公司将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以上一个会 计年度经审 计的归属于 母公司股东 净利润的 </w:t>
            </w:r>
            <w:r>
              <w:rPr>
                <w:rFonts w:ascii="Times New Roman" w:hAnsi="Times New Roman" w:cs="Times New Roman" w:eastAsia="Times New Roman" w:hint="default"/>
                <w:sz w:val="18"/>
                <w:szCs w:val="18"/>
              </w:rPr>
              <w:t>20%</w:t>
            </w:r>
            <w:r>
              <w:rPr>
                <w:rFonts w:ascii="宋体" w:hAnsi="宋体" w:cs="宋体" w:eastAsia="宋体" w:hint="default"/>
                <w:sz w:val="18"/>
                <w:szCs w:val="18"/>
              </w:rPr>
              <w:t>且不低于</w:t>
            </w:r>
          </w:p>
          <w:p>
            <w:pPr>
              <w:pStyle w:val="TableParagraph"/>
              <w:spacing w:line="316" w:lineRule="auto"/>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万元的 资金回购社 会公众股，回 购价格不超 过公司近一 期经审计的 每股净资产。 本公司董事 会公告回购 股份预案后， 股价连续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 每日加权平 均价的算术 平均值超过 近一期经审 计的每股净 资产，本公司 将终止回购 股份事宜，且 在未来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 内不再启动 股份回购事 宜。</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关于招股说 明书如存在 </w:t>
            </w:r>
            <w:r>
              <w:rPr>
                <w:rFonts w:ascii="宋体" w:hAnsi="宋体" w:cs="宋体" w:eastAsia="宋体" w:hint="default"/>
                <w:spacing w:val="-2"/>
                <w:sz w:val="18"/>
                <w:szCs w:val="18"/>
              </w:rPr>
              <w:t>虚假记载、误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导性陈述或 者重大遗漏 等情况的承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1"/>
              <w:jc w:val="left"/>
              <w:rPr>
                <w:rFonts w:ascii="宋体" w:hAnsi="宋体" w:cs="宋体" w:eastAsia="宋体" w:hint="default"/>
                <w:sz w:val="18"/>
                <w:szCs w:val="18"/>
              </w:rPr>
            </w:pPr>
            <w:r>
              <w:rPr>
                <w:rFonts w:ascii="宋体" w:hAnsi="宋体" w:cs="宋体" w:eastAsia="宋体" w:hint="default"/>
                <w:sz w:val="18"/>
                <w:szCs w:val="18"/>
              </w:rPr>
              <w:t>发行人招股 说明书有虚 </w:t>
            </w:r>
            <w:r>
              <w:rPr>
                <w:rFonts w:ascii="宋体" w:hAnsi="宋体" w:cs="宋体" w:eastAsia="宋体" w:hint="default"/>
                <w:spacing w:val="-2"/>
                <w:sz w:val="18"/>
                <w:szCs w:val="18"/>
              </w:rPr>
              <w:t>假记载、误导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性陈述或者 </w:t>
            </w:r>
            <w:r>
              <w:rPr>
                <w:rFonts w:ascii="宋体" w:hAnsi="宋体" w:cs="宋体" w:eastAsia="宋体" w:hint="default"/>
                <w:spacing w:val="-2"/>
                <w:sz w:val="18"/>
                <w:szCs w:val="18"/>
              </w:rPr>
              <w:t>重大遗漏，对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判断发行人 是否符合法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
              <w:jc w:val="left"/>
              <w:rPr>
                <w:rFonts w:ascii="宋体" w:hAnsi="宋体" w:cs="宋体" w:eastAsia="宋体" w:hint="default"/>
                <w:sz w:val="18"/>
                <w:szCs w:val="18"/>
              </w:rPr>
            </w:pPr>
            <w:r>
              <w:rPr>
                <w:rFonts w:ascii="宋体" w:hAnsi="宋体" w:cs="宋体" w:eastAsia="宋体" w:hint="default"/>
                <w:sz w:val="18"/>
                <w:szCs w:val="18"/>
              </w:rPr>
              <w:t>正常履行中， 不存在违反 该承诺的情</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形</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29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律规定的发 行条件构成 重大、实质影 响的，将依法 回购首次公 开发行的全 部新股，且将 购回已转让 的原限售股 份；发行人招 股说明书有 虚假记载、误 导性陈述或 者重大遗漏， 致使投资者 在证券交易 中遭受损失 的，将依法赔 偿投资者损 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10"/>
              <w:jc w:val="left"/>
              <w:rPr>
                <w:rFonts w:ascii="宋体" w:hAnsi="宋体" w:cs="宋体" w:eastAsia="宋体" w:hint="default"/>
                <w:sz w:val="18"/>
                <w:szCs w:val="18"/>
              </w:rPr>
            </w:pPr>
            <w:r>
              <w:rPr>
                <w:rFonts w:ascii="宋体" w:hAnsi="宋体" w:cs="宋体" w:eastAsia="宋体" w:hint="default"/>
                <w:sz w:val="18"/>
                <w:szCs w:val="18"/>
              </w:rPr>
              <w:t>牛文文、刘义 伟、傅忠红、 王敬、肖红 英、曹国熊、 王佳佳、李 豪、韩雪冬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关于招股说 明书如存在 </w:t>
            </w:r>
            <w:r>
              <w:rPr>
                <w:rFonts w:ascii="宋体" w:hAnsi="宋体" w:cs="宋体" w:eastAsia="宋体" w:hint="default"/>
                <w:spacing w:val="-2"/>
                <w:sz w:val="18"/>
                <w:szCs w:val="18"/>
              </w:rPr>
              <w:t>虚假记载、误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导性陈述或 者重大遗漏 等情况的承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发行人首次 公开发行招 股说明书不 存在虚假记 载、误导性陈 述或者重大 遗漏；发行人 招股说明书 有虚假记载、 误导性陈述 或者重大遗 漏，致使投资 者在证券交 易中遭受损 失的，将依法 赔偿投资者 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3"/>
              <w:jc w:val="left"/>
              <w:rPr>
                <w:rFonts w:ascii="宋体" w:hAnsi="宋体" w:cs="宋体" w:eastAsia="宋体" w:hint="default"/>
                <w:sz w:val="18"/>
                <w:szCs w:val="18"/>
              </w:rPr>
            </w:pPr>
            <w:r>
              <w:rPr>
                <w:rFonts w:ascii="宋体" w:hAnsi="宋体" w:cs="宋体" w:eastAsia="宋体" w:hint="default"/>
                <w:sz w:val="18"/>
                <w:szCs w:val="18"/>
              </w:rPr>
              <w:t>正常履行中， 不存在违反 该承诺的情</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形</w:t>
            </w:r>
          </w:p>
        </w:tc>
      </w:tr>
      <w:tr>
        <w:trPr>
          <w:trHeight w:val="22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关于招股说 明书如存在 </w:t>
            </w:r>
            <w:r>
              <w:rPr>
                <w:rFonts w:ascii="宋体" w:hAnsi="宋体" w:cs="宋体" w:eastAsia="宋体" w:hint="default"/>
                <w:spacing w:val="-2"/>
                <w:sz w:val="18"/>
                <w:szCs w:val="18"/>
              </w:rPr>
              <w:t>虚假记载、误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导性陈述或 者重大遗漏 等情况的承</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本公司招股 说明书有虚 </w:t>
            </w:r>
            <w:r>
              <w:rPr>
                <w:rFonts w:ascii="宋体" w:hAnsi="宋体" w:cs="宋体" w:eastAsia="宋体" w:hint="default"/>
                <w:spacing w:val="-2"/>
                <w:sz w:val="18"/>
                <w:szCs w:val="18"/>
              </w:rPr>
              <w:t>假记载、误导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性陈述或者 </w:t>
            </w:r>
            <w:r>
              <w:rPr>
                <w:rFonts w:ascii="宋体" w:hAnsi="宋体" w:cs="宋体" w:eastAsia="宋体" w:hint="default"/>
                <w:spacing w:val="-2"/>
                <w:sz w:val="18"/>
                <w:szCs w:val="18"/>
              </w:rPr>
              <w:t>重大遗漏，对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判断发行人 是否符合法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z w:val="18"/>
                <w:szCs w:val="18"/>
              </w:rPr>
              <w:t>正常履行中， 不存在违反 该承诺的情</w:t>
            </w:r>
          </w:p>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形</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5355"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律规定的发 行条件构成 </w:t>
            </w:r>
            <w:r>
              <w:rPr>
                <w:rFonts w:ascii="宋体" w:hAnsi="宋体" w:cs="宋体" w:eastAsia="宋体" w:hint="default"/>
                <w:spacing w:val="-2"/>
                <w:sz w:val="18"/>
                <w:szCs w:val="18"/>
              </w:rPr>
              <w:t>重大、实质影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响的，将依法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回购首次公 开发行的全 </w:t>
            </w:r>
            <w:r>
              <w:rPr>
                <w:rFonts w:ascii="宋体" w:hAnsi="宋体" w:cs="宋体" w:eastAsia="宋体" w:hint="default"/>
                <w:spacing w:val="-2"/>
                <w:sz w:val="18"/>
                <w:szCs w:val="18"/>
              </w:rPr>
              <w:t>部新股；本公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司招股说明 书有虚假记 </w:t>
            </w:r>
            <w:r>
              <w:rPr>
                <w:rFonts w:ascii="宋体" w:hAnsi="宋体" w:cs="宋体" w:eastAsia="宋体" w:hint="default"/>
                <w:spacing w:val="-2"/>
                <w:sz w:val="18"/>
                <w:szCs w:val="18"/>
              </w:rPr>
              <w:t>载、误导性陈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述或者重大 </w:t>
            </w:r>
            <w:r>
              <w:rPr>
                <w:rFonts w:ascii="宋体" w:hAnsi="宋体" w:cs="宋体" w:eastAsia="宋体" w:hint="default"/>
                <w:spacing w:val="-2"/>
                <w:sz w:val="18"/>
                <w:szCs w:val="18"/>
              </w:rPr>
              <w:t>遗漏，致使投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资者在证券 交易中遭受 </w:t>
            </w:r>
            <w:r>
              <w:rPr>
                <w:rFonts w:ascii="宋体" w:hAnsi="宋体" w:cs="宋体" w:eastAsia="宋体" w:hint="default"/>
                <w:spacing w:val="-2"/>
                <w:sz w:val="18"/>
                <w:szCs w:val="18"/>
              </w:rPr>
              <w:t>损失的，将依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法赔偿投资 者损失。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8"/>
        </w:rPr>
        <w:t> </w:t>
      </w:r>
      <w:r>
        <w:rPr>
          <w:spacing w:val="-68"/>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240" w:lineRule="auto"/>
        <w:ind w:left="1674" w:right="0"/>
        <w:jc w:val="left"/>
      </w:pPr>
      <w:r>
        <w:rPr/>
        <w:t>会计政策变更说明</w:t>
      </w:r>
    </w:p>
    <w:p>
      <w:pPr>
        <w:spacing w:line="240" w:lineRule="auto" w:before="1"/>
        <w:rPr>
          <w:rFonts w:ascii="宋体" w:hAnsi="宋体" w:cs="宋体" w:eastAsia="宋体" w:hint="default"/>
          <w:sz w:val="15"/>
          <w:szCs w:val="15"/>
        </w:rPr>
      </w:pPr>
    </w:p>
    <w:p>
      <w:pPr>
        <w:pStyle w:val="BodyText"/>
        <w:spacing w:line="300" w:lineRule="auto"/>
        <w:ind w:right="1129" w:firstLine="420"/>
        <w:jc w:val="both"/>
      </w:pPr>
      <w:r>
        <w:rPr/>
        <w:t>（</w:t>
      </w:r>
      <w:r>
        <w:rPr>
          <w:rFonts w:ascii="Times New Roman" w:hAnsi="Times New Roman" w:cs="Times New Roman" w:eastAsia="Times New Roman" w:hint="default"/>
        </w:rPr>
        <w:t>1</w:t>
      </w:r>
      <w:r>
        <w:rPr/>
        <w:t>）本公司经董事会会议批准，自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日采用《企业会计准则第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15</w:t>
      </w:r>
      <w:r>
        <w:rPr/>
        <w:t>号）</w:t>
      </w:r>
      <w:r>
        <w:rPr>
          <w:spacing w:val="1"/>
        </w:rPr>
        <w:t> </w:t>
      </w:r>
      <w:r>
        <w:rPr>
          <w:spacing w:val="-2"/>
        </w:rPr>
        <w:t>相关规定，采用未来适用法处理，对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日至本准则实施日之间新增的政府补助根据本准则进行调整，会计政策变更</w:t>
      </w:r>
      <w:r>
        <w:rPr>
          <w:spacing w:val="-60"/>
        </w:rPr>
        <w:t> </w:t>
      </w:r>
      <w:r>
        <w:rPr>
          <w:spacing w:val="-60"/>
        </w:rPr>
      </w:r>
      <w:r>
        <w:rPr/>
        <w:t>导致影响如下：</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pStyle w:val="BodyText"/>
        <w:spacing w:line="240" w:lineRule="auto"/>
        <w:ind w:left="0" w:right="1409"/>
        <w:jc w:val="right"/>
      </w:pPr>
      <w:r>
        <w:rPr/>
        <w:t>单位：元</w:t>
      </w:r>
    </w:p>
    <w:p>
      <w:pPr>
        <w:spacing w:line="240" w:lineRule="auto" w:before="3"/>
        <w:rPr>
          <w:rFonts w:ascii="宋体" w:hAnsi="宋体" w:cs="宋体" w:eastAsia="宋体" w:hint="default"/>
          <w:sz w:val="14"/>
          <w:szCs w:val="14"/>
        </w:rPr>
      </w:pPr>
    </w:p>
    <w:tbl>
      <w:tblPr>
        <w:tblW w:w="0" w:type="auto"/>
        <w:jc w:val="left"/>
        <w:tblInd w:w="1149" w:type="dxa"/>
        <w:tblLayout w:type="fixed"/>
        <w:tblCellMar>
          <w:top w:w="0" w:type="dxa"/>
          <w:left w:w="0" w:type="dxa"/>
          <w:bottom w:w="0" w:type="dxa"/>
          <w:right w:w="0" w:type="dxa"/>
        </w:tblCellMar>
        <w:tblLook w:val="01E0"/>
      </w:tblPr>
      <w:tblGrid>
        <w:gridCol w:w="3334"/>
        <w:gridCol w:w="1845"/>
        <w:gridCol w:w="1459"/>
        <w:gridCol w:w="1388"/>
        <w:gridCol w:w="1474"/>
      </w:tblGrid>
      <w:tr>
        <w:trPr>
          <w:trHeight w:val="347"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5"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b/>
                <w:bCs/>
                <w:sz w:val="18"/>
                <w:szCs w:val="18"/>
              </w:rPr>
              <w:t>受影响的报表项目</w:t>
            </w:r>
            <w:r>
              <w:rPr>
                <w:rFonts w:ascii="宋体" w:hAnsi="宋体" w:cs="宋体" w:eastAsia="宋体" w:hint="default"/>
                <w:sz w:val="18"/>
                <w:szCs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1" w:right="0"/>
              <w:jc w:val="left"/>
              <w:rPr>
                <w:rFonts w:ascii="宋体" w:hAnsi="宋体" w:cs="宋体" w:eastAsia="宋体" w:hint="default"/>
                <w:sz w:val="18"/>
                <w:szCs w:val="18"/>
              </w:rPr>
            </w:pPr>
            <w:r>
              <w:rPr>
                <w:rFonts w:ascii="宋体" w:hAnsi="宋体" w:cs="宋体" w:eastAsia="宋体" w:hint="default"/>
                <w:b/>
                <w:bCs/>
                <w:sz w:val="18"/>
                <w:szCs w:val="18"/>
              </w:rPr>
              <w:t>变更前金额</w:t>
            </w:r>
            <w:r>
              <w:rPr>
                <w:rFonts w:ascii="宋体" w:hAnsi="宋体" w:cs="宋体" w:eastAsia="宋体" w:hint="default"/>
                <w:sz w:val="18"/>
                <w:szCs w:val="18"/>
              </w:rPr>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3" w:right="0"/>
              <w:jc w:val="left"/>
              <w:rPr>
                <w:rFonts w:ascii="宋体" w:hAnsi="宋体" w:cs="宋体" w:eastAsia="宋体" w:hint="default"/>
                <w:sz w:val="18"/>
                <w:szCs w:val="18"/>
              </w:rPr>
            </w:pPr>
            <w:r>
              <w:rPr>
                <w:rFonts w:ascii="宋体" w:hAnsi="宋体" w:cs="宋体" w:eastAsia="宋体" w:hint="default"/>
                <w:b/>
                <w:bCs/>
                <w:sz w:val="18"/>
                <w:szCs w:val="18"/>
              </w:rPr>
              <w:t>变更后金额</w:t>
            </w:r>
            <w:r>
              <w:rPr>
                <w:rFonts w:ascii="宋体" w:hAnsi="宋体" w:cs="宋体" w:eastAsia="宋体" w:hint="default"/>
                <w:sz w:val="18"/>
                <w:szCs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7" w:right="0"/>
              <w:jc w:val="left"/>
              <w:rPr>
                <w:rFonts w:ascii="宋体" w:hAnsi="宋体" w:cs="宋体" w:eastAsia="宋体" w:hint="default"/>
                <w:sz w:val="18"/>
                <w:szCs w:val="18"/>
              </w:rPr>
            </w:pPr>
            <w:r>
              <w:rPr>
                <w:rFonts w:ascii="宋体" w:hAnsi="宋体" w:cs="宋体" w:eastAsia="宋体" w:hint="default"/>
                <w:b/>
                <w:bCs/>
                <w:sz w:val="18"/>
                <w:szCs w:val="18"/>
              </w:rPr>
              <w:t>累积影响额</w:t>
            </w:r>
            <w:r>
              <w:rPr>
                <w:rFonts w:ascii="宋体" w:hAnsi="宋体" w:cs="宋体" w:eastAsia="宋体" w:hint="default"/>
                <w:sz w:val="18"/>
                <w:szCs w:val="18"/>
              </w:rPr>
            </w:r>
          </w:p>
        </w:tc>
      </w:tr>
      <w:tr>
        <w:trPr>
          <w:trHeight w:val="347" w:hRule="exact"/>
        </w:trPr>
        <w:tc>
          <w:tcPr>
            <w:tcW w:w="3334" w:type="dxa"/>
            <w:vMerge w:val="restart"/>
            <w:tcBorders>
              <w:top w:val="single" w:sz="6" w:space="0" w:color="000000"/>
              <w:left w:val="single" w:sz="6" w:space="0" w:color="000000"/>
              <w:right w:val="single" w:sz="6" w:space="0" w:color="000000"/>
            </w:tcBorders>
          </w:tcPr>
          <w:p>
            <w:pPr>
              <w:pStyle w:val="TableParagraph"/>
              <w:spacing w:line="309" w:lineRule="auto" w:before="21"/>
              <w:ind w:left="2" w:right="-17"/>
              <w:jc w:val="left"/>
              <w:rPr>
                <w:rFonts w:ascii="宋体" w:hAnsi="宋体" w:cs="宋体" w:eastAsia="宋体" w:hint="default"/>
                <w:sz w:val="18"/>
                <w:szCs w:val="18"/>
              </w:rPr>
            </w:pPr>
            <w:r>
              <w:rPr>
                <w:rFonts w:ascii="宋体" w:hAnsi="宋体" w:cs="宋体" w:eastAsia="宋体" w:hint="default"/>
                <w:sz w:val="18"/>
                <w:szCs w:val="18"/>
              </w:rPr>
              <w:t>根据财政部</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日发布的《企业会 </w:t>
            </w:r>
            <w:r>
              <w:rPr>
                <w:rFonts w:ascii="宋体" w:hAnsi="宋体" w:cs="宋体" w:eastAsia="宋体" w:hint="default"/>
                <w:spacing w:val="-2"/>
                <w:sz w:val="18"/>
                <w:szCs w:val="18"/>
              </w:rPr>
              <w:t>计准则第</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政府补助》（财会〔</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号）的规定，与企业日常活动相关的政 府补助，应当按照经济业务实质，计入其 他收益或冲减相关成本费用。与企业日常 活动无关的政府补助，应当计入营业外收 支。比较数据不影响。</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其他收益</w:t>
            </w:r>
          </w:p>
        </w:tc>
        <w:tc>
          <w:tcPr>
            <w:tcW w:w="1459"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15,864,204.97</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15,864,204.97</w:t>
            </w:r>
          </w:p>
        </w:tc>
      </w:tr>
      <w:tr>
        <w:trPr>
          <w:trHeight w:val="1873" w:hRule="exact"/>
        </w:trPr>
        <w:tc>
          <w:tcPr>
            <w:tcW w:w="3334" w:type="dxa"/>
            <w:vMerge/>
            <w:tcBorders>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营业外收入</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07" w:right="0"/>
              <w:jc w:val="left"/>
              <w:rPr>
                <w:rFonts w:ascii="Times New Roman" w:hAnsi="Times New Roman" w:cs="Times New Roman" w:eastAsia="Times New Roman" w:hint="default"/>
                <w:sz w:val="18"/>
                <w:szCs w:val="18"/>
              </w:rPr>
            </w:pPr>
            <w:r>
              <w:rPr>
                <w:rFonts w:ascii="Times New Roman"/>
                <w:sz w:val="18"/>
              </w:rPr>
              <w:t>15,865,076.61</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871.64</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-15,864,204.97</w:t>
            </w:r>
          </w:p>
        </w:tc>
      </w:tr>
    </w:tbl>
    <w:p>
      <w:pPr>
        <w:spacing w:line="240" w:lineRule="auto" w:before="8"/>
        <w:rPr>
          <w:rFonts w:ascii="宋体" w:hAnsi="宋体" w:cs="宋体" w:eastAsia="宋体" w:hint="default"/>
          <w:sz w:val="6"/>
          <w:szCs w:val="6"/>
        </w:rPr>
      </w:pPr>
    </w:p>
    <w:p>
      <w:pPr>
        <w:pStyle w:val="BodyText"/>
        <w:spacing w:line="300" w:lineRule="auto" w:before="44"/>
        <w:ind w:right="0" w:firstLine="420"/>
        <w:jc w:val="left"/>
      </w:pPr>
      <w:r>
        <w:rPr/>
        <w:t>（</w:t>
      </w:r>
      <w:r>
        <w:rPr>
          <w:rFonts w:ascii="Times New Roman" w:hAnsi="Times New Roman" w:cs="Times New Roman" w:eastAsia="Times New Roman" w:hint="default"/>
        </w:rPr>
        <w:t>2</w:t>
      </w:r>
      <w:r>
        <w:rPr/>
        <w:t>）本公司经董事会会议批准，自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日采用《企业会计准则第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持有待售的非流动资产、处置组及 终止经营》（财会〔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13</w:t>
      </w:r>
      <w:r>
        <w:rPr/>
        <w:t>号）相关规定，采用未来适用法处理。会计政策变更导致影响如下：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BodyText"/>
        <w:spacing w:line="240" w:lineRule="auto"/>
        <w:ind w:left="0" w:right="1409"/>
        <w:jc w:val="right"/>
      </w:pPr>
      <w:r>
        <w:rPr/>
        <w:t>单位：元</w:t>
      </w:r>
    </w:p>
    <w:p>
      <w:pPr>
        <w:spacing w:line="240" w:lineRule="auto" w:before="3"/>
        <w:rPr>
          <w:rFonts w:ascii="宋体" w:hAnsi="宋体" w:cs="宋体" w:eastAsia="宋体" w:hint="default"/>
          <w:sz w:val="14"/>
          <w:szCs w:val="14"/>
        </w:rPr>
      </w:pPr>
    </w:p>
    <w:tbl>
      <w:tblPr>
        <w:tblW w:w="0" w:type="auto"/>
        <w:jc w:val="left"/>
        <w:tblInd w:w="1149" w:type="dxa"/>
        <w:tblLayout w:type="fixed"/>
        <w:tblCellMar>
          <w:top w:w="0" w:type="dxa"/>
          <w:left w:w="0" w:type="dxa"/>
          <w:bottom w:w="0" w:type="dxa"/>
          <w:right w:w="0" w:type="dxa"/>
        </w:tblCellMar>
        <w:tblLook w:val="01E0"/>
      </w:tblPr>
      <w:tblGrid>
        <w:gridCol w:w="3334"/>
        <w:gridCol w:w="1845"/>
        <w:gridCol w:w="1459"/>
        <w:gridCol w:w="1388"/>
        <w:gridCol w:w="1474"/>
      </w:tblGrid>
      <w:tr>
        <w:trPr>
          <w:trHeight w:val="347"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5"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b/>
                <w:bCs/>
                <w:sz w:val="18"/>
                <w:szCs w:val="18"/>
              </w:rPr>
              <w:t>受影响的报表项目</w:t>
            </w:r>
            <w:r>
              <w:rPr>
                <w:rFonts w:ascii="宋体" w:hAnsi="宋体" w:cs="宋体" w:eastAsia="宋体" w:hint="default"/>
                <w:sz w:val="18"/>
                <w:szCs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1" w:right="0"/>
              <w:jc w:val="left"/>
              <w:rPr>
                <w:rFonts w:ascii="宋体" w:hAnsi="宋体" w:cs="宋体" w:eastAsia="宋体" w:hint="default"/>
                <w:sz w:val="18"/>
                <w:szCs w:val="18"/>
              </w:rPr>
            </w:pPr>
            <w:r>
              <w:rPr>
                <w:rFonts w:ascii="宋体" w:hAnsi="宋体" w:cs="宋体" w:eastAsia="宋体" w:hint="default"/>
                <w:b/>
                <w:bCs/>
                <w:sz w:val="18"/>
                <w:szCs w:val="18"/>
              </w:rPr>
              <w:t>变更前金额</w:t>
            </w:r>
            <w:r>
              <w:rPr>
                <w:rFonts w:ascii="宋体" w:hAnsi="宋体" w:cs="宋体" w:eastAsia="宋体" w:hint="default"/>
                <w:sz w:val="18"/>
                <w:szCs w:val="18"/>
              </w:rPr>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3" w:right="0"/>
              <w:jc w:val="left"/>
              <w:rPr>
                <w:rFonts w:ascii="宋体" w:hAnsi="宋体" w:cs="宋体" w:eastAsia="宋体" w:hint="default"/>
                <w:sz w:val="18"/>
                <w:szCs w:val="18"/>
              </w:rPr>
            </w:pPr>
            <w:r>
              <w:rPr>
                <w:rFonts w:ascii="宋体" w:hAnsi="宋体" w:cs="宋体" w:eastAsia="宋体" w:hint="default"/>
                <w:b/>
                <w:bCs/>
                <w:sz w:val="18"/>
                <w:szCs w:val="18"/>
              </w:rPr>
              <w:t>变更后金额</w:t>
            </w:r>
            <w:r>
              <w:rPr>
                <w:rFonts w:ascii="宋体" w:hAnsi="宋体" w:cs="宋体" w:eastAsia="宋体" w:hint="default"/>
                <w:sz w:val="18"/>
                <w:szCs w:val="18"/>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7" w:right="0"/>
              <w:jc w:val="left"/>
              <w:rPr>
                <w:rFonts w:ascii="宋体" w:hAnsi="宋体" w:cs="宋体" w:eastAsia="宋体" w:hint="default"/>
                <w:sz w:val="18"/>
                <w:szCs w:val="18"/>
              </w:rPr>
            </w:pPr>
            <w:r>
              <w:rPr>
                <w:rFonts w:ascii="宋体" w:hAnsi="宋体" w:cs="宋体" w:eastAsia="宋体" w:hint="default"/>
                <w:b/>
                <w:bCs/>
                <w:sz w:val="18"/>
                <w:szCs w:val="18"/>
              </w:rPr>
              <w:t>累积影响额</w:t>
            </w:r>
            <w:r>
              <w:rPr>
                <w:rFonts w:ascii="宋体" w:hAnsi="宋体" w:cs="宋体" w:eastAsia="宋体" w:hint="default"/>
                <w:sz w:val="18"/>
                <w:szCs w:val="18"/>
              </w:rPr>
            </w:r>
          </w:p>
        </w:tc>
      </w:tr>
      <w:tr>
        <w:trPr>
          <w:trHeight w:val="1908"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财政部于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年度发布《财政部关于修订</w:t>
            </w:r>
            <w:r>
              <w:rPr>
                <w:rFonts w:ascii="宋体" w:hAnsi="宋体" w:cs="宋体" w:eastAsia="宋体" w:hint="default"/>
                <w:sz w:val="18"/>
                <w:szCs w:val="18"/>
              </w:rPr>
              <w:t> 印发一般企业财务报表格式的通知》，在 </w:t>
            </w:r>
            <w:r>
              <w:rPr>
                <w:rFonts w:ascii="宋体" w:hAnsi="宋体" w:cs="宋体" w:eastAsia="宋体" w:hint="default"/>
                <w:spacing w:val="-5"/>
                <w:w w:val="100"/>
                <w:sz w:val="18"/>
                <w:szCs w:val="18"/>
              </w:rPr>
              <w:t>利润表中新增</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资产处置收益</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项目，将部分</w:t>
            </w:r>
            <w:r>
              <w:rPr>
                <w:rFonts w:ascii="宋体" w:hAnsi="宋体" w:cs="宋体" w:eastAsia="宋体" w:hint="default"/>
                <w:spacing w:val="-78"/>
                <w:w w:val="100"/>
                <w:sz w:val="18"/>
                <w:szCs w:val="18"/>
              </w:rPr>
              <w:t> </w:t>
            </w:r>
            <w:r>
              <w:rPr>
                <w:rFonts w:ascii="宋体" w:hAnsi="宋体" w:cs="宋体" w:eastAsia="宋体" w:hint="default"/>
                <w:spacing w:val="-78"/>
                <w:w w:val="100"/>
                <w:sz w:val="18"/>
                <w:szCs w:val="18"/>
              </w:rPr>
            </w:r>
            <w:r>
              <w:rPr>
                <w:rFonts w:ascii="宋体" w:hAnsi="宋体" w:cs="宋体" w:eastAsia="宋体" w:hint="default"/>
                <w:sz w:val="18"/>
                <w:szCs w:val="18"/>
              </w:rPr>
              <w:t>原列示为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 资产处置损益重分类至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 目。比较数据相应调整。</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不影响</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3" w:right="0"/>
              <w:jc w:val="left"/>
              <w:rPr>
                <w:rFonts w:ascii="宋体" w:hAnsi="宋体" w:cs="宋体" w:eastAsia="宋体" w:hint="default"/>
                <w:sz w:val="18"/>
                <w:szCs w:val="18"/>
              </w:rPr>
            </w:pPr>
            <w:r>
              <w:rPr>
                <w:rFonts w:ascii="宋体" w:hAnsi="宋体" w:cs="宋体" w:eastAsia="宋体" w:hint="default"/>
                <w:sz w:val="18"/>
                <w:szCs w:val="18"/>
              </w:rPr>
              <w:t>不影响</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不影响</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不影响</w:t>
            </w:r>
          </w:p>
        </w:tc>
      </w:tr>
    </w:tbl>
    <w:p>
      <w:pPr>
        <w:spacing w:line="240" w:lineRule="auto" w:before="8"/>
        <w:rPr>
          <w:rFonts w:ascii="宋体" w:hAnsi="宋体" w:cs="宋体" w:eastAsia="宋体" w:hint="default"/>
          <w:sz w:val="6"/>
          <w:szCs w:val="6"/>
        </w:rPr>
      </w:pPr>
    </w:p>
    <w:p>
      <w:pPr>
        <w:pStyle w:val="BodyText"/>
        <w:spacing w:line="240" w:lineRule="auto" w:before="44"/>
        <w:ind w:left="1554" w:right="0"/>
        <w:jc w:val="left"/>
      </w:pPr>
      <w:r>
        <w:rPr/>
        <w:t>（</w:t>
      </w:r>
      <w:r>
        <w:rPr>
          <w:rFonts w:ascii="Times New Roman" w:hAnsi="Times New Roman" w:cs="Times New Roman" w:eastAsia="Times New Roman" w:hint="default"/>
        </w:rPr>
        <w:t>3</w:t>
      </w:r>
      <w:r>
        <w:rPr>
          <w:spacing w:val="-85"/>
        </w:rPr>
        <w:t>）</w:t>
      </w:r>
      <w:r>
        <w:rPr/>
        <w:t>本公司经董事会会议批准</w:t>
      </w:r>
      <w:r>
        <w:rPr>
          <w:spacing w:val="-85"/>
        </w:rPr>
        <w:t>，</w:t>
      </w: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日采用财政</w:t>
      </w:r>
      <w:r>
        <w:rPr>
          <w:spacing w:val="-85"/>
        </w:rPr>
        <w:t>部</w:t>
      </w:r>
      <w:r>
        <w:rPr/>
        <w:t>《关于修订印发一般企业财务报表格式的通知</w:t>
      </w:r>
      <w:r>
        <w:rPr>
          <w:spacing w:val="-168"/>
        </w:rPr>
        <w:t>》</w:t>
      </w:r>
      <w:r>
        <w:rPr/>
        <w:t>（财</w:t>
      </w:r>
      <w:r>
        <w:rPr>
          <w:spacing w:val="-85"/>
        </w:rPr>
        <w:t>会</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17</w:t>
      </w:r>
      <w:r>
        <w:rPr/>
        <w:t>〕</w:t>
      </w:r>
    </w:p>
    <w:p>
      <w:pPr>
        <w:pStyle w:val="BodyText"/>
        <w:spacing w:line="240" w:lineRule="auto" w:before="63"/>
        <w:ind w:right="0"/>
        <w:jc w:val="left"/>
      </w:pPr>
      <w:r>
        <w:rPr>
          <w:rFonts w:ascii="Times New Roman" w:hAnsi="Times New Roman" w:cs="Times New Roman" w:eastAsia="Times New Roman" w:hint="default"/>
        </w:rPr>
        <w:t>30</w:t>
      </w:r>
      <w:r>
        <w:rPr/>
        <w:t>号）相关规定。会计政策变更导致影响如下：</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pStyle w:val="BodyText"/>
        <w:spacing w:line="240" w:lineRule="auto"/>
        <w:ind w:left="0" w:right="1409"/>
        <w:jc w:val="right"/>
      </w:pPr>
      <w:r>
        <w:rPr/>
        <w:t>单位：元</w:t>
      </w:r>
    </w:p>
    <w:p>
      <w:pPr>
        <w:spacing w:line="240" w:lineRule="auto" w:before="3"/>
        <w:rPr>
          <w:rFonts w:ascii="宋体" w:hAnsi="宋体" w:cs="宋体" w:eastAsia="宋体" w:hint="default"/>
          <w:sz w:val="14"/>
          <w:szCs w:val="14"/>
        </w:rPr>
      </w:pPr>
    </w:p>
    <w:tbl>
      <w:tblPr>
        <w:tblW w:w="0" w:type="auto"/>
        <w:jc w:val="left"/>
        <w:tblInd w:w="1149" w:type="dxa"/>
        <w:tblLayout w:type="fixed"/>
        <w:tblCellMar>
          <w:top w:w="0" w:type="dxa"/>
          <w:left w:w="0" w:type="dxa"/>
          <w:bottom w:w="0" w:type="dxa"/>
          <w:right w:w="0" w:type="dxa"/>
        </w:tblCellMar>
        <w:tblLook w:val="01E0"/>
      </w:tblPr>
      <w:tblGrid>
        <w:gridCol w:w="2817"/>
        <w:gridCol w:w="2039"/>
        <w:gridCol w:w="1151"/>
        <w:gridCol w:w="1746"/>
        <w:gridCol w:w="1746"/>
      </w:tblGrid>
      <w:tr>
        <w:trPr>
          <w:trHeight w:val="347" w:hRule="exact"/>
        </w:trPr>
        <w:tc>
          <w:tcPr>
            <w:tcW w:w="2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6"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2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9" w:right="0"/>
              <w:jc w:val="left"/>
              <w:rPr>
                <w:rFonts w:ascii="宋体" w:hAnsi="宋体" w:cs="宋体" w:eastAsia="宋体" w:hint="default"/>
                <w:sz w:val="18"/>
                <w:szCs w:val="18"/>
              </w:rPr>
            </w:pPr>
            <w:r>
              <w:rPr>
                <w:rFonts w:ascii="宋体" w:hAnsi="宋体" w:cs="宋体" w:eastAsia="宋体" w:hint="default"/>
                <w:b/>
                <w:bCs/>
                <w:sz w:val="18"/>
                <w:szCs w:val="18"/>
              </w:rPr>
              <w:t>受影响的报表项目</w:t>
            </w:r>
            <w:r>
              <w:rPr>
                <w:rFonts w:ascii="宋体" w:hAnsi="宋体" w:cs="宋体" w:eastAsia="宋体" w:hint="default"/>
                <w:sz w:val="18"/>
                <w:szCs w:val="18"/>
              </w:rPr>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6" w:right="0"/>
              <w:jc w:val="left"/>
              <w:rPr>
                <w:rFonts w:ascii="宋体" w:hAnsi="宋体" w:cs="宋体" w:eastAsia="宋体" w:hint="default"/>
                <w:sz w:val="18"/>
                <w:szCs w:val="18"/>
              </w:rPr>
            </w:pPr>
            <w:r>
              <w:rPr>
                <w:rFonts w:ascii="宋体" w:hAnsi="宋体" w:cs="宋体" w:eastAsia="宋体" w:hint="default"/>
                <w:b/>
                <w:bCs/>
                <w:sz w:val="18"/>
                <w:szCs w:val="18"/>
              </w:rPr>
              <w:t>变更前金额</w:t>
            </w:r>
            <w:r>
              <w:rPr>
                <w:rFonts w:ascii="宋体" w:hAnsi="宋体" w:cs="宋体" w:eastAsia="宋体" w:hint="default"/>
                <w:sz w:val="18"/>
                <w:szCs w:val="18"/>
              </w:rPr>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2" w:right="0"/>
              <w:jc w:val="left"/>
              <w:rPr>
                <w:rFonts w:ascii="宋体" w:hAnsi="宋体" w:cs="宋体" w:eastAsia="宋体" w:hint="default"/>
                <w:sz w:val="18"/>
                <w:szCs w:val="18"/>
              </w:rPr>
            </w:pPr>
            <w:r>
              <w:rPr>
                <w:rFonts w:ascii="宋体" w:hAnsi="宋体" w:cs="宋体" w:eastAsia="宋体" w:hint="default"/>
                <w:b/>
                <w:bCs/>
                <w:sz w:val="18"/>
                <w:szCs w:val="18"/>
              </w:rPr>
              <w:t>变更后金额</w:t>
            </w:r>
            <w:r>
              <w:rPr>
                <w:rFonts w:ascii="宋体" w:hAnsi="宋体" w:cs="宋体" w:eastAsia="宋体" w:hint="default"/>
                <w:sz w:val="18"/>
                <w:szCs w:val="18"/>
              </w:rPr>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2" w:right="0"/>
              <w:jc w:val="left"/>
              <w:rPr>
                <w:rFonts w:ascii="宋体" w:hAnsi="宋体" w:cs="宋体" w:eastAsia="宋体" w:hint="default"/>
                <w:sz w:val="18"/>
                <w:szCs w:val="18"/>
              </w:rPr>
            </w:pPr>
            <w:r>
              <w:rPr>
                <w:rFonts w:ascii="宋体" w:hAnsi="宋体" w:cs="宋体" w:eastAsia="宋体" w:hint="default"/>
                <w:b/>
                <w:bCs/>
                <w:sz w:val="18"/>
                <w:szCs w:val="18"/>
              </w:rPr>
              <w:t>累积影响额</w:t>
            </w:r>
            <w:r>
              <w:rPr>
                <w:rFonts w:ascii="宋体" w:hAnsi="宋体" w:cs="宋体" w:eastAsia="宋体" w:hint="default"/>
                <w:sz w:val="18"/>
                <w:szCs w:val="18"/>
              </w:rPr>
            </w:r>
          </w:p>
        </w:tc>
      </w:tr>
      <w:tr>
        <w:trPr>
          <w:trHeight w:val="347" w:hRule="exact"/>
        </w:trPr>
        <w:tc>
          <w:tcPr>
            <w:tcW w:w="2817" w:type="dxa"/>
            <w:vMerge w:val="restart"/>
            <w:tcBorders>
              <w:top w:val="single" w:sz="6" w:space="0" w:color="000000"/>
              <w:left w:val="single" w:sz="6" w:space="0" w:color="000000"/>
              <w:right w:val="single" w:sz="6" w:space="0" w:color="000000"/>
            </w:tcBorders>
          </w:tcPr>
          <w:p>
            <w:pPr>
              <w:pStyle w:val="TableParagraph"/>
              <w:spacing w:line="312" w:lineRule="auto" w:before="21"/>
              <w:ind w:left="2" w:right="2"/>
              <w:jc w:val="left"/>
              <w:rPr>
                <w:rFonts w:ascii="宋体" w:hAnsi="宋体" w:cs="宋体" w:eastAsia="宋体" w:hint="default"/>
                <w:sz w:val="18"/>
                <w:szCs w:val="18"/>
              </w:rPr>
            </w:pPr>
            <w:r>
              <w:rPr>
                <w:rFonts w:ascii="宋体" w:hAnsi="宋体" w:cs="宋体" w:eastAsia="宋体" w:hint="default"/>
                <w:sz w:val="18"/>
                <w:szCs w:val="18"/>
              </w:rPr>
              <w:t>《财政部关于修订印发一般企业财 </w:t>
            </w:r>
            <w:r>
              <w:rPr>
                <w:rFonts w:ascii="宋体" w:hAnsi="宋体" w:cs="宋体" w:eastAsia="宋体" w:hint="default"/>
                <w:spacing w:val="-6"/>
                <w:sz w:val="18"/>
                <w:szCs w:val="18"/>
              </w:rPr>
              <w:t>务报表格式的通知》在利润表中分别</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 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。比较数据相应调整。</w:t>
            </w:r>
          </w:p>
        </w:tc>
        <w:tc>
          <w:tcPr>
            <w:tcW w:w="2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新增：持续经营净利润</w:t>
            </w:r>
          </w:p>
        </w:tc>
        <w:tc>
          <w:tcPr>
            <w:tcW w:w="1151"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left"/>
              <w:rPr>
                <w:rFonts w:ascii="Times New Roman" w:hAnsi="Times New Roman" w:cs="Times New Roman" w:eastAsia="Times New Roman" w:hint="default"/>
                <w:sz w:val="18"/>
                <w:szCs w:val="18"/>
              </w:rPr>
            </w:pPr>
            <w:r>
              <w:rPr>
                <w:rFonts w:ascii="Times New Roman"/>
                <w:sz w:val="18"/>
              </w:rPr>
              <w:t>48,170,943.50</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left"/>
              <w:rPr>
                <w:rFonts w:ascii="Times New Roman" w:hAnsi="Times New Roman" w:cs="Times New Roman" w:eastAsia="Times New Roman" w:hint="default"/>
                <w:sz w:val="18"/>
                <w:szCs w:val="18"/>
              </w:rPr>
            </w:pPr>
            <w:r>
              <w:rPr>
                <w:rFonts w:ascii="Times New Roman"/>
                <w:sz w:val="18"/>
              </w:rPr>
              <w:t>48,170,943.50</w:t>
            </w:r>
          </w:p>
        </w:tc>
      </w:tr>
      <w:tr>
        <w:trPr>
          <w:trHeight w:val="938" w:hRule="exact"/>
        </w:trPr>
        <w:tc>
          <w:tcPr>
            <w:tcW w:w="2817" w:type="dxa"/>
            <w:vMerge/>
            <w:tcBorders>
              <w:left w:val="single" w:sz="6" w:space="0" w:color="000000"/>
              <w:bottom w:val="single" w:sz="6" w:space="0" w:color="000000"/>
              <w:right w:val="single" w:sz="6" w:space="0" w:color="000000"/>
            </w:tcBorders>
          </w:tcPr>
          <w:p>
            <w:pPr/>
          </w:p>
        </w:tc>
        <w:tc>
          <w:tcPr>
            <w:tcW w:w="2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新增：终止经营净利润</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不影响</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不影响</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不影响</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149" w:type="dxa"/>
        <w:tblLayout w:type="fixed"/>
        <w:tblCellMar>
          <w:top w:w="0" w:type="dxa"/>
          <w:left w:w="0" w:type="dxa"/>
          <w:bottom w:w="0" w:type="dxa"/>
          <w:right w:w="0" w:type="dxa"/>
        </w:tblCellMar>
        <w:tblLook w:val="01E0"/>
      </w:tblPr>
      <w:tblGrid>
        <w:gridCol w:w="3119"/>
        <w:gridCol w:w="1560"/>
        <w:gridCol w:w="1176"/>
        <w:gridCol w:w="1518"/>
        <w:gridCol w:w="1536"/>
      </w:tblGrid>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注册时间</w:t>
            </w:r>
            <w:r>
              <w:rPr>
                <w:rFonts w:ascii="宋体" w:hAnsi="宋体" w:cs="宋体" w:eastAsia="宋体" w:hint="default"/>
                <w:sz w:val="18"/>
                <w:szCs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西藏黑马信息技术服务有限公司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2017-01-05</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西藏</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南昌致新信息技术服务有限公司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2017-03-07</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南昌</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嘉兴致新投资管理有限公司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2017-11-28</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北京创闻天下科技有限公司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2017-06-30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51.20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合肥创润信息技术有限责任公司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2017-09-13</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镇江创启科技服务有限公司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2017-11-23</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镇江</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武汉经际信息科技有限公司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2017-11-14</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沈阳创润信息科技有限公司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2017-12-29</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黑马致通（嘉兴）投资管理有限公司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2017-12-28</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黑马致坤（嘉兴）投资管理有限公司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2017-12-20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黑马致科（嘉兴）投资管理有限公司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2017-12-20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134"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王玥、林涛</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rFonts w:ascii="Times New Roman" w:hAnsi="Times New Roman" w:cs="Times New Roman" w:eastAsia="Times New Roman" w:hint="default"/>
        </w:rPr>
        <w:t>2017</w:t>
      </w:r>
      <w:r>
        <w:rPr/>
        <w:t>年度，公司因首次公开发行股票并在创业板上市事项，聘请保荐机构招商证券股份有限公司，期间共支付保荐承销费用</w:t>
      </w:r>
    </w:p>
    <w:p>
      <w:pPr>
        <w:pStyle w:val="BodyText"/>
        <w:spacing w:line="240" w:lineRule="auto" w:before="63"/>
        <w:ind w:left="1134" w:right="0"/>
        <w:jc w:val="left"/>
      </w:pPr>
      <w:r>
        <w:rPr>
          <w:rFonts w:ascii="Times New Roman" w:hAnsi="Times New Roman" w:cs="Times New Roman" w:eastAsia="Times New Roman" w:hint="default"/>
        </w:rPr>
        <w:t>2,126</w:t>
      </w:r>
      <w:r>
        <w:rPr/>
        <w:t>万元。</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3"/>
        <w:rPr>
          <w:rFonts w:ascii="宋体" w:hAnsi="宋体" w:cs="宋体" w:eastAsia="宋体" w:hint="default"/>
          <w:sz w:val="20"/>
          <w:szCs w:val="20"/>
        </w:rPr>
      </w:pPr>
    </w:p>
    <w:p>
      <w:pPr>
        <w:pStyle w:val="Heading3"/>
        <w:spacing w:line="240" w:lineRule="auto"/>
        <w:ind w:left="1134"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92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19" w:lineRule="auto" w:before="42"/>
        <w:ind w:right="0"/>
        <w:jc w:val="left"/>
      </w:pPr>
      <w:r>
        <w:rPr>
          <w:spacing w:val="-2"/>
        </w:rPr>
        <w:t>详见披露在巨潮资讯网（</w:t>
      </w:r>
      <w:hyperlink r:id="rId11">
        <w:r>
          <w:rPr>
            <w:rFonts w:ascii="Times New Roman" w:hAnsi="Times New Roman" w:cs="Times New Roman" w:eastAsia="Times New Roman" w:hint="default"/>
            <w:spacing w:val="-2"/>
          </w:rPr>
          <w:t>www.cninfo.com.cn</w:t>
        </w:r>
      </w:hyperlink>
      <w:r>
        <w:rPr>
          <w:spacing w:val="-2"/>
        </w:rPr>
        <w:t>）的《首次公开发行股票并在创业板上市招股说明书》第六节</w:t>
      </w:r>
      <w:r>
        <w:rPr>
          <w:rFonts w:ascii="Times New Roman" w:hAnsi="Times New Roman" w:cs="Times New Roman" w:eastAsia="Times New Roman" w:hint="default"/>
          <w:spacing w:val="-2"/>
        </w:rPr>
        <w:t>“</w:t>
      </w:r>
      <w:r>
        <w:rPr>
          <w:spacing w:val="-2"/>
        </w:rPr>
        <w:t>业务和技术</w:t>
      </w:r>
      <w:r>
        <w:rPr>
          <w:rFonts w:ascii="Times New Roman" w:hAnsi="Times New Roman" w:cs="Times New Roman" w:eastAsia="Times New Roman" w:hint="default"/>
          <w:spacing w:val="-2"/>
        </w:rPr>
        <w:t>”</w:t>
      </w:r>
      <w:r>
        <w:rPr>
          <w:spacing w:val="-2"/>
        </w:rPr>
        <w:t>部分</w:t>
      </w:r>
      <w:r>
        <w:rPr>
          <w:spacing w:val="-52"/>
        </w:rPr>
        <w:t> </w:t>
      </w:r>
      <w:r>
        <w:rPr>
          <w:rFonts w:ascii="Times New Roman" w:hAnsi="Times New Roman" w:cs="Times New Roman" w:eastAsia="Times New Roman" w:hint="default"/>
        </w:rPr>
        <w:t>“</w:t>
      </w:r>
      <w:r>
        <w:rPr/>
        <w:t>五、发行人拥有的与业务相关的经营性资源要素情况</w:t>
      </w:r>
      <w:r>
        <w:rPr>
          <w:rFonts w:ascii="Times New Roman" w:hAnsi="Times New Roman" w:cs="Times New Roman" w:eastAsia="Times New Roman" w:hint="default"/>
        </w:rPr>
        <w:t>”</w:t>
      </w:r>
      <w:r>
        <w:rPr/>
        <w:t>中</w:t>
      </w:r>
      <w:r>
        <w:rPr>
          <w:rFonts w:ascii="Times New Roman" w:hAnsi="Times New Roman" w:cs="Times New Roman" w:eastAsia="Times New Roman" w:hint="default"/>
        </w:rPr>
        <w:t>“</w:t>
      </w:r>
      <w:r>
        <w:rPr/>
        <w:t>（一）固定资产</w:t>
      </w:r>
      <w:r>
        <w:rPr>
          <w:rFonts w:ascii="Times New Roman" w:hAnsi="Times New Roman" w:cs="Times New Roman" w:eastAsia="Times New Roman" w:hint="default"/>
        </w:rPr>
        <w:t>—</w:t>
      </w:r>
      <w:r>
        <w:rPr>
          <w:rFonts w:ascii="Times New Roman" w:hAnsi="Times New Roman" w:cs="Times New Roman" w:eastAsia="Times New Roman" w:hint="default"/>
        </w:rPr>
        <w:t>1</w:t>
      </w:r>
      <w:r>
        <w:rPr/>
        <w:t>、租赁房产情况</w:t>
      </w:r>
      <w:r>
        <w:rPr>
          <w:rFonts w:ascii="Times New Roman" w:hAnsi="Times New Roman" w:cs="Times New Roman" w:eastAsia="Times New Roman" w:hint="default"/>
        </w:rPr>
        <w:t>”</w:t>
      </w:r>
      <w:r>
        <w:rPr/>
        <w:t>。 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3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t>公司报告期不存在为公司带来的损益达到公司报告期利润总额</w:t>
      </w:r>
      <w:r>
        <w:rPr>
          <w:spacing w:val="-46"/>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报告期内委托理财概况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单项金额重大或安全性较低、流动性较差、不保本的高风险委托理财具体情况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单位：万元</w:t>
      </w:r>
    </w:p>
    <w:p>
      <w:pPr>
        <w:spacing w:after="0" w:line="240" w:lineRule="auto"/>
        <w:jc w:val="center"/>
        <w:sectPr>
          <w:type w:val="continuous"/>
          <w:pgSz w:w="11910" w:h="16840"/>
          <w:pgMar w:top="1060" w:bottom="1160" w:left="0" w:right="0"/>
          <w:cols w:num="2" w:equalWidth="0">
            <w:col w:w="7255" w:space="1485"/>
            <w:col w:w="317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273"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100"/>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100"/>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1"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4" w:right="94"/>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20"/>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both"/>
              <w:rPr>
                <w:rFonts w:ascii="宋体" w:hAnsi="宋体" w:cs="宋体" w:eastAsia="宋体" w:hint="default"/>
                <w:sz w:val="18"/>
                <w:szCs w:val="18"/>
              </w:rPr>
            </w:pPr>
            <w:r>
              <w:rPr>
                <w:rFonts w:ascii="宋体" w:hAnsi="宋体" w:cs="宋体" w:eastAsia="宋体" w:hint="default"/>
                <w:sz w:val="18"/>
                <w:szCs w:val="18"/>
              </w:rPr>
              <w:t>招商 银行 北京 北苑 路支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4,500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39.27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39.27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both"/>
              <w:rPr>
                <w:rFonts w:ascii="宋体" w:hAnsi="宋体" w:cs="宋体" w:eastAsia="宋体" w:hint="default"/>
                <w:sz w:val="18"/>
                <w:szCs w:val="18"/>
              </w:rPr>
            </w:pPr>
            <w:r>
              <w:rPr>
                <w:rFonts w:ascii="宋体" w:hAnsi="宋体" w:cs="宋体" w:eastAsia="宋体" w:hint="default"/>
                <w:sz w:val="18"/>
                <w:szCs w:val="18"/>
              </w:rPr>
              <w:t>招商 银行 北京 北苑 路支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3.06%</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7.04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7.04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both"/>
              <w:rPr>
                <w:rFonts w:ascii="宋体" w:hAnsi="宋体" w:cs="宋体" w:eastAsia="宋体" w:hint="default"/>
                <w:sz w:val="18"/>
                <w:szCs w:val="18"/>
              </w:rPr>
            </w:pPr>
            <w:r>
              <w:rPr>
                <w:rFonts w:ascii="宋体" w:hAnsi="宋体" w:cs="宋体" w:eastAsia="宋体" w:hint="default"/>
                <w:sz w:val="18"/>
                <w:szCs w:val="18"/>
              </w:rPr>
              <w:t>招商 银行 北京 北苑 路支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4.20%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31.41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31.41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54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招商 银行 北京 北苑 路支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68.51</w:t>
            </w: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未收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43"/>
              <w:jc w:val="both"/>
              <w:rPr>
                <w:rFonts w:ascii="宋体" w:hAnsi="宋体" w:cs="宋体" w:eastAsia="宋体" w:hint="default"/>
                <w:sz w:val="18"/>
                <w:szCs w:val="18"/>
              </w:rPr>
            </w:pPr>
            <w:r>
              <w:rPr>
                <w:rFonts w:ascii="宋体" w:hAnsi="宋体" w:cs="宋体" w:eastAsia="宋体" w:hint="default"/>
                <w:sz w:val="18"/>
                <w:szCs w:val="18"/>
              </w:rPr>
              <w:t>《关 于使 用闲 置自 有资 金进 行委 托理</w:t>
            </w:r>
          </w:p>
        </w:tc>
      </w:tr>
    </w:tbl>
    <w:p>
      <w:pPr>
        <w:spacing w:after="0" w:line="316" w:lineRule="auto"/>
        <w:jc w:val="both"/>
        <w:rPr>
          <w:rFonts w:ascii="宋体" w:hAnsi="宋体" w:cs="宋体" w:eastAsia="宋体" w:hint="default"/>
          <w:sz w:val="18"/>
          <w:szCs w:val="18"/>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35"/>
              <w:jc w:val="left"/>
              <w:rPr>
                <w:rFonts w:ascii="宋体" w:hAnsi="宋体" w:cs="宋体" w:eastAsia="宋体" w:hint="default"/>
                <w:sz w:val="18"/>
                <w:szCs w:val="18"/>
              </w:rPr>
            </w:pPr>
            <w:r>
              <w:rPr>
                <w:rFonts w:ascii="宋体" w:hAnsi="宋体" w:cs="宋体" w:eastAsia="宋体" w:hint="default"/>
                <w:sz w:val="18"/>
                <w:szCs w:val="18"/>
              </w:rPr>
              <w:t>财的 进展 公告》</w:t>
            </w:r>
          </w:p>
          <w:p>
            <w:pPr>
              <w:pStyle w:val="TableParagraph"/>
              <w:spacing w:line="338" w:lineRule="auto" w:before="19"/>
              <w:ind w:left="23"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8-033</w:t>
            </w:r>
          </w:p>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华夏 银行 东直 门支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3.90%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83.88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83.88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华夏 银行 东直 门支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3.90%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83.34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83.34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华夏 银行 北沙 滩支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4.28%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102.6</w:t>
            </w: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未收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《关 于使 用闲 置自 有资 金进 行委 托理 财的 进展 公告》</w:t>
            </w:r>
          </w:p>
          <w:p>
            <w:pPr>
              <w:pStyle w:val="TableParagraph"/>
              <w:spacing w:line="338" w:lineRule="auto" w:before="19"/>
              <w:ind w:left="23"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8-033</w:t>
            </w:r>
          </w:p>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10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华夏 银行 北沙 滩支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4.28%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49.25</w:t>
            </w: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未收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《关 于使 用闲 置自 有资 金进 行委 托理 财的 进展 公告》</w:t>
            </w:r>
          </w:p>
          <w:p>
            <w:pPr>
              <w:pStyle w:val="TableParagraph"/>
              <w:spacing w:line="338" w:lineRule="auto" w:before="19"/>
              <w:ind w:left="23"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 8-033</w:t>
            </w:r>
          </w:p>
        </w:tc>
      </w:tr>
    </w:tbl>
    <w:p>
      <w:pPr>
        <w:spacing w:after="0" w:line="338"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62"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34,500</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465.3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244.94</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13" w:space="0" w:color="D2D2D2"/>
              <w:bottom w:val="single" w:sz="4" w:space="0" w:color="000000"/>
              <w:right w:val="single" w:sz="9" w:space="0" w:color="D2D2D2"/>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委托理财出现预期无法收回本金或存在其他可能导致减值的情形</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2273"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2"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 w:right="42"/>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9" w:lineRule="auto" w:before="19"/>
              <w:ind w:left="24" w:right="20"/>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2"/>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9" w:lineRule="auto" w:before="19"/>
              <w:ind w:left="22" w:right="2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 w:right="45"/>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2" w:right="4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6643"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创业黑 马（北 京）科 技股份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北京简 变快乐 信息技 术有限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品牌推 广、创 始人形 象包装 等服务</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20"/>
              <w:jc w:val="right"/>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协商一 致</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23"/>
              <w:jc w:val="right"/>
              <w:rPr>
                <w:rFonts w:ascii="Times New Roman" w:hAnsi="Times New Roman" w:cs="Times New Roman" w:eastAsia="Times New Roman" w:hint="default"/>
                <w:sz w:val="18"/>
                <w:szCs w:val="18"/>
              </w:rPr>
            </w:pPr>
            <w:r>
              <w:rPr>
                <w:rFonts w:ascii="Times New Roman"/>
                <w:sz w:val="18"/>
              </w:rPr>
              <w:t>200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履行完 毕</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1"/>
              <w:jc w:val="both"/>
              <w:rPr>
                <w:rFonts w:ascii="宋体" w:hAnsi="宋体" w:cs="宋体" w:eastAsia="宋体" w:hint="default"/>
                <w:sz w:val="18"/>
                <w:szCs w:val="18"/>
              </w:rPr>
            </w:pPr>
            <w:r>
              <w:rPr>
                <w:rFonts w:ascii="宋体" w:hAnsi="宋体" w:cs="宋体" w:eastAsia="宋体" w:hint="default"/>
                <w:sz w:val="18"/>
                <w:szCs w:val="18"/>
              </w:rPr>
              <w:t>披露在 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1"/>
              <w:jc w:val="left"/>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pacing w:val="-35"/>
                <w:sz w:val="18"/>
                <w:szCs w:val="18"/>
              </w:rPr>
              <w:t>）的《首</w:t>
            </w:r>
          </w:p>
          <w:p>
            <w:pPr>
              <w:pStyle w:val="TableParagraph"/>
              <w:spacing w:line="314" w:lineRule="auto" w:before="76"/>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次公开 发行股 票并在 创业板 上市招 股说明 书》第 十一节 </w:t>
            </w:r>
            <w:r>
              <w:rPr>
                <w:rFonts w:ascii="Times New Roman" w:hAnsi="Times New Roman" w:cs="Times New Roman" w:eastAsia="Times New Roman" w:hint="default"/>
                <w:sz w:val="18"/>
                <w:szCs w:val="18"/>
              </w:rPr>
              <w:t>“</w:t>
            </w:r>
            <w:r>
              <w:rPr>
                <w:rFonts w:ascii="宋体" w:hAnsi="宋体" w:cs="宋体" w:eastAsia="宋体" w:hint="default"/>
                <w:sz w:val="18"/>
                <w:szCs w:val="18"/>
              </w:rPr>
              <w:t>其他 重要事 项</w:t>
            </w:r>
            <w:r>
              <w:rPr>
                <w:rFonts w:ascii="Times New Roman" w:hAnsi="Times New Roman" w:cs="Times New Roman" w:eastAsia="Times New Roman" w:hint="default"/>
                <w:sz w:val="18"/>
                <w:szCs w:val="18"/>
              </w:rPr>
              <w:t>”</w:t>
            </w:r>
            <w:r>
              <w:rPr>
                <w:rFonts w:ascii="宋体" w:hAnsi="宋体" w:cs="宋体" w:eastAsia="宋体" w:hint="default"/>
                <w:sz w:val="18"/>
                <w:szCs w:val="18"/>
              </w:rPr>
              <w:t>中 </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一、重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要合 同</w:t>
            </w:r>
            <w:r>
              <w:rPr>
                <w:rFonts w:ascii="Times New Roman" w:hAnsi="Times New Roman" w:cs="Times New Roman" w:eastAsia="Times New Roman" w:hint="default"/>
                <w:sz w:val="18"/>
                <w:szCs w:val="18"/>
              </w:rPr>
              <w:t>”</w:t>
            </w:r>
          </w:p>
        </w:tc>
      </w:tr>
      <w:tr>
        <w:trPr>
          <w:trHeight w:val="67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3"/>
              <w:jc w:val="left"/>
              <w:rPr>
                <w:rFonts w:ascii="宋体" w:hAnsi="宋体" w:cs="宋体" w:eastAsia="宋体" w:hint="default"/>
                <w:sz w:val="18"/>
                <w:szCs w:val="18"/>
              </w:rPr>
            </w:pPr>
            <w:r>
              <w:rPr>
                <w:rFonts w:ascii="宋体" w:hAnsi="宋体" w:cs="宋体" w:eastAsia="宋体" w:hint="default"/>
                <w:sz w:val="18"/>
                <w:szCs w:val="18"/>
              </w:rPr>
              <w:t>北京创 业未来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深圳市 金立通</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品牌推 广定制</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协商一</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披露在 巨潮资</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5979"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3"/>
              <w:jc w:val="both"/>
              <w:rPr>
                <w:rFonts w:ascii="宋体" w:hAnsi="宋体" w:cs="宋体" w:eastAsia="宋体" w:hint="default"/>
                <w:sz w:val="18"/>
                <w:szCs w:val="18"/>
              </w:rPr>
            </w:pPr>
            <w:r>
              <w:rPr>
                <w:rFonts w:ascii="宋体" w:hAnsi="宋体" w:cs="宋体" w:eastAsia="宋体" w:hint="default"/>
                <w:sz w:val="18"/>
                <w:szCs w:val="18"/>
              </w:rPr>
              <w:t>传媒技 术有限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5"/>
              <w:jc w:val="both"/>
              <w:rPr>
                <w:rFonts w:ascii="宋体" w:hAnsi="宋体" w:cs="宋体" w:eastAsia="宋体" w:hint="default"/>
                <w:sz w:val="18"/>
                <w:szCs w:val="18"/>
              </w:rPr>
            </w:pPr>
            <w:r>
              <w:rPr>
                <w:rFonts w:ascii="宋体" w:hAnsi="宋体" w:cs="宋体" w:eastAsia="宋体" w:hint="default"/>
                <w:sz w:val="18"/>
                <w:szCs w:val="18"/>
              </w:rPr>
              <w:t>信设备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致</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毕</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讯网</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1"/>
              <w:jc w:val="left"/>
              <w:rPr>
                <w:rFonts w:ascii="Times New Roman" w:hAnsi="Times New Roman" w:cs="Times New Roman" w:eastAsia="Times New Roman" w:hint="default"/>
                <w:sz w:val="18"/>
                <w:szCs w:val="18"/>
              </w:rPr>
            </w:pPr>
            <w:r>
              <w:rPr>
                <w:rFonts w:ascii="Times New Roman"/>
                <w:sz w:val="18"/>
              </w:rPr>
              <w:t>.cninfo. com.cn</w:t>
            </w:r>
          </w:p>
          <w:p>
            <w:pPr>
              <w:pStyle w:val="TableParagraph"/>
              <w:spacing w:line="200" w:lineRule="exact"/>
              <w:ind w:left="22" w:right="0"/>
              <w:jc w:val="left"/>
              <w:rPr>
                <w:rFonts w:ascii="宋体" w:hAnsi="宋体" w:cs="宋体" w:eastAsia="宋体" w:hint="default"/>
                <w:sz w:val="18"/>
                <w:szCs w:val="18"/>
              </w:rPr>
            </w:pPr>
            <w:r>
              <w:rPr>
                <w:rFonts w:ascii="宋体" w:hAnsi="宋体" w:cs="宋体" w:eastAsia="宋体" w:hint="default"/>
                <w:spacing w:val="-35"/>
                <w:sz w:val="18"/>
                <w:szCs w:val="18"/>
              </w:rPr>
              <w:t>）的《首</w:t>
            </w:r>
          </w:p>
          <w:p>
            <w:pPr>
              <w:pStyle w:val="TableParagraph"/>
              <w:spacing w:line="314" w:lineRule="auto" w:before="76"/>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次公开 发行股 票并在 创业板 上市招 股说明 书》第 十一节 </w:t>
            </w:r>
            <w:r>
              <w:rPr>
                <w:rFonts w:ascii="Times New Roman" w:hAnsi="Times New Roman" w:cs="Times New Roman" w:eastAsia="Times New Roman" w:hint="default"/>
                <w:sz w:val="18"/>
                <w:szCs w:val="18"/>
              </w:rPr>
              <w:t>“</w:t>
            </w:r>
            <w:r>
              <w:rPr>
                <w:rFonts w:ascii="宋体" w:hAnsi="宋体" w:cs="宋体" w:eastAsia="宋体" w:hint="default"/>
                <w:sz w:val="18"/>
                <w:szCs w:val="18"/>
              </w:rPr>
              <w:t>其他 重要事 项</w:t>
            </w:r>
            <w:r>
              <w:rPr>
                <w:rFonts w:ascii="Times New Roman" w:hAnsi="Times New Roman" w:cs="Times New Roman" w:eastAsia="Times New Roman" w:hint="default"/>
                <w:sz w:val="18"/>
                <w:szCs w:val="18"/>
              </w:rPr>
              <w:t>”</w:t>
            </w:r>
            <w:r>
              <w:rPr>
                <w:rFonts w:ascii="宋体" w:hAnsi="宋体" w:cs="宋体" w:eastAsia="宋体" w:hint="default"/>
                <w:sz w:val="18"/>
                <w:szCs w:val="18"/>
              </w:rPr>
              <w:t>中 </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一、重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要合 同</w:t>
            </w:r>
            <w:r>
              <w:rPr>
                <w:rFonts w:ascii="Times New Roman" w:hAnsi="Times New Roman" w:cs="Times New Roman" w:eastAsia="Times New Roman" w:hint="default"/>
                <w:sz w:val="18"/>
                <w:szCs w:val="18"/>
              </w:rPr>
              <w:t>”</w:t>
            </w:r>
          </w:p>
        </w:tc>
      </w:tr>
      <w:tr>
        <w:trPr>
          <w:trHeight w:val="695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创业黑 马（北 京）科 技股份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65"/>
              <w:jc w:val="both"/>
              <w:rPr>
                <w:rFonts w:ascii="宋体" w:hAnsi="宋体" w:cs="宋体" w:eastAsia="宋体" w:hint="default"/>
                <w:sz w:val="18"/>
                <w:szCs w:val="18"/>
              </w:rPr>
            </w:pPr>
            <w:r>
              <w:rPr>
                <w:rFonts w:ascii="宋体" w:hAnsi="宋体" w:cs="宋体" w:eastAsia="宋体" w:hint="default"/>
                <w:sz w:val="18"/>
                <w:szCs w:val="18"/>
              </w:rPr>
              <w:t>分众传 媒有限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p>
          <w:p>
            <w:pPr>
              <w:pStyle w:val="TableParagraph"/>
              <w:spacing w:line="324" w:lineRule="auto" w:before="64"/>
              <w:ind w:left="22"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深圳第 三届黑 马创交 会</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“2016</w:t>
            </w:r>
          </w:p>
          <w:p>
            <w:pPr>
              <w:pStyle w:val="TableParagraph"/>
              <w:spacing w:line="324" w:lineRule="auto"/>
              <w:ind w:left="22"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重庆黑 马城市 合伙 人</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“2016</w:t>
            </w:r>
          </w:p>
          <w:p>
            <w:pPr>
              <w:pStyle w:val="TableParagraph"/>
              <w:spacing w:line="324" w:lineRule="auto"/>
              <w:ind w:left="22" w:right="-15"/>
              <w:jc w:val="left"/>
              <w:rPr>
                <w:rFonts w:ascii="Times New Roman" w:hAnsi="Times New Roman" w:cs="Times New Roman" w:eastAsia="Times New Roman" w:hint="default"/>
                <w:sz w:val="18"/>
                <w:szCs w:val="18"/>
              </w:rPr>
            </w:pPr>
            <w:r>
              <w:rPr>
                <w:rFonts w:ascii="宋体" w:hAnsi="宋体" w:cs="宋体" w:eastAsia="宋体" w:hint="default"/>
                <w:sz w:val="18"/>
                <w:szCs w:val="18"/>
              </w:rPr>
              <w:t>黑马创 业社群 大会</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“2017</w:t>
            </w:r>
          </w:p>
          <w:p>
            <w:pPr>
              <w:pStyle w:val="TableParagraph"/>
              <w:spacing w:line="314" w:lineRule="auto"/>
              <w:ind w:left="22" w:right="65"/>
              <w:jc w:val="left"/>
              <w:rPr>
                <w:rFonts w:ascii="宋体" w:hAnsi="宋体" w:cs="宋体" w:eastAsia="宋体" w:hint="default"/>
                <w:sz w:val="18"/>
                <w:szCs w:val="18"/>
              </w:rPr>
            </w:pPr>
            <w:r>
              <w:rPr>
                <w:rFonts w:ascii="宋体" w:hAnsi="宋体" w:cs="宋体" w:eastAsia="宋体" w:hint="default"/>
                <w:sz w:val="18"/>
                <w:szCs w:val="18"/>
              </w:rPr>
              <w:t>创业黑 马运动 会</w:t>
            </w:r>
            <w:r>
              <w:rPr>
                <w:rFonts w:ascii="Times New Roman" w:hAnsi="Times New Roman" w:cs="Times New Roman" w:eastAsia="Times New Roman" w:hint="default"/>
                <w:sz w:val="18"/>
                <w:szCs w:val="18"/>
              </w:rPr>
              <w:t>”</w:t>
            </w:r>
            <w:r>
              <w:rPr>
                <w:rFonts w:ascii="宋体" w:hAnsi="宋体" w:cs="宋体" w:eastAsia="宋体" w:hint="default"/>
                <w:sz w:val="18"/>
                <w:szCs w:val="18"/>
              </w:rPr>
              <w:t>服 务及日 常宣传 推广服 务</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协商一 致</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履行完 毕</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披露在 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1"/>
              <w:jc w:val="left"/>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pacing w:val="-35"/>
                <w:sz w:val="18"/>
                <w:szCs w:val="18"/>
              </w:rPr>
              <w:t>）的《首</w:t>
            </w:r>
          </w:p>
          <w:p>
            <w:pPr>
              <w:pStyle w:val="TableParagraph"/>
              <w:spacing w:line="314" w:lineRule="auto" w:before="76"/>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次公开 发行股 票并在 创业板 上市招 股说明 书》第 十一节 </w:t>
            </w:r>
            <w:r>
              <w:rPr>
                <w:rFonts w:ascii="Times New Roman" w:hAnsi="Times New Roman" w:cs="Times New Roman" w:eastAsia="Times New Roman" w:hint="default"/>
                <w:sz w:val="18"/>
                <w:szCs w:val="18"/>
              </w:rPr>
              <w:t>“</w:t>
            </w:r>
            <w:r>
              <w:rPr>
                <w:rFonts w:ascii="宋体" w:hAnsi="宋体" w:cs="宋体" w:eastAsia="宋体" w:hint="default"/>
                <w:sz w:val="18"/>
                <w:szCs w:val="18"/>
              </w:rPr>
              <w:t>其他 重要事 项</w:t>
            </w:r>
            <w:r>
              <w:rPr>
                <w:rFonts w:ascii="Times New Roman" w:hAnsi="Times New Roman" w:cs="Times New Roman" w:eastAsia="Times New Roman" w:hint="default"/>
                <w:sz w:val="18"/>
                <w:szCs w:val="18"/>
              </w:rPr>
              <w:t>”</w:t>
            </w:r>
            <w:r>
              <w:rPr>
                <w:rFonts w:ascii="宋体" w:hAnsi="宋体" w:cs="宋体" w:eastAsia="宋体" w:hint="default"/>
                <w:sz w:val="18"/>
                <w:szCs w:val="18"/>
              </w:rPr>
              <w:t>中 </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一、重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要合 同</w:t>
            </w:r>
            <w:r>
              <w:rPr>
                <w:rFonts w:ascii="Times New Roman" w:hAnsi="Times New Roman" w:cs="Times New Roman" w:eastAsia="Times New Roman" w:hint="default"/>
                <w:sz w:val="18"/>
                <w:szCs w:val="18"/>
              </w:rPr>
              <w:t>”</w:t>
            </w:r>
          </w:p>
        </w:tc>
      </w:tr>
      <w:tr>
        <w:trPr>
          <w:trHeight w:val="986"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北京创 业未来 传媒技</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东莞市 永盛通 信科技</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品牌及 产品推</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62"/>
              <w:jc w:val="left"/>
              <w:rPr>
                <w:rFonts w:ascii="宋体" w:hAnsi="宋体" w:cs="宋体" w:eastAsia="宋体" w:hint="default"/>
                <w:sz w:val="18"/>
                <w:szCs w:val="18"/>
              </w:rPr>
            </w:pPr>
            <w:r>
              <w:rPr>
                <w:rFonts w:ascii="宋体" w:hAnsi="宋体" w:cs="宋体" w:eastAsia="宋体" w:hint="default"/>
                <w:sz w:val="18"/>
                <w:szCs w:val="18"/>
              </w:rPr>
              <w:t>协商一 致</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履行完 毕</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披露在 巨潮资 讯网</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5667"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3"/>
              <w:jc w:val="left"/>
              <w:rPr>
                <w:rFonts w:ascii="宋体" w:hAnsi="宋体" w:cs="宋体" w:eastAsia="宋体" w:hint="default"/>
                <w:sz w:val="18"/>
                <w:szCs w:val="18"/>
              </w:rPr>
            </w:pPr>
            <w:r>
              <w:rPr>
                <w:rFonts w:ascii="宋体" w:hAnsi="宋体" w:cs="宋体" w:eastAsia="宋体" w:hint="default"/>
                <w:sz w:val="18"/>
                <w:szCs w:val="18"/>
              </w:rPr>
              <w:t>术有限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广服务</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1"/>
              <w:jc w:val="left"/>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pacing w:val="-35"/>
                <w:sz w:val="18"/>
                <w:szCs w:val="18"/>
              </w:rPr>
              <w:t>）的《首</w:t>
            </w:r>
          </w:p>
          <w:p>
            <w:pPr>
              <w:pStyle w:val="TableParagraph"/>
              <w:spacing w:line="314" w:lineRule="auto" w:before="77"/>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次公开 发行股 票并在 创业板 上市招 股说明 书》第 十一节 </w:t>
            </w:r>
            <w:r>
              <w:rPr>
                <w:rFonts w:ascii="Times New Roman" w:hAnsi="Times New Roman" w:cs="Times New Roman" w:eastAsia="Times New Roman" w:hint="default"/>
                <w:sz w:val="18"/>
                <w:szCs w:val="18"/>
              </w:rPr>
              <w:t>“</w:t>
            </w:r>
            <w:r>
              <w:rPr>
                <w:rFonts w:ascii="宋体" w:hAnsi="宋体" w:cs="宋体" w:eastAsia="宋体" w:hint="default"/>
                <w:sz w:val="18"/>
                <w:szCs w:val="18"/>
              </w:rPr>
              <w:t>其他 重要事 项</w:t>
            </w:r>
            <w:r>
              <w:rPr>
                <w:rFonts w:ascii="Times New Roman" w:hAnsi="Times New Roman" w:cs="Times New Roman" w:eastAsia="Times New Roman" w:hint="default"/>
                <w:sz w:val="18"/>
                <w:szCs w:val="18"/>
              </w:rPr>
              <w:t>”</w:t>
            </w:r>
            <w:r>
              <w:rPr>
                <w:rFonts w:ascii="宋体" w:hAnsi="宋体" w:cs="宋体" w:eastAsia="宋体" w:hint="default"/>
                <w:sz w:val="18"/>
                <w:szCs w:val="18"/>
              </w:rPr>
              <w:t>中 </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一、重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要合 同</w:t>
            </w:r>
            <w:r>
              <w:rPr>
                <w:rFonts w:ascii="Times New Roman" w:hAnsi="Times New Roman" w:cs="Times New Roman" w:eastAsia="Times New Roman" w:hint="default"/>
                <w:sz w:val="18"/>
                <w:szCs w:val="18"/>
              </w:rPr>
              <w:t>”</w:t>
            </w:r>
          </w:p>
        </w:tc>
      </w:tr>
      <w:tr>
        <w:trPr>
          <w:trHeight w:val="664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63"/>
              <w:jc w:val="both"/>
              <w:rPr>
                <w:rFonts w:ascii="宋体" w:hAnsi="宋体" w:cs="宋体" w:eastAsia="宋体" w:hint="default"/>
                <w:sz w:val="18"/>
                <w:szCs w:val="18"/>
              </w:rPr>
            </w:pPr>
            <w:r>
              <w:rPr>
                <w:rFonts w:ascii="宋体" w:hAnsi="宋体" w:cs="宋体" w:eastAsia="宋体" w:hint="default"/>
                <w:sz w:val="18"/>
                <w:szCs w:val="18"/>
              </w:rPr>
              <w:t>创业黑 马（北 京）科 技股份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北京易 后台财 税科技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黑马成 长营、 创业实 验室创 业辅导 培训服 务、品 牌包装 宣传以 及园区 活动植 入服务</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62"/>
              <w:jc w:val="left"/>
              <w:rPr>
                <w:rFonts w:ascii="宋体" w:hAnsi="宋体" w:cs="宋体" w:eastAsia="宋体" w:hint="default"/>
                <w:sz w:val="18"/>
                <w:szCs w:val="18"/>
              </w:rPr>
            </w:pPr>
            <w:r>
              <w:rPr>
                <w:rFonts w:ascii="宋体" w:hAnsi="宋体" w:cs="宋体" w:eastAsia="宋体" w:hint="default"/>
                <w:sz w:val="18"/>
                <w:szCs w:val="18"/>
              </w:rPr>
              <w:t>协商一 致</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sz w:val="18"/>
              </w:rPr>
              <w:t>170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65"/>
              <w:jc w:val="left"/>
              <w:rPr>
                <w:rFonts w:ascii="宋体" w:hAnsi="宋体" w:cs="宋体" w:eastAsia="宋体" w:hint="default"/>
                <w:sz w:val="18"/>
                <w:szCs w:val="18"/>
              </w:rPr>
            </w:pPr>
            <w:r>
              <w:rPr>
                <w:rFonts w:ascii="宋体" w:hAnsi="宋体" w:cs="宋体" w:eastAsia="宋体" w:hint="default"/>
                <w:sz w:val="18"/>
                <w:szCs w:val="18"/>
              </w:rPr>
              <w:t>履行完 毕</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披露在 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3"/>
              <w:ind w:left="22" w:right="51"/>
              <w:jc w:val="left"/>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pacing w:val="-35"/>
                <w:sz w:val="18"/>
                <w:szCs w:val="18"/>
              </w:rPr>
              <w:t>）的《首</w:t>
            </w:r>
          </w:p>
          <w:p>
            <w:pPr>
              <w:pStyle w:val="TableParagraph"/>
              <w:spacing w:line="314" w:lineRule="auto" w:before="76"/>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次公开 发行股 票并在 创业板 上市招 股说明 书》第 十一节 </w:t>
            </w:r>
            <w:r>
              <w:rPr>
                <w:rFonts w:ascii="Times New Roman" w:hAnsi="Times New Roman" w:cs="Times New Roman" w:eastAsia="Times New Roman" w:hint="default"/>
                <w:sz w:val="18"/>
                <w:szCs w:val="18"/>
              </w:rPr>
              <w:t>“</w:t>
            </w:r>
            <w:r>
              <w:rPr>
                <w:rFonts w:ascii="宋体" w:hAnsi="宋体" w:cs="宋体" w:eastAsia="宋体" w:hint="default"/>
                <w:sz w:val="18"/>
                <w:szCs w:val="18"/>
              </w:rPr>
              <w:t>其他 重要事 项</w:t>
            </w:r>
            <w:r>
              <w:rPr>
                <w:rFonts w:ascii="Times New Roman" w:hAnsi="Times New Roman" w:cs="Times New Roman" w:eastAsia="Times New Roman" w:hint="default"/>
                <w:sz w:val="18"/>
                <w:szCs w:val="18"/>
              </w:rPr>
              <w:t>”</w:t>
            </w:r>
            <w:r>
              <w:rPr>
                <w:rFonts w:ascii="宋体" w:hAnsi="宋体" w:cs="宋体" w:eastAsia="宋体" w:hint="default"/>
                <w:sz w:val="18"/>
                <w:szCs w:val="18"/>
              </w:rPr>
              <w:t>中 </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一、重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要合 同</w:t>
            </w:r>
            <w:r>
              <w:rPr>
                <w:rFonts w:ascii="Times New Roman" w:hAnsi="Times New Roman" w:cs="Times New Roman" w:eastAsia="Times New Roman" w:hint="default"/>
                <w:sz w:val="18"/>
                <w:szCs w:val="18"/>
              </w:rPr>
              <w:t>”</w:t>
            </w:r>
          </w:p>
        </w:tc>
      </w:tr>
      <w:tr>
        <w:trPr>
          <w:trHeight w:val="161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创业黑 马（北 京）科 技股份 有限公</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北京身 边惠国 际旅行 社有限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办理签 证、订 购机 票、购 买保</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62"/>
              <w:jc w:val="left"/>
              <w:rPr>
                <w:rFonts w:ascii="宋体" w:hAnsi="宋体" w:cs="宋体" w:eastAsia="宋体" w:hint="default"/>
                <w:sz w:val="18"/>
                <w:szCs w:val="18"/>
              </w:rPr>
            </w:pPr>
            <w:r>
              <w:rPr>
                <w:rFonts w:ascii="宋体" w:hAnsi="宋体" w:cs="宋体" w:eastAsia="宋体" w:hint="default"/>
                <w:sz w:val="18"/>
                <w:szCs w:val="18"/>
              </w:rPr>
              <w:t>协商一 致</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39.69</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履行完 毕</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披露在 巨潮资 讯网</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240" w:lineRule="auto" w:before="102"/>
              <w:ind w:left="22" w:right="0"/>
              <w:jc w:val="both"/>
              <w:rPr>
                <w:rFonts w:ascii="Times New Roman" w:hAnsi="Times New Roman" w:cs="Times New Roman" w:eastAsia="Times New Roman" w:hint="default"/>
                <w:sz w:val="18"/>
                <w:szCs w:val="18"/>
              </w:rPr>
            </w:pPr>
            <w:r>
              <w:rPr>
                <w:rFonts w:ascii="Times New Roman"/>
                <w:sz w:val="18"/>
              </w:rPr>
              <w:t>.cninfo.</w:t>
            </w:r>
          </w:p>
        </w:tc>
      </w:tr>
    </w:tbl>
    <w:p>
      <w:pPr>
        <w:spacing w:after="0" w:line="240" w:lineRule="auto"/>
        <w:jc w:val="both"/>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5043"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5"/>
              <w:jc w:val="both"/>
              <w:rPr>
                <w:rFonts w:ascii="宋体" w:hAnsi="宋体" w:cs="宋体" w:eastAsia="宋体" w:hint="default"/>
                <w:sz w:val="18"/>
                <w:szCs w:val="18"/>
              </w:rPr>
            </w:pPr>
            <w:r>
              <w:rPr>
                <w:rFonts w:ascii="宋体" w:hAnsi="宋体" w:cs="宋体" w:eastAsia="宋体" w:hint="default"/>
                <w:sz w:val="18"/>
                <w:szCs w:val="18"/>
              </w:rPr>
              <w:t>险、预 定酒店 住宿及 会议室 的相关 服务</w:t>
            </w: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com.cn</w:t>
            </w:r>
          </w:p>
          <w:p>
            <w:pPr>
              <w:pStyle w:val="TableParagraph"/>
              <w:spacing w:line="314" w:lineRule="auto" w:before="65"/>
              <w:ind w:left="22" w:right="20"/>
              <w:jc w:val="left"/>
              <w:rPr>
                <w:rFonts w:ascii="Times New Roman" w:hAnsi="Times New Roman" w:cs="Times New Roman" w:eastAsia="Times New Roman" w:hint="default"/>
                <w:sz w:val="18"/>
                <w:szCs w:val="18"/>
              </w:rPr>
            </w:pPr>
            <w:r>
              <w:rPr>
                <w:rFonts w:ascii="宋体" w:hAnsi="宋体" w:cs="宋体" w:eastAsia="宋体" w:hint="default"/>
                <w:spacing w:val="-35"/>
                <w:sz w:val="18"/>
                <w:szCs w:val="18"/>
              </w:rPr>
              <w:t>）的《首</w:t>
            </w:r>
            <w:r>
              <w:rPr>
                <w:rFonts w:ascii="宋体" w:hAnsi="宋体" w:cs="宋体" w:eastAsia="宋体" w:hint="default"/>
                <w:sz w:val="18"/>
                <w:szCs w:val="18"/>
              </w:rPr>
              <w:t> 次公开 发行股 票并在 创业板 上市招 股说明 书》第 十一节 </w:t>
            </w:r>
            <w:r>
              <w:rPr>
                <w:rFonts w:ascii="Times New Roman" w:hAnsi="Times New Roman" w:cs="Times New Roman" w:eastAsia="Times New Roman" w:hint="default"/>
                <w:sz w:val="18"/>
                <w:szCs w:val="18"/>
              </w:rPr>
              <w:t>“</w:t>
            </w:r>
            <w:r>
              <w:rPr>
                <w:rFonts w:ascii="宋体" w:hAnsi="宋体" w:cs="宋体" w:eastAsia="宋体" w:hint="default"/>
                <w:sz w:val="18"/>
                <w:szCs w:val="18"/>
              </w:rPr>
              <w:t>其他 重要事 项</w:t>
            </w:r>
            <w:r>
              <w:rPr>
                <w:rFonts w:ascii="Times New Roman" w:hAnsi="Times New Roman" w:cs="Times New Roman" w:eastAsia="Times New Roman" w:hint="default"/>
                <w:sz w:val="18"/>
                <w:szCs w:val="18"/>
              </w:rPr>
              <w:t>”</w:t>
            </w:r>
            <w:r>
              <w:rPr>
                <w:rFonts w:ascii="宋体" w:hAnsi="宋体" w:cs="宋体" w:eastAsia="宋体" w:hint="default"/>
                <w:sz w:val="18"/>
                <w:szCs w:val="18"/>
              </w:rPr>
              <w:t>中 </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一、重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要合 同</w:t>
            </w:r>
            <w:r>
              <w:rPr>
                <w:rFonts w:ascii="Times New Roman" w:hAnsi="Times New Roman" w:cs="Times New Roman" w:eastAsia="Times New Roman" w:hint="default"/>
                <w:sz w:val="18"/>
                <w:szCs w:val="18"/>
              </w:rPr>
              <w:t>”</w:t>
            </w:r>
          </w:p>
        </w:tc>
      </w:tr>
      <w:tr>
        <w:trPr>
          <w:trHeight w:val="664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63"/>
              <w:jc w:val="both"/>
              <w:rPr>
                <w:rFonts w:ascii="宋体" w:hAnsi="宋体" w:cs="宋体" w:eastAsia="宋体" w:hint="default"/>
                <w:sz w:val="18"/>
                <w:szCs w:val="18"/>
              </w:rPr>
            </w:pPr>
            <w:r>
              <w:rPr>
                <w:rFonts w:ascii="宋体" w:hAnsi="宋体" w:cs="宋体" w:eastAsia="宋体" w:hint="default"/>
                <w:sz w:val="18"/>
                <w:szCs w:val="18"/>
              </w:rPr>
              <w:t>创业黑 马（北 京）科 技股份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山水假 日（北 京）国 际旅行 社股份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美国硅 谷参 访、游 览、公 务会议 及游学 活动提 供具体 组织接 待、安 排等相 关服务</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62"/>
              <w:jc w:val="left"/>
              <w:rPr>
                <w:rFonts w:ascii="宋体" w:hAnsi="宋体" w:cs="宋体" w:eastAsia="宋体" w:hint="default"/>
                <w:sz w:val="18"/>
                <w:szCs w:val="18"/>
              </w:rPr>
            </w:pPr>
            <w:r>
              <w:rPr>
                <w:rFonts w:ascii="宋体" w:hAnsi="宋体" w:cs="宋体" w:eastAsia="宋体" w:hint="default"/>
                <w:sz w:val="18"/>
                <w:szCs w:val="18"/>
              </w:rPr>
              <w:t>协商一 致</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z w:val="18"/>
              </w:rPr>
              <w:t>80.45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65"/>
              <w:jc w:val="left"/>
              <w:rPr>
                <w:rFonts w:ascii="宋体" w:hAnsi="宋体" w:cs="宋体" w:eastAsia="宋体" w:hint="default"/>
                <w:sz w:val="18"/>
                <w:szCs w:val="18"/>
              </w:rPr>
            </w:pPr>
            <w:r>
              <w:rPr>
                <w:rFonts w:ascii="宋体" w:hAnsi="宋体" w:cs="宋体" w:eastAsia="宋体" w:hint="default"/>
                <w:sz w:val="18"/>
                <w:szCs w:val="18"/>
              </w:rPr>
              <w:t>履行完 毕</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披露在 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1"/>
              <w:jc w:val="left"/>
              <w:rPr>
                <w:rFonts w:ascii="Times New Roman" w:hAnsi="Times New Roman" w:cs="Times New Roman" w:eastAsia="Times New Roman" w:hint="default"/>
                <w:sz w:val="18"/>
                <w:szCs w:val="18"/>
              </w:rPr>
            </w:pPr>
            <w:r>
              <w:rPr>
                <w:rFonts w:ascii="Times New Roman"/>
                <w:sz w:val="18"/>
              </w:rPr>
              <w:t>.cninfo. com.cn</w:t>
            </w:r>
          </w:p>
          <w:p>
            <w:pPr>
              <w:pStyle w:val="TableParagraph"/>
              <w:spacing w:line="200" w:lineRule="exact"/>
              <w:ind w:left="22" w:right="0"/>
              <w:jc w:val="left"/>
              <w:rPr>
                <w:rFonts w:ascii="宋体" w:hAnsi="宋体" w:cs="宋体" w:eastAsia="宋体" w:hint="default"/>
                <w:sz w:val="18"/>
                <w:szCs w:val="18"/>
              </w:rPr>
            </w:pPr>
            <w:r>
              <w:rPr>
                <w:rFonts w:ascii="宋体" w:hAnsi="宋体" w:cs="宋体" w:eastAsia="宋体" w:hint="default"/>
                <w:spacing w:val="-35"/>
                <w:sz w:val="18"/>
                <w:szCs w:val="18"/>
              </w:rPr>
              <w:t>）的《首</w:t>
            </w:r>
          </w:p>
          <w:p>
            <w:pPr>
              <w:pStyle w:val="TableParagraph"/>
              <w:spacing w:line="314" w:lineRule="auto" w:before="76"/>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次公开 发行股 票并在 创业板 上市招 股说明 书》第 十一节 </w:t>
            </w:r>
            <w:r>
              <w:rPr>
                <w:rFonts w:ascii="Times New Roman" w:hAnsi="Times New Roman" w:cs="Times New Roman" w:eastAsia="Times New Roman" w:hint="default"/>
                <w:sz w:val="18"/>
                <w:szCs w:val="18"/>
              </w:rPr>
              <w:t>“</w:t>
            </w:r>
            <w:r>
              <w:rPr>
                <w:rFonts w:ascii="宋体" w:hAnsi="宋体" w:cs="宋体" w:eastAsia="宋体" w:hint="default"/>
                <w:sz w:val="18"/>
                <w:szCs w:val="18"/>
              </w:rPr>
              <w:t>其他 重要事 项</w:t>
            </w:r>
            <w:r>
              <w:rPr>
                <w:rFonts w:ascii="Times New Roman" w:hAnsi="Times New Roman" w:cs="Times New Roman" w:eastAsia="Times New Roman" w:hint="default"/>
                <w:sz w:val="18"/>
                <w:szCs w:val="18"/>
              </w:rPr>
              <w:t>”</w:t>
            </w:r>
            <w:r>
              <w:rPr>
                <w:rFonts w:ascii="宋体" w:hAnsi="宋体" w:cs="宋体" w:eastAsia="宋体" w:hint="default"/>
                <w:sz w:val="18"/>
                <w:szCs w:val="18"/>
              </w:rPr>
              <w:t>中 </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一、重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要合 同</w:t>
            </w:r>
            <w:r>
              <w:rPr>
                <w:rFonts w:ascii="Times New Roman" w:hAnsi="Times New Roman" w:cs="Times New Roman" w:eastAsia="Times New Roman" w:hint="default"/>
                <w:sz w:val="18"/>
                <w:szCs w:val="18"/>
              </w:rPr>
              <w:t>”</w:t>
            </w:r>
          </w:p>
        </w:tc>
      </w:tr>
      <w:tr>
        <w:trPr>
          <w:trHeight w:val="223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63"/>
              <w:jc w:val="both"/>
              <w:rPr>
                <w:rFonts w:ascii="宋体" w:hAnsi="宋体" w:cs="宋体" w:eastAsia="宋体" w:hint="default"/>
                <w:sz w:val="18"/>
                <w:szCs w:val="18"/>
              </w:rPr>
            </w:pPr>
            <w:r>
              <w:rPr>
                <w:rFonts w:ascii="宋体" w:hAnsi="宋体" w:cs="宋体" w:eastAsia="宋体" w:hint="default"/>
                <w:sz w:val="18"/>
                <w:szCs w:val="18"/>
              </w:rPr>
              <w:t>创业黑 马（北 京）科 技股份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山水假 日（北 京）国 际旅行 社股份 有限公</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美国硅 谷商务 参访及 游览提 供具体 组织接 待、安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62"/>
              <w:jc w:val="left"/>
              <w:rPr>
                <w:rFonts w:ascii="宋体" w:hAnsi="宋体" w:cs="宋体" w:eastAsia="宋体" w:hint="default"/>
                <w:sz w:val="18"/>
                <w:szCs w:val="18"/>
              </w:rPr>
            </w:pPr>
            <w:r>
              <w:rPr>
                <w:rFonts w:ascii="宋体" w:hAnsi="宋体" w:cs="宋体" w:eastAsia="宋体" w:hint="default"/>
                <w:sz w:val="18"/>
                <w:szCs w:val="18"/>
              </w:rPr>
              <w:t>协商一 致</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履行完 毕</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披露在 巨潮资 讯网</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1"/>
              <w:jc w:val="both"/>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both"/>
              <w:rPr>
                <w:rFonts w:ascii="宋体" w:hAnsi="宋体" w:cs="宋体" w:eastAsia="宋体" w:hint="default"/>
                <w:sz w:val="18"/>
                <w:szCs w:val="18"/>
              </w:rPr>
            </w:pPr>
            <w:r>
              <w:rPr>
                <w:rFonts w:ascii="宋体" w:hAnsi="宋体" w:cs="宋体" w:eastAsia="宋体" w:hint="default"/>
                <w:spacing w:val="-35"/>
                <w:sz w:val="18"/>
                <w:szCs w:val="18"/>
              </w:rPr>
              <w:t>）的《首</w:t>
            </w:r>
          </w:p>
        </w:tc>
      </w:tr>
    </w:tbl>
    <w:p>
      <w:pPr>
        <w:spacing w:after="0" w:line="199" w:lineRule="exact"/>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4419"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5"/>
              <w:jc w:val="left"/>
              <w:rPr>
                <w:rFonts w:ascii="宋体" w:hAnsi="宋体" w:cs="宋体" w:eastAsia="宋体" w:hint="default"/>
                <w:sz w:val="18"/>
                <w:szCs w:val="18"/>
              </w:rPr>
            </w:pPr>
            <w:r>
              <w:rPr>
                <w:rFonts w:ascii="宋体" w:hAnsi="宋体" w:cs="宋体" w:eastAsia="宋体" w:hint="default"/>
                <w:sz w:val="18"/>
                <w:szCs w:val="18"/>
              </w:rPr>
              <w:t>排等相 关服务</w:t>
            </w: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次公开 发行股 票并在 创业板 上市招 股说明 书》第 十一节 </w:t>
            </w:r>
            <w:r>
              <w:rPr>
                <w:rFonts w:ascii="Times New Roman" w:hAnsi="Times New Roman" w:cs="Times New Roman" w:eastAsia="Times New Roman" w:hint="default"/>
                <w:sz w:val="18"/>
                <w:szCs w:val="18"/>
              </w:rPr>
              <w:t>“</w:t>
            </w:r>
            <w:r>
              <w:rPr>
                <w:rFonts w:ascii="宋体" w:hAnsi="宋体" w:cs="宋体" w:eastAsia="宋体" w:hint="default"/>
                <w:sz w:val="18"/>
                <w:szCs w:val="18"/>
              </w:rPr>
              <w:t>其他 重要事 项</w:t>
            </w:r>
            <w:r>
              <w:rPr>
                <w:rFonts w:ascii="Times New Roman" w:hAnsi="Times New Roman" w:cs="Times New Roman" w:eastAsia="Times New Roman" w:hint="default"/>
                <w:sz w:val="18"/>
                <w:szCs w:val="18"/>
              </w:rPr>
              <w:t>”</w:t>
            </w:r>
            <w:r>
              <w:rPr>
                <w:rFonts w:ascii="宋体" w:hAnsi="宋体" w:cs="宋体" w:eastAsia="宋体" w:hint="default"/>
                <w:sz w:val="18"/>
                <w:szCs w:val="18"/>
              </w:rPr>
              <w:t>中 </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一、重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要合 同</w:t>
            </w:r>
            <w:r>
              <w:rPr>
                <w:rFonts w:ascii="Times New Roman" w:hAnsi="Times New Roman" w:cs="Times New Roman" w:eastAsia="Times New Roman" w:hint="default"/>
                <w:sz w:val="18"/>
                <w:szCs w:val="18"/>
              </w:rPr>
              <w:t>”</w:t>
            </w:r>
          </w:p>
        </w:tc>
      </w:tr>
      <w:tr>
        <w:trPr>
          <w:trHeight w:val="664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63"/>
              <w:jc w:val="both"/>
              <w:rPr>
                <w:rFonts w:ascii="宋体" w:hAnsi="宋体" w:cs="宋体" w:eastAsia="宋体" w:hint="default"/>
                <w:sz w:val="18"/>
                <w:szCs w:val="18"/>
              </w:rPr>
            </w:pPr>
            <w:r>
              <w:rPr>
                <w:rFonts w:ascii="宋体" w:hAnsi="宋体" w:cs="宋体" w:eastAsia="宋体" w:hint="default"/>
                <w:sz w:val="18"/>
                <w:szCs w:val="18"/>
              </w:rPr>
              <w:t>创业黑 马（北 京）科 技股份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山水假 日（北 京）国 际旅行 社股份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65"/>
              <w:jc w:val="both"/>
              <w:rPr>
                <w:rFonts w:ascii="宋体" w:hAnsi="宋体" w:cs="宋体" w:eastAsia="宋体" w:hint="default"/>
                <w:sz w:val="18"/>
                <w:szCs w:val="18"/>
              </w:rPr>
            </w:pPr>
            <w:r>
              <w:rPr>
                <w:rFonts w:ascii="宋体" w:hAnsi="宋体" w:cs="宋体" w:eastAsia="宋体" w:hint="default"/>
                <w:sz w:val="18"/>
                <w:szCs w:val="18"/>
              </w:rPr>
              <w:t>安排创 业黑马 的美国 硅谷行 程会议 活动</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62"/>
              <w:jc w:val="left"/>
              <w:rPr>
                <w:rFonts w:ascii="宋体" w:hAnsi="宋体" w:cs="宋体" w:eastAsia="宋体" w:hint="default"/>
                <w:sz w:val="18"/>
                <w:szCs w:val="18"/>
              </w:rPr>
            </w:pPr>
            <w:r>
              <w:rPr>
                <w:rFonts w:ascii="宋体" w:hAnsi="宋体" w:cs="宋体" w:eastAsia="宋体" w:hint="default"/>
                <w:sz w:val="18"/>
                <w:szCs w:val="18"/>
              </w:rPr>
              <w:t>协商一 致</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00" w:right="0"/>
              <w:jc w:val="left"/>
              <w:rPr>
                <w:rFonts w:ascii="Times New Roman" w:hAnsi="Times New Roman" w:cs="Times New Roman" w:eastAsia="Times New Roman" w:hint="default"/>
                <w:sz w:val="18"/>
                <w:szCs w:val="18"/>
              </w:rPr>
            </w:pPr>
            <w:r>
              <w:rPr>
                <w:rFonts w:ascii="Times New Roman"/>
                <w:sz w:val="18"/>
              </w:rPr>
              <w:t>20.57</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65"/>
              <w:jc w:val="left"/>
              <w:rPr>
                <w:rFonts w:ascii="宋体" w:hAnsi="宋体" w:cs="宋体" w:eastAsia="宋体" w:hint="default"/>
                <w:sz w:val="18"/>
                <w:szCs w:val="18"/>
              </w:rPr>
            </w:pPr>
            <w:r>
              <w:rPr>
                <w:rFonts w:ascii="宋体" w:hAnsi="宋体" w:cs="宋体" w:eastAsia="宋体" w:hint="default"/>
                <w:sz w:val="18"/>
                <w:szCs w:val="18"/>
              </w:rPr>
              <w:t>履行完 毕</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披露在 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1"/>
              <w:jc w:val="left"/>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pacing w:val="-35"/>
                <w:sz w:val="18"/>
                <w:szCs w:val="18"/>
              </w:rPr>
              <w:t>）的《首</w:t>
            </w:r>
          </w:p>
          <w:p>
            <w:pPr>
              <w:pStyle w:val="TableParagraph"/>
              <w:spacing w:line="314" w:lineRule="auto" w:before="76"/>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次公开 发行股 票并在 创业板 上市招 股说明 书》第 十一节 </w:t>
            </w:r>
            <w:r>
              <w:rPr>
                <w:rFonts w:ascii="Times New Roman" w:hAnsi="Times New Roman" w:cs="Times New Roman" w:eastAsia="Times New Roman" w:hint="default"/>
                <w:sz w:val="18"/>
                <w:szCs w:val="18"/>
              </w:rPr>
              <w:t>“</w:t>
            </w:r>
            <w:r>
              <w:rPr>
                <w:rFonts w:ascii="宋体" w:hAnsi="宋体" w:cs="宋体" w:eastAsia="宋体" w:hint="default"/>
                <w:sz w:val="18"/>
                <w:szCs w:val="18"/>
              </w:rPr>
              <w:t>其他 重要事 项</w:t>
            </w:r>
            <w:r>
              <w:rPr>
                <w:rFonts w:ascii="Times New Roman" w:hAnsi="Times New Roman" w:cs="Times New Roman" w:eastAsia="Times New Roman" w:hint="default"/>
                <w:sz w:val="18"/>
                <w:szCs w:val="18"/>
              </w:rPr>
              <w:t>”</w:t>
            </w:r>
            <w:r>
              <w:rPr>
                <w:rFonts w:ascii="宋体" w:hAnsi="宋体" w:cs="宋体" w:eastAsia="宋体" w:hint="default"/>
                <w:sz w:val="18"/>
                <w:szCs w:val="18"/>
              </w:rPr>
              <w:t>中 </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一、重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要合 同</w:t>
            </w:r>
            <w:r>
              <w:rPr>
                <w:rFonts w:ascii="Times New Roman" w:hAnsi="Times New Roman" w:cs="Times New Roman" w:eastAsia="Times New Roman" w:hint="default"/>
                <w:sz w:val="18"/>
                <w:szCs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134" w:right="0"/>
        <w:jc w:val="left"/>
        <w:rPr>
          <w:b w:val="0"/>
          <w:bCs w:val="0"/>
        </w:rPr>
      </w:pPr>
      <w:bookmarkStart w:name="十七、社会责任情况" w:id="95"/>
      <w:bookmarkEnd w:id="95"/>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6"/>
      <w:bookmarkEnd w:id="96"/>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134" w:right="1131" w:firstLine="360"/>
        <w:jc w:val="both"/>
      </w:pPr>
      <w:r>
        <w:rPr/>
        <w:t>（</w:t>
      </w:r>
      <w:r>
        <w:rPr>
          <w:rFonts w:ascii="Times New Roman" w:hAnsi="Times New Roman" w:cs="Times New Roman" w:eastAsia="Times New Roman" w:hint="default"/>
        </w:rPr>
        <w:t>1</w:t>
      </w:r>
      <w:r>
        <w:rPr/>
        <w:t>）公司严格按照《公司法》、《深圳证券交易所创业板股票上市规则》、《上市公司信息披露管理办法》等相关法 </w:t>
      </w:r>
      <w:r>
        <w:rPr>
          <w:spacing w:val="-2"/>
        </w:rPr>
        <w:t>律法规的要求，及时、准确、真实、完整地进行信息披露，通过投资者电话、电子邮箱、公司网站和投资者关系互动平台等</w:t>
      </w:r>
      <w:r>
        <w:rPr>
          <w:spacing w:val="-71"/>
        </w:rPr>
        <w:t> </w:t>
      </w:r>
      <w:r>
        <w:rPr>
          <w:spacing w:val="-71"/>
        </w:rPr>
      </w:r>
      <w:r>
        <w:rPr/>
        <w:t>多种方式与投资者进行沟通交流，提高了公司的透明度和诚信度。</w:t>
      </w:r>
    </w:p>
    <w:p>
      <w:pPr>
        <w:pStyle w:val="BodyText"/>
        <w:spacing w:line="240" w:lineRule="auto" w:before="62"/>
        <w:ind w:left="1494" w:right="0"/>
        <w:jc w:val="left"/>
      </w:pPr>
      <w:r>
        <w:rPr/>
        <w:t>（</w:t>
      </w:r>
      <w:r>
        <w:rPr>
          <w:rFonts w:ascii="Times New Roman" w:hAnsi="Times New Roman" w:cs="Times New Roman" w:eastAsia="Times New Roman" w:hint="default"/>
        </w:rPr>
        <w:t>2</w:t>
      </w:r>
      <w:r>
        <w:rPr/>
        <w:t>）公司严格遵守《劳动法》、《劳动合同法》等相关法律法规保护职工的合法权益，建立和完善合理的薪酬体系和</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2"/>
        </w:rPr>
        <w:t>绩效管理体系。为丰富员工的文化生活，公司组织开展了各种形式的运动和丰富多彩的活动。不断完善具有吸引力和竞争力</w:t>
      </w:r>
      <w:r>
        <w:rPr>
          <w:spacing w:val="-66"/>
        </w:rPr>
        <w:t> </w:t>
      </w:r>
      <w:r>
        <w:rPr>
          <w:spacing w:val="-66"/>
        </w:rPr>
      </w:r>
      <w:r>
        <w:rPr/>
        <w:t>薪酬福利体系。改善员工工作环境。努力为员工提供更好的工作环境和更多的人文关怀。</w:t>
      </w:r>
    </w:p>
    <w:p>
      <w:pPr>
        <w:pStyle w:val="BodyText"/>
        <w:spacing w:line="302" w:lineRule="auto" w:before="55"/>
        <w:ind w:left="1134" w:right="1131" w:firstLine="360"/>
        <w:jc w:val="both"/>
      </w:pPr>
      <w:r>
        <w:rPr/>
        <w:t>（</w:t>
      </w:r>
      <w:r>
        <w:rPr>
          <w:rFonts w:ascii="Times New Roman" w:hAnsi="Times New Roman" w:cs="Times New Roman" w:eastAsia="Times New Roman" w:hint="default"/>
        </w:rPr>
        <w:t>3</w:t>
      </w:r>
      <w:r>
        <w:rPr/>
        <w:t>）公司对供应商、客户和消费者诚实守信，不依靠虚假宣传和广告牟利，不侵犯供应商、客户的著作权、商标权、 专利权等知识产权。</w:t>
      </w:r>
    </w:p>
    <w:p>
      <w:pPr>
        <w:pStyle w:val="BodyText"/>
        <w:spacing w:line="314" w:lineRule="auto" w:before="69"/>
        <w:ind w:left="1134" w:right="1131" w:firstLine="360"/>
        <w:jc w:val="both"/>
      </w:pPr>
      <w:r>
        <w:rPr/>
        <w:t>（</w:t>
      </w:r>
      <w:r>
        <w:rPr>
          <w:rFonts w:ascii="Times New Roman" w:hAnsi="Times New Roman" w:cs="Times New Roman" w:eastAsia="Times New Roman" w:hint="default"/>
        </w:rPr>
        <w:t>4</w:t>
      </w:r>
      <w:r>
        <w:rPr/>
        <w:t>）公司的主营业务为创业服务，创业创新企业迫切希望学习创业成长的理论知识和实战经验，并接触成功企业家思 </w:t>
      </w:r>
      <w:r>
        <w:rPr>
          <w:spacing w:val="-2"/>
        </w:rPr>
        <w:t>想和资源，而成功企业家也很乐于向青年一代创业者分享经验、教训。公司通过邀请知名企业家、知名投资人、行业专家等</w:t>
      </w:r>
      <w:r>
        <w:rPr>
          <w:spacing w:val="-66"/>
        </w:rPr>
        <w:t> </w:t>
      </w:r>
      <w:r>
        <w:rPr>
          <w:spacing w:val="-66"/>
        </w:rPr>
      </w:r>
      <w:r>
        <w:rPr>
          <w:spacing w:val="-2"/>
        </w:rPr>
        <w:t>担任导师，选拔具有创新精神的高成长企业创始人作为学员，通过多样化的辅导方式，助力创业企业加速成长。同时，公司</w:t>
      </w:r>
      <w:r>
        <w:rPr>
          <w:spacing w:val="-67"/>
        </w:rPr>
        <w:t> </w:t>
      </w:r>
      <w:r>
        <w:rPr>
          <w:spacing w:val="-67"/>
        </w:rPr>
      </w:r>
      <w:r>
        <w:rPr>
          <w:spacing w:val="-2"/>
        </w:rPr>
        <w:t>通过线上平台和线下活动，帮助政府及高新园区类客户展示地方形象，吸引创业企业入驻，促进招商引资。帮助企业品牌展</w:t>
      </w:r>
      <w:r>
        <w:rPr>
          <w:spacing w:val="-66"/>
        </w:rPr>
        <w:t> </w:t>
      </w:r>
      <w:r>
        <w:rPr>
          <w:spacing w:val="-66"/>
        </w:rPr>
      </w:r>
      <w:r>
        <w:rPr/>
        <w:t>示、宣传推广及学习交流。</w:t>
      </w:r>
    </w:p>
    <w:p>
      <w:pPr>
        <w:spacing w:line="240" w:lineRule="auto" w:before="6"/>
        <w:rPr>
          <w:rFonts w:ascii="宋体" w:hAnsi="宋体" w:cs="宋体" w:eastAsia="宋体" w:hint="default"/>
          <w:sz w:val="22"/>
          <w:szCs w:val="22"/>
        </w:rPr>
      </w:pPr>
    </w:p>
    <w:p>
      <w:pPr>
        <w:pStyle w:val="Heading3"/>
        <w:spacing w:line="240" w:lineRule="auto"/>
        <w:ind w:left="1134" w:right="0"/>
        <w:jc w:val="left"/>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公司报告年度暂未开展精准扶贫工作，也暂无后续精准扶贫计划。</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环境保护相关的情况" w:id="98"/>
      <w:bookmarkEnd w:id="9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5712"/>
        <w:jc w:val="left"/>
      </w:pPr>
      <w:r>
        <w:rPr/>
        <w:t>上市公司及其子公司是否属于环境保护部门公布的重点排污单位 否</w:t>
      </w:r>
    </w:p>
    <w:p>
      <w:pPr>
        <w:pStyle w:val="BodyText"/>
        <w:spacing w:line="240" w:lineRule="auto" w:before="26"/>
        <w:ind w:left="1134"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0"/>
        <w:jc w:val="left"/>
        <w:rPr>
          <w:b w:val="0"/>
          <w:bCs w:val="0"/>
        </w:rPr>
      </w:pPr>
      <w:bookmarkStart w:name="_TOC_250006" w:id="101"/>
      <w:bookmarkStart w:name="第六节 股份变动及股东情况" w:id="102"/>
      <w:r>
        <w:rPr>
          <w:b w:val="0"/>
          <w:bCs w:val="0"/>
        </w:rPr>
      </w:r>
      <w:r>
        <w:rPr/>
        <w:t>第六节</w:t>
      </w:r>
      <w:r>
        <w:rPr>
          <w:spacing w:val="-10"/>
        </w:rPr>
        <w:t> </w:t>
      </w:r>
      <w:r>
        <w:rPr/>
        <w:t>股份变动及股东情况</w:t>
      </w:r>
      <w:bookmarkEnd w:id="10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3"/>
      <w:bookmarkEnd w:id="103"/>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27,353,34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53.63%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27,353,34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40.23%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23,646,66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46.37%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23,646,66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34.77%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股份变动的原因</w:t>
      </w:r>
    </w:p>
    <w:p>
      <w:pPr>
        <w:pStyle w:val="BodyText"/>
        <w:spacing w:line="338" w:lineRule="auto" w:before="117"/>
        <w:ind w:left="1493" w:right="139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经中国证券监督管理委员会《关于核准创业黑马（北京）科技股份有限公司首次公开发行股票的批复》（证监许可</w:t>
      </w:r>
    </w:p>
    <w:p>
      <w:pPr>
        <w:pStyle w:val="BodyText"/>
        <w:spacing w:line="300" w:lineRule="auto" w:before="2"/>
        <w:ind w:left="1134" w:right="1127"/>
        <w:jc w:val="left"/>
      </w:pPr>
      <w:r>
        <w:rPr>
          <w:rFonts w:ascii="Times New Roman" w:hAnsi="Times New Roman" w:cs="Times New Roman" w:eastAsia="Times New Roman" w:hint="default"/>
          <w:spacing w:val="-2"/>
        </w:rPr>
        <w:t>[2017]1312</w:t>
      </w:r>
      <w:r>
        <w:rPr>
          <w:spacing w:val="-2"/>
        </w:rPr>
        <w:t>号文）核准，并经深圳证券交易所同意，公司向社会公开发行人民币普通股（</w:t>
      </w:r>
      <w:r>
        <w:rPr>
          <w:rFonts w:ascii="Times New Roman" w:hAnsi="Times New Roman" w:cs="Times New Roman" w:eastAsia="Times New Roman" w:hint="default"/>
          <w:spacing w:val="-2"/>
        </w:rPr>
        <w:t>A</w:t>
      </w:r>
      <w:r>
        <w:rPr>
          <w:rFonts w:ascii="Times New Roman" w:hAnsi="Times New Roman" w:cs="Times New Roman" w:eastAsia="Times New Roman" w:hint="default"/>
        </w:rPr>
        <w:t> </w:t>
      </w:r>
      <w:r>
        <w:rPr>
          <w:spacing w:val="-2"/>
        </w:rPr>
        <w:t>股）</w:t>
      </w:r>
      <w:r>
        <w:rPr>
          <w:rFonts w:ascii="Times New Roman" w:hAnsi="Times New Roman" w:cs="Times New Roman" w:eastAsia="Times New Roman" w:hint="default"/>
          <w:spacing w:val="-2"/>
        </w:rPr>
        <w:t>1,700</w:t>
      </w:r>
      <w:r>
        <w:rPr>
          <w:spacing w:val="-2"/>
        </w:rPr>
        <w:t>万股，公司首次公开发</w:t>
      </w:r>
      <w:r>
        <w:rPr>
          <w:spacing w:val="-81"/>
        </w:rPr>
        <w:t> </w:t>
      </w:r>
      <w:r>
        <w:rPr>
          <w:spacing w:val="-81"/>
        </w:rPr>
      </w:r>
      <w:r>
        <w:rPr/>
        <w:t>行的</w:t>
      </w:r>
      <w:r>
        <w:rPr>
          <w:rFonts w:ascii="Times New Roman" w:hAnsi="Times New Roman" w:cs="Times New Roman" w:eastAsia="Times New Roman" w:hint="default"/>
        </w:rPr>
        <w:t>1,700</w:t>
      </w:r>
      <w:r>
        <w:rPr/>
        <w:t>万股人民币普通股（</w:t>
      </w:r>
      <w:r>
        <w:rPr>
          <w:rFonts w:ascii="Times New Roman" w:hAnsi="Times New Roman" w:cs="Times New Roman" w:eastAsia="Times New Roman" w:hint="default"/>
        </w:rPr>
        <w:t>A</w:t>
      </w:r>
      <w:r>
        <w:rPr/>
        <w:t>股）股票于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日在深圳证券交易所创业板上市交易。首次公开发行后，公司总股</w:t>
      </w:r>
    </w:p>
    <w:p>
      <w:pPr>
        <w:spacing w:after="0" w:line="30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right="4453"/>
        <w:jc w:val="left"/>
      </w:pPr>
      <w:r>
        <w:rPr/>
        <w:t>本由</w:t>
      </w:r>
      <w:r>
        <w:rPr>
          <w:rFonts w:ascii="Times New Roman" w:hAnsi="Times New Roman" w:cs="Times New Roman" w:eastAsia="Times New Roman" w:hint="default"/>
        </w:rPr>
        <w:t>5,100</w:t>
      </w:r>
      <w:r>
        <w:rPr/>
        <w:t>万股增加至</w:t>
      </w:r>
      <w:r>
        <w:rPr>
          <w:rFonts w:ascii="Times New Roman" w:hAnsi="Times New Roman" w:cs="Times New Roman" w:eastAsia="Times New Roman" w:hint="default"/>
        </w:rPr>
        <w:t>6,800</w:t>
      </w:r>
      <w:r>
        <w:rPr/>
        <w:t>万股，注册资本由人民币</w:t>
      </w:r>
      <w:r>
        <w:rPr>
          <w:rFonts w:ascii="Times New Roman" w:hAnsi="Times New Roman" w:cs="Times New Roman" w:eastAsia="Times New Roman" w:hint="default"/>
        </w:rPr>
        <w:t>5,100</w:t>
      </w:r>
      <w:r>
        <w:rPr/>
        <w:t>万元增加至</w:t>
      </w:r>
      <w:r>
        <w:rPr>
          <w:rFonts w:ascii="Times New Roman" w:hAnsi="Times New Roman" w:cs="Times New Roman" w:eastAsia="Times New Roman" w:hint="default"/>
        </w:rPr>
        <w:t>6,800</w:t>
      </w:r>
      <w:r>
        <w:rPr/>
        <w:t>万元。 股份变动的批准情况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1493"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日，经中国证券监督管理委员会证监许可</w:t>
      </w:r>
      <w:r>
        <w:rPr>
          <w:rFonts w:ascii="Times New Roman" w:hAnsi="Times New Roman" w:cs="Times New Roman" w:eastAsia="Times New Roman" w:hint="default"/>
        </w:rPr>
        <w:t>[2017]1312</w:t>
      </w:r>
      <w:r>
        <w:rPr/>
        <w:t>号文批准，核准本公司公开发行新股不超过</w:t>
      </w:r>
      <w:r>
        <w:rPr>
          <w:rFonts w:ascii="Times New Roman" w:hAnsi="Times New Roman" w:cs="Times New Roman" w:eastAsia="Times New Roman" w:hint="default"/>
        </w:rPr>
        <w:t>1,700</w:t>
      </w:r>
      <w:r>
        <w:rPr/>
        <w:t>股；</w:t>
      </w:r>
    </w:p>
    <w:p>
      <w:pPr>
        <w:pStyle w:val="BodyText"/>
        <w:spacing w:line="300" w:lineRule="auto" w:before="63"/>
        <w:ind w:right="1129"/>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日，经深圳证券交易所《关于创业黑马（北京）科技股份有限公司人民币普通股股票在创业板上市的通知》（深</w:t>
      </w:r>
      <w:r>
        <w:rPr>
          <w:spacing w:val="-59"/>
        </w:rPr>
        <w:t> </w:t>
      </w:r>
      <w:r>
        <w:rPr>
          <w:spacing w:val="-59"/>
        </w:rPr>
      </w:r>
      <w:r>
        <w:rPr/>
        <w:t>证上</w:t>
      </w:r>
      <w:r>
        <w:rPr>
          <w:rFonts w:ascii="Times New Roman" w:hAnsi="Times New Roman" w:cs="Times New Roman" w:eastAsia="Times New Roman" w:hint="default"/>
        </w:rPr>
        <w:t>[2017]496</w:t>
      </w:r>
      <w:r>
        <w:rPr/>
        <w:t>号）同意，公司发行的</w:t>
      </w:r>
      <w:r>
        <w:rPr>
          <w:rFonts w:ascii="Times New Roman" w:hAnsi="Times New Roman" w:cs="Times New Roman" w:eastAsia="Times New Roman" w:hint="default"/>
        </w:rPr>
        <w:t>1,700</w:t>
      </w:r>
      <w:r>
        <w:rPr/>
        <w:t>万股人民币普通股股票在深圳证券交易所创业板上市，股票简称</w:t>
      </w:r>
      <w:r>
        <w:rPr>
          <w:rFonts w:ascii="Times New Roman" w:hAnsi="Times New Roman" w:cs="Times New Roman" w:eastAsia="Times New Roman" w:hint="default"/>
        </w:rPr>
        <w:t>“</w:t>
      </w:r>
      <w:r>
        <w:rPr/>
        <w:t>创业黑马</w:t>
      </w:r>
      <w:r>
        <w:rPr>
          <w:rFonts w:ascii="Times New Roman" w:hAnsi="Times New Roman" w:cs="Times New Roman" w:eastAsia="Times New Roman" w:hint="default"/>
        </w:rPr>
        <w:t>”</w:t>
      </w:r>
      <w:r>
        <w:rPr/>
        <w:t>，股 票代码</w:t>
      </w:r>
      <w:r>
        <w:rPr>
          <w:rFonts w:ascii="Times New Roman" w:hAnsi="Times New Roman" w:cs="Times New Roman" w:eastAsia="Times New Roman" w:hint="default"/>
        </w:rPr>
        <w:t>“300688”</w:t>
      </w:r>
      <w:r>
        <w:rPr/>
        <w:t>；本次公开发行的</w:t>
      </w:r>
      <w:r>
        <w:rPr>
          <w:rFonts w:ascii="Times New Roman" w:hAnsi="Times New Roman" w:cs="Times New Roman" w:eastAsia="Times New Roman" w:hint="default"/>
        </w:rPr>
        <w:t>1,700</w:t>
      </w:r>
      <w:r>
        <w:rPr/>
        <w:t>万股股票已于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日起上市交易。</w:t>
      </w:r>
    </w:p>
    <w:p>
      <w:pPr>
        <w:pStyle w:val="BodyText"/>
        <w:spacing w:line="240" w:lineRule="auto" w:before="53"/>
        <w:ind w:right="0"/>
        <w:jc w:val="left"/>
      </w:pPr>
      <w:r>
        <w:rPr/>
        <w:t>股份变动的过户情况</w:t>
      </w:r>
    </w:p>
    <w:p>
      <w:pPr>
        <w:pStyle w:val="BodyText"/>
        <w:spacing w:line="338" w:lineRule="auto" w:before="117"/>
        <w:ind w:left="1493" w:right="116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报告期内，公司首次公开发行的</w:t>
      </w:r>
      <w:r>
        <w:rPr>
          <w:rFonts w:ascii="Times New Roman" w:hAnsi="Times New Roman" w:cs="Times New Roman" w:eastAsia="Times New Roman" w:hint="default"/>
        </w:rPr>
        <w:t>1,700</w:t>
      </w:r>
      <w:r>
        <w:rPr/>
        <w:t>万股新股股票已全部在中国证券登记结算有限责任公司深圳分公司办理了证券登</w:t>
      </w:r>
    </w:p>
    <w:p>
      <w:pPr>
        <w:pStyle w:val="BodyText"/>
        <w:spacing w:line="218" w:lineRule="exact"/>
        <w:ind w:right="0"/>
        <w:jc w:val="left"/>
      </w:pPr>
      <w:r>
        <w:rPr/>
        <w:t>记手续。</w:t>
      </w:r>
    </w:p>
    <w:p>
      <w:pPr>
        <w:pStyle w:val="BodyText"/>
        <w:spacing w:line="240" w:lineRule="auto" w:before="116"/>
        <w:ind w:right="0"/>
        <w:jc w:val="left"/>
      </w:pPr>
      <w:r>
        <w:rPr/>
        <w:t>股份变动对最近一年和最近一期基本每股收益和稀释每股收益、归属于公司普通股股东的每股净资产等财务指标的影响</w:t>
      </w:r>
    </w:p>
    <w:p>
      <w:pPr>
        <w:pStyle w:val="BodyText"/>
        <w:spacing w:line="338" w:lineRule="auto" w:before="117"/>
        <w:ind w:left="1493" w:right="1116"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月公开发行新股，总股本由</w:t>
      </w:r>
      <w:r>
        <w:rPr>
          <w:rFonts w:ascii="Times New Roman" w:hAnsi="Times New Roman" w:cs="Times New Roman" w:eastAsia="Times New Roman" w:hint="default"/>
          <w:spacing w:val="-2"/>
        </w:rPr>
        <w:t>5,100</w:t>
      </w:r>
      <w:r>
        <w:rPr>
          <w:spacing w:val="-2"/>
        </w:rPr>
        <w:t>万股增加至</w:t>
      </w:r>
      <w:r>
        <w:rPr>
          <w:rFonts w:ascii="Times New Roman" w:hAnsi="Times New Roman" w:cs="Times New Roman" w:eastAsia="Times New Roman" w:hint="default"/>
          <w:spacing w:val="-2"/>
        </w:rPr>
        <w:t>6,800</w:t>
      </w:r>
      <w:r>
        <w:rPr>
          <w:spacing w:val="-2"/>
        </w:rPr>
        <w:t>万股。本次股份变动，对公司最近一年和最</w:t>
      </w:r>
    </w:p>
    <w:p>
      <w:pPr>
        <w:pStyle w:val="BodyText"/>
        <w:spacing w:line="230" w:lineRule="exact"/>
        <w:ind w:right="0"/>
        <w:jc w:val="left"/>
      </w:pPr>
      <w:r>
        <w:rPr/>
        <w:t>近一期基本每股收益和稀释每股收益、归属于公司普通股股东的每股净资产等财务指标的影响如下：</w:t>
      </w:r>
      <w:r>
        <w:rPr>
          <w:rFonts w:ascii="Times New Roman" w:hAnsi="Times New Roman" w:cs="Times New Roman" w:eastAsia="Times New Roman" w:hint="default"/>
        </w:rPr>
        <w:t>2017</w:t>
      </w:r>
      <w:r>
        <w:rPr/>
        <w:t>年度公司基本每股</w:t>
      </w:r>
    </w:p>
    <w:p>
      <w:pPr>
        <w:pStyle w:val="BodyText"/>
        <w:spacing w:line="319" w:lineRule="auto" w:before="63"/>
        <w:ind w:right="1198"/>
        <w:jc w:val="left"/>
      </w:pPr>
      <w:r>
        <w:rPr/>
        <w:t>收益为</w:t>
      </w:r>
      <w:r>
        <w:rPr>
          <w:rFonts w:ascii="Times New Roman" w:hAnsi="Times New Roman" w:cs="Times New Roman" w:eastAsia="Times New Roman" w:hint="default"/>
        </w:rPr>
        <w:t>0.83</w:t>
      </w:r>
      <w:r>
        <w:rPr/>
        <w:t>元</w:t>
      </w:r>
      <w:r>
        <w:rPr>
          <w:rFonts w:ascii="Times New Roman" w:hAnsi="Times New Roman" w:cs="Times New Roman" w:eastAsia="Times New Roman" w:hint="default"/>
        </w:rPr>
        <w:t>/</w:t>
      </w:r>
      <w:r>
        <w:rPr/>
        <w:t>股，稀释每股收益为</w:t>
      </w:r>
      <w:r>
        <w:rPr>
          <w:rFonts w:ascii="Times New Roman" w:hAnsi="Times New Roman" w:cs="Times New Roman" w:eastAsia="Times New Roman" w:hint="default"/>
        </w:rPr>
        <w:t>0.83</w:t>
      </w:r>
      <w:r>
        <w:rPr/>
        <w:t>元</w:t>
      </w:r>
      <w:r>
        <w:rPr>
          <w:rFonts w:ascii="Times New Roman" w:hAnsi="Times New Roman" w:cs="Times New Roman" w:eastAsia="Times New Roman" w:hint="default"/>
        </w:rPr>
        <w:t>/</w:t>
      </w:r>
      <w:r>
        <w:rPr/>
        <w:t>股；归属于上市公司股东的每股净资产为</w:t>
      </w:r>
      <w:r>
        <w:rPr>
          <w:rFonts w:ascii="Times New Roman" w:hAnsi="Times New Roman" w:cs="Times New Roman" w:eastAsia="Times New Roman" w:hint="default"/>
        </w:rPr>
        <w:t>5.53</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2016</w:t>
      </w:r>
      <w:r>
        <w:rPr/>
        <w:t>年度公司基本每股收益 为</w:t>
      </w:r>
      <w:r>
        <w:rPr>
          <w:rFonts w:ascii="Times New Roman" w:hAnsi="Times New Roman" w:cs="Times New Roman" w:eastAsia="Times New Roman" w:hint="default"/>
        </w:rPr>
        <w:t>0.79</w:t>
      </w:r>
      <w:r>
        <w:rPr/>
        <w:t>元</w:t>
      </w:r>
      <w:r>
        <w:rPr>
          <w:rFonts w:ascii="Times New Roman" w:hAnsi="Times New Roman" w:cs="Times New Roman" w:eastAsia="Times New Roman" w:hint="default"/>
        </w:rPr>
        <w:t>/</w:t>
      </w:r>
      <w:r>
        <w:rPr/>
        <w:t>股，稀释每股收益为</w:t>
      </w:r>
      <w:r>
        <w:rPr>
          <w:rFonts w:ascii="Times New Roman" w:hAnsi="Times New Roman" w:cs="Times New Roman" w:eastAsia="Times New Roman" w:hint="default"/>
        </w:rPr>
        <w:t>0.79</w:t>
      </w:r>
      <w:r>
        <w:rPr/>
        <w:t>元</w:t>
      </w:r>
      <w:r>
        <w:rPr>
          <w:rFonts w:ascii="Times New Roman" w:hAnsi="Times New Roman" w:cs="Times New Roman" w:eastAsia="Times New Roman" w:hint="default"/>
        </w:rPr>
        <w:t>/</w:t>
      </w:r>
      <w:r>
        <w:rPr/>
        <w:t>股；归属于上市公司股东的每股净资产为</w:t>
      </w:r>
      <w:r>
        <w:rPr>
          <w:rFonts w:ascii="Times New Roman" w:hAnsi="Times New Roman" w:cs="Times New Roman" w:eastAsia="Times New Roman" w:hint="default"/>
        </w:rPr>
        <w:t>3.46</w:t>
      </w:r>
      <w:r>
        <w:rPr/>
        <w:t>元</w:t>
      </w:r>
      <w:r>
        <w:rPr>
          <w:rFonts w:ascii="Times New Roman" w:hAnsi="Times New Roman" w:cs="Times New Roman" w:eastAsia="Times New Roman" w:hint="default"/>
        </w:rPr>
        <w:t>/</w:t>
      </w:r>
      <w:r>
        <w:rPr/>
        <w:t>股。 公司认为必要或证券监管机构要求披露的其他内容</w:t>
      </w:r>
    </w:p>
    <w:p>
      <w:pPr>
        <w:pStyle w:val="BodyText"/>
        <w:spacing w:line="240" w:lineRule="auto" w:before="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10.75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17,000,000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17,000,000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3"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9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9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494" w:right="0" w:hanging="360"/>
        <w:jc w:val="left"/>
        <w:rPr>
          <w:rFonts w:ascii="Times New Roman" w:hAnsi="Times New Roman" w:cs="Times New Roman" w:eastAsia="Times New Roman" w:hint="default"/>
        </w:rPr>
      </w:pPr>
      <w:r>
        <w:rPr/>
        <w:t>报告期内证券发行（不含优先股）情况的说明 </w:t>
      </w:r>
      <w:r>
        <w:rPr>
          <w:spacing w:val="-7"/>
        </w:rPr>
        <w:t>经中国证券监督管理委员会《关于核准创业黑马（北京）科技股份有限公司首次公开发行股票的批复》（证监许</w:t>
      </w:r>
      <w:r>
        <w:rPr>
          <w:rFonts w:ascii="Times New Roman" w:hAnsi="Times New Roman" w:cs="Times New Roman" w:eastAsia="Times New Roman" w:hint="default"/>
          <w:spacing w:val="-7"/>
        </w:rPr>
        <w:t>[2017]1312</w:t>
      </w:r>
    </w:p>
    <w:p>
      <w:pPr>
        <w:pStyle w:val="BodyText"/>
        <w:spacing w:line="214" w:lineRule="exact"/>
        <w:ind w:right="0"/>
        <w:jc w:val="left"/>
      </w:pPr>
      <w:r>
        <w:rPr/>
        <w:t>号文）核准，并经深圳证券交易所同意，公司向社会公开发行人民币普通股（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7"/>
        </w:rPr>
        <w:t> </w:t>
      </w:r>
      <w:r>
        <w:rPr/>
        <w:t>股）</w:t>
      </w:r>
      <w:r>
        <w:rPr>
          <w:rFonts w:ascii="Times New Roman" w:hAnsi="Times New Roman" w:cs="Times New Roman" w:eastAsia="Times New Roman" w:hint="default"/>
        </w:rPr>
        <w:t>1,700</w:t>
      </w:r>
      <w:r>
        <w:rPr/>
        <w:t>万股，公司首次公开发行</w:t>
      </w:r>
      <w:r>
        <w:rPr>
          <w:rFonts w:ascii="Times New Roman" w:hAnsi="Times New Roman" w:cs="Times New Roman" w:eastAsia="Times New Roman" w:hint="default"/>
        </w:rPr>
        <w:t>1,700</w:t>
      </w:r>
      <w:r>
        <w:rPr/>
        <w:t>万</w:t>
      </w:r>
    </w:p>
    <w:p>
      <w:pPr>
        <w:spacing w:after="0" w:line="214" w:lineRule="exact"/>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2" w:lineRule="auto" w:before="44"/>
        <w:ind w:right="1128"/>
        <w:jc w:val="left"/>
      </w:pPr>
      <w:r>
        <w:rPr/>
        <w:t>股人民币普通股（</w:t>
      </w:r>
      <w:r>
        <w:rPr>
          <w:rFonts w:ascii="Times New Roman" w:hAnsi="Times New Roman" w:cs="Times New Roman" w:eastAsia="Times New Roman" w:hint="default"/>
        </w:rPr>
        <w:t>A</w:t>
      </w:r>
      <w:r>
        <w:rPr/>
        <w:t>股）股票于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日在深圳证券交易所创业板上市交易。首次公开发行后，公司总股本由</w:t>
      </w:r>
      <w:r>
        <w:rPr>
          <w:rFonts w:ascii="Times New Roman" w:hAnsi="Times New Roman" w:cs="Times New Roman" w:eastAsia="Times New Roman" w:hint="default"/>
        </w:rPr>
        <w:t>5,100</w:t>
      </w:r>
      <w:r>
        <w:rPr/>
        <w:t>万 股增加至</w:t>
      </w:r>
      <w:r>
        <w:rPr>
          <w:rFonts w:ascii="Times New Roman" w:hAnsi="Times New Roman" w:cs="Times New Roman" w:eastAsia="Times New Roman" w:hint="default"/>
        </w:rPr>
        <w:t>6,800</w:t>
      </w:r>
      <w:r>
        <w:rPr/>
        <w:t>万股。</w:t>
      </w:r>
    </w:p>
    <w:p>
      <w:pPr>
        <w:spacing w:line="240" w:lineRule="auto" w:before="10"/>
        <w:rPr>
          <w:rFonts w:ascii="宋体" w:hAnsi="宋体" w:cs="宋体" w:eastAsia="宋体" w:hint="default"/>
          <w:sz w:val="21"/>
          <w:szCs w:val="21"/>
        </w:rPr>
      </w:pPr>
    </w:p>
    <w:p>
      <w:pPr>
        <w:pStyle w:val="Heading3"/>
        <w:spacing w:line="240" w:lineRule="auto"/>
        <w:ind w:left="1134" w:right="0"/>
        <w:jc w:val="both"/>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493" w:right="1116"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7"/>
        </w:rPr>
        <w:t>经中国证券监督管理委员会《关于核准创业黑马（北京）科技股份有限公司首次公开发行股票的批复》（证监许</w:t>
      </w:r>
      <w:r>
        <w:rPr>
          <w:rFonts w:ascii="Times New Roman" w:hAnsi="Times New Roman" w:cs="Times New Roman" w:eastAsia="Times New Roman" w:hint="default"/>
          <w:spacing w:val="-7"/>
        </w:rPr>
        <w:t>[2017]1312</w:t>
      </w:r>
    </w:p>
    <w:p>
      <w:pPr>
        <w:pStyle w:val="BodyText"/>
        <w:spacing w:line="230" w:lineRule="exact"/>
        <w:ind w:right="0"/>
        <w:jc w:val="both"/>
      </w:pPr>
      <w:r>
        <w:rPr/>
        <w:t>号文）核准，公司公开发行人民币普通股股票（</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1,700</w:t>
      </w:r>
      <w:r>
        <w:rPr/>
        <w:t>万股，本次公开发行的</w:t>
      </w:r>
      <w:r>
        <w:rPr>
          <w:rFonts w:ascii="Times New Roman" w:hAnsi="Times New Roman" w:cs="Times New Roman" w:eastAsia="Times New Roman" w:hint="default"/>
        </w:rPr>
        <w:t>1,700</w:t>
      </w:r>
      <w:r>
        <w:rPr/>
        <w:t>万股均为无限售条件的流通股股票。</w:t>
      </w:r>
    </w:p>
    <w:p>
      <w:pPr>
        <w:pStyle w:val="BodyText"/>
        <w:spacing w:line="300" w:lineRule="auto" w:before="63"/>
        <w:ind w:right="1130"/>
        <w:jc w:val="both"/>
      </w:pPr>
      <w:r>
        <w:rPr/>
        <w:t>本次发行后，公司总股本增至</w:t>
      </w:r>
      <w:r>
        <w:rPr>
          <w:rFonts w:ascii="Times New Roman" w:hAnsi="Times New Roman" w:cs="Times New Roman" w:eastAsia="Times New Roman" w:hint="default"/>
        </w:rPr>
        <w:t>6,800</w:t>
      </w:r>
      <w:r>
        <w:rPr/>
        <w:t>万股，公司控股股东、实际控制人仍为牛文文先生。本次发行募集资金净额为</w:t>
      </w:r>
      <w:r>
        <w:rPr>
          <w:rFonts w:ascii="Times New Roman" w:hAnsi="Times New Roman" w:cs="Times New Roman" w:eastAsia="Times New Roman" w:hint="default"/>
        </w:rPr>
        <w:t>15,173.16 </w:t>
      </w:r>
      <w:r>
        <w:rPr>
          <w:spacing w:val="-1"/>
        </w:rPr>
        <w:t>万元。报告期末，公司总资产达</w:t>
      </w:r>
      <w:r>
        <w:rPr>
          <w:rFonts w:ascii="Times New Roman" w:hAnsi="Times New Roman" w:cs="Times New Roman" w:eastAsia="Times New Roman" w:hint="default"/>
          <w:spacing w:val="-1"/>
        </w:rPr>
        <w:t>460,102,533.47</w:t>
      </w:r>
      <w:r>
        <w:rPr>
          <w:spacing w:val="-1"/>
        </w:rPr>
        <w:t>元，比上年增长</w:t>
      </w:r>
      <w:r>
        <w:rPr>
          <w:rFonts w:ascii="Times New Roman" w:hAnsi="Times New Roman" w:cs="Times New Roman" w:eastAsia="Times New Roman" w:hint="default"/>
          <w:spacing w:val="-1"/>
        </w:rPr>
        <w:t>76.20%</w:t>
      </w:r>
      <w:r>
        <w:rPr>
          <w:spacing w:val="-1"/>
        </w:rPr>
        <w:t>；归属于上市公司股东的所有者权益达</w:t>
      </w:r>
      <w:r>
        <w:rPr>
          <w:rFonts w:ascii="Times New Roman" w:hAnsi="Times New Roman" w:cs="Times New Roman" w:eastAsia="Times New Roman" w:hint="default"/>
          <w:spacing w:val="-1"/>
        </w:rPr>
        <w:t>376,302,848.10</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spacing w:val="-1"/>
        </w:rPr>
        <w:t>元，比上年增长</w:t>
      </w:r>
      <w:r>
        <w:rPr>
          <w:rFonts w:ascii="Times New Roman" w:hAnsi="Times New Roman" w:cs="Times New Roman" w:eastAsia="Times New Roman" w:hint="default"/>
          <w:spacing w:val="-1"/>
        </w:rPr>
        <w:t>113.53%</w:t>
      </w:r>
      <w:r>
        <w:rPr>
          <w:spacing w:val="-1"/>
        </w:rPr>
        <w:t>；母公司资产负债率为</w:t>
      </w:r>
      <w:r>
        <w:rPr>
          <w:rFonts w:ascii="Times New Roman" w:hAnsi="Times New Roman" w:cs="Times New Roman" w:eastAsia="Times New Roman" w:hint="default"/>
          <w:spacing w:val="-1"/>
        </w:rPr>
        <w:t>23.60%</w:t>
      </w:r>
      <w:r>
        <w:rPr>
          <w:spacing w:val="-1"/>
        </w:rPr>
        <w:t>，比上年下降</w:t>
      </w:r>
      <w:r>
        <w:rPr>
          <w:rFonts w:ascii="Times New Roman" w:hAnsi="Times New Roman" w:cs="Times New Roman" w:eastAsia="Times New Roman" w:hint="default"/>
          <w:spacing w:val="-1"/>
        </w:rPr>
        <w:t>24.49%</w:t>
      </w:r>
      <w:r>
        <w:rPr>
          <w:spacing w:val="-1"/>
        </w:rPr>
        <w:t>。本次发行完成后，公司总资产和净资产相应增</w:t>
      </w:r>
      <w:r>
        <w:rPr>
          <w:spacing w:val="-72"/>
        </w:rPr>
        <w:t> </w:t>
      </w:r>
      <w:r>
        <w:rPr>
          <w:spacing w:val="-72"/>
        </w:rPr>
      </w:r>
      <w:r>
        <w:rPr/>
        <w:t>加，资产负债率有所下降，公司的资本结构、财务状况得到改善，财务风险降低，公司抗风险能力得到提高。</w:t>
      </w:r>
    </w:p>
    <w:p>
      <w:pPr>
        <w:spacing w:line="240" w:lineRule="auto" w:before="5"/>
        <w:rPr>
          <w:rFonts w:ascii="宋体" w:hAnsi="宋体" w:cs="宋体" w:eastAsia="宋体" w:hint="default"/>
          <w:sz w:val="23"/>
          <w:szCs w:val="23"/>
        </w:rPr>
      </w:pPr>
    </w:p>
    <w:p>
      <w:pPr>
        <w:pStyle w:val="Heading3"/>
        <w:spacing w:line="240" w:lineRule="auto"/>
        <w:ind w:right="0"/>
        <w:jc w:val="both"/>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pict>
          <v:shape style="position:absolute;margin-left:449.277008pt;margin-top:68.311714pt;width:85.6pt;height:31.2pt;mso-position-horizontal-relative:page;mso-position-vertical-relative:paragraph;z-index:-910768"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2.399994pt;margin-top:68.311714pt;width:52.45pt;height:31.2pt;mso-position-horizontal-relative:page;mso-position-vertical-relative:paragraph;z-index:-910744" coordorigin="9648,1366" coordsize="1049,624">
            <v:shape style="position:absolute;left:9648;top:1366;width:1049;height:624" coordorigin="9648,1366" coordsize="1049,624" path="m9648,1990l10697,1990,10697,1366,9648,1366,9648,1990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12,977</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16,666</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31.40%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21,351,66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21,351,66</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2,216,000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4"/>
                <w:sz w:val="18"/>
                <w:szCs w:val="18"/>
              </w:rPr>
              <w:t>蓝创文化传媒（天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津）合伙企业（有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14.92%</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10,144,41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10,144,41</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深圳市达晨创丰 </w:t>
            </w:r>
            <w:r>
              <w:rPr>
                <w:rFonts w:ascii="宋体" w:hAnsi="宋体" w:cs="宋体" w:eastAsia="宋体" w:hint="default"/>
                <w:spacing w:val="-4"/>
                <w:sz w:val="18"/>
                <w:szCs w:val="18"/>
              </w:rPr>
              <w:t>股权投资企业（有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10.23%</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6,957,930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6,957,930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北京创业嘉乐文 化传媒交流中心</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6.14%</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4,174,860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4,174,860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浙江普华天勤股 权投资合伙企业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2,319,480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2,319,480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2,295,000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2,295,000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北京用友创新投 资中心（有限合 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1,391,280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1,391,280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苏州卓燝投资中 心（有限合伙）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1,391,280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1,391,280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1,391,280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深圳市前海中咨 旗咨询有限公司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974,100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974,100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上海西上海资产 经营有限公司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469,200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469,200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9" w:space="0" w:color="D2D2D2"/>
              <w:right w:val="single" w:sz="4" w:space="0" w:color="000000"/>
            </w:tcBorders>
          </w:tcPr>
          <w:p>
            <w:pPr>
              <w:pStyle w:val="TableParagraph"/>
              <w:spacing w:line="319" w:lineRule="auto" w:before="51"/>
              <w:ind w:left="16" w:right="21"/>
              <w:jc w:val="both"/>
              <w:rPr>
                <w:rFonts w:ascii="宋体" w:hAnsi="宋体" w:cs="宋体" w:eastAsia="宋体" w:hint="default"/>
                <w:sz w:val="18"/>
                <w:szCs w:val="18"/>
              </w:rPr>
            </w:pPr>
            <w:r>
              <w:rPr>
                <w:rFonts w:ascii="宋体" w:hAnsi="宋体" w:cs="宋体" w:eastAsia="宋体" w:hint="default"/>
                <w:spacing w:val="-1"/>
                <w:sz w:val="18"/>
                <w:szCs w:val="18"/>
              </w:rPr>
              <w:t>上述股东中，公司控制股东、实际控制人牛文文先生系北京创业嘉乐文化传媒交流中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心（有限合伙）执行事务合伙人，系蓝创文化传媒（天津）合伙企业（有限合伙）的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有限合伙人。除此以外，其他股东之间，公司未知是否存在关联关系或一致行动。</w:t>
            </w:r>
          </w:p>
        </w:tc>
      </w:tr>
      <w:tr>
        <w:trPr>
          <w:trHeight w:val="704"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9" w:space="0" w:color="D2D2D2"/>
              <w:right w:val="single" w:sz="4" w:space="0" w:color="000000"/>
            </w:tcBorders>
          </w:tcPr>
          <w:p>
            <w:pPr/>
          </w:p>
        </w:tc>
      </w:tr>
      <w:tr>
        <w:trPr>
          <w:trHeight w:val="161"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9"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上海西上海资产经营有限公司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469,200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章斌</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361,600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肖文</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354,700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罗冠棠</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郑杰</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211,500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211,500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吴澍</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109,900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郦萍</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107,400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安徽美盈投资管理有限公司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105,300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104,500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陈月仙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78,900</w:t>
            </w:r>
          </w:p>
        </w:tc>
      </w:tr>
      <w:tr>
        <w:trPr>
          <w:trHeight w:val="133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6" w:right="0"/>
              <w:jc w:val="left"/>
              <w:rPr>
                <w:rFonts w:ascii="宋体" w:hAnsi="宋体" w:cs="宋体" w:eastAsia="宋体" w:hint="default"/>
                <w:sz w:val="18"/>
                <w:szCs w:val="18"/>
              </w:rPr>
            </w:pPr>
            <w:r>
              <w:rPr>
                <w:rFonts w:ascii="宋体" w:hAnsi="宋体" w:cs="宋体" w:eastAsia="宋体" w:hint="default"/>
                <w:sz w:val="18"/>
                <w:szCs w:val="18"/>
              </w:rPr>
              <w:t>公司未知前十名无限售股东之间是否存在关联关系，也未知是否属于一致行动人。</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316" w:lineRule="auto" w:before="71"/>
              <w:ind w:left="16" w:right="22"/>
              <w:jc w:val="left"/>
              <w:rPr>
                <w:rFonts w:ascii="宋体" w:hAnsi="宋体" w:cs="宋体" w:eastAsia="宋体" w:hint="default"/>
                <w:sz w:val="18"/>
                <w:szCs w:val="18"/>
              </w:rPr>
            </w:pPr>
            <w:r>
              <w:rPr>
                <w:rFonts w:ascii="宋体" w:hAnsi="宋体" w:cs="宋体" w:eastAsia="宋体" w:hint="default"/>
                <w:spacing w:val="-1"/>
                <w:sz w:val="18"/>
                <w:szCs w:val="18"/>
              </w:rPr>
              <w:t>上述股东中，章斌通过中信建投证券股份有限公司客户信用交易担保证券账户持有本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361,600 </w:t>
            </w:r>
            <w:r>
              <w:rPr>
                <w:rFonts w:ascii="宋体" w:hAnsi="宋体" w:cs="宋体" w:eastAsia="宋体" w:hint="default"/>
                <w:sz w:val="18"/>
                <w:szCs w:val="18"/>
              </w:rPr>
              <w:t>股；肖文通过中信建投证券股份有限公司客户信用交易担保证券账</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693" w:lineRule="exact"/>
        <w:ind w:left="112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478.95pt;height:34.7pt;mso-position-horizontal-relative:char;mso-position-vertical-relative:line" coordorigin="0,0" coordsize="9579,694">
            <v:group style="position:absolute;left:10;top:14;width:2871;height:665" coordorigin="10,14" coordsize="2871,665">
              <v:shape style="position:absolute;left:10;top:14;width:2871;height:665" coordorigin="10,14" coordsize="2871,665" path="m10,679l2880,679,2880,14,10,14,10,679xe" filled="true" fillcolor="#d2d2d2" stroked="false">
                <v:path arrowok="t"/>
                <v:fill type="solid"/>
              </v:shape>
            </v:group>
            <v:group style="position:absolute;left:10;top:10;width:2871;height:2" coordorigin="10,10" coordsize="2871,2">
              <v:shape style="position:absolute;left:10;top:10;width:2871;height:2" coordorigin="10,10" coordsize="2871,0" path="m10,10l2880,10e" filled="false" stroked="true" strokeweight=".48pt" strokecolor="#000000">
                <v:path arrowok="t"/>
              </v:shape>
            </v:group>
            <v:group style="position:absolute;left:2890;top:10;width:6679;height:2" coordorigin="2890,10" coordsize="6679,2">
              <v:shape style="position:absolute;left:2890;top:10;width:6679;height:2" coordorigin="2890,10" coordsize="6679,0" path="m2890,10l9569,10e" filled="false" stroked="true" strokeweight=".48pt" strokecolor="#000000">
                <v:path arrowok="t"/>
              </v:shape>
            </v:group>
            <v:group style="position:absolute;left:5;top:5;width:2;height:684" coordorigin="5,5" coordsize="2,684">
              <v:shape style="position:absolute;left:5;top:5;width:2;height:684" coordorigin="5,5" coordsize="0,684" path="m5,5l5,689e" filled="false" stroked="true" strokeweight=".48pt" strokecolor="#000000">
                <v:path arrowok="t"/>
              </v:shape>
            </v:group>
            <v:group style="position:absolute;left:10;top:684;width:2871;height:2" coordorigin="10,684" coordsize="2871,2">
              <v:shape style="position:absolute;left:10;top:684;width:2871;height:2" coordorigin="10,684" coordsize="2871,0" path="m10,684l2880,684e" filled="false" stroked="true" strokeweight=".48pt" strokecolor="#000000">
                <v:path arrowok="t"/>
              </v:shape>
            </v:group>
            <v:group style="position:absolute;left:2885;top:5;width:2;height:684" coordorigin="2885,5" coordsize="2,684">
              <v:shape style="position:absolute;left:2885;top:5;width:2;height:684" coordorigin="2885,5" coordsize="0,684" path="m2885,5l2885,689e" filled="false" stroked="true" strokeweight=".48pt" strokecolor="#000000">
                <v:path arrowok="t"/>
              </v:shape>
            </v:group>
            <v:group style="position:absolute;left:2890;top:684;width:6679;height:2" coordorigin="2890,684" coordsize="6679,2">
              <v:shape style="position:absolute;left:2890;top:684;width:6679;height:2" coordorigin="2890,684" coordsize="6679,0" path="m2890,684l9569,684e" filled="false" stroked="true" strokeweight=".48pt" strokecolor="#000000">
                <v:path arrowok="t"/>
              </v:shape>
            </v:group>
            <v:group style="position:absolute;left:9574;top:5;width:2;height:684" coordorigin="9574,5" coordsize="2,684">
              <v:shape style="position:absolute;left:9574;top:5;width:2;height:684" coordorigin="9574,5" coordsize="0,684" path="m9574,5l9574,689e" filled="false" stroked="true" strokeweight=".48pt" strokecolor="#000000">
                <v:path arrowok="t"/>
              </v:shape>
              <v:shape style="position:absolute;left:2885;top:10;width:6689;height:675" type="#_x0000_t202" filled="false" stroked="false">
                <v:textbox inset="0,0,0,0">
                  <w:txbxContent>
                    <w:p>
                      <w:pPr>
                        <w:spacing w:before="15"/>
                        <w:ind w:left="27" w:right="0" w:firstLine="0"/>
                        <w:jc w:val="left"/>
                        <w:rPr>
                          <w:rFonts w:ascii="宋体" w:hAnsi="宋体" w:cs="宋体" w:eastAsia="宋体" w:hint="default"/>
                          <w:sz w:val="18"/>
                          <w:szCs w:val="18"/>
                        </w:rPr>
                      </w:pPr>
                      <w:r>
                        <w:rPr>
                          <w:rFonts w:ascii="宋体" w:hAnsi="宋体" w:cs="宋体" w:eastAsia="宋体" w:hint="default"/>
                          <w:sz w:val="18"/>
                          <w:szCs w:val="18"/>
                        </w:rPr>
                        <w:t>户持有本公司股票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354,700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股；陈月仙通过海通证券股份有限公司客户信用交易担保</w:t>
                      </w:r>
                    </w:p>
                    <w:p>
                      <w:pPr>
                        <w:spacing w:before="64"/>
                        <w:ind w:left="27" w:right="0" w:firstLine="0"/>
                        <w:jc w:val="left"/>
                        <w:rPr>
                          <w:rFonts w:ascii="宋体" w:hAnsi="宋体" w:cs="宋体" w:eastAsia="宋体" w:hint="default"/>
                          <w:sz w:val="18"/>
                          <w:szCs w:val="18"/>
                        </w:rPr>
                      </w:pPr>
                      <w:r>
                        <w:rPr>
                          <w:rFonts w:ascii="宋体" w:hAnsi="宋体" w:cs="宋体" w:eastAsia="宋体" w:hint="default"/>
                          <w:sz w:val="18"/>
                          <w:szCs w:val="18"/>
                        </w:rPr>
                        <w:t>证券账户持有本公司股票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xbxContent>
                </v:textbox>
                <w10:wrap type="none"/>
              </v:shape>
            </v:group>
          </v:group>
        </w:pict>
      </w:r>
      <w:r>
        <w:rPr>
          <w:rFonts w:ascii="Times New Roman" w:hAnsi="Times New Roman" w:cs="Times New Roman" w:eastAsia="Times New Roman" w:hint="default"/>
          <w:position w:val="-13"/>
          <w:sz w:val="20"/>
          <w:szCs w:val="20"/>
        </w:rPr>
      </w:r>
    </w:p>
    <w:p>
      <w:pPr>
        <w:pStyle w:val="BodyText"/>
        <w:spacing w:line="240" w:lineRule="auto" w:before="47"/>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创业黑马董事长、总经理</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13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13"/>
      <w:bookmarkEnd w:id="113"/>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创业黑马董事长、总经理</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13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3915" w:lineRule="exact"/>
        <w:ind w:left="2336"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4592416" cy="24860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592416" cy="2486025"/>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10"/>
        <w:rPr>
          <w:rFonts w:ascii="宋体" w:hAnsi="宋体" w:cs="宋体" w:eastAsia="宋体" w:hint="default"/>
          <w:sz w:val="15"/>
          <w:szCs w:val="15"/>
        </w:rPr>
      </w:pPr>
    </w:p>
    <w:p>
      <w:pPr>
        <w:spacing w:before="26"/>
        <w:ind w:left="113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579"/>
        <w:gridCol w:w="1817"/>
        <w:gridCol w:w="1411"/>
        <w:gridCol w:w="1637"/>
        <w:gridCol w:w="2124"/>
      </w:tblGrid>
      <w:tr>
        <w:trPr>
          <w:trHeight w:val="714"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12" w:right="69"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338"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蓝创文化传媒</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盛发强</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电视剧、专题、综艺、动 画等节目制作、发行</w:t>
            </w:r>
            <w:r>
              <w:rPr>
                <w:rFonts w:ascii="Times New Roman" w:hAnsi="Times New Roman" w:cs="Times New Roman" w:eastAsia="Times New Roman" w:hint="default"/>
                <w:sz w:val="18"/>
                <w:szCs w:val="18"/>
              </w:rPr>
              <w:t>;</w:t>
            </w:r>
            <w:r>
              <w:rPr>
                <w:rFonts w:ascii="宋体" w:hAnsi="宋体" w:cs="宋体" w:eastAsia="宋体" w:hint="default"/>
                <w:sz w:val="18"/>
                <w:szCs w:val="18"/>
              </w:rPr>
              <w:t>文化 艺术交流策划</w:t>
            </w:r>
            <w:r>
              <w:rPr>
                <w:rFonts w:ascii="Times New Roman" w:hAnsi="Times New Roman" w:cs="Times New Roman" w:eastAsia="Times New Roman" w:hint="default"/>
                <w:sz w:val="18"/>
                <w:szCs w:val="18"/>
              </w:rPr>
              <w:t>;</w:t>
            </w:r>
            <w:r>
              <w:rPr>
                <w:rFonts w:ascii="宋体" w:hAnsi="宋体" w:cs="宋体" w:eastAsia="宋体" w:hint="default"/>
                <w:sz w:val="18"/>
                <w:szCs w:val="18"/>
              </w:rPr>
              <w:t>商务信息咨 询</w:t>
            </w:r>
            <w:r>
              <w:rPr>
                <w:rFonts w:ascii="Times New Roman" w:hAnsi="Times New Roman" w:cs="Times New Roman" w:eastAsia="Times New Roman" w:hint="default"/>
                <w:sz w:val="18"/>
                <w:szCs w:val="18"/>
              </w:rPr>
              <w:t>;</w:t>
            </w:r>
            <w:r>
              <w:rPr>
                <w:rFonts w:ascii="宋体" w:hAnsi="宋体" w:cs="宋体" w:eastAsia="宋体" w:hint="default"/>
                <w:sz w:val="18"/>
                <w:szCs w:val="18"/>
              </w:rPr>
              <w:t>图文设计制作。</w:t>
            </w:r>
          </w:p>
        </w:tc>
      </w:tr>
      <w:tr>
        <w:trPr>
          <w:trHeight w:val="2274"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深圳市达晨创丰股权投资企业</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刘昼</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204,700 </w:t>
            </w:r>
            <w:r>
              <w:rPr>
                <w:rFonts w:ascii="宋体" w:hAnsi="宋体" w:cs="宋体" w:eastAsia="宋体" w:hint="default"/>
                <w:sz w:val="18"/>
                <w:szCs w:val="18"/>
              </w:rPr>
              <w:t>万元</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股权投资业务</w:t>
            </w:r>
            <w:r>
              <w:rPr>
                <w:rFonts w:ascii="Times New Roman" w:hAnsi="Times New Roman" w:cs="Times New Roman" w:eastAsia="Times New Roman" w:hint="default"/>
                <w:sz w:val="18"/>
                <w:szCs w:val="18"/>
              </w:rPr>
              <w:t>;</w:t>
            </w:r>
            <w:r>
              <w:rPr>
                <w:rFonts w:ascii="宋体" w:hAnsi="宋体" w:cs="宋体" w:eastAsia="宋体" w:hint="default"/>
                <w:sz w:val="18"/>
                <w:szCs w:val="18"/>
              </w:rPr>
              <w:t>创业投资业 务</w:t>
            </w:r>
            <w:r>
              <w:rPr>
                <w:rFonts w:ascii="Times New Roman" w:hAnsi="Times New Roman" w:cs="Times New Roman" w:eastAsia="Times New Roman" w:hint="default"/>
                <w:sz w:val="18"/>
                <w:szCs w:val="18"/>
              </w:rPr>
              <w:t>;</w:t>
            </w:r>
            <w:r>
              <w:rPr>
                <w:rFonts w:ascii="宋体" w:hAnsi="宋体" w:cs="宋体" w:eastAsia="宋体" w:hint="default"/>
                <w:sz w:val="18"/>
                <w:szCs w:val="18"/>
              </w:rPr>
              <w:t>受托管理创业投资企业 等机构或个人的创业投资 业务</w:t>
            </w:r>
            <w:r>
              <w:rPr>
                <w:rFonts w:ascii="Times New Roman" w:hAnsi="Times New Roman" w:cs="Times New Roman" w:eastAsia="Times New Roman" w:hint="default"/>
                <w:sz w:val="18"/>
                <w:szCs w:val="18"/>
              </w:rPr>
              <w:t>;</w:t>
            </w:r>
            <w:r>
              <w:rPr>
                <w:rFonts w:ascii="宋体" w:hAnsi="宋体" w:cs="宋体" w:eastAsia="宋体" w:hint="default"/>
                <w:sz w:val="18"/>
                <w:szCs w:val="18"/>
              </w:rPr>
              <w:t>为创业企业提供创业 管理服务业务</w:t>
            </w:r>
            <w:r>
              <w:rPr>
                <w:rFonts w:ascii="Times New Roman" w:hAnsi="Times New Roman" w:cs="Times New Roman" w:eastAsia="Times New Roman" w:hint="default"/>
                <w:sz w:val="18"/>
                <w:szCs w:val="18"/>
              </w:rPr>
              <w:t>;</w:t>
            </w:r>
            <w:r>
              <w:rPr>
                <w:rFonts w:ascii="宋体" w:hAnsi="宋体" w:cs="宋体" w:eastAsia="宋体" w:hint="default"/>
                <w:sz w:val="18"/>
                <w:szCs w:val="18"/>
              </w:rPr>
              <w:t>参与设立创 业投资企业与创业投资管 理顾问。</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1"/>
        <w:jc w:val="center"/>
        <w:rPr>
          <w:b w:val="0"/>
          <w:bCs w:val="0"/>
        </w:rPr>
      </w:pPr>
      <w:bookmarkStart w:name="_TOC_250005" w:id="116"/>
      <w:bookmarkStart w:name="第七节 优先股相关情况" w:id="117"/>
      <w:r>
        <w:rPr>
          <w:b w:val="0"/>
          <w:bCs w:val="0"/>
        </w:rPr>
      </w:r>
      <w:r>
        <w:rPr/>
        <w:t>第七节</w:t>
      </w:r>
      <w:r>
        <w:rPr>
          <w:spacing w:val="-8"/>
        </w:rPr>
        <w:t> </w:t>
      </w:r>
      <w:r>
        <w:rPr/>
        <w:t>优先股相关情况</w:t>
      </w:r>
      <w:bookmarkEnd w:id="116"/>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_TOC_250004" w:id="118"/>
      <w:bookmarkStart w:name="第八节 董事、监事、高级管理人员和员工情况" w:id="119"/>
      <w:r>
        <w:rPr>
          <w:b w:val="0"/>
          <w:bCs w:val="0"/>
        </w:rPr>
      </w:r>
      <w:r>
        <w:rPr/>
        <w:t>第八节</w:t>
      </w:r>
      <w:r>
        <w:rPr>
          <w:spacing w:val="-16"/>
        </w:rPr>
        <w:t> </w:t>
      </w:r>
      <w:r>
        <w:rPr/>
        <w:t>董事、监事、高级管理人员和员工情况</w:t>
      </w:r>
      <w:bookmarkEnd w:id="118"/>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0"/>
      <w:bookmarkEnd w:id="12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21,351,66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21,351,66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王佳佳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韩雪冬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21,351,66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21,351,66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both"/>
        <w:rPr>
          <w:b w:val="0"/>
          <w:bCs w:val="0"/>
        </w:rPr>
      </w:pPr>
      <w:bookmarkStart w:name="二、公司董事、监事、高级管理人员变动情况" w:id="121"/>
      <w:bookmarkEnd w:id="121"/>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三、任职情况" w:id="122"/>
      <w:bookmarkEnd w:id="122"/>
      <w:r>
        <w:rPr>
          <w:b w:val="0"/>
          <w:bCs w:val="0"/>
        </w:rPr>
      </w:r>
      <w:r>
        <w:rPr/>
        <w:t>三、任职情况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3" w:right="0" w:hanging="360"/>
        <w:jc w:val="left"/>
        <w:rPr>
          <w:rFonts w:ascii="Times New Roman" w:hAnsi="Times New Roman" w:cs="Times New Roman" w:eastAsia="Times New Roman" w:hint="default"/>
        </w:rPr>
      </w:pPr>
      <w:r>
        <w:rPr/>
        <w:t>公司现任董事、监事、高级管理人员专业背景、主要工作经历以及目前在公司的主要职责 </w:t>
      </w:r>
      <w:r>
        <w:rPr>
          <w:spacing w:val="-2"/>
        </w:rPr>
        <w:t>牛文文：男，</w:t>
      </w:r>
      <w:r>
        <w:rPr>
          <w:rFonts w:ascii="Times New Roman" w:hAnsi="Times New Roman" w:cs="Times New Roman" w:eastAsia="Times New Roman" w:hint="default"/>
          <w:spacing w:val="-2"/>
        </w:rPr>
        <w:t>1966</w:t>
      </w:r>
      <w:r>
        <w:rPr>
          <w:spacing w:val="-2"/>
        </w:rPr>
        <w:t>年</w:t>
      </w:r>
      <w:r>
        <w:rPr>
          <w:rFonts w:ascii="Times New Roman" w:hAnsi="Times New Roman" w:cs="Times New Roman" w:eastAsia="Times New Roman" w:hint="default"/>
          <w:spacing w:val="-2"/>
        </w:rPr>
        <w:t>7</w:t>
      </w:r>
      <w:r>
        <w:rPr>
          <w:spacing w:val="-2"/>
        </w:rPr>
        <w:t>月生，中国国籍，无境外永久居留权；</w:t>
      </w:r>
      <w:r>
        <w:rPr>
          <w:rFonts w:ascii="Times New Roman" w:hAnsi="Times New Roman" w:cs="Times New Roman" w:eastAsia="Times New Roman" w:hint="default"/>
          <w:spacing w:val="-2"/>
        </w:rPr>
        <w:t>1988</w:t>
      </w:r>
      <w:r>
        <w:rPr>
          <w:spacing w:val="-2"/>
        </w:rPr>
        <w:t>年</w:t>
      </w:r>
      <w:r>
        <w:rPr>
          <w:rFonts w:ascii="Times New Roman" w:hAnsi="Times New Roman" w:cs="Times New Roman" w:eastAsia="Times New Roman" w:hint="default"/>
          <w:spacing w:val="-2"/>
        </w:rPr>
        <w:t>7</w:t>
      </w:r>
      <w:r>
        <w:rPr>
          <w:spacing w:val="-2"/>
        </w:rPr>
        <w:t>月毕业于中国人民大学，获经济学学士学位；</w:t>
      </w:r>
      <w:r>
        <w:rPr>
          <w:rFonts w:ascii="Times New Roman" w:hAnsi="Times New Roman" w:cs="Times New Roman" w:eastAsia="Times New Roman" w:hint="default"/>
          <w:spacing w:val="-2"/>
        </w:rPr>
        <w:t>1991</w:t>
      </w:r>
    </w:p>
    <w:p>
      <w:pPr>
        <w:pStyle w:val="BodyText"/>
        <w:spacing w:line="214" w:lineRule="exact"/>
        <w:ind w:right="0"/>
        <w:jc w:val="both"/>
        <w:rPr>
          <w:rFonts w:ascii="Times New Roman" w:hAnsi="Times New Roman" w:cs="Times New Roman" w:eastAsia="Times New Roman" w:hint="default"/>
        </w:rPr>
      </w:pPr>
      <w:r>
        <w:rPr/>
        <w:t>年</w:t>
      </w:r>
      <w:r>
        <w:rPr>
          <w:rFonts w:ascii="Times New Roman" w:hAnsi="Times New Roman" w:cs="Times New Roman" w:eastAsia="Times New Roman" w:hint="default"/>
        </w:rPr>
        <w:t>7</w:t>
      </w:r>
      <w:r>
        <w:rPr/>
        <w:t>月毕业于中共中央党校，获政治经济学硕士学位；</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月就读于长江商学院，获</w:t>
      </w:r>
      <w:r>
        <w:rPr>
          <w:rFonts w:ascii="Times New Roman" w:hAnsi="Times New Roman" w:cs="Times New Roman" w:eastAsia="Times New Roman" w:hint="default"/>
        </w:rPr>
        <w:t>EMBA</w:t>
      </w:r>
      <w:r>
        <w:rPr/>
        <w:t>学位。</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9</w:t>
      </w:r>
    </w:p>
    <w:p>
      <w:pPr>
        <w:pStyle w:val="BodyText"/>
        <w:spacing w:line="300" w:lineRule="auto" w:before="63"/>
        <w:ind w:right="1139"/>
        <w:jc w:val="both"/>
      </w:pPr>
      <w:r>
        <w:rPr/>
        <w:t>月至</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12</w:t>
      </w:r>
      <w:r>
        <w:rPr/>
        <w:t>月，任中共中央党校办公厅职员；</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3</w:t>
      </w:r>
      <w:r>
        <w:rPr/>
        <w:t>月，任经济日报社记者、编辑；</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 </w:t>
      </w:r>
      <w:r>
        <w:rPr/>
        <w:t>月，任中国企业家杂志社总编辑。</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月至今，担任北京创业未来董事长、总经理；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月创办创业创媒，后改制 为创业黑马，任董事长、总经理。现任创业黑马董事长、总经理。</w:t>
      </w:r>
    </w:p>
    <w:p>
      <w:pPr>
        <w:pStyle w:val="BodyText"/>
        <w:spacing w:line="300" w:lineRule="auto" w:before="71"/>
        <w:ind w:right="1030" w:firstLine="360"/>
        <w:jc w:val="left"/>
      </w:pPr>
      <w:r>
        <w:rPr>
          <w:spacing w:val="-5"/>
        </w:rPr>
        <w:t>刘义伟：女，</w:t>
      </w:r>
      <w:r>
        <w:rPr>
          <w:rFonts w:ascii="Times New Roman" w:hAnsi="Times New Roman" w:cs="Times New Roman" w:eastAsia="Times New Roman" w:hint="default"/>
          <w:spacing w:val="-5"/>
        </w:rPr>
        <w:t>1978</w:t>
      </w:r>
      <w:r>
        <w:rPr>
          <w:spacing w:val="-5"/>
        </w:rPr>
        <w:t>年</w:t>
      </w:r>
      <w:r>
        <w:rPr>
          <w:rFonts w:ascii="Times New Roman" w:hAnsi="Times New Roman" w:cs="Times New Roman" w:eastAsia="Times New Roman" w:hint="default"/>
          <w:spacing w:val="-5"/>
        </w:rPr>
        <w:t>2</w:t>
      </w:r>
      <w:r>
        <w:rPr>
          <w:spacing w:val="-5"/>
        </w:rPr>
        <w:t>月生，中国国籍，无境外永久居留权，</w:t>
      </w:r>
      <w:r>
        <w:rPr>
          <w:rFonts w:ascii="Times New Roman" w:hAnsi="Times New Roman" w:cs="Times New Roman" w:eastAsia="Times New Roman" w:hint="default"/>
          <w:spacing w:val="-5"/>
        </w:rPr>
        <w:t>2005</w:t>
      </w:r>
      <w:r>
        <w:rPr>
          <w:spacing w:val="-5"/>
        </w:rPr>
        <w:t>年</w:t>
      </w:r>
      <w:r>
        <w:rPr>
          <w:rFonts w:ascii="Times New Roman" w:hAnsi="Times New Roman" w:cs="Times New Roman" w:eastAsia="Times New Roman" w:hint="default"/>
          <w:spacing w:val="-5"/>
        </w:rPr>
        <w:t>6</w:t>
      </w:r>
      <w:r>
        <w:rPr>
          <w:spacing w:val="-5"/>
        </w:rPr>
        <w:t>月毕业于石家庄铁道学院，获金融学学士学位。</w:t>
      </w:r>
      <w:r>
        <w:rPr>
          <w:rFonts w:ascii="Times New Roman" w:hAnsi="Times New Roman" w:cs="Times New Roman" w:eastAsia="Times New Roman" w:hint="default"/>
          <w:spacing w:val="-5"/>
        </w:rPr>
        <w:t>2000</w:t>
      </w:r>
      <w:r>
        <w:rPr>
          <w:rFonts w:ascii="Times New Roman" w:hAnsi="Times New Roman" w:cs="Times New Roman" w:eastAsia="Times New Roman" w:hint="default"/>
        </w:rPr>
        <w:t> </w:t>
      </w:r>
      <w:r>
        <w:rPr>
          <w:spacing w:val="-3"/>
        </w:rPr>
        <w:t>年至</w:t>
      </w:r>
      <w:r>
        <w:rPr>
          <w:rFonts w:ascii="Times New Roman" w:hAnsi="Times New Roman" w:cs="Times New Roman" w:eastAsia="Times New Roman" w:hint="default"/>
          <w:spacing w:val="-3"/>
        </w:rPr>
        <w:t>2010</w:t>
      </w:r>
      <w:r>
        <w:rPr>
          <w:spacing w:val="-3"/>
        </w:rPr>
        <w:t>年任职于北京新领军文化传媒有限公司，担任运营总经理职务；刘义伟女士</w:t>
      </w:r>
      <w:r>
        <w:rPr>
          <w:rFonts w:ascii="Times New Roman" w:hAnsi="Times New Roman" w:cs="Times New Roman" w:eastAsia="Times New Roman" w:hint="default"/>
          <w:spacing w:val="-3"/>
        </w:rPr>
        <w:t>2011</w:t>
      </w:r>
      <w:r>
        <w:rPr>
          <w:spacing w:val="-3"/>
        </w:rPr>
        <w:t>年加入创业黑马，曾担任副总经理；</w:t>
      </w:r>
      <w:r>
        <w:rPr>
          <w:spacing w:val="-87"/>
        </w:rPr>
        <w:t> </w:t>
      </w:r>
      <w:r>
        <w:rPr>
          <w:spacing w:val="-87"/>
        </w:rPr>
      </w:r>
      <w:r>
        <w:rPr/>
        <w:t>现任创业黑马董事、副总经理、董事会秘书。</w:t>
      </w:r>
    </w:p>
    <w:p>
      <w:pPr>
        <w:pStyle w:val="BodyText"/>
        <w:spacing w:line="300" w:lineRule="auto" w:before="70"/>
        <w:ind w:right="1130" w:firstLine="360"/>
        <w:jc w:val="both"/>
      </w:pPr>
      <w:r>
        <w:rPr/>
        <w:t>傅忠红：男，</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10</w:t>
      </w:r>
      <w:r>
        <w:rPr/>
        <w:t>月生，中国国籍，无境外永久居留权，</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7</w:t>
      </w:r>
      <w:r>
        <w:rPr/>
        <w:t>月毕业于华东理工大学，获化工机械学士学位； </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7</w:t>
      </w:r>
      <w:r>
        <w:rPr/>
        <w:t>月毕业于华南理工大学获得化工机械硕士学位；</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2014</w:t>
      </w:r>
      <w:r>
        <w:rPr/>
        <w:t>年就读于长江商学院，获</w:t>
      </w:r>
      <w:r>
        <w:rPr>
          <w:rFonts w:ascii="Times New Roman" w:hAnsi="Times New Roman" w:cs="Times New Roman" w:eastAsia="Times New Roman" w:hint="default"/>
        </w:rPr>
        <w:t>EMBA</w:t>
      </w:r>
      <w:r>
        <w:rPr/>
        <w:t>学位。</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4</w:t>
      </w:r>
      <w:r>
        <w:rPr/>
        <w:t>月 </w:t>
      </w:r>
      <w:r>
        <w:rPr>
          <w:spacing w:val="-2"/>
        </w:rPr>
        <w:t>至</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2</w:t>
      </w:r>
      <w:r>
        <w:rPr>
          <w:spacing w:val="-2"/>
        </w:rPr>
        <w:t>月，任广东省建材工业总公司部门主管；</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7</w:t>
      </w:r>
      <w:r>
        <w:rPr>
          <w:spacing w:val="-2"/>
        </w:rPr>
        <w:t>月，任南海投资有限公司董事长助理；</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8</w:t>
      </w:r>
      <w:r>
        <w:rPr>
          <w:spacing w:val="-2"/>
        </w:rPr>
        <w:t>月至</w:t>
      </w:r>
      <w:r>
        <w:rPr>
          <w:spacing w:val="-46"/>
        </w:rPr>
        <w:t> </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5</w:t>
      </w:r>
      <w:r>
        <w:rPr/>
        <w:t>月，任广东光存储科技有限公司副总经理；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月，任广州科技创业投资有限公司</w:t>
      </w:r>
      <w:r>
        <w:rPr>
          <w:rFonts w:ascii="Times New Roman" w:hAnsi="Times New Roman" w:cs="Times New Roman" w:eastAsia="Times New Roman" w:hint="default"/>
        </w:rPr>
        <w:t>IT</w:t>
      </w:r>
      <w:r>
        <w:rPr/>
        <w:t>投资总监。现 任创业黑马董事。</w:t>
      </w:r>
    </w:p>
    <w:p>
      <w:pPr>
        <w:pStyle w:val="BodyText"/>
        <w:spacing w:line="300" w:lineRule="auto" w:before="70"/>
        <w:ind w:right="1032" w:firstLine="360"/>
        <w:jc w:val="left"/>
      </w:pPr>
      <w:r>
        <w:rPr>
          <w:spacing w:val="-2"/>
        </w:rPr>
        <w:t>肖红英：女，</w:t>
      </w:r>
      <w:r>
        <w:rPr>
          <w:rFonts w:ascii="Times New Roman" w:hAnsi="Times New Roman" w:cs="Times New Roman" w:eastAsia="Times New Roman" w:hint="default"/>
          <w:spacing w:val="-2"/>
        </w:rPr>
        <w:t>1953</w:t>
      </w:r>
      <w:r>
        <w:rPr>
          <w:spacing w:val="-2"/>
        </w:rPr>
        <w:t>年</w:t>
      </w:r>
      <w:r>
        <w:rPr>
          <w:rFonts w:ascii="Times New Roman" w:hAnsi="Times New Roman" w:cs="Times New Roman" w:eastAsia="Times New Roman" w:hint="default"/>
          <w:spacing w:val="-2"/>
        </w:rPr>
        <w:t>2</w:t>
      </w:r>
      <w:r>
        <w:rPr>
          <w:spacing w:val="-2"/>
        </w:rPr>
        <w:t>月生，曾用名肖洪英，中国国籍，无境外永久居留权，</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7</w:t>
      </w:r>
      <w:r>
        <w:rPr>
          <w:spacing w:val="-2"/>
        </w:rPr>
        <w:t>月毕业于吉林财经大学，获得经济</w:t>
      </w:r>
      <w:r>
        <w:rPr/>
        <w:t> </w:t>
      </w:r>
      <w:r>
        <w:rPr>
          <w:spacing w:val="-2"/>
        </w:rPr>
        <w:t>学学士学位；</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7</w:t>
      </w:r>
      <w:r>
        <w:rPr>
          <w:spacing w:val="-2"/>
        </w:rPr>
        <w:t>月毕业于对外经济贸易大学，获得工商管理硕士学位，具有高级会计师资格。</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1986</w:t>
      </w:r>
      <w:r>
        <w:rPr>
          <w:spacing w:val="-2"/>
        </w:rPr>
        <w:t>年</w:t>
      </w:r>
      <w:r>
        <w:rPr>
          <w:rFonts w:ascii="Times New Roman" w:hAnsi="Times New Roman" w:cs="Times New Roman" w:eastAsia="Times New Roman" w:hint="default"/>
          <w:spacing w:val="-2"/>
        </w:rPr>
        <w:t>8</w:t>
      </w:r>
      <w:r>
        <w:rPr>
          <w:spacing w:val="-2"/>
        </w:rPr>
        <w:t>月，</w:t>
      </w:r>
      <w:r>
        <w:rPr>
          <w:spacing w:val="-48"/>
        </w:rPr>
        <w:t> </w:t>
      </w:r>
      <w:r>
        <w:rPr>
          <w:spacing w:val="-2"/>
        </w:rPr>
        <w:t>任对外经济贸易部财会司职员；</w:t>
      </w:r>
      <w:r>
        <w:rPr>
          <w:rFonts w:ascii="Times New Roman" w:hAnsi="Times New Roman" w:cs="Times New Roman" w:eastAsia="Times New Roman" w:hint="default"/>
          <w:spacing w:val="-2"/>
        </w:rPr>
        <w:t>1986</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1988</w:t>
      </w:r>
      <w:r>
        <w:rPr>
          <w:spacing w:val="-2"/>
        </w:rPr>
        <w:t>年</w:t>
      </w:r>
      <w:r>
        <w:rPr>
          <w:rFonts w:ascii="Times New Roman" w:hAnsi="Times New Roman" w:cs="Times New Roman" w:eastAsia="Times New Roman" w:hint="default"/>
          <w:spacing w:val="-2"/>
        </w:rPr>
        <w:t>10</w:t>
      </w:r>
      <w:r>
        <w:rPr>
          <w:spacing w:val="-2"/>
        </w:rPr>
        <w:t>月，任对外经济贸易部审计局副处长；</w:t>
      </w:r>
      <w:r>
        <w:rPr>
          <w:rFonts w:ascii="Times New Roman" w:hAnsi="Times New Roman" w:cs="Times New Roman" w:eastAsia="Times New Roman" w:hint="default"/>
          <w:spacing w:val="-2"/>
        </w:rPr>
        <w:t>1988</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7</w:t>
      </w:r>
      <w:r>
        <w:rPr>
          <w:spacing w:val="-2"/>
        </w:rPr>
        <w:t>月，先后</w:t>
      </w:r>
      <w:r>
        <w:rPr>
          <w:spacing w:val="-43"/>
        </w:rPr>
        <w:t> </w:t>
      </w:r>
      <w:r>
        <w:rPr>
          <w:spacing w:val="-43"/>
        </w:rPr>
      </w:r>
      <w:r>
        <w:rPr>
          <w:spacing w:val="-2"/>
        </w:rPr>
        <w:t>任中国丝绸进出口公司财务处副处长、处长；</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3</w:t>
      </w:r>
      <w:r>
        <w:rPr>
          <w:spacing w:val="-2"/>
        </w:rPr>
        <w:t>月，任中国中丝集团公司总会计师。现任创业黑马独立董</w:t>
      </w:r>
      <w:r>
        <w:rPr>
          <w:spacing w:val="-56"/>
        </w:rPr>
        <w:t> </w:t>
      </w:r>
      <w:r>
        <w:rPr>
          <w:spacing w:val="-56"/>
        </w:rPr>
      </w:r>
      <w:r>
        <w:rPr/>
        <w:t>事。</w:t>
      </w:r>
    </w:p>
    <w:p>
      <w:pPr>
        <w:pStyle w:val="BodyText"/>
        <w:spacing w:line="300" w:lineRule="auto" w:before="71"/>
        <w:ind w:right="1123" w:firstLine="360"/>
        <w:jc w:val="left"/>
      </w:pPr>
      <w:r>
        <w:rPr/>
        <w:t>王敬：男，</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11</w:t>
      </w:r>
      <w:r>
        <w:rPr/>
        <w:t>月生，中国国籍，无境外永久居留权，</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8</w:t>
      </w:r>
      <w:r>
        <w:rPr/>
        <w:t>月毕业于黑龙江商学院，获得食品机械专业学士学 位；</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月毕业于对外经济贸易大学，获得</w:t>
      </w:r>
      <w:r>
        <w:rPr>
          <w:rFonts w:ascii="Times New Roman" w:hAnsi="Times New Roman" w:cs="Times New Roman" w:eastAsia="Times New Roman" w:hint="default"/>
        </w:rPr>
        <w:t>MBA</w:t>
      </w:r>
      <w:r>
        <w:rPr/>
        <w:t>学位。</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t>月，任普尔斯马特高级商品总监；</w:t>
      </w:r>
      <w:r>
        <w:rPr>
          <w:rFonts w:ascii="Times New Roman" w:hAnsi="Times New Roman" w:cs="Times New Roman" w:eastAsia="Times New Roman" w:hint="default"/>
        </w:rPr>
        <w:t>1998</w:t>
      </w:r>
      <w:r>
        <w:rPr/>
        <w:t>年 </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月，任物美集团高级副总裁；</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4</w:t>
      </w:r>
      <w:r>
        <w:rPr/>
        <w:t>月，任罗兰贝格合伙人、副总裁；</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 </w:t>
      </w:r>
      <w:r>
        <w:rPr/>
        <w:t>月，任华润万家首席运营官；</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月任宏梦卡通集团</w:t>
      </w:r>
      <w:r>
        <w:rPr>
          <w:rFonts w:ascii="Times New Roman" w:hAnsi="Times New Roman" w:cs="Times New Roman" w:eastAsia="Times New Roman" w:hint="default"/>
        </w:rPr>
        <w:t>CEO</w:t>
      </w:r>
      <w:r>
        <w:rPr/>
        <w:t>。现任创业黑马独立董事。</w:t>
      </w:r>
    </w:p>
    <w:p>
      <w:pPr>
        <w:pStyle w:val="BodyText"/>
        <w:spacing w:line="300" w:lineRule="auto" w:before="51"/>
        <w:ind w:right="1131" w:firstLine="360"/>
        <w:jc w:val="both"/>
      </w:pPr>
      <w:r>
        <w:rPr/>
        <w:t>曹国熊：男，</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7</w:t>
      </w:r>
      <w:r>
        <w:rPr/>
        <w:t>月生，中国国籍，无境外永久居留权，</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7</w:t>
      </w:r>
      <w:r>
        <w:rPr/>
        <w:t>月毕业于浙江财经学院，获得会计学 学士学位；</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月毕业于中南财经政法大学，获得会计学硕士学位。</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t>月，先后任浙江 </w:t>
      </w:r>
      <w:r>
        <w:rPr>
          <w:spacing w:val="-2"/>
        </w:rPr>
        <w:t>省机械工业厅科员、浙江省机械设备进出口公司财务科长；</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12</w:t>
      </w:r>
      <w:r>
        <w:rPr>
          <w:spacing w:val="-2"/>
        </w:rPr>
        <w:t>月，先后任郎新信息科技公司经理、香港</w:t>
      </w:r>
      <w:r>
        <w:rPr>
          <w:spacing w:val="-53"/>
        </w:rPr>
        <w:t> </w:t>
      </w:r>
      <w:r>
        <w:rPr>
          <w:spacing w:val="-53"/>
        </w:rPr>
      </w:r>
      <w:r>
        <w:rPr/>
        <w:t>联侨国际集团经理。现任创业黑马监事会主席。</w:t>
      </w:r>
    </w:p>
    <w:p>
      <w:pPr>
        <w:pStyle w:val="BodyText"/>
        <w:spacing w:line="300" w:lineRule="auto" w:before="70"/>
        <w:ind w:right="1132" w:firstLine="360"/>
        <w:jc w:val="both"/>
      </w:pPr>
      <w:r>
        <w:rPr>
          <w:spacing w:val="-2"/>
        </w:rPr>
        <w:t>王佳佳：女，</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2</w:t>
      </w:r>
      <w:r>
        <w:rPr>
          <w:spacing w:val="-2"/>
        </w:rPr>
        <w:t>月生，中国国籍，无境外永久居留权，大专学历。</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11</w:t>
      </w:r>
      <w:r>
        <w:rPr>
          <w:spacing w:val="-2"/>
        </w:rPr>
        <w:t>月，任瑞海姆田园度假村</w:t>
      </w:r>
      <w:r>
        <w:rPr/>
        <w:t> 销售经理；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2008</w:t>
      </w:r>
      <w:r>
        <w:rPr/>
        <w:t>年，任中青旅联科公关顾问有限公司项目经理；王佳佳女士</w:t>
      </w:r>
      <w:r>
        <w:rPr>
          <w:rFonts w:ascii="Times New Roman" w:hAnsi="Times New Roman" w:cs="Times New Roman" w:eastAsia="Times New Roman" w:hint="default"/>
        </w:rPr>
        <w:t>2011</w:t>
      </w:r>
      <w:r>
        <w:rPr/>
        <w:t>年加入创业黑马，现任大客户 总监、监事。</w:t>
      </w:r>
    </w:p>
    <w:p>
      <w:pPr>
        <w:pStyle w:val="BodyText"/>
        <w:spacing w:line="300" w:lineRule="auto" w:before="71"/>
        <w:ind w:right="1132" w:firstLine="360"/>
        <w:jc w:val="both"/>
      </w:pPr>
      <w:r>
        <w:rPr>
          <w:spacing w:val="-3"/>
        </w:rPr>
        <w:t>李豪：男，</w:t>
      </w:r>
      <w:r>
        <w:rPr>
          <w:rFonts w:ascii="Times New Roman" w:hAnsi="Times New Roman" w:cs="Times New Roman" w:eastAsia="Times New Roman" w:hint="default"/>
          <w:spacing w:val="-3"/>
        </w:rPr>
        <w:t>1989</w:t>
      </w:r>
      <w:r>
        <w:rPr>
          <w:spacing w:val="-3"/>
        </w:rPr>
        <w:t>年</w:t>
      </w:r>
      <w:r>
        <w:rPr>
          <w:rFonts w:ascii="Times New Roman" w:hAnsi="Times New Roman" w:cs="Times New Roman" w:eastAsia="Times New Roman" w:hint="default"/>
          <w:spacing w:val="-3"/>
        </w:rPr>
        <w:t>8</w:t>
      </w:r>
      <w:r>
        <w:rPr>
          <w:spacing w:val="-3"/>
        </w:rPr>
        <w:t>月生，中国国籍，无境外永久居留权，</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7</w:t>
      </w:r>
      <w:r>
        <w:rPr>
          <w:spacing w:val="-3"/>
        </w:rPr>
        <w:t>月毕业于临沂大学，获得法学学士。</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7</w:t>
      </w:r>
      <w:r>
        <w:rPr>
          <w:spacing w:val="-3"/>
        </w:rPr>
        <w:t>月至</w:t>
      </w:r>
      <w:r>
        <w:rPr>
          <w:rFonts w:ascii="Times New Roman" w:hAnsi="Times New Roman" w:cs="Times New Roman" w:eastAsia="Times New Roman" w:hint="default"/>
          <w:spacing w:val="-3"/>
        </w:rPr>
        <w:t>2013</w:t>
      </w:r>
      <w:r>
        <w:rPr>
          <w:rFonts w:ascii="Times New Roman" w:hAnsi="Times New Roman" w:cs="Times New Roman" w:eastAsia="Times New Roman" w:hint="default"/>
        </w:rPr>
        <w:t> </w:t>
      </w:r>
      <w:r>
        <w:rPr>
          <w:spacing w:val="-3"/>
        </w:rPr>
        <w:t>年</w:t>
      </w:r>
      <w:r>
        <w:rPr>
          <w:rFonts w:ascii="Times New Roman" w:hAnsi="Times New Roman" w:cs="Times New Roman" w:eastAsia="Times New Roman" w:hint="default"/>
          <w:spacing w:val="-3"/>
        </w:rPr>
        <w:t>5</w:t>
      </w:r>
      <w:r>
        <w:rPr>
          <w:spacing w:val="-3"/>
        </w:rPr>
        <w:t>月，任北京神州数码有限公司法务顾问；</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5</w:t>
      </w:r>
      <w:r>
        <w:rPr>
          <w:spacing w:val="-3"/>
        </w:rPr>
        <w:t>月至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5</w:t>
      </w:r>
      <w:r>
        <w:rPr>
          <w:spacing w:val="-3"/>
        </w:rPr>
        <w:t>月，任北京京东世纪贸易有限公司法务主管；李豪先生</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34"/>
        </w:rPr>
        <w:t> </w:t>
      </w:r>
      <w:r>
        <w:rPr/>
        <w:t>年加入创业黑马，现任创业黑马监事、法务经理、证券事务代表。</w:t>
      </w:r>
    </w:p>
    <w:p>
      <w:pPr>
        <w:pStyle w:val="BodyText"/>
        <w:spacing w:line="300" w:lineRule="auto" w:before="70"/>
        <w:ind w:right="1033" w:firstLine="360"/>
        <w:jc w:val="left"/>
      </w:pPr>
      <w:r>
        <w:rPr>
          <w:spacing w:val="-2"/>
        </w:rPr>
        <w:t>韩雪冬：男，</w:t>
      </w:r>
      <w:r>
        <w:rPr>
          <w:rFonts w:ascii="Times New Roman" w:hAnsi="Times New Roman" w:cs="Times New Roman" w:eastAsia="Times New Roman" w:hint="default"/>
          <w:spacing w:val="-2"/>
        </w:rPr>
        <w:t>1980</w:t>
      </w:r>
      <w:r>
        <w:rPr>
          <w:spacing w:val="-2"/>
        </w:rPr>
        <w:t>年</w:t>
      </w:r>
      <w:r>
        <w:rPr>
          <w:rFonts w:ascii="Times New Roman" w:hAnsi="Times New Roman" w:cs="Times New Roman" w:eastAsia="Times New Roman" w:hint="default"/>
          <w:spacing w:val="-2"/>
        </w:rPr>
        <w:t>12</w:t>
      </w:r>
      <w:r>
        <w:rPr>
          <w:spacing w:val="-2"/>
        </w:rPr>
        <w:t>月生，中国国籍，无境外永久居留权，注册会计师。</w:t>
      </w:r>
      <w:r>
        <w:rPr>
          <w:rFonts w:ascii="Times New Roman" w:hAnsi="Times New Roman" w:cs="Times New Roman" w:eastAsia="Times New Roman" w:hint="default"/>
          <w:spacing w:val="-2"/>
        </w:rPr>
        <w:t>2002</w:t>
      </w:r>
      <w:r>
        <w:rPr>
          <w:spacing w:val="-2"/>
        </w:rPr>
        <w:t>年毕业于辽宁税务高等学校财务会计专</w:t>
      </w:r>
      <w:r>
        <w:rPr/>
        <w:t> </w:t>
      </w:r>
      <w:r>
        <w:rPr>
          <w:spacing w:val="-5"/>
        </w:rPr>
        <w:t>业。</w:t>
      </w:r>
      <w:r>
        <w:rPr>
          <w:rFonts w:ascii="Times New Roman" w:hAnsi="Times New Roman" w:cs="Times New Roman" w:eastAsia="Times New Roman" w:hint="default"/>
          <w:spacing w:val="-5"/>
        </w:rPr>
        <w:t>2017</w:t>
      </w:r>
      <w:r>
        <w:rPr>
          <w:spacing w:val="-5"/>
        </w:rPr>
        <w:t>年毕业于上海财经大学，获得工商管理硕士学位。</w:t>
      </w:r>
      <w:r>
        <w:rPr>
          <w:rFonts w:ascii="Times New Roman" w:hAnsi="Times New Roman" w:cs="Times New Roman" w:eastAsia="Times New Roman" w:hint="default"/>
          <w:spacing w:val="-5"/>
        </w:rPr>
        <w:t>2008</w:t>
      </w:r>
      <w:r>
        <w:rPr>
          <w:spacing w:val="-5"/>
        </w:rPr>
        <w:t>年至</w:t>
      </w:r>
      <w:r>
        <w:rPr>
          <w:rFonts w:ascii="Times New Roman" w:hAnsi="Times New Roman" w:cs="Times New Roman" w:eastAsia="Times New Roman" w:hint="default"/>
          <w:spacing w:val="-5"/>
        </w:rPr>
        <w:t>2009</w:t>
      </w:r>
      <w:r>
        <w:rPr>
          <w:spacing w:val="-5"/>
        </w:rPr>
        <w:t>，进入上海新宇亨得利钟表集团从事内审职务；</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年至</w:t>
      </w:r>
      <w:r>
        <w:rPr>
          <w:rFonts w:ascii="Times New Roman" w:hAnsi="Times New Roman" w:cs="Times New Roman" w:eastAsia="Times New Roman" w:hint="default"/>
        </w:rPr>
        <w:t>2010</w:t>
      </w:r>
      <w:r>
        <w:rPr/>
        <w:t>年任上海海客瑞斯酒店用品有限公司财务经理；</w:t>
      </w:r>
      <w:r>
        <w:rPr>
          <w:rFonts w:ascii="Times New Roman" w:hAnsi="Times New Roman" w:cs="Times New Roman" w:eastAsia="Times New Roman" w:hint="default"/>
        </w:rPr>
        <w:t>2010</w:t>
      </w:r>
      <w:r>
        <w:rPr/>
        <w:t>年至</w:t>
      </w:r>
      <w:r>
        <w:rPr>
          <w:rFonts w:ascii="Times New Roman" w:hAnsi="Times New Roman" w:cs="Times New Roman" w:eastAsia="Times New Roman" w:hint="default"/>
        </w:rPr>
        <w:t>2016</w:t>
      </w:r>
      <w:r>
        <w:rPr/>
        <w:t>年，任上海维宏电子科技股份有限公司（股票代码： </w:t>
      </w:r>
      <w:r>
        <w:rPr>
          <w:rFonts w:ascii="Times New Roman" w:hAnsi="Times New Roman" w:cs="Times New Roman" w:eastAsia="Times New Roman" w:hint="default"/>
        </w:rPr>
        <w:t>300508</w:t>
      </w:r>
      <w:r>
        <w:rPr/>
        <w:t>）财务总监及董事会秘书；</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月进入上海美维投资管理有限公司，任财务总监；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月加入创业黑马，现</w:t>
      </w:r>
    </w:p>
    <w:p>
      <w:pPr>
        <w:spacing w:after="0" w:line="30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right="8953"/>
        <w:jc w:val="left"/>
      </w:pPr>
      <w:r>
        <w:rPr/>
        <w:t>任创业黑马财务总监。 在股东单位任职情况</w:t>
      </w:r>
    </w:p>
    <w:p>
      <w:pPr>
        <w:pStyle w:val="BodyText"/>
        <w:spacing w:line="240" w:lineRule="auto" w:before="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北京创业嘉乐文化传媒交流中心（有限 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8"/>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北京创业嘉乐文化传媒交流中心（有限合伙）为牛文文实际控制的有限合伙企业，除对创业黑马的股权投 资外，未从事其他经营活动。</w:t>
            </w:r>
          </w:p>
        </w:tc>
      </w:tr>
    </w:tbl>
    <w:p>
      <w:pPr>
        <w:pStyle w:val="BodyText"/>
        <w:spacing w:line="240" w:lineRule="auto" w:before="51"/>
        <w:ind w:left="1134" w:right="0"/>
        <w:jc w:val="left"/>
      </w:pPr>
      <w:r>
        <w:rPr/>
        <w:t>在其他单位任职情况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北京原投时创文化传媒有限公司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黑马原投</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北京黑马创展投资管理有限公司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北京牛投科技有限公司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黑马金服（北京）科技有限公司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北京佳沃世纪企业管理咨询有限公司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嘉兴致新投资管理有限公司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北京爱代言科技有限公司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3"/>
                <w:sz w:val="18"/>
                <w:szCs w:val="18"/>
              </w:rPr>
              <w:t>经理、执行董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北京创富未来科技有限公司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pacing w:val="-74"/>
                <w:sz w:val="18"/>
                <w:szCs w:val="18"/>
              </w:rPr>
              <w:t>、</w:t>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黑马致坤（嘉兴）投资管理有限公司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黑马致通（嘉兴）投资管理有限公司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北京创闻天下科技有限公司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南京创业未来信息科技有限公司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北京黑马创投科技有限公司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经理、执行董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黑马致科（嘉兴）投资管理有限公司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西安创业未来信息技术有限公司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北京创业未来传媒技术有限公司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北京非勒电子工程有限公司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武汉经际信息科技有限公司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成都黑马课堂科技有限公司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西安创业未来信息技术有限公司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广州创润信息科技有限公司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合肥创润信息技术有限责任公司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北京黑马天启科技有限公司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成都创业未来信息技术有限公司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青岛黑马创业服务有限公司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南昌致新信息技术服务有限公司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总经理、执行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西藏黑马信息技术服务有限公司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经理、执行董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武汉光谷黑马创业路演有限公司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沈阳创润信息科技有限公司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镇江创启科技服务有限公司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总经理、执行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苏州创业未来信息技术有限公司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上海经际信息科技有限公司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北京爱代言科技有限公司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北京创富未来科技有限公司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北京佳沃世纪企业管理咨询有限公司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嘉兴致新投资管理有限公司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南京创业未来信息科技有限公司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星光农机股份有限公司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北京元培世纪翻译有限公司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浙江双飞无油轴承股份有限公司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湖南利洁生物集团股份有限公司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上海艾瑞市场咨询股份有限公司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上海艾想实业发展有限公司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上海西域机电系统有限公司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上海企源科技股份有限公司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上海通路快建网络服务外包有限公司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上海锡泉实业有限公司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上海童石网络科技股份有限公司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广州尚品宅配家居股份有限公司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上海四维文化传媒股份有限公司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唯美度科技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厦门弘信电子科技股份有限公司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广州移盟数字传媒科技有限公司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上海鸿辉光通科技股份有限公司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天津爱波瑞科技发展有限公司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上海生态家天然日用品有限公司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深圳市达晨创业投资有限公司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广州易尊网络科技股份有限公司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广东龙马光盘有限公司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巍家（上海）投资管理有限公司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北京优集客科技有限公司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经理</w:t>
            </w:r>
            <w:r>
              <w:rPr>
                <w:rFonts w:ascii="宋体" w:hAnsi="宋体" w:cs="宋体" w:eastAsia="宋体" w:hint="default"/>
                <w:spacing w:val="-74"/>
                <w:sz w:val="18"/>
                <w:szCs w:val="18"/>
              </w:rPr>
              <w:t>、</w:t>
            </w: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纽宾凯商旅文控股</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九洲远景</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信息服务有限公司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九洲星城</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资产管理有限公司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衍尚（上海）文化发展有限公司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梗有商业管理（上海）有限公司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湖北祥云</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化工股份有限公司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青岛市恒顺众昇集团股份有限公司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浙江永贵电器股份有限公司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佳通轮胎股份有限公司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中丝辽宁化工物流有限公司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杭州经纬泽华投资管理有限公司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杭州普华投资管理有限公司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浙江坤元投资咨询有限公司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绍兴柯桥头头是道投资管理有限公司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杭州正前方投资有限公司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上海经为股权投资管理有限公司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浙江天鑫创业投资有限公司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浙江通策资产管理有限公司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浙江华睿庆余投资有限公司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诸暨贵银投资有限公司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杭州巴九灵文化创意有限公司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上海亭东影业有限公司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杭州蓝狮子文化创意股份有限公司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杭州梦工场媒聚沃投资管理有限公司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经纬（杭州）投资管理有限公司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杭州少海造物投资管理有限公司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互爱（北京）科技股份有限公司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浙江韩斯坤元创业投资有限公司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绍兴启鉴文化发展有限公司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浙江数投资产管理有限公司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杭州胡庆余堂集团有限公司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湖南华虎国际文化传媒有限公司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杭州快点网络科技有限公司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上海证大喜马拉雅网络科技有限公司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北京墨迹风云科技股份有限公司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果麦文化传媒股份有限公司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北京泛高影视文化有限公司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浙江美邦坤元创业投资有限公司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浙江慧富坤元创业投资有限公司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杭州大头投资管理有限公司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杭州三仁投资管理有限公司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嘉兴致新投资管理有限公司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天津黑马孵化器有限公司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韩雪冬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江西美维中山医院管理有限公司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董事、监事、高级管理人员报酬情况" w:id="123"/>
      <w:bookmarkEnd w:id="123"/>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640" w:right="1156" w:hanging="507"/>
        <w:jc w:val="left"/>
      </w:pPr>
      <w:r>
        <w:rPr/>
        <w:t>董事、监事、高级管理人员报酬的决策程序、确定依据、实际支付情况 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日公司第一届董事会第十一次会议审议通过，公司高级管理人员薪酬方案：公司高级管理人员按照所</w:t>
      </w:r>
    </w:p>
    <w:p>
      <w:pPr>
        <w:pStyle w:val="BodyText"/>
        <w:spacing w:line="201" w:lineRule="exact"/>
        <w:ind w:right="0"/>
        <w:jc w:val="left"/>
      </w:pPr>
      <w:r>
        <w:rPr/>
        <w:t>在公司担任管理职务领取薪酬。</w:t>
      </w:r>
    </w:p>
    <w:p>
      <w:pPr>
        <w:pStyle w:val="BodyText"/>
        <w:spacing w:line="307" w:lineRule="auto" w:before="76"/>
        <w:ind w:right="1157" w:firstLine="506"/>
        <w:jc w:val="both"/>
      </w:pPr>
      <w:r>
        <w:rPr/>
        <w:t>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日公司</w:t>
      </w:r>
      <w:r>
        <w:rPr>
          <w:rFonts w:ascii="Times New Roman" w:hAnsi="Times New Roman" w:cs="Times New Roman" w:eastAsia="Times New Roman" w:hint="default"/>
        </w:rPr>
        <w:t>2016</w:t>
      </w:r>
      <w:r>
        <w:rPr/>
        <w:t>年年度股东大会审议通过，公司董事</w:t>
      </w:r>
      <w:r>
        <w:rPr>
          <w:rFonts w:ascii="Times New Roman" w:hAnsi="Times New Roman" w:cs="Times New Roman" w:eastAsia="Times New Roman" w:hint="default"/>
        </w:rPr>
        <w:t>(</w:t>
      </w:r>
      <w:r>
        <w:rPr/>
        <w:t>不含独立董事</w:t>
      </w:r>
      <w:r>
        <w:rPr>
          <w:rFonts w:ascii="Times New Roman" w:hAnsi="Times New Roman" w:cs="Times New Roman" w:eastAsia="Times New Roman" w:hint="default"/>
        </w:rPr>
        <w:t>)</w:t>
      </w:r>
      <w:r>
        <w:rPr/>
        <w:t>薪酬方案</w:t>
      </w:r>
      <w:r>
        <w:rPr>
          <w:spacing w:val="-21"/>
        </w:rPr>
        <w:t> </w:t>
      </w:r>
      <w:r>
        <w:rPr/>
        <w:t>：公司董事在公司担任管理</w:t>
      </w:r>
      <w:r>
        <w:rPr/>
        <w:t> 职务者，按照所担任的管理职务领取薪酬；未担任管理职务的董事，不予发放薪酬或津贴。</w:t>
      </w:r>
      <w:r>
        <w:rPr>
          <w:spacing w:val="-18"/>
        </w:rPr>
        <w:t> </w:t>
      </w:r>
      <w:r>
        <w:rPr/>
        <w:t>公司独立董事津贴方案：公司</w:t>
      </w:r>
      <w:r>
        <w:rPr/>
        <w:t> 独立董事津贴为人民币</w:t>
      </w:r>
      <w:r>
        <w:rPr>
          <w:rFonts w:ascii="Times New Roman" w:hAnsi="Times New Roman" w:cs="Times New Roman" w:eastAsia="Times New Roman" w:hint="default"/>
        </w:rPr>
        <w:t>8</w:t>
      </w:r>
      <w:r>
        <w:rPr/>
        <w:t>万元</w:t>
      </w:r>
      <w:r>
        <w:rPr>
          <w:rFonts w:ascii="Times New Roman" w:hAnsi="Times New Roman" w:cs="Times New Roman" w:eastAsia="Times New Roman" w:hint="default"/>
        </w:rPr>
        <w:t>/</w:t>
      </w:r>
      <w:r>
        <w:rPr/>
        <w:t>年</w:t>
      </w:r>
      <w:r>
        <w:rPr>
          <w:rFonts w:ascii="Times New Roman" w:hAnsi="Times New Roman" w:cs="Times New Roman" w:eastAsia="Times New Roman" w:hint="default"/>
        </w:rPr>
        <w:t>(</w:t>
      </w:r>
      <w:r>
        <w:rPr/>
        <w:t>税前）。公司监事薪酬方案：公司监事按照其在公司的实际工作岗位领取薪酬：公司监事 在公司无实际工作岗位的，不发放薪酬或津贴。</w:t>
      </w:r>
    </w:p>
    <w:p>
      <w:pPr>
        <w:pStyle w:val="BodyText"/>
        <w:spacing w:line="300" w:lineRule="auto" w:before="26"/>
        <w:ind w:right="1174" w:firstLine="434"/>
        <w:jc w:val="both"/>
      </w:pPr>
      <w:r>
        <w:rPr/>
        <w:t>报告期内，公司共有董事、监事、高级管理人员</w:t>
      </w:r>
      <w:r>
        <w:rPr>
          <w:spacing w:val="-20"/>
        </w:rPr>
        <w:t> </w:t>
      </w:r>
      <w:r>
        <w:rPr>
          <w:rFonts w:ascii="Times New Roman" w:hAnsi="Times New Roman" w:cs="Times New Roman" w:eastAsia="Times New Roman" w:hint="default"/>
        </w:rPr>
        <w:t>9</w:t>
      </w:r>
      <w:r>
        <w:rPr/>
        <w:t>人，公司董事、监事、高级管理人员的薪酬已按年度薪酬计划支付 完毕。</w:t>
      </w:r>
    </w:p>
    <w:p>
      <w:pPr>
        <w:pStyle w:val="BodyText"/>
        <w:spacing w:line="240" w:lineRule="auto" w:before="72"/>
        <w:ind w:right="0"/>
        <w:jc w:val="left"/>
      </w:pPr>
      <w:r>
        <w:rPr/>
        <w:t>公司报告期内董事、监事和高级管理人员报酬情况</w:t>
      </w:r>
    </w:p>
    <w:p>
      <w:pPr>
        <w:pStyle w:val="BodyText"/>
        <w:spacing w:line="240" w:lineRule="auto" w:before="117"/>
        <w:ind w:left="0" w:right="1130"/>
        <w:jc w:val="right"/>
      </w:pPr>
      <w:r>
        <w:rPr/>
        <w:pict>
          <v:group style="position:absolute;margin-left:193.759995pt;margin-top:79.181732pt;width:67.9pt;height:27.95pt;mso-position-horizontal-relative:page;mso-position-vertical-relative:paragraph;z-index:-910672" coordorigin="3875,1584" coordsize="1358,559">
            <v:group style="position:absolute;left:3875;top:1584;width:1358;height:156" coordorigin="3875,1584" coordsize="1358,156">
              <v:shape style="position:absolute;left:3875;top:1584;width:1358;height:156" coordorigin="3875,1584" coordsize="1358,156" path="m3875,1740l5233,1740,5233,1584,3875,1584,3875,1740xe" filled="true" fillcolor="#ffffff" stroked="false">
                <v:path arrowok="t"/>
                <v:fill type="solid"/>
              </v:shape>
            </v:group>
            <v:group style="position:absolute;left:3887;top:1740;width:2;height:392" coordorigin="3887,1740" coordsize="2,392">
              <v:shape style="position:absolute;left:3887;top:1740;width:2;height:392" coordorigin="3887,1740" coordsize="0,392" path="m3887,1740l3887,2131e" filled="false" stroked="true" strokeweight="1.140pt" strokecolor="#ffffff">
                <v:path arrowok="t"/>
              </v:shape>
            </v:group>
            <v:group style="position:absolute;left:3898;top:1740;width:1312;height:392" coordorigin="3898,1740" coordsize="1312,392">
              <v:shape style="position:absolute;left:3898;top:1740;width:1312;height:392" coordorigin="3898,1740" coordsize="1312,392" path="m3898,2131l5210,2131,5210,1740,3898,1740,3898,2131xe" filled="true" fillcolor="#ffffff" stroked="false">
                <v:path arrowok="t"/>
                <v:fill type="solid"/>
              </v:shape>
            </v:group>
            <w10:wrap type="none"/>
          </v:group>
        </w:pict>
      </w: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王佳佳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韩雪冬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383.47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left="1134" w:right="0"/>
        <w:jc w:val="left"/>
      </w:pPr>
      <w:r>
        <w:rPr/>
        <w:t>公司董事、高级管理人员报告期内被授予的股权激励情况</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公司员工情况" w:id="124"/>
      <w:bookmarkEnd w:id="124"/>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5"/>
      <w:bookmarkEnd w:id="12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w:t>
            </w:r>
          </w:p>
        </w:tc>
      </w:tr>
      <w:tr>
        <w:trPr>
          <w:trHeight w:val="401"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40" w:type="dxa"/>
        <w:tblLayout w:type="fixed"/>
        <w:tblCellMar>
          <w:top w:w="0" w:type="dxa"/>
          <w:left w:w="0" w:type="dxa"/>
          <w:bottom w:w="0" w:type="dxa"/>
          <w:right w:w="0" w:type="dxa"/>
        </w:tblCellMar>
        <w:tblLook w:val="01E0"/>
      </w:tblPr>
      <w:tblGrid>
        <w:gridCol w:w="4768"/>
        <w:gridCol w:w="4790"/>
      </w:tblGrid>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2"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业务运营人员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研发及技术人员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w:t>
            </w:r>
          </w:p>
        </w:tc>
      </w:tr>
      <w:tr>
        <w:trPr>
          <w:trHeight w:val="407"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薪酬政策" w:id="126"/>
      <w:bookmarkEnd w:id="12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050" w:firstLine="360"/>
        <w:jc w:val="both"/>
      </w:pPr>
      <w:r>
        <w:rPr>
          <w:spacing w:val="-2"/>
        </w:rPr>
        <w:t>公司薪酬管理坚持公平性、竞争性、激励性和经济性原则，遵循以能力定岗定级定薪、多种激励方式并行、促进可持续</w:t>
      </w:r>
      <w:r>
        <w:rPr/>
        <w:t> </w:t>
      </w:r>
      <w:r>
        <w:rPr>
          <w:spacing w:val="-2"/>
        </w:rPr>
        <w:t>发展的原则。整体薪酬支付水平和薪酬策略，会考虑公司当年经营状况。具体操作时，人力资源部定期对薪酬进行调查与分</w:t>
      </w:r>
      <w:r>
        <w:rPr>
          <w:spacing w:val="-66"/>
        </w:rPr>
        <w:t> </w:t>
      </w:r>
      <w:r>
        <w:rPr>
          <w:spacing w:val="-66"/>
        </w:rPr>
      </w:r>
      <w:r>
        <w:rPr>
          <w:spacing w:val="-2"/>
        </w:rPr>
        <w:t>析，通过参加城市、行业整体薪酬调研了解市场薪酬水平，同时也对本市及周边地区同行业企业的员工薪酬结构及薪酬水平</w:t>
      </w:r>
      <w:r>
        <w:rPr>
          <w:spacing w:val="-66"/>
        </w:rPr>
        <w:t> </w:t>
      </w:r>
      <w:r>
        <w:rPr>
          <w:spacing w:val="-66"/>
        </w:rPr>
      </w:r>
      <w:r>
        <w:rPr/>
        <w:t>进行调查，对本地区上年社会平均工资水平、居民消费品价格指数进行调查，作为公司对薪酬调整、薪酬改革的参照依据。</w:t>
      </w:r>
    </w:p>
    <w:p>
      <w:pPr>
        <w:spacing w:line="240" w:lineRule="auto" w:before="5"/>
        <w:rPr>
          <w:rFonts w:ascii="宋体" w:hAnsi="宋体" w:cs="宋体" w:eastAsia="宋体" w:hint="default"/>
          <w:sz w:val="22"/>
          <w:szCs w:val="22"/>
        </w:rPr>
      </w:pPr>
    </w:p>
    <w:p>
      <w:pPr>
        <w:pStyle w:val="Heading3"/>
        <w:spacing w:line="240" w:lineRule="auto"/>
        <w:ind w:left="1134" w:right="0"/>
        <w:jc w:val="left"/>
        <w:rPr>
          <w:b w:val="0"/>
          <w:bCs w:val="0"/>
        </w:rPr>
      </w:pPr>
      <w:bookmarkStart w:name="3、培训计划" w:id="127"/>
      <w:bookmarkEnd w:id="12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053" w:firstLine="360"/>
        <w:jc w:val="left"/>
      </w:pPr>
      <w:r>
        <w:rPr/>
        <w:t>公司为提高员工的专业技能和综合素质，有序的开展在岗培训，</w:t>
      </w:r>
      <w:r>
        <w:rPr>
          <w:rFonts w:ascii="Times New Roman" w:hAnsi="Times New Roman" w:cs="Times New Roman" w:eastAsia="Times New Roman" w:hint="default"/>
        </w:rPr>
        <w:t>“</w:t>
      </w:r>
      <w:r>
        <w:rPr/>
        <w:t>派出去、请进来</w:t>
      </w:r>
      <w:r>
        <w:rPr>
          <w:rFonts w:ascii="Times New Roman" w:hAnsi="Times New Roman" w:cs="Times New Roman" w:eastAsia="Times New Roman" w:hint="default"/>
        </w:rPr>
        <w:t>”</w:t>
      </w:r>
      <w:r>
        <w:rPr/>
        <w:t>，提高员工能力和企业核心竞争力， </w:t>
      </w:r>
      <w:r>
        <w:rPr>
          <w:spacing w:val="-2"/>
        </w:rPr>
        <w:t>实现员工与企业的双赢。公司的培训分为内训和外训两部分，内训是指公司为提高员工知识、技能、态度等方面，使用内部</w:t>
      </w:r>
      <w:r>
        <w:rPr>
          <w:spacing w:val="-66"/>
        </w:rPr>
        <w:t> </w:t>
      </w:r>
      <w:r>
        <w:rPr>
          <w:spacing w:val="-66"/>
        </w:rPr>
      </w:r>
      <w:r>
        <w:rPr>
          <w:spacing w:val="-2"/>
        </w:rPr>
        <w:t>资源进行的教学，包含入职培训、岗前培训、在职培训等；外训是指公司为提高员工知识、技能、态度等方面，使用外部资</w:t>
      </w:r>
      <w:r>
        <w:rPr>
          <w:spacing w:val="-71"/>
        </w:rPr>
        <w:t> </w:t>
      </w:r>
      <w:r>
        <w:rPr>
          <w:spacing w:val="-71"/>
        </w:rPr>
      </w:r>
      <w:r>
        <w:rPr/>
        <w:t>源进行的教学；</w:t>
      </w:r>
      <w:r>
        <w:rPr>
          <w:rFonts w:ascii="Times New Roman" w:hAnsi="Times New Roman" w:cs="Times New Roman" w:eastAsia="Times New Roman" w:hint="default"/>
        </w:rPr>
        <w:t>2017</w:t>
      </w:r>
      <w:r>
        <w:rPr/>
        <w:t>年公司共组织了内训</w:t>
      </w:r>
      <w:r>
        <w:rPr>
          <w:rFonts w:ascii="Times New Roman" w:hAnsi="Times New Roman" w:cs="Times New Roman" w:eastAsia="Times New Roman" w:hint="default"/>
        </w:rPr>
        <w:t>187</w:t>
      </w:r>
      <w:r>
        <w:rPr/>
        <w:t>次，外训组织</w:t>
      </w:r>
      <w:r>
        <w:rPr>
          <w:rFonts w:ascii="Times New Roman" w:hAnsi="Times New Roman" w:cs="Times New Roman" w:eastAsia="Times New Roman" w:hint="default"/>
        </w:rPr>
        <w:t>28</w:t>
      </w:r>
      <w:r>
        <w:rPr/>
        <w:t>次。</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4、劳务外包情况" w:id="128"/>
      <w:bookmarkEnd w:id="12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1"/>
        <w:jc w:val="center"/>
        <w:rPr>
          <w:b w:val="0"/>
          <w:bCs w:val="0"/>
        </w:rPr>
      </w:pPr>
      <w:bookmarkStart w:name="_TOC_250003" w:id="129"/>
      <w:bookmarkStart w:name="第九节 公司治理" w:id="130"/>
      <w:r>
        <w:rPr>
          <w:b w:val="0"/>
          <w:bCs w:val="0"/>
        </w:rPr>
      </w:r>
      <w:r>
        <w:rPr/>
        <w:t>第九节</w:t>
      </w:r>
      <w:r>
        <w:rPr>
          <w:spacing w:val="-5"/>
        </w:rPr>
        <w:t> </w:t>
      </w:r>
      <w:r>
        <w:rPr/>
        <w:t>公司治理</w:t>
      </w:r>
      <w:bookmarkEnd w:id="12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1"/>
      <w:bookmarkEnd w:id="131"/>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1" w:firstLine="360"/>
        <w:jc w:val="both"/>
      </w:pPr>
      <w:r>
        <w:rPr>
          <w:spacing w:val="-2"/>
        </w:rPr>
        <w:t>报告期内，公司严格按照《公司法》、《证券法》、《上市公司治理准则》、《深圳证券交易所股票上市规则》、《深</w:t>
      </w:r>
      <w:r>
        <w:rPr/>
        <w:t> </w:t>
      </w:r>
      <w:r>
        <w:rPr>
          <w:spacing w:val="-2"/>
        </w:rPr>
        <w:t>圳证券交易所创业板上市公司规范运作指引》和中国证监会及深圳证券交易所其他有关法律法规的要求，不断完善公司的法</w:t>
      </w:r>
      <w:r>
        <w:rPr>
          <w:spacing w:val="-64"/>
        </w:rPr>
        <w:t> </w:t>
      </w:r>
      <w:r>
        <w:rPr>
          <w:spacing w:val="-64"/>
        </w:rPr>
      </w:r>
      <w:r>
        <w:rPr>
          <w:spacing w:val="-2"/>
        </w:rPr>
        <w:t>人治理结构，健全内部管理、规范运作，公司的治理结构符合中国证监会发布的有关上市公司治理的规范性文件的要求。报</w:t>
      </w:r>
      <w:r>
        <w:rPr>
          <w:spacing w:val="-65"/>
        </w:rPr>
        <w:t> </w:t>
      </w:r>
      <w:r>
        <w:rPr>
          <w:spacing w:val="-65"/>
        </w:rPr>
      </w:r>
      <w:r>
        <w:rPr/>
        <w:t>告期内，公司的经营管理均严格按照各项制度要求执行，实际执行情况与制度文件要求不存在差异。</w:t>
      </w:r>
    </w:p>
    <w:p>
      <w:pPr>
        <w:pStyle w:val="BodyText"/>
        <w:spacing w:line="357" w:lineRule="auto" w:before="58"/>
        <w:ind w:left="1493" w:right="0"/>
        <w:jc w:val="left"/>
      </w:pPr>
      <w:r>
        <w:rPr/>
        <w:t>（一）关于股东与股东大会 </w:t>
      </w:r>
      <w:r>
        <w:rPr>
          <w:spacing w:val="-2"/>
        </w:rPr>
        <w:t>公司股东大会召集召开程序、提案审议程序、决策程序均符合相关规定，保证全体股东，尤其是中小股东能按其所持股</w:t>
      </w:r>
    </w:p>
    <w:p>
      <w:pPr>
        <w:pStyle w:val="BodyText"/>
        <w:spacing w:line="224" w:lineRule="exact"/>
        <w:ind w:right="0"/>
        <w:jc w:val="both"/>
      </w:pPr>
      <w:r>
        <w:rPr/>
        <w:t>份享有平等权利，并能充分行使其相应的权利。同时，公司严格执行《股东大会网络投票实施细则》，保证了全体股东对公</w:t>
      </w:r>
    </w:p>
    <w:p>
      <w:pPr>
        <w:pStyle w:val="BodyText"/>
        <w:spacing w:line="319" w:lineRule="auto" w:before="76"/>
        <w:ind w:right="1131"/>
        <w:jc w:val="both"/>
      </w:pPr>
      <w:r>
        <w:rPr>
          <w:spacing w:val="-2"/>
        </w:rPr>
        <w:t>司重大事项的知情权、参与权及表决权。公司已聘请常年法律顾问，上市后召开股东大会均有律师现场见证并出具法律意见</w:t>
      </w:r>
      <w:r>
        <w:rPr>
          <w:spacing w:val="-65"/>
        </w:rPr>
        <w:t> </w:t>
      </w:r>
      <w:r>
        <w:rPr>
          <w:spacing w:val="-65"/>
        </w:rPr>
      </w:r>
      <w:r>
        <w:rPr/>
        <w:t>书，保证股东大会的合法有效，切实维护上市公司和全体股东的合法权益。</w:t>
      </w:r>
    </w:p>
    <w:p>
      <w:pPr>
        <w:pStyle w:val="BodyText"/>
        <w:spacing w:line="357" w:lineRule="auto" w:before="56"/>
        <w:ind w:left="1493" w:right="0"/>
        <w:jc w:val="left"/>
      </w:pPr>
      <w:r>
        <w:rPr/>
        <w:t>（二）关于控股股东与公司的关系 </w:t>
      </w:r>
      <w:r>
        <w:rPr>
          <w:spacing w:val="-2"/>
        </w:rPr>
        <w:t>公司控股股东严格按照《上市公司治理准则》、《深圳证券交易所创业板股票上市规则》、《深圳证券交易所创业板上</w:t>
      </w:r>
    </w:p>
    <w:p>
      <w:pPr>
        <w:pStyle w:val="BodyText"/>
        <w:spacing w:line="224" w:lineRule="exact"/>
        <w:ind w:right="0"/>
        <w:jc w:val="both"/>
      </w:pPr>
      <w:r>
        <w:rPr>
          <w:spacing w:val="-4"/>
        </w:rPr>
        <w:t>市公司规范运指引》、《公司章程》等规定和要求，不存在超越公司股东大会直接或间接干预公司的决策和经营活动的行为，</w:t>
      </w:r>
    </w:p>
    <w:p>
      <w:pPr>
        <w:pStyle w:val="BodyText"/>
        <w:spacing w:line="319" w:lineRule="auto" w:before="76"/>
        <w:ind w:right="1132"/>
        <w:jc w:val="both"/>
      </w:pPr>
      <w:r>
        <w:rPr>
          <w:spacing w:val="-2"/>
        </w:rPr>
        <w:t>未损害公司及其他股东的利益，不存在控股股东占用公司资金的现象，公司亦无为控股股东提供担保的情形。公司拥有独立</w:t>
      </w:r>
      <w:r>
        <w:rPr>
          <w:spacing w:val="-66"/>
        </w:rPr>
        <w:t> </w:t>
      </w:r>
      <w:r>
        <w:rPr>
          <w:spacing w:val="-66"/>
        </w:rPr>
      </w:r>
      <w:r>
        <w:rPr>
          <w:spacing w:val="-2"/>
        </w:rPr>
        <w:t>完整的业务和自主经营能力，在业务、资产、人员、机构、财务上独立于控股股东，公司董事会、监事会和内部机构独立运</w:t>
      </w:r>
      <w:r>
        <w:rPr>
          <w:spacing w:val="-71"/>
        </w:rPr>
        <w:t> </w:t>
      </w:r>
      <w:r>
        <w:rPr>
          <w:spacing w:val="-71"/>
        </w:rPr>
      </w:r>
      <w:r>
        <w:rPr/>
        <w:t>作。</w:t>
      </w:r>
    </w:p>
    <w:p>
      <w:pPr>
        <w:pStyle w:val="BodyText"/>
        <w:spacing w:line="357" w:lineRule="auto" w:before="57"/>
        <w:ind w:left="1494" w:right="0"/>
        <w:jc w:val="left"/>
      </w:pPr>
      <w:r>
        <w:rPr/>
        <w:t>（三）关于董事与董事会 </w:t>
      </w:r>
      <w:r>
        <w:rPr>
          <w:spacing w:val="-4"/>
        </w:rPr>
        <w:t>报告期内，公司董事会设董事</w:t>
      </w:r>
      <w:r>
        <w:rPr>
          <w:rFonts w:ascii="Times New Roman" w:hAnsi="Times New Roman" w:cs="Times New Roman" w:eastAsia="Times New Roman" w:hint="default"/>
          <w:spacing w:val="-4"/>
        </w:rPr>
        <w:t>5</w:t>
      </w:r>
      <w:r>
        <w:rPr>
          <w:spacing w:val="-4"/>
        </w:rPr>
        <w:t>名，其中独立董事</w:t>
      </w:r>
      <w:r>
        <w:rPr>
          <w:rFonts w:ascii="Times New Roman" w:hAnsi="Times New Roman" w:cs="Times New Roman" w:eastAsia="Times New Roman" w:hint="default"/>
          <w:spacing w:val="-4"/>
        </w:rPr>
        <w:t>2</w:t>
      </w:r>
      <w:r>
        <w:rPr>
          <w:spacing w:val="-4"/>
        </w:rPr>
        <w:t>名，董事会的人数及人员构成符合法律、法规和《公司章程》的要求。</w:t>
      </w:r>
    </w:p>
    <w:p>
      <w:pPr>
        <w:pStyle w:val="BodyText"/>
        <w:spacing w:line="201" w:lineRule="exact"/>
        <w:ind w:left="1134" w:right="0"/>
        <w:jc w:val="both"/>
      </w:pPr>
      <w:r>
        <w:rPr/>
        <w:t>各位董事能够依据《董事会议事规则》、《独立董事工作制度》、《深圳证券交易所创业板上市公司规范运作指引》等规定</w:t>
      </w:r>
    </w:p>
    <w:p>
      <w:pPr>
        <w:pStyle w:val="BodyText"/>
        <w:spacing w:line="319" w:lineRule="auto" w:before="76"/>
        <w:ind w:left="1134" w:right="1131"/>
        <w:jc w:val="both"/>
      </w:pPr>
      <w:r>
        <w:rPr>
          <w:spacing w:val="-2"/>
        </w:rPr>
        <w:t>开展工作，积极参加董事会和股东大会，勤勉尽责地履行职责和义务；同时积极参加相关培训，学习相关法律法规，不断提</w:t>
      </w:r>
      <w:r>
        <w:rPr>
          <w:spacing w:val="-66"/>
        </w:rPr>
        <w:t> </w:t>
      </w:r>
      <w:r>
        <w:rPr>
          <w:spacing w:val="-66"/>
        </w:rPr>
      </w:r>
      <w:r>
        <w:rPr>
          <w:spacing w:val="-2"/>
        </w:rPr>
        <w:t>高履职水平。独立董事能够不受公司控股股东、实际控制人以及其它与公司存在利害关系的单位或个人的影响，独立履行职</w:t>
      </w:r>
      <w:r>
        <w:rPr>
          <w:spacing w:val="-66"/>
        </w:rPr>
        <w:t> </w:t>
      </w:r>
      <w:r>
        <w:rPr>
          <w:spacing w:val="-66"/>
        </w:rPr>
      </w:r>
      <w:r>
        <w:rPr>
          <w:spacing w:val="-2"/>
        </w:rPr>
        <w:t>责，对公司的重大事项均能发表独立意见。公司按照《深圳证券交易所创业板上市公司规范运作指引》的要求，在董事会下</w:t>
      </w:r>
      <w:r>
        <w:rPr>
          <w:spacing w:val="-65"/>
        </w:rPr>
        <w:t> </w:t>
      </w:r>
      <w:r>
        <w:rPr>
          <w:spacing w:val="-65"/>
        </w:rPr>
      </w:r>
      <w:r>
        <w:rPr/>
        <w:t>设立战略、审计、提名、薪酬与考核委员会四个专门委员会，提高董事运作效率。</w:t>
      </w:r>
    </w:p>
    <w:p>
      <w:pPr>
        <w:pStyle w:val="BodyText"/>
        <w:spacing w:line="357" w:lineRule="auto" w:before="58"/>
        <w:ind w:left="1493" w:right="0"/>
        <w:jc w:val="left"/>
      </w:pPr>
      <w:r>
        <w:rPr/>
        <w:t>（四）关于监事与监事会 </w:t>
      </w:r>
      <w:r>
        <w:rPr>
          <w:spacing w:val="-2"/>
        </w:rPr>
        <w:t>公司监事会由</w:t>
      </w:r>
      <w:r>
        <w:rPr>
          <w:rFonts w:ascii="Times New Roman" w:hAnsi="Times New Roman" w:cs="Times New Roman" w:eastAsia="Times New Roman" w:hint="default"/>
          <w:spacing w:val="-2"/>
        </w:rPr>
        <w:t>3</w:t>
      </w:r>
      <w:r>
        <w:rPr>
          <w:spacing w:val="-2"/>
        </w:rPr>
        <w:t>名成员组成，其中职工代表监事</w:t>
      </w:r>
      <w:r>
        <w:rPr>
          <w:rFonts w:ascii="Times New Roman" w:hAnsi="Times New Roman" w:cs="Times New Roman" w:eastAsia="Times New Roman" w:hint="default"/>
          <w:spacing w:val="-2"/>
        </w:rPr>
        <w:t>2</w:t>
      </w:r>
      <w:r>
        <w:rPr>
          <w:spacing w:val="-2"/>
        </w:rPr>
        <w:t>名，由职工代表大会选举产生。监事会的人数和构成符合法律、法规和</w:t>
      </w:r>
    </w:p>
    <w:p>
      <w:pPr>
        <w:pStyle w:val="BodyText"/>
        <w:spacing w:line="201" w:lineRule="exact"/>
        <w:ind w:left="1134" w:right="0"/>
        <w:jc w:val="both"/>
      </w:pPr>
      <w:r>
        <w:rPr>
          <w:spacing w:val="-4"/>
        </w:rPr>
        <w:t>《公司章程》的规定与要求。公司监事会依照《深圳证券交易所创业板股票上市规则》、《公司章程》及《监事会议事规则》</w:t>
      </w:r>
    </w:p>
    <w:p>
      <w:pPr>
        <w:pStyle w:val="BodyText"/>
        <w:spacing w:line="319" w:lineRule="auto" w:before="76"/>
        <w:ind w:left="1134" w:right="1049"/>
        <w:jc w:val="both"/>
      </w:pPr>
      <w:r>
        <w:rPr/>
        <w:t>的规定开展工作，认真履行自己的职责，对公司重大事项、财务状况以及董事、高管人员履行职责的合法合规性进行监督， 保证了公司监事会的规范运作。</w:t>
      </w:r>
    </w:p>
    <w:p>
      <w:pPr>
        <w:pStyle w:val="BodyText"/>
        <w:spacing w:line="357" w:lineRule="auto" w:before="56"/>
        <w:ind w:left="1494" w:right="0"/>
        <w:jc w:val="left"/>
      </w:pPr>
      <w:r>
        <w:rPr/>
        <w:t>（五）关于信息披露与透明度 </w:t>
      </w:r>
      <w:r>
        <w:rPr>
          <w:spacing w:val="-2"/>
        </w:rPr>
        <w:t>公司高度重视信息披露与投资者关系管理工作，严格按照《上市公司信息披露管理办法》、深圳证券交易所创业板上市</w:t>
      </w:r>
    </w:p>
    <w:p>
      <w:pPr>
        <w:pStyle w:val="BodyText"/>
        <w:spacing w:line="224" w:lineRule="exact"/>
        <w:ind w:left="1134" w:right="0"/>
        <w:jc w:val="both"/>
      </w:pPr>
      <w:r>
        <w:rPr/>
        <w:t>公司的信息披露格式指引等规定以及公司制定的《信息披露管理制度》、《投资者关系管理制度》、《内幕信息知情人登记</w:t>
      </w:r>
    </w:p>
    <w:p>
      <w:pPr>
        <w:pStyle w:val="BodyText"/>
        <w:spacing w:line="240" w:lineRule="auto" w:before="75"/>
        <w:ind w:left="1134" w:right="0"/>
        <w:jc w:val="both"/>
      </w:pPr>
      <w:r>
        <w:rPr>
          <w:spacing w:val="-7"/>
        </w:rPr>
        <w:t>管理制度》等操作文件的要求，真实、准确、完整及时地披露信息。公司指定《证券时报》、《中国证券报》、《证券日报》、</w:t>
      </w:r>
    </w:p>
    <w:p>
      <w:pPr>
        <w:pStyle w:val="BodyText"/>
        <w:spacing w:line="319" w:lineRule="auto" w:before="76"/>
        <w:ind w:left="1134" w:right="1043"/>
        <w:jc w:val="both"/>
      </w:pPr>
      <w:r>
        <w:rPr>
          <w:spacing w:val="-2"/>
        </w:rPr>
        <w:t>《上海证券报》为信息披露报纸，巨潮资讯网为信息披露网站。公司上市以来，通过电话、邮箱、深交所互动易平台、接待</w:t>
      </w:r>
      <w:r>
        <w:rPr>
          <w:spacing w:val="-72"/>
        </w:rPr>
        <w:t> </w:t>
      </w:r>
      <w:r>
        <w:rPr>
          <w:spacing w:val="-72"/>
        </w:rPr>
      </w:r>
      <w:r>
        <w:rPr>
          <w:spacing w:val="-2"/>
        </w:rPr>
        <w:t>投资者现场调研等多种方式与投资者进行沟通和交流，充分开展投资者关系管理工作。作为公众公司，在资本市场需要与投</w:t>
      </w:r>
      <w:r>
        <w:rPr>
          <w:spacing w:val="-66"/>
        </w:rPr>
        <w:t> </w:t>
      </w:r>
      <w:r>
        <w:rPr>
          <w:spacing w:val="-66"/>
        </w:rPr>
      </w:r>
      <w:r>
        <w:rPr>
          <w:spacing w:val="-4"/>
        </w:rPr>
        <w:t>资者建立良性互动的关系，公司仍需要进一步加强投资者关系管理工作，以提高公司信息透明度，保障全体股东的合法权益。</w:t>
      </w:r>
    </w:p>
    <w:p>
      <w:pPr>
        <w:pStyle w:val="BodyText"/>
        <w:spacing w:line="357" w:lineRule="auto" w:before="58"/>
        <w:ind w:left="1424" w:right="0" w:firstLine="69"/>
        <w:jc w:val="left"/>
      </w:pPr>
      <w:r>
        <w:rPr/>
        <w:t>（六）关于利益相关者 </w:t>
      </w:r>
      <w:r>
        <w:rPr>
          <w:spacing w:val="-1"/>
        </w:rPr>
        <w:t>公司能够充分尊重和维护相关利益者的合法权益，加强与各方的沟通、交流和合作，实现股东、员工、社会等各方利益</w:t>
      </w:r>
    </w:p>
    <w:p>
      <w:pPr>
        <w:spacing w:after="0" w:line="357"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right="3553"/>
        <w:jc w:val="left"/>
      </w:pPr>
      <w:r>
        <w:rPr/>
        <w:t>的协调平衡，共同推动公司持续、稳定、健康地发展。 公司治理的实际状况与中国证监会发布的有关上市公司治理的规范性文件是否存在重大差异</w:t>
      </w:r>
    </w:p>
    <w:p>
      <w:pPr>
        <w:pStyle w:val="BodyText"/>
        <w:spacing w:line="338" w:lineRule="auto" w:before="29"/>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2"/>
      <w:bookmarkEnd w:id="132"/>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3" w:firstLine="360"/>
        <w:jc w:val="left"/>
      </w:pPr>
      <w:r>
        <w:rPr/>
        <w:t>报告期内，公司严格按照《公司法》、《证券法》等有关法律、法规和《公司章程》的要求规范运作，在业务、人员、 资产、机构、财务等方面与公司控股股东完全分开，具有独立、完整的资产和业务及面向市场、自主经营的能力。</w:t>
      </w:r>
    </w:p>
    <w:p>
      <w:pPr>
        <w:pStyle w:val="BodyText"/>
        <w:spacing w:line="340" w:lineRule="auto" w:before="56"/>
        <w:ind w:left="1494" w:right="1212"/>
        <w:jc w:val="left"/>
      </w:pPr>
      <w:r>
        <w:rPr/>
        <w:t>（</w:t>
      </w:r>
      <w:r>
        <w:rPr>
          <w:rFonts w:ascii="Times New Roman" w:hAnsi="Times New Roman" w:cs="Times New Roman" w:eastAsia="Times New Roman" w:hint="default"/>
        </w:rPr>
        <w:t>1</w:t>
      </w:r>
      <w:r>
        <w:rPr/>
        <w:t>）业务独立情况 公司业务独立于公司控股股东。作为商业服务型企业，公司拥有完整独立的运营管理团队和服务系统，具有独立完整</w:t>
      </w:r>
    </w:p>
    <w:p>
      <w:pPr>
        <w:pStyle w:val="BodyText"/>
        <w:spacing w:line="240" w:lineRule="auto" w:before="40"/>
        <w:ind w:right="0"/>
        <w:jc w:val="left"/>
      </w:pPr>
      <w:r>
        <w:rPr/>
        <w:t>的业务体系及面向市场独立经营的能力，不依赖于股东或其他任何关联方。</w:t>
      </w:r>
    </w:p>
    <w:p>
      <w:pPr>
        <w:pStyle w:val="BodyText"/>
        <w:spacing w:line="338" w:lineRule="auto" w:before="116"/>
        <w:ind w:left="1494" w:right="0"/>
        <w:jc w:val="left"/>
      </w:pPr>
      <w:r>
        <w:rPr/>
        <w:t>（</w:t>
      </w:r>
      <w:r>
        <w:rPr>
          <w:rFonts w:ascii="Times New Roman" w:hAnsi="Times New Roman" w:cs="Times New Roman" w:eastAsia="Times New Roman" w:hint="default"/>
        </w:rPr>
        <w:t>2</w:t>
      </w:r>
      <w:r>
        <w:rPr/>
        <w:t>）人员独立情况 </w:t>
      </w:r>
      <w:r>
        <w:rPr>
          <w:spacing w:val="-2"/>
        </w:rPr>
        <w:t>公司人员、劳动、人事及工资完全独立。公司总经理、副总经理、董事会秘书、财务负责人等高级管理人员均在公司工</w:t>
      </w:r>
    </w:p>
    <w:p>
      <w:pPr>
        <w:pStyle w:val="BodyText"/>
        <w:spacing w:line="240" w:lineRule="auto" w:before="4"/>
        <w:ind w:left="1134" w:right="0"/>
        <w:jc w:val="left"/>
      </w:pPr>
      <w:r>
        <w:rPr/>
        <w:t>作并领取薪酬</w:t>
      </w:r>
      <w:r>
        <w:rPr>
          <w:spacing w:val="-87"/>
        </w:rPr>
        <w:t>，</w:t>
      </w:r>
      <w:r>
        <w:rPr/>
        <w:t>未在控股股东及其下属企业担任任何经营职务和领取报酬</w:t>
      </w:r>
      <w:r>
        <w:rPr>
          <w:spacing w:val="-87"/>
        </w:rPr>
        <w:t>；</w:t>
      </w:r>
      <w:r>
        <w:rPr/>
        <w:t>公司财务人员没有在控股股东及其下属企业兼职。</w:t>
      </w:r>
    </w:p>
    <w:p>
      <w:pPr>
        <w:pStyle w:val="BodyText"/>
        <w:spacing w:line="338" w:lineRule="auto" w:before="116"/>
        <w:ind w:left="1494" w:right="1572"/>
        <w:jc w:val="left"/>
      </w:pPr>
      <w:r>
        <w:rPr/>
        <w:t>（</w:t>
      </w:r>
      <w:r>
        <w:rPr>
          <w:rFonts w:ascii="Times New Roman" w:hAnsi="Times New Roman" w:cs="Times New Roman" w:eastAsia="Times New Roman" w:hint="default"/>
        </w:rPr>
        <w:t>3</w:t>
      </w:r>
      <w:r>
        <w:rPr/>
        <w:t>）资产完整情况 公司资产完整，拥有独立于股东单位及其他关联方的房屋、设备等固定资产，也独立拥有注册商标等无形资产。</w:t>
      </w:r>
    </w:p>
    <w:p>
      <w:pPr>
        <w:pStyle w:val="BodyText"/>
        <w:spacing w:line="338" w:lineRule="auto" w:before="43"/>
        <w:ind w:left="1494" w:right="0"/>
        <w:jc w:val="left"/>
      </w:pPr>
      <w:r>
        <w:rPr/>
        <w:t>（</w:t>
      </w:r>
      <w:r>
        <w:rPr>
          <w:rFonts w:ascii="Times New Roman" w:hAnsi="Times New Roman" w:cs="Times New Roman" w:eastAsia="Times New Roman" w:hint="default"/>
        </w:rPr>
        <w:t>4</w:t>
      </w:r>
      <w:r>
        <w:rPr/>
        <w:t>）机构独立情况 </w:t>
      </w:r>
      <w:r>
        <w:rPr>
          <w:spacing w:val="-4"/>
        </w:rPr>
        <w:t>公司各部门独立履行其职责，负责公司的生产经营活动，其履行职能不受控股股东、其他有关部门或单位、个人的干预，</w:t>
      </w:r>
    </w:p>
    <w:p>
      <w:pPr>
        <w:pStyle w:val="BodyText"/>
        <w:spacing w:line="240" w:lineRule="auto" w:before="4"/>
        <w:ind w:left="1134" w:right="0"/>
        <w:jc w:val="left"/>
      </w:pPr>
      <w:r>
        <w:rPr>
          <w:spacing w:val="-4"/>
        </w:rPr>
        <w:t>并且与控股股东及其职能部门之间不存在隶属关系，公司办公场所与股东单位完全分开，不存在混合经营、合署办公的情况。</w:t>
      </w:r>
    </w:p>
    <w:p>
      <w:pPr>
        <w:pStyle w:val="BodyText"/>
        <w:spacing w:line="338" w:lineRule="auto" w:before="116"/>
        <w:ind w:left="1514" w:right="0" w:hanging="21"/>
        <w:jc w:val="left"/>
      </w:pPr>
      <w:r>
        <w:rPr/>
        <w:t>（</w:t>
      </w:r>
      <w:r>
        <w:rPr>
          <w:rFonts w:ascii="Times New Roman" w:hAnsi="Times New Roman" w:cs="Times New Roman" w:eastAsia="Times New Roman" w:hint="default"/>
        </w:rPr>
        <w:t>5</w:t>
      </w:r>
      <w:r>
        <w:rPr/>
        <w:t>）财务独立情况 公司设有独立的财务部门负责本公司的会计核算和财务管理工作。本公司财务负责人及财务人员均专职在本公司工作</w:t>
      </w:r>
    </w:p>
    <w:p>
      <w:pPr>
        <w:pStyle w:val="BodyText"/>
        <w:spacing w:line="319" w:lineRule="auto" w:before="2"/>
        <w:ind w:left="1134" w:right="1032"/>
        <w:jc w:val="left"/>
      </w:pPr>
      <w:r>
        <w:rPr/>
        <w:t>并领取薪酬，未在与本公司业务相同或相似、或存在其他利益冲突的企业任职。本公司按照《会计法》、《企业会计准则》 </w:t>
      </w:r>
      <w:r>
        <w:rPr>
          <w:spacing w:val="-2"/>
        </w:rPr>
        <w:t>等法律法规的要求，建立了符合自身特点的独立的会计核算体系和财务管理制度，并实施严格的内部审计制度。本公司开设</w:t>
      </w:r>
      <w:r>
        <w:rPr>
          <w:spacing w:val="-66"/>
        </w:rPr>
        <w:t> </w:t>
      </w:r>
      <w:r>
        <w:rPr>
          <w:spacing w:val="-66"/>
        </w:rPr>
      </w:r>
      <w:r>
        <w:rPr/>
        <w:t>了独立的银行账户，且作为独立纳税人依法纳税。</w:t>
      </w:r>
    </w:p>
    <w:p>
      <w:pPr>
        <w:spacing w:line="240" w:lineRule="auto" w:before="6"/>
        <w:rPr>
          <w:rFonts w:ascii="宋体" w:hAnsi="宋体" w:cs="宋体" w:eastAsia="宋体" w:hint="default"/>
          <w:sz w:val="20"/>
          <w:szCs w:val="20"/>
        </w:rPr>
      </w:pPr>
    </w:p>
    <w:p>
      <w:pPr>
        <w:pStyle w:val="Heading2"/>
        <w:spacing w:line="240" w:lineRule="auto"/>
        <w:ind w:left="1134" w:right="0"/>
        <w:jc w:val="left"/>
        <w:rPr>
          <w:b w:val="0"/>
          <w:bCs w:val="0"/>
        </w:rPr>
      </w:pPr>
      <w:bookmarkStart w:name="三、同业竞争情况" w:id="133"/>
      <w:bookmarkEnd w:id="133"/>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4"/>
      <w:bookmarkEnd w:id="134"/>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5"/>
      <w:bookmarkEnd w:id="13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10"/>
                <w:sz w:val="18"/>
                <w:szCs w:val="18"/>
              </w:rPr>
              <w:t>公司尚未上市，无需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披露</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10"/>
                <w:sz w:val="18"/>
                <w:szCs w:val="18"/>
              </w:rPr>
              <w:t>公司尚未上市，无需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披露</w:t>
            </w:r>
          </w:p>
        </w:tc>
      </w:tr>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71.59%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7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时股东大会决议公 </w:t>
            </w:r>
            <w:r>
              <w:rPr>
                <w:rFonts w:ascii="宋体" w:hAnsi="宋体" w:cs="宋体" w:eastAsia="宋体" w:hint="default"/>
                <w:spacing w:val="-12"/>
                <w:sz w:val="18"/>
                <w:szCs w:val="18"/>
              </w:rPr>
              <w:t>告》（公告编号：</w:t>
            </w:r>
          </w:p>
        </w:tc>
      </w:tr>
    </w:tbl>
    <w:p>
      <w:pPr>
        <w:spacing w:after="0" w:line="30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298"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2017-016</w:t>
            </w:r>
            <w:r>
              <w:rPr>
                <w:rFonts w:ascii="宋体" w:hAnsi="宋体" w:cs="宋体" w:eastAsia="宋体" w:hint="default"/>
                <w:spacing w:val="-4"/>
                <w:sz w:val="18"/>
                <w:szCs w:val="18"/>
              </w:rPr>
              <w:t>）披露在巨</w:t>
            </w:r>
            <w:r>
              <w:rPr>
                <w:rFonts w:ascii="宋体" w:hAnsi="宋体" w:cs="宋体" w:eastAsia="宋体" w:hint="default"/>
                <w:sz w:val="18"/>
                <w:szCs w:val="18"/>
              </w:rPr>
              <w:t> 潮资讯网</w:t>
            </w:r>
          </w:p>
          <w:p>
            <w:pPr>
              <w:pStyle w:val="TableParagraph"/>
              <w:spacing w:line="302" w:lineRule="auto" w:before="31"/>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13">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表决权恢复的优先股股东请求召开临时股东大会" w:id="136"/>
      <w:bookmarkEnd w:id="13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7"/>
      <w:bookmarkEnd w:id="137"/>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8"/>
      <w:bookmarkEnd w:id="13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57" w:lineRule="auto" w:before="51"/>
        <w:ind w:left="1134" w:right="8052"/>
        <w:jc w:val="left"/>
      </w:pPr>
      <w:r>
        <w:rPr/>
        <w:t>连续两次未亲自出席董事会的说明 无</w:t>
      </w:r>
    </w:p>
    <w:p>
      <w:pPr>
        <w:spacing w:line="240" w:lineRule="auto" w:before="1"/>
        <w:rPr>
          <w:rFonts w:ascii="宋体" w:hAnsi="宋体" w:cs="宋体" w:eastAsia="宋体" w:hint="default"/>
          <w:sz w:val="20"/>
          <w:szCs w:val="20"/>
        </w:rPr>
      </w:pPr>
    </w:p>
    <w:p>
      <w:pPr>
        <w:pStyle w:val="Heading3"/>
        <w:spacing w:line="240" w:lineRule="auto"/>
        <w:ind w:left="1134" w:right="0"/>
        <w:jc w:val="left"/>
        <w:rPr>
          <w:b w:val="0"/>
          <w:bCs w:val="0"/>
        </w:rPr>
      </w:pPr>
      <w:bookmarkStart w:name="2、独立董事对公司有关事项提出异议的情况" w:id="139"/>
      <w:bookmarkEnd w:id="13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独立董事对公司有关事项是否提出异议</w:t>
      </w:r>
    </w:p>
    <w:p>
      <w:pPr>
        <w:pStyle w:val="BodyText"/>
        <w:spacing w:line="338" w:lineRule="auto" w:before="117"/>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40"/>
      <w:bookmarkEnd w:id="14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0"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9" w:lineRule="auto" w:before="39"/>
        <w:ind w:right="0" w:firstLine="360"/>
        <w:jc w:val="left"/>
      </w:pPr>
      <w:r>
        <w:rPr>
          <w:spacing w:val="-4"/>
        </w:rPr>
        <w:t>公司独立董事勤勉尽责，严格按照中国证监会的相关规定及《公司章程》、《董事会议事规则》和《独立董事工作制度》</w:t>
      </w:r>
      <w:r>
        <w:rPr/>
        <w:t> </w:t>
      </w:r>
      <w:r>
        <w:rPr>
          <w:spacing w:val="-2"/>
        </w:rPr>
        <w:t>开展工作，关注公司运作，独立履行职责，对公司内部控制建设、管理体系建设，对公司财务及生产经营活动进行了有效监</w:t>
      </w:r>
      <w:r>
        <w:rPr>
          <w:spacing w:val="-66"/>
        </w:rPr>
        <w:t> </w:t>
      </w:r>
      <w:r>
        <w:rPr>
          <w:spacing w:val="-66"/>
        </w:rPr>
      </w:r>
      <w:r>
        <w:rPr/>
        <w:t>督，提高了公司决策的科学性，为完善公司监督机制，维护投资者特别是中小投资者的合法权益发挥了应有的作用。</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1"/>
      <w:bookmarkEnd w:id="141"/>
      <w:r>
        <w:rPr>
          <w:b w:val="0"/>
          <w:bCs w:val="0"/>
        </w:rPr>
      </w:r>
      <w:r>
        <w:rPr/>
        <w:t>六、董事会下设专门委员会在报告期内履行职责情况</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right="1129" w:firstLine="360"/>
        <w:jc w:val="both"/>
      </w:pPr>
      <w:r>
        <w:rPr>
          <w:spacing w:val="-2"/>
        </w:rPr>
        <w:t>公司董事会下设审计委员会、提名委员会、薪酬与考核委员会、战略委员会，报告期内公司董事会下设的四个专门委员</w:t>
      </w:r>
      <w:r>
        <w:rPr/>
        <w:t> 会严格按照《公司章程》、《董事会议事规则》及各专门委员会的实施细则等相关规定履行各项职责</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报告期内各委员会履 行职责情况如下：</w:t>
      </w:r>
    </w:p>
    <w:p>
      <w:pPr>
        <w:spacing w:after="0" w:line="309"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left="1493" w:right="0"/>
        <w:jc w:val="left"/>
      </w:pPr>
      <w:r>
        <w:rPr/>
        <w:t>（一）审计委员会 </w:t>
      </w:r>
      <w:r>
        <w:rPr>
          <w:spacing w:val="-2"/>
        </w:rPr>
        <w:t>报告期内，公司董事会审计委员会根据《公司法》、《证券法》、《上市公司治理准则》、公司《董事会审计委员会工</w:t>
      </w:r>
    </w:p>
    <w:p>
      <w:pPr>
        <w:pStyle w:val="BodyText"/>
        <w:spacing w:line="224" w:lineRule="exact"/>
        <w:ind w:right="0"/>
        <w:jc w:val="left"/>
      </w:pPr>
      <w:r>
        <w:rPr/>
        <w:t>作细则》等有关规定，积极履行职责，督促和指导公司审计部门对公司财务管理运行情况进行定期和不定期的检查和评估，</w:t>
      </w:r>
    </w:p>
    <w:p>
      <w:pPr>
        <w:pStyle w:val="BodyText"/>
        <w:spacing w:line="319" w:lineRule="auto" w:before="76"/>
        <w:ind w:right="0"/>
        <w:jc w:val="left"/>
      </w:pPr>
      <w:r>
        <w:rPr>
          <w:spacing w:val="-2"/>
        </w:rPr>
        <w:t>审查了公司内部控制制度及执行情况，审核了公司所有重要的会计政策，定期了解公司财务状况和经营情况，委员会认为公</w:t>
      </w:r>
      <w:r>
        <w:rPr>
          <w:spacing w:val="-66"/>
        </w:rPr>
        <w:t> </w:t>
      </w:r>
      <w:r>
        <w:rPr>
          <w:spacing w:val="-66"/>
        </w:rPr>
      </w:r>
      <w:r>
        <w:rPr/>
        <w:t>司内控制度体系符合法律、法规及《公司章程》的要求，适应当前公司生产经营实际情况的需要。</w:t>
      </w:r>
    </w:p>
    <w:p>
      <w:pPr>
        <w:pStyle w:val="BodyText"/>
        <w:spacing w:line="357" w:lineRule="auto" w:before="58"/>
        <w:ind w:left="1493" w:right="1033"/>
        <w:jc w:val="left"/>
      </w:pPr>
      <w:r>
        <w:rPr/>
        <w:t>（二）提名委员会 报告期内，提名委员会根据《董事会提名委员会工作细则》及其他有关规定积极开展工作，认真履行职责。报告期内，</w:t>
      </w:r>
    </w:p>
    <w:p>
      <w:pPr>
        <w:pStyle w:val="BodyText"/>
        <w:spacing w:line="224" w:lineRule="exact"/>
        <w:ind w:right="0"/>
        <w:jc w:val="left"/>
      </w:pPr>
      <w:r>
        <w:rPr/>
        <w:t>提名委员会对公司董事会规模和人员结构的情况、董事和高级管理人员的任职资格等相关事宜进行了认真的评审，认为公司</w:t>
      </w:r>
    </w:p>
    <w:p>
      <w:pPr>
        <w:pStyle w:val="BodyText"/>
        <w:spacing w:line="240" w:lineRule="auto" w:before="77"/>
        <w:ind w:right="0"/>
        <w:jc w:val="left"/>
      </w:pPr>
      <w:r>
        <w:rPr/>
        <w:t>董事、高级管理人员具有丰富的行业经验和管理经验，完全胜任各自的工作。</w:t>
      </w:r>
    </w:p>
    <w:p>
      <w:pPr>
        <w:pStyle w:val="BodyText"/>
        <w:spacing w:line="357" w:lineRule="auto" w:before="116"/>
        <w:ind w:left="1493" w:right="0"/>
        <w:jc w:val="left"/>
      </w:pPr>
      <w:r>
        <w:rPr/>
        <w:t>（三）薪酬与考核委员会 </w:t>
      </w:r>
      <w:r>
        <w:rPr>
          <w:spacing w:val="-4"/>
        </w:rPr>
        <w:t>报告期内，薪酬与考核委员会根据《董事会薪酬和考核委员会工作细则》及其他有关规定积极开展工作，认真履行职责。</w:t>
      </w:r>
    </w:p>
    <w:p>
      <w:pPr>
        <w:pStyle w:val="BodyText"/>
        <w:spacing w:line="224" w:lineRule="exact"/>
        <w:ind w:right="0"/>
        <w:jc w:val="left"/>
      </w:pPr>
      <w:r>
        <w:rPr/>
        <w:t>报告期内，薪酬与考核委员会对公司董事和高级管理人员的薪酬情况进行了审核，认为其薪酬标准和年度薪酬总额的确定符</w:t>
      </w:r>
    </w:p>
    <w:p>
      <w:pPr>
        <w:pStyle w:val="BodyText"/>
        <w:spacing w:line="240" w:lineRule="auto" w:before="77"/>
        <w:ind w:right="0"/>
        <w:jc w:val="left"/>
      </w:pPr>
      <w:r>
        <w:rPr/>
        <w:t>合公司相关薪酬管理制度的规定。</w:t>
      </w:r>
    </w:p>
    <w:p>
      <w:pPr>
        <w:pStyle w:val="BodyText"/>
        <w:spacing w:line="357" w:lineRule="auto" w:before="116"/>
        <w:ind w:left="1424" w:right="0" w:firstLine="69"/>
        <w:jc w:val="left"/>
      </w:pPr>
      <w:r>
        <w:rPr/>
        <w:t>（四）战略委员会 </w:t>
      </w:r>
      <w:r>
        <w:rPr>
          <w:spacing w:val="-1"/>
        </w:rPr>
        <w:t>报告期内，战略发展委员会根据《董事会战略委员会工作细则》及其他有关规定积极开展工作，认真履行职责。结合国</w:t>
      </w:r>
    </w:p>
    <w:p>
      <w:pPr>
        <w:pStyle w:val="BodyText"/>
        <w:spacing w:line="224" w:lineRule="exact"/>
        <w:ind w:right="0"/>
        <w:jc w:val="left"/>
      </w:pPr>
      <w:r>
        <w:rPr/>
        <w:t>内外经济形势和公司细分行业特点，对公司经营状况和发展前景进行了深入地分析，为公司战略发展的实施提出来了宝贵的</w:t>
      </w:r>
    </w:p>
    <w:p>
      <w:pPr>
        <w:pStyle w:val="BodyText"/>
        <w:spacing w:line="240" w:lineRule="auto" w:before="77"/>
        <w:ind w:right="0"/>
        <w:jc w:val="left"/>
      </w:pPr>
      <w:r>
        <w:rPr/>
        <w:t>建议，保证了公司发展规划和战略决策的科学性，为公司持续、稳健发展提供了战略层面的支持。</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七、监事会工作情况" w:id="142"/>
      <w:bookmarkEnd w:id="142"/>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38" w:lineRule="auto" w:before="117"/>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3"/>
      <w:bookmarkEnd w:id="143"/>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公司建立了高级管理人员的选择、考评、激励与约束机制。公司高级管理人员均由董事会聘任，直接对董事会负责，承</w:t>
      </w:r>
      <w:r>
        <w:rPr/>
        <w:t> </w:t>
      </w:r>
      <w:r>
        <w:rPr>
          <w:spacing w:val="-2"/>
        </w:rPr>
        <w:t>担董事会下达的绩效考核指标。公司建立了完善的高级管理人员绩效考评体系和薪酬制度，高级管理人员的工作绩效与其收</w:t>
      </w:r>
      <w:r>
        <w:rPr>
          <w:spacing w:val="-64"/>
        </w:rPr>
        <w:t> </w:t>
      </w:r>
      <w:r>
        <w:rPr>
          <w:spacing w:val="-64"/>
        </w:rPr>
      </w:r>
      <w:r>
        <w:rPr/>
        <w:t>入直接挂钩。</w:t>
      </w:r>
    </w:p>
    <w:p>
      <w:pPr>
        <w:pStyle w:val="BodyText"/>
        <w:spacing w:line="312" w:lineRule="auto" w:before="55"/>
        <w:ind w:right="1131" w:firstLine="360"/>
        <w:jc w:val="both"/>
      </w:pPr>
      <w:r>
        <w:rPr>
          <w:spacing w:val="-2"/>
        </w:rPr>
        <w:t>公司董事会薪酬与考核委员会负责制定公司每年的薪酬考核方案，对高级管理人员的工作能力、履职情况、责任目标完</w:t>
      </w:r>
      <w:r>
        <w:rPr/>
        <w:t> </w:t>
      </w:r>
      <w:r>
        <w:rPr>
          <w:spacing w:val="-2"/>
        </w:rPr>
        <w:t>成情况进行考评，制定薪酬方案。公司董事会薪酬与考核委员会根据报告期内实际经营情况，对公司董事、监事及高级管理</w:t>
      </w:r>
      <w:r>
        <w:rPr>
          <w:spacing w:val="-66"/>
        </w:rPr>
        <w:t> </w:t>
      </w:r>
      <w:r>
        <w:rPr>
          <w:spacing w:val="-66"/>
        </w:rPr>
      </w:r>
      <w:r>
        <w:rPr>
          <w:spacing w:val="-2"/>
        </w:rPr>
        <w:t>人员进行考核后一致认为：公司</w:t>
      </w:r>
      <w:r>
        <w:rPr>
          <w:rFonts w:ascii="Times New Roman" w:hAnsi="Times New Roman" w:cs="Times New Roman" w:eastAsia="Times New Roman" w:hint="default"/>
          <w:spacing w:val="-2"/>
        </w:rPr>
        <w:t>2017</w:t>
      </w:r>
      <w:r>
        <w:rPr>
          <w:spacing w:val="-2"/>
        </w:rPr>
        <w:t>年度董事、高级管理人员薪酬方案严格执行，与公司经营业绩挂钩，董事、高级管理人</w:t>
      </w:r>
      <w:r>
        <w:rPr>
          <w:spacing w:val="-62"/>
        </w:rPr>
        <w:t> </w:t>
      </w:r>
      <w:r>
        <w:rPr>
          <w:spacing w:val="-62"/>
        </w:rPr>
      </w:r>
      <w:r>
        <w:rPr/>
        <w:t>员薪酬方案合理，薪酬发放的程序符合有关法律、法规及《公司章程》等相关规定。</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4"/>
      <w:bookmarkEnd w:id="144"/>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5"/>
      <w:bookmarkEnd w:id="14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6"/>
      <w:bookmarkEnd w:id="14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383.980011pt;margin-top:227.599976pt;width:149.8pt;height:33.25pt;mso-position-horizontal-relative:page;mso-position-vertical-relative:page;z-index:-910648" coordorigin="7680,4552" coordsize="2996,665">
            <v:group style="position:absolute;left:7680;top:4552;width:2996;height:353" coordorigin="7680,4552" coordsize="2996,353">
              <v:shape style="position:absolute;left:7680;top:4552;width:2996;height:353" coordorigin="7680,4552" coordsize="2996,353" path="m7680,4905l10675,4905,10675,4552,7680,4552,7680,4905xe" filled="true" fillcolor="#ffffff" stroked="false">
                <v:path arrowok="t"/>
                <v:fill type="solid"/>
              </v:shape>
            </v:group>
            <v:group style="position:absolute;left:7680;top:4905;width:2996;height:312" coordorigin="7680,4905" coordsize="2996,312">
              <v:shape style="position:absolute;left:7680;top:4905;width:2996;height:312" coordorigin="7680,4905" coordsize="2996,312" path="m7680,5217l10675,5217,10675,4905,7680,4905,7680,521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189"/>
        <w:gridCol w:w="3341"/>
        <w:gridCol w:w="303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详见公司在巨潮资讯网披露的《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281"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）重大缺陷认定标准</w:t>
            </w:r>
            <w:r>
              <w:rPr>
                <w:rFonts w:ascii="Times New Roman" w:hAnsi="Times New Roman" w:cs="Times New Roman" w:eastAsia="Times New Roman" w:hint="default"/>
                <w:sz w:val="18"/>
                <w:szCs w:val="18"/>
              </w:rPr>
              <w:t>:</w:t>
            </w:r>
            <w:r>
              <w:rPr>
                <w:rFonts w:ascii="宋体" w:hAnsi="宋体" w:cs="宋体" w:eastAsia="宋体" w:hint="default"/>
                <w:sz w:val="18"/>
                <w:szCs w:val="18"/>
              </w:rPr>
              <w:t>单独缺陷或联同 其他缺陷导致不能及时防止或发现并纠正 </w:t>
            </w:r>
            <w:r>
              <w:rPr>
                <w:rFonts w:ascii="宋体" w:hAnsi="宋体" w:cs="宋体" w:eastAsia="宋体" w:hint="default"/>
                <w:spacing w:val="-4"/>
                <w:sz w:val="18"/>
                <w:szCs w:val="18"/>
              </w:rPr>
              <w:t>财务报告中的重大错报，出现下列情形的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认定为重大缺陷：①发现董事、监事和高 级管理人员重大舞弊；②注册会计师发现 财务报表存在重大错报，而内部控制在运 行过程中未能发现该错报；③企业审计委 员会和内部审计机构对内部控制的监督无 效。</w:t>
            </w:r>
          </w:p>
          <w:p>
            <w:pPr>
              <w:pStyle w:val="TableParagraph"/>
              <w:spacing w:line="316" w:lineRule="auto" w:before="19"/>
              <w:ind w:left="22" w:right="25"/>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）重要缺陷认定标准：单独缺陷或连同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其他缺陷导致不能及时防止或发现并纠正 财务报告中虽然未达到和超过重要性水 </w:t>
            </w:r>
            <w:r>
              <w:rPr>
                <w:rFonts w:ascii="宋体" w:hAnsi="宋体" w:cs="宋体" w:eastAsia="宋体" w:hint="default"/>
                <w:spacing w:val="-3"/>
                <w:sz w:val="18"/>
                <w:szCs w:val="18"/>
              </w:rPr>
              <w:t>平，仍应引起管理层重视的错报：</w:t>
            </w:r>
            <w:r>
              <w:rPr>
                <w:rFonts w:ascii="宋体" w:hAnsi="宋体" w:cs="宋体" w:eastAsia="宋体" w:hint="default"/>
                <w:spacing w:val="-23"/>
                <w:sz w:val="18"/>
                <w:szCs w:val="18"/>
              </w:rPr>
              <w:t> </w:t>
            </w:r>
            <w:r>
              <w:rPr>
                <w:rFonts w:ascii="宋体" w:hAnsi="宋体" w:cs="宋体" w:eastAsia="宋体" w:hint="default"/>
                <w:sz w:val="18"/>
                <w:szCs w:val="18"/>
              </w:rPr>
              <w:t>①未依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照公认会计准则选择和应用会计政策；② 未建立反舞弊程序和控制措施；③对于非 常规或特殊交易的财务处理没有建立相应 的控制机制或没有实施且没有相应的补充 性控制；④对于期末财务报告过程的控制 存在一项或多项缺陷且不能合理保证编制 的财务报表达到真实、完整的目标。</w:t>
            </w:r>
          </w:p>
          <w:p>
            <w:pPr>
              <w:pStyle w:val="TableParagraph"/>
              <w:spacing w:line="302" w:lineRule="auto" w:before="19"/>
              <w:ind w:left="22" w:right="25"/>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）一般缺陷认定标准：不构成重大缺陷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或重要缺陷的其他内部控制缺陷。</w:t>
            </w:r>
          </w:p>
        </w:tc>
        <w:tc>
          <w:tcPr>
            <w:tcW w:w="3039"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3" w:lineRule="exact" w:before="105"/>
              <w:ind w:left="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）重大缺陷认定标准：①对于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三重</w:t>
            </w:r>
          </w:p>
          <w:p>
            <w:pPr>
              <w:pStyle w:val="TableParagraph"/>
              <w:spacing w:line="149"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4" w:right="0"/>
              <w:jc w:val="left"/>
              <w:rPr>
                <w:rFonts w:ascii="宋体" w:hAnsi="宋体" w:cs="宋体" w:eastAsia="宋体" w:hint="default"/>
                <w:sz w:val="18"/>
                <w:szCs w:val="18"/>
              </w:rPr>
            </w:pPr>
            <w:r>
              <w:rPr>
                <w:rFonts w:ascii="宋体" w:hAnsi="宋体" w:cs="宋体" w:eastAsia="宋体" w:hint="default"/>
                <w:sz w:val="18"/>
                <w:szCs w:val="18"/>
              </w:rPr>
              <w:t>一大</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事项（重大事项决策、重要人事</w:t>
            </w:r>
          </w:p>
          <w:p>
            <w:pPr>
              <w:pStyle w:val="TableParagraph"/>
              <w:spacing w:line="314" w:lineRule="auto" w:before="63"/>
              <w:ind w:left="4" w:right="-42"/>
              <w:jc w:val="left"/>
              <w:rPr>
                <w:rFonts w:ascii="宋体" w:hAnsi="宋体" w:cs="宋体" w:eastAsia="宋体" w:hint="default"/>
                <w:sz w:val="18"/>
                <w:szCs w:val="18"/>
              </w:rPr>
            </w:pPr>
            <w:r>
              <w:rPr>
                <w:rFonts w:ascii="宋体" w:hAnsi="宋体" w:cs="宋体" w:eastAsia="宋体" w:hint="default"/>
                <w:sz w:val="18"/>
                <w:szCs w:val="18"/>
              </w:rPr>
              <w:t>任免、重要项目安排、大额资金的使 </w:t>
            </w:r>
            <w:r>
              <w:rPr>
                <w:rFonts w:ascii="宋体" w:hAnsi="宋体" w:cs="宋体" w:eastAsia="宋体" w:hint="default"/>
                <w:spacing w:val="-6"/>
                <w:sz w:val="18"/>
                <w:szCs w:val="18"/>
              </w:rPr>
              <w:t>用），缺乏集体决策程序；②重要业务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缺乏制度控制或系统性失效</w:t>
            </w:r>
            <w:r>
              <w:rPr>
                <w:rFonts w:ascii="Times New Roman" w:hAnsi="Times New Roman" w:cs="Times New Roman" w:eastAsia="Times New Roman" w:hint="default"/>
                <w:sz w:val="18"/>
                <w:szCs w:val="18"/>
              </w:rPr>
              <w:t>,</w:t>
            </w:r>
            <w:r>
              <w:rPr>
                <w:rFonts w:ascii="宋体" w:hAnsi="宋体" w:cs="宋体" w:eastAsia="宋体" w:hint="default"/>
                <w:sz w:val="18"/>
                <w:szCs w:val="18"/>
              </w:rPr>
              <w:t>且缺乏有 </w:t>
            </w:r>
            <w:r>
              <w:rPr>
                <w:rFonts w:ascii="宋体" w:hAnsi="宋体" w:cs="宋体" w:eastAsia="宋体" w:hint="default"/>
                <w:spacing w:val="-4"/>
                <w:sz w:val="18"/>
                <w:szCs w:val="18"/>
              </w:rPr>
              <w:t>效的补偿性控制；③中高级管理人员和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高级技术人员流失严重；④内部控制评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价的结果特别是重大缺陷未得到整改；</w:t>
            </w:r>
          </w:p>
          <w:p>
            <w:pPr>
              <w:pStyle w:val="TableParagraph"/>
              <w:spacing w:line="316" w:lineRule="auto" w:before="20"/>
              <w:ind w:left="4" w:right="136"/>
              <w:jc w:val="left"/>
              <w:rPr>
                <w:rFonts w:ascii="宋体" w:hAnsi="宋体" w:cs="宋体" w:eastAsia="宋体" w:hint="default"/>
                <w:sz w:val="18"/>
                <w:szCs w:val="18"/>
              </w:rPr>
            </w:pPr>
            <w:r>
              <w:rPr>
                <w:rFonts w:ascii="宋体" w:hAnsi="宋体" w:cs="宋体" w:eastAsia="宋体" w:hint="default"/>
                <w:sz w:val="18"/>
                <w:szCs w:val="18"/>
              </w:rPr>
              <w:t>⑤其他对公司产生重大负面影响的情 形。</w:t>
            </w:r>
          </w:p>
          <w:p>
            <w:pPr>
              <w:pStyle w:val="TableParagraph"/>
              <w:spacing w:line="312" w:lineRule="auto" w:before="19"/>
              <w:ind w:left="4" w:right="-4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）重要缺陷认定标准：①决策程序 </w:t>
            </w:r>
            <w:r>
              <w:rPr>
                <w:rFonts w:ascii="宋体" w:hAnsi="宋体" w:cs="宋体" w:eastAsia="宋体" w:hint="default"/>
                <w:spacing w:val="-4"/>
                <w:sz w:val="18"/>
                <w:szCs w:val="18"/>
              </w:rPr>
              <w:t>导致出现一般性失误；②重要业务制度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或系统存在缺陷；③关键岗位业务人员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流失严重；④内部控制评价的结果特别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是重要缺陷未得到整改；⑤其他对公司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产生较大负面影响的情形。</w:t>
            </w:r>
            <w:r>
              <w:rPr>
                <w:rFonts w:ascii="宋体" w:hAnsi="宋体" w:cs="宋体" w:eastAsia="宋体" w:hint="default"/>
                <w:spacing w:val="-42"/>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w:t>
            </w:r>
            <w:r>
              <w:rPr>
                <w:rFonts w:ascii="宋体" w:hAnsi="宋体" w:cs="宋体" w:eastAsia="宋体" w:hint="default"/>
                <w:sz w:val="18"/>
                <w:szCs w:val="18"/>
              </w:rPr>
              <w:t> 缺陷认定标准：①决策程序效率不高；</w:t>
            </w:r>
          </w:p>
          <w:p>
            <w:pPr>
              <w:pStyle w:val="TableParagraph"/>
              <w:spacing w:line="319" w:lineRule="auto" w:before="22"/>
              <w:ind w:left="4" w:right="20"/>
              <w:jc w:val="left"/>
              <w:rPr>
                <w:rFonts w:ascii="宋体" w:hAnsi="宋体" w:cs="宋体" w:eastAsia="宋体" w:hint="default"/>
                <w:sz w:val="18"/>
                <w:szCs w:val="18"/>
              </w:rPr>
            </w:pPr>
            <w:r>
              <w:rPr>
                <w:rFonts w:ascii="宋体" w:hAnsi="宋体" w:cs="宋体" w:eastAsia="宋体" w:hint="default"/>
                <w:spacing w:val="-4"/>
                <w:sz w:val="18"/>
                <w:szCs w:val="18"/>
              </w:rPr>
              <w:t>②一般业务制度或系统存在缺陷；③一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般缺陷未得到整改。</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328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629"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31"/>
              <w:jc w:val="both"/>
              <w:rPr>
                <w:rFonts w:ascii="宋体" w:hAnsi="宋体" w:cs="宋体" w:eastAsia="宋体" w:hint="default"/>
                <w:sz w:val="18"/>
                <w:szCs w:val="18"/>
              </w:rPr>
            </w:pPr>
            <w:r>
              <w:rPr>
                <w:rFonts w:ascii="宋体" w:hAnsi="宋体" w:cs="宋体" w:eastAsia="宋体" w:hint="default"/>
                <w:spacing w:val="-4"/>
                <w:sz w:val="18"/>
                <w:szCs w:val="18"/>
              </w:rPr>
              <w:t>利润总额潜在错报，重大缺陷：错报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利润</w:t>
            </w:r>
            <w:r>
              <w:rPr>
                <w:rFonts w:ascii="宋体" w:hAnsi="宋体" w:cs="宋体" w:eastAsia="宋体" w:hint="default"/>
                <w:spacing w:val="-87"/>
                <w:sz w:val="18"/>
                <w:szCs w:val="18"/>
              </w:rPr>
              <w:t> </w:t>
            </w:r>
            <w:r>
              <w:rPr>
                <w:rFonts w:ascii="宋体" w:hAnsi="宋体" w:cs="宋体" w:eastAsia="宋体" w:hint="default"/>
                <w:sz w:val="18"/>
                <w:szCs w:val="18"/>
              </w:rPr>
              <w:t>总额的 </w:t>
            </w:r>
            <w:r>
              <w:rPr>
                <w:rFonts w:ascii="Times New Roman" w:hAnsi="Times New Roman" w:cs="Times New Roman" w:eastAsia="Times New Roman" w:hint="default"/>
                <w:sz w:val="18"/>
                <w:szCs w:val="18"/>
              </w:rPr>
              <w:t>5% </w:t>
            </w:r>
            <w:r>
              <w:rPr>
                <w:rFonts w:ascii="宋体" w:hAnsi="宋体" w:cs="宋体" w:eastAsia="宋体" w:hint="default"/>
                <w:spacing w:val="-10"/>
                <w:sz w:val="18"/>
                <w:szCs w:val="18"/>
              </w:rPr>
              <w:t>；重要缺陷：利润总额的</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错报＜利润总额的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；一般缺陷：错报</w:t>
            </w:r>
          </w:p>
          <w:p>
            <w:pPr>
              <w:pStyle w:val="TableParagraph"/>
              <w:spacing w:line="240" w:lineRule="auto" w:before="14"/>
              <w:ind w:left="22" w:right="0"/>
              <w:jc w:val="both"/>
              <w:rPr>
                <w:rFonts w:ascii="宋体" w:hAnsi="宋体" w:cs="宋体" w:eastAsia="宋体" w:hint="default"/>
                <w:sz w:val="18"/>
                <w:szCs w:val="18"/>
              </w:rPr>
            </w:pP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039" w:type="dxa"/>
            <w:vMerge w:val="restart"/>
            <w:tcBorders>
              <w:top w:val="single" w:sz="4" w:space="0" w:color="000000"/>
              <w:left w:val="single" w:sz="4" w:space="0" w:color="000000"/>
              <w:right w:val="single" w:sz="4" w:space="0" w:color="000000"/>
            </w:tcBorders>
          </w:tcPr>
          <w:p>
            <w:pPr>
              <w:pStyle w:val="TableParagraph"/>
              <w:spacing w:line="304" w:lineRule="auto" w:before="51"/>
              <w:ind w:left="11" w:right="20"/>
              <w:jc w:val="both"/>
              <w:rPr>
                <w:rFonts w:ascii="宋体" w:hAnsi="宋体" w:cs="宋体" w:eastAsia="宋体" w:hint="default"/>
                <w:sz w:val="18"/>
                <w:szCs w:val="18"/>
              </w:rPr>
            </w:pPr>
            <w:r>
              <w:rPr>
                <w:rFonts w:ascii="宋体" w:hAnsi="宋体" w:cs="宋体" w:eastAsia="宋体" w:hint="default"/>
                <w:sz w:val="18"/>
                <w:szCs w:val="18"/>
              </w:rPr>
              <w:t>缺陷造成财产损失 重大缺陷：缺陷造 成财产损失</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4"/>
                <w:sz w:val="18"/>
                <w:szCs w:val="18"/>
              </w:rPr>
              <w:t> </w:t>
            </w:r>
            <w:r>
              <w:rPr>
                <w:rFonts w:ascii="宋体" w:hAnsi="宋体" w:cs="宋体" w:eastAsia="宋体" w:hint="default"/>
                <w:spacing w:val="-11"/>
                <w:sz w:val="18"/>
                <w:szCs w:val="18"/>
              </w:rPr>
              <w:t>；重要缺</w:t>
            </w:r>
            <w:r>
              <w:rPr>
                <w:rFonts w:ascii="宋体" w:hAnsi="宋体" w:cs="宋体" w:eastAsia="宋体" w:hint="default"/>
                <w:sz w:val="18"/>
                <w:szCs w:val="18"/>
              </w:rPr>
              <w:t> 陷：利润总额的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缺陷造成财产损 失＜利润总额的</w:t>
            </w:r>
            <w:r>
              <w:rPr>
                <w:rFonts w:ascii="宋体" w:hAnsi="宋体" w:cs="宋体" w:eastAsia="宋体" w:hint="default"/>
                <w:spacing w:val="3"/>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；一般缺陷：缺陷</w:t>
            </w:r>
            <w:r>
              <w:rPr>
                <w:rFonts w:ascii="宋体" w:hAnsi="宋体" w:cs="宋体" w:eastAsia="宋体" w:hint="default"/>
                <w:sz w:val="18"/>
                <w:szCs w:val="18"/>
              </w:rPr>
              <w:t> 造成财产损失＜利润总额的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1" w:type="dxa"/>
            <w:vMerge/>
            <w:tcBorders>
              <w:left w:val="single" w:sz="9" w:space="0" w:color="D2D2D2"/>
              <w:right w:val="single" w:sz="4" w:space="0" w:color="000000"/>
            </w:tcBorders>
          </w:tcPr>
          <w:p>
            <w:pPr/>
          </w:p>
        </w:tc>
        <w:tc>
          <w:tcPr>
            <w:tcW w:w="3039" w:type="dxa"/>
            <w:vMerge/>
            <w:tcBorders>
              <w:left w:val="single" w:sz="4" w:space="0" w:color="000000"/>
              <w:right w:val="single" w:sz="4" w:space="0" w:color="000000"/>
            </w:tcBorders>
          </w:tcPr>
          <w:p>
            <w:pPr/>
          </w:p>
        </w:tc>
      </w:tr>
      <w:tr>
        <w:trPr>
          <w:trHeight w:val="629"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4" w:space="0" w:color="000000"/>
            </w:tcBorders>
          </w:tcPr>
          <w:p>
            <w:pPr/>
          </w:p>
        </w:tc>
        <w:tc>
          <w:tcPr>
            <w:tcW w:w="3039" w:type="dxa"/>
            <w:vMerge/>
            <w:tcBorders>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十、内部控制审计报告或鉴证报告" w:id="147"/>
      <w:bookmarkEnd w:id="147"/>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1"/>
        <w:jc w:val="center"/>
        <w:rPr>
          <w:b w:val="0"/>
          <w:bCs w:val="0"/>
        </w:rPr>
      </w:pPr>
      <w:bookmarkStart w:name="_TOC_250002" w:id="148"/>
      <w:bookmarkStart w:name="第十节 公司债券相关情况" w:id="149"/>
      <w:r>
        <w:rPr>
          <w:b w:val="0"/>
          <w:bCs w:val="0"/>
        </w:rPr>
      </w:r>
      <w:r>
        <w:rPr/>
        <w:t>第十节</w:t>
      </w:r>
      <w:r>
        <w:rPr>
          <w:spacing w:val="-9"/>
        </w:rPr>
        <w:t> </w:t>
      </w:r>
      <w:r>
        <w:rPr/>
        <w:t>公司债券相关情况</w:t>
      </w:r>
      <w:bookmarkEnd w:id="148"/>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1"/>
        <w:jc w:val="center"/>
        <w:rPr>
          <w:b w:val="0"/>
          <w:bCs w:val="0"/>
        </w:rPr>
      </w:pPr>
      <w:bookmarkStart w:name="_TOC_250001" w:id="150"/>
      <w:bookmarkStart w:name="第十一节 财务报告" w:id="151"/>
      <w:r>
        <w:rPr>
          <w:b w:val="0"/>
          <w:bCs w:val="0"/>
        </w:rPr>
      </w:r>
      <w:r>
        <w:rPr/>
        <w:t>第十一节</w:t>
      </w:r>
      <w:r>
        <w:rPr>
          <w:spacing w:val="-6"/>
        </w:rPr>
        <w:t> </w:t>
      </w:r>
      <w:r>
        <w:rPr/>
        <w:t>财务报告</w:t>
      </w:r>
      <w:bookmarkEnd w:id="15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2"/>
      <w:bookmarkEnd w:id="152"/>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[2018]327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王玥、林涛</w:t>
            </w:r>
          </w:p>
        </w:tc>
      </w:tr>
    </w:tbl>
    <w:p>
      <w:pPr>
        <w:pStyle w:val="BodyText"/>
        <w:spacing w:line="240" w:lineRule="auto" w:before="51"/>
        <w:ind w:left="3041" w:right="3040"/>
        <w:jc w:val="center"/>
      </w:pPr>
      <w:r>
        <w:rPr/>
        <w:t>审计报告正文</w:t>
      </w:r>
    </w:p>
    <w:p>
      <w:pPr>
        <w:spacing w:line="240" w:lineRule="auto" w:before="2"/>
        <w:rPr>
          <w:rFonts w:ascii="宋体" w:hAnsi="宋体" w:cs="宋体" w:eastAsia="宋体" w:hint="default"/>
          <w:sz w:val="22"/>
          <w:szCs w:val="22"/>
        </w:rPr>
      </w:pPr>
    </w:p>
    <w:p>
      <w:pPr>
        <w:pStyle w:val="Heading4"/>
        <w:spacing w:line="240" w:lineRule="auto"/>
        <w:ind w:right="0"/>
        <w:jc w:val="left"/>
      </w:pPr>
      <w:r>
        <w:rPr/>
        <w:t>创业黑马（北京）科技股份有限公司全体股东：</w:t>
      </w:r>
    </w:p>
    <w:p>
      <w:pPr>
        <w:spacing w:line="240" w:lineRule="auto" w:before="4"/>
        <w:rPr>
          <w:rFonts w:ascii="宋体" w:hAnsi="宋体" w:cs="宋体" w:eastAsia="宋体" w:hint="default"/>
          <w:sz w:val="19"/>
          <w:szCs w:val="19"/>
        </w:rPr>
      </w:pPr>
    </w:p>
    <w:p>
      <w:pPr>
        <w:pStyle w:val="Heading2"/>
        <w:spacing w:line="240" w:lineRule="auto"/>
        <w:ind w:left="1616" w:right="0"/>
        <w:jc w:val="left"/>
        <w:rPr>
          <w:b w:val="0"/>
          <w:bCs w:val="0"/>
        </w:rPr>
      </w:pPr>
      <w:r>
        <w:rPr/>
        <w:t>一、审计意见</w:t>
      </w:r>
      <w:r>
        <w:rPr>
          <w:b w:val="0"/>
          <w:bCs w:val="0"/>
        </w:rPr>
      </w:r>
    </w:p>
    <w:p>
      <w:pPr>
        <w:spacing w:line="240" w:lineRule="auto" w:before="0"/>
        <w:rPr>
          <w:rFonts w:ascii="宋体" w:hAnsi="宋体" w:cs="宋体" w:eastAsia="宋体" w:hint="default"/>
          <w:b/>
          <w:bCs/>
          <w:sz w:val="20"/>
          <w:szCs w:val="20"/>
        </w:rPr>
      </w:pPr>
    </w:p>
    <w:p>
      <w:pPr>
        <w:pStyle w:val="Heading4"/>
        <w:spacing w:line="256" w:lineRule="auto"/>
        <w:ind w:right="1130" w:firstLine="420"/>
        <w:jc w:val="both"/>
      </w:pPr>
      <w:r>
        <w:rPr>
          <w:spacing w:val="-1"/>
        </w:rPr>
        <w:t>我们审计了后附的创业黑马（北京）科技股份有限公司（以下简称创业黑马）财务报表，包括</w:t>
      </w:r>
      <w:r>
        <w:rPr>
          <w:rFonts w:ascii="Times New Roman" w:hAnsi="Times New Roman" w:cs="Times New Roman" w:eastAsia="Times New Roman" w:hint="default"/>
          <w:spacing w:val="-1"/>
        </w:rPr>
        <w:t>2017</w:t>
      </w:r>
      <w:r>
        <w:rPr>
          <w:spacing w:val="-1"/>
        </w:rPr>
        <w:t>年</w:t>
      </w:r>
      <w:r>
        <w:rPr/>
        <w:t> </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日的合并及母公司资产负债表，</w:t>
      </w:r>
      <w:r>
        <w:rPr>
          <w:rFonts w:ascii="Times New Roman" w:hAnsi="Times New Roman" w:cs="Times New Roman" w:eastAsia="Times New Roman" w:hint="default"/>
          <w:spacing w:val="-1"/>
        </w:rPr>
        <w:t>2017</w:t>
      </w:r>
      <w:r>
        <w:rPr>
          <w:spacing w:val="-1"/>
        </w:rPr>
        <w:t>年度的合并及母公司利润表、合并及母公司现金流量表、合并</w:t>
      </w:r>
      <w:r>
        <w:rPr>
          <w:spacing w:val="-83"/>
        </w:rPr>
        <w:t> </w:t>
      </w:r>
      <w:r>
        <w:rPr>
          <w:spacing w:val="-83"/>
        </w:rPr>
      </w:r>
      <w:r>
        <w:rPr/>
        <w:t>及母公司股东权益变动表以及相关财务报表附注。</w:t>
      </w:r>
    </w:p>
    <w:p>
      <w:pPr>
        <w:pStyle w:val="Heading4"/>
        <w:spacing w:line="256" w:lineRule="auto" w:before="143"/>
        <w:ind w:left="1134" w:right="1130" w:firstLine="420"/>
        <w:jc w:val="both"/>
      </w:pPr>
      <w:r>
        <w:rPr>
          <w:spacing w:val="-1"/>
        </w:rPr>
        <w:t>我们认为，后附的财务报表在所有重大方面按照企业会计准则的规定编制，公允反映了创业黑马</w:t>
      </w:r>
      <w:r>
        <w:rPr>
          <w:rFonts w:ascii="Times New Roman" w:hAnsi="Times New Roman" w:cs="Times New Roman" w:eastAsia="Times New Roman" w:hint="default"/>
          <w:spacing w:val="-1"/>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2017</w:t>
      </w:r>
      <w:r>
        <w:rPr/>
        <w:t>年度的合并及母公司经营成果和现金流量。</w:t>
      </w:r>
    </w:p>
    <w:p>
      <w:pPr>
        <w:spacing w:line="240" w:lineRule="auto" w:before="11"/>
        <w:rPr>
          <w:rFonts w:ascii="宋体" w:hAnsi="宋体" w:cs="宋体" w:eastAsia="宋体" w:hint="default"/>
          <w:sz w:val="16"/>
          <w:szCs w:val="16"/>
        </w:rPr>
      </w:pPr>
    </w:p>
    <w:p>
      <w:pPr>
        <w:pStyle w:val="Heading2"/>
        <w:spacing w:line="240" w:lineRule="auto"/>
        <w:ind w:left="1616" w:right="0"/>
        <w:jc w:val="left"/>
        <w:rPr>
          <w:b w:val="0"/>
          <w:bCs w:val="0"/>
        </w:rPr>
      </w:pPr>
      <w:r>
        <w:rPr/>
        <w:t>二、形成审计意见的基础</w:t>
      </w:r>
      <w:r>
        <w:rPr>
          <w:b w:val="0"/>
          <w:bCs w:val="0"/>
        </w:rPr>
      </w:r>
    </w:p>
    <w:p>
      <w:pPr>
        <w:spacing w:line="240" w:lineRule="auto" w:before="0"/>
        <w:rPr>
          <w:rFonts w:ascii="宋体" w:hAnsi="宋体" w:cs="宋体" w:eastAsia="宋体" w:hint="default"/>
          <w:b/>
          <w:bCs/>
          <w:sz w:val="20"/>
          <w:szCs w:val="20"/>
        </w:rPr>
      </w:pPr>
    </w:p>
    <w:p>
      <w:pPr>
        <w:pStyle w:val="Heading4"/>
        <w:spacing w:line="261" w:lineRule="auto"/>
        <w:ind w:right="1129" w:firstLine="42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 </w:t>
      </w: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部分进一步阐述了我们在这些准则下的责任。按照中国注册会计师职业道德守则，我们独立于创</w:t>
      </w:r>
      <w:r>
        <w:rPr>
          <w:spacing w:val="-25"/>
        </w:rPr>
        <w:t> </w:t>
      </w:r>
      <w:r>
        <w:rPr>
          <w:spacing w:val="-25"/>
        </w:rPr>
      </w:r>
      <w:r>
        <w:rPr>
          <w:spacing w:val="-1"/>
        </w:rPr>
        <w:t>业黑马，并履行了职业道德方面的其他责任。我们相信，我们获取的审计证据是充分、适当的，为发表审</w:t>
      </w:r>
      <w:r>
        <w:rPr>
          <w:spacing w:val="-83"/>
        </w:rPr>
        <w:t> </w:t>
      </w:r>
      <w:r>
        <w:rPr>
          <w:spacing w:val="-83"/>
        </w:rPr>
      </w:r>
      <w:r>
        <w:rPr/>
        <w:t>计意见提供了基础。</w:t>
      </w:r>
    </w:p>
    <w:p>
      <w:pPr>
        <w:spacing w:line="240" w:lineRule="auto" w:before="12"/>
        <w:rPr>
          <w:rFonts w:ascii="宋体" w:hAnsi="宋体" w:cs="宋体" w:eastAsia="宋体" w:hint="default"/>
          <w:sz w:val="17"/>
          <w:szCs w:val="17"/>
        </w:rPr>
      </w:pPr>
    </w:p>
    <w:p>
      <w:pPr>
        <w:pStyle w:val="Heading2"/>
        <w:spacing w:line="240" w:lineRule="auto"/>
        <w:ind w:left="1616" w:right="0"/>
        <w:jc w:val="left"/>
        <w:rPr>
          <w:b w:val="0"/>
          <w:bCs w:val="0"/>
        </w:rPr>
      </w:pPr>
      <w:r>
        <w:rPr/>
        <w:t>三、关键审计事项</w:t>
      </w:r>
      <w:r>
        <w:rPr>
          <w:b w:val="0"/>
          <w:bCs w:val="0"/>
        </w:rPr>
      </w:r>
    </w:p>
    <w:p>
      <w:pPr>
        <w:spacing w:line="240" w:lineRule="auto" w:before="0"/>
        <w:rPr>
          <w:rFonts w:ascii="宋体" w:hAnsi="宋体" w:cs="宋体" w:eastAsia="宋体" w:hint="default"/>
          <w:b/>
          <w:bCs/>
          <w:sz w:val="20"/>
          <w:szCs w:val="20"/>
        </w:rPr>
      </w:pPr>
    </w:p>
    <w:p>
      <w:pPr>
        <w:pStyle w:val="Heading4"/>
        <w:spacing w:line="273" w:lineRule="auto"/>
        <w:ind w:right="1131" w:firstLine="420"/>
        <w:jc w:val="both"/>
      </w:pPr>
      <w:r>
        <w:rPr>
          <w:spacing w:val="-1"/>
        </w:rPr>
        <w:t>关键审计事项是我们根据职业判断，认为对本期财务报表审计最为重要的事项。这些事项的应对以对</w:t>
      </w:r>
      <w:r>
        <w:rPr/>
        <w:t> 财务报表整体进行审计并形成审计意见为背景，我们不对这些事项单独发表意见。</w:t>
      </w:r>
    </w:p>
    <w:p>
      <w:pPr>
        <w:spacing w:line="240" w:lineRule="auto" w:before="12"/>
        <w:rPr>
          <w:rFonts w:ascii="宋体" w:hAnsi="宋体" w:cs="宋体" w:eastAsia="宋体" w:hint="default"/>
          <w:sz w:val="10"/>
          <w:szCs w:val="10"/>
        </w:rPr>
      </w:pPr>
    </w:p>
    <w:tbl>
      <w:tblPr>
        <w:tblW w:w="0" w:type="auto"/>
        <w:jc w:val="left"/>
        <w:tblInd w:w="1126" w:type="dxa"/>
        <w:tblLayout w:type="fixed"/>
        <w:tblCellMar>
          <w:top w:w="0" w:type="dxa"/>
          <w:left w:w="0" w:type="dxa"/>
          <w:bottom w:w="0" w:type="dxa"/>
          <w:right w:w="0" w:type="dxa"/>
        </w:tblCellMar>
        <w:tblLook w:val="01E0"/>
      </w:tblPr>
      <w:tblGrid>
        <w:gridCol w:w="4674"/>
        <w:gridCol w:w="4679"/>
      </w:tblGrid>
      <w:tr>
        <w:trPr>
          <w:trHeight w:val="347" w:hRule="exact"/>
        </w:trPr>
        <w:tc>
          <w:tcPr>
            <w:tcW w:w="46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6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1156"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7" w:hRule="exact"/>
        </w:trPr>
        <w:tc>
          <w:tcPr>
            <w:tcW w:w="9353" w:type="dxa"/>
            <w:gridSpan w:val="2"/>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一、收入确认</w:t>
            </w:r>
            <w:r>
              <w:rPr>
                <w:rFonts w:ascii="宋体" w:hAnsi="宋体" w:cs="宋体" w:eastAsia="宋体" w:hint="default"/>
                <w:sz w:val="18"/>
                <w:szCs w:val="18"/>
              </w:rPr>
            </w:r>
          </w:p>
        </w:tc>
      </w:tr>
      <w:tr>
        <w:trPr>
          <w:trHeight w:val="2220" w:hRule="exact"/>
        </w:trPr>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1"/>
              <w:ind w:left="2" w:right="1" w:firstLine="360"/>
              <w:jc w:val="both"/>
              <w:rPr>
                <w:rFonts w:ascii="宋体" w:hAnsi="宋体" w:cs="宋体" w:eastAsia="宋体" w:hint="default"/>
                <w:sz w:val="18"/>
                <w:szCs w:val="18"/>
              </w:rPr>
            </w:pPr>
            <w:r>
              <w:rPr>
                <w:rFonts w:ascii="宋体" w:hAnsi="宋体" w:cs="宋体" w:eastAsia="宋体" w:hint="default"/>
                <w:spacing w:val="6"/>
                <w:sz w:val="18"/>
                <w:szCs w:val="18"/>
              </w:rPr>
              <w:t>创业黑马作为一家聚焦于帮助创新创业企业成长的综</w:t>
            </w:r>
            <w:r>
              <w:rPr>
                <w:rFonts w:ascii="宋体" w:hAnsi="宋体" w:cs="宋体" w:eastAsia="宋体" w:hint="default"/>
                <w:sz w:val="18"/>
                <w:szCs w:val="18"/>
              </w:rPr>
              <w:t> </w:t>
            </w:r>
            <w:r>
              <w:rPr>
                <w:rFonts w:ascii="宋体" w:hAnsi="宋体" w:cs="宋体" w:eastAsia="宋体" w:hint="default"/>
                <w:spacing w:val="-2"/>
                <w:sz w:val="18"/>
                <w:szCs w:val="18"/>
              </w:rPr>
              <w:t>合性创业服务提供商，按照主要收入来源主营业务分为：创</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业辅导培训、公关服务、会员服务等，</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年度实现主营业</w:t>
            </w:r>
            <w:r>
              <w:rPr>
                <w:rFonts w:ascii="宋体" w:hAnsi="宋体" w:cs="宋体" w:eastAsia="宋体" w:hint="default"/>
                <w:spacing w:val="-65"/>
                <w:sz w:val="18"/>
                <w:szCs w:val="18"/>
              </w:rPr>
              <w:t> </w:t>
            </w:r>
            <w:r>
              <w:rPr>
                <w:rFonts w:ascii="宋体" w:hAnsi="宋体" w:cs="宋体" w:eastAsia="宋体" w:hint="default"/>
                <w:spacing w:val="-1"/>
                <w:sz w:val="18"/>
                <w:szCs w:val="18"/>
              </w:rPr>
              <w:t>务收入</w:t>
            </w:r>
            <w:r>
              <w:rPr>
                <w:rFonts w:ascii="Times New Roman" w:hAnsi="Times New Roman" w:cs="Times New Roman" w:eastAsia="Times New Roman" w:hint="default"/>
                <w:spacing w:val="-1"/>
                <w:sz w:val="18"/>
                <w:szCs w:val="18"/>
              </w:rPr>
              <w:t>18,160.72</w:t>
            </w:r>
            <w:r>
              <w:rPr>
                <w:rFonts w:ascii="宋体" w:hAnsi="宋体" w:cs="宋体" w:eastAsia="宋体" w:hint="default"/>
                <w:spacing w:val="-1"/>
                <w:sz w:val="18"/>
                <w:szCs w:val="18"/>
              </w:rPr>
              <w:t>万元。其中创业辅导培训业务收入约占创业</w:t>
            </w:r>
            <w:r>
              <w:rPr>
                <w:rFonts w:ascii="宋体" w:hAnsi="宋体" w:cs="宋体" w:eastAsia="宋体" w:hint="default"/>
                <w:sz w:val="18"/>
                <w:szCs w:val="18"/>
              </w:rPr>
              <w:t> </w:t>
            </w:r>
            <w:r>
              <w:rPr>
                <w:rFonts w:ascii="宋体" w:hAnsi="宋体" w:cs="宋体" w:eastAsia="宋体" w:hint="default"/>
                <w:spacing w:val="11"/>
                <w:sz w:val="18"/>
                <w:szCs w:val="18"/>
              </w:rPr>
              <w:t>黑马总收入</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51.01%</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pacing w:val="13"/>
                <w:sz w:val="18"/>
                <w:szCs w:val="18"/>
              </w:rPr>
              <w:t>公关服务收入约占创业黑马总收入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45.38%</w:t>
            </w:r>
            <w:r>
              <w:rPr>
                <w:rFonts w:ascii="宋体" w:hAnsi="宋体" w:cs="宋体" w:eastAsia="宋体" w:hint="default"/>
                <w:sz w:val="18"/>
                <w:szCs w:val="18"/>
              </w:rPr>
              <w:t>。</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62" w:right="1780"/>
              <w:jc w:val="left"/>
              <w:rPr>
                <w:rFonts w:ascii="宋体" w:hAnsi="宋体" w:cs="宋体" w:eastAsia="宋体" w:hint="default"/>
                <w:sz w:val="18"/>
                <w:szCs w:val="18"/>
              </w:rPr>
            </w:pPr>
            <w:r>
              <w:rPr>
                <w:rFonts w:ascii="宋体" w:hAnsi="宋体" w:cs="宋体" w:eastAsia="宋体" w:hint="default"/>
                <w:sz w:val="18"/>
                <w:szCs w:val="18"/>
              </w:rPr>
              <w:t>我们执行的主要审计程序如下： 针对创业辅导培训收入：</w:t>
            </w:r>
          </w:p>
          <w:p>
            <w:pPr>
              <w:pStyle w:val="TableParagraph"/>
              <w:spacing w:line="309" w:lineRule="auto" w:before="19"/>
              <w:ind w:left="2" w:right="3" w:firstLine="18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）我们了解、评估了管理层对创业黑马自学员报名至</w:t>
            </w:r>
            <w:r>
              <w:rPr>
                <w:rFonts w:ascii="宋体" w:hAnsi="宋体" w:cs="宋体" w:eastAsia="宋体" w:hint="default"/>
                <w:sz w:val="18"/>
                <w:szCs w:val="18"/>
              </w:rPr>
              <w:t> </w:t>
            </w:r>
            <w:r>
              <w:rPr>
                <w:rFonts w:ascii="宋体" w:hAnsi="宋体" w:cs="宋体" w:eastAsia="宋体" w:hint="default"/>
                <w:spacing w:val="-1"/>
                <w:sz w:val="18"/>
                <w:szCs w:val="18"/>
              </w:rPr>
              <w:t>收入入账的创业辅导培训相关流程中内部控制的设计，并测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试了关键控制执行的有效性；</w:t>
            </w:r>
          </w:p>
          <w:p>
            <w:pPr>
              <w:pStyle w:val="TableParagraph"/>
              <w:spacing w:line="300" w:lineRule="auto" w:before="24"/>
              <w:ind w:left="2" w:right="3" w:firstLine="18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）我们通过了解同行业可比上市公司收入确认政策，</w:t>
            </w:r>
            <w:r>
              <w:rPr>
                <w:rFonts w:ascii="宋体" w:hAnsi="宋体" w:cs="宋体" w:eastAsia="宋体" w:hint="default"/>
                <w:sz w:val="18"/>
                <w:szCs w:val="18"/>
              </w:rPr>
              <w:t> </w:t>
            </w:r>
            <w:r>
              <w:rPr>
                <w:rFonts w:ascii="宋体" w:hAnsi="宋体" w:cs="宋体" w:eastAsia="宋体" w:hint="default"/>
                <w:spacing w:val="-1"/>
                <w:sz w:val="18"/>
                <w:szCs w:val="18"/>
              </w:rPr>
              <w:t>与管理层讨论业务特点及检查相关合同，对与创业辅导培训</w:t>
            </w:r>
          </w:p>
        </w:tc>
      </w:tr>
    </w:tbl>
    <w:p>
      <w:pPr>
        <w:spacing w:after="0" w:line="300"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4674"/>
        <w:gridCol w:w="4679"/>
      </w:tblGrid>
      <w:tr>
        <w:trPr>
          <w:trHeight w:val="6899" w:hRule="exact"/>
        </w:trPr>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我们关注创业辅导培训收入及公关服务收入的确认。</w:t>
            </w:r>
          </w:p>
          <w:p>
            <w:pPr>
              <w:pStyle w:val="TableParagraph"/>
              <w:spacing w:line="309" w:lineRule="auto" w:before="76"/>
              <w:ind w:left="2" w:right="0"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）创业辅导培训收入单笔金额小、销售业务量大，</w:t>
            </w:r>
            <w:r>
              <w:rPr>
                <w:rFonts w:ascii="宋体" w:hAnsi="宋体" w:cs="宋体" w:eastAsia="宋体" w:hint="default"/>
                <w:sz w:val="18"/>
                <w:szCs w:val="18"/>
              </w:rPr>
              <w:t> </w:t>
            </w:r>
            <w:r>
              <w:rPr>
                <w:rFonts w:ascii="宋体" w:hAnsi="宋体" w:cs="宋体" w:eastAsia="宋体" w:hint="default"/>
                <w:spacing w:val="5"/>
                <w:sz w:val="18"/>
                <w:szCs w:val="18"/>
              </w:rPr>
              <w:t>其收入确认是否真实及是否在恰当的财务报表期间入账可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能存在潜在错报；</w:t>
            </w:r>
          </w:p>
          <w:p>
            <w:pPr>
              <w:pStyle w:val="TableParagraph"/>
              <w:spacing w:line="300" w:lineRule="auto" w:before="24"/>
              <w:ind w:left="2" w:right="6"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）公关服务收入单项金额较大，销售收入确认上的</w:t>
            </w:r>
            <w:r>
              <w:rPr>
                <w:rFonts w:ascii="宋体" w:hAnsi="宋体" w:cs="宋体" w:eastAsia="宋体" w:hint="default"/>
                <w:sz w:val="18"/>
                <w:szCs w:val="18"/>
              </w:rPr>
              <w:t> 错报可能对创业黑马的利润产生重大影响。</w:t>
            </w:r>
          </w:p>
          <w:p>
            <w:pPr>
              <w:pStyle w:val="TableParagraph"/>
              <w:spacing w:line="316" w:lineRule="auto" w:before="31"/>
              <w:ind w:left="2" w:right="1" w:firstLine="360"/>
              <w:jc w:val="both"/>
              <w:rPr>
                <w:rFonts w:ascii="宋体" w:hAnsi="宋体" w:cs="宋体" w:eastAsia="宋体" w:hint="default"/>
                <w:sz w:val="18"/>
                <w:szCs w:val="18"/>
              </w:rPr>
            </w:pPr>
            <w:r>
              <w:rPr>
                <w:rFonts w:ascii="宋体" w:hAnsi="宋体" w:cs="宋体" w:eastAsia="宋体" w:hint="default"/>
                <w:spacing w:val="-2"/>
                <w:sz w:val="18"/>
                <w:szCs w:val="18"/>
              </w:rPr>
              <w:t>因此，我们将创业黑马创业辅导培训收入、公关服务收</w:t>
            </w:r>
            <w:r>
              <w:rPr>
                <w:rFonts w:ascii="宋体" w:hAnsi="宋体" w:cs="宋体" w:eastAsia="宋体" w:hint="default"/>
                <w:sz w:val="18"/>
                <w:szCs w:val="18"/>
              </w:rPr>
              <w:t> 入确认识别为关键审计事项。</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2" w:right="1" w:firstLine="360"/>
              <w:jc w:val="both"/>
              <w:rPr>
                <w:rFonts w:ascii="宋体" w:hAnsi="宋体" w:cs="宋体" w:eastAsia="宋体" w:hint="default"/>
                <w:sz w:val="18"/>
                <w:szCs w:val="18"/>
              </w:rPr>
            </w:pPr>
            <w:r>
              <w:rPr>
                <w:rFonts w:ascii="宋体" w:hAnsi="宋体" w:cs="宋体" w:eastAsia="宋体" w:hint="default"/>
                <w:spacing w:val="-2"/>
                <w:sz w:val="18"/>
                <w:szCs w:val="18"/>
              </w:rPr>
              <w:t>关于收入确认的会计政策详见附注三（二十五）；关于</w:t>
            </w:r>
            <w:r>
              <w:rPr>
                <w:rFonts w:ascii="宋体" w:hAnsi="宋体" w:cs="宋体" w:eastAsia="宋体" w:hint="default"/>
                <w:sz w:val="18"/>
                <w:szCs w:val="18"/>
              </w:rPr>
              <w:t> 收入类别的披露详见附注六（注释</w:t>
            </w:r>
            <w:r>
              <w:rPr>
                <w:rFonts w:ascii="Times New Roman" w:hAnsi="Times New Roman" w:cs="Times New Roman" w:eastAsia="Times New Roman" w:hint="default"/>
                <w:sz w:val="18"/>
                <w:szCs w:val="18"/>
              </w:rPr>
              <w:t>23</w:t>
            </w:r>
            <w:r>
              <w:rPr>
                <w:rFonts w:ascii="宋体" w:hAnsi="宋体" w:cs="宋体" w:eastAsia="宋体" w:hint="default"/>
                <w:sz w:val="18"/>
                <w:szCs w:val="18"/>
              </w:rPr>
              <w:t>）</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
                <w:sz w:val="18"/>
                <w:szCs w:val="18"/>
              </w:rPr>
              <w:t>收入确认有关的重大风险及确认时点进行了分析评估，进而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评估了创业辅导培训收入的确认政策。</w:t>
            </w:r>
          </w:p>
          <w:p>
            <w:pPr>
              <w:pStyle w:val="TableParagraph"/>
              <w:spacing w:line="309" w:lineRule="auto" w:before="19"/>
              <w:ind w:left="2" w:right="3" w:firstLine="18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）选取样本检查招生材料、销售合同、报名表、发票</w:t>
            </w:r>
            <w:r>
              <w:rPr>
                <w:rFonts w:ascii="宋体" w:hAnsi="宋体" w:cs="宋体" w:eastAsia="宋体" w:hint="default"/>
                <w:sz w:val="18"/>
                <w:szCs w:val="18"/>
              </w:rPr>
              <w:t> </w:t>
            </w:r>
            <w:r>
              <w:rPr>
                <w:rFonts w:ascii="宋体" w:hAnsi="宋体" w:cs="宋体" w:eastAsia="宋体" w:hint="default"/>
                <w:spacing w:val="-1"/>
                <w:sz w:val="18"/>
                <w:szCs w:val="18"/>
              </w:rPr>
              <w:t>文件及课程交付记录等文件，并获取课程排期及学员收款明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细对收入进行重新测算；</w:t>
            </w:r>
          </w:p>
          <w:p>
            <w:pPr>
              <w:pStyle w:val="TableParagraph"/>
              <w:spacing w:line="309" w:lineRule="auto" w:before="24"/>
              <w:ind w:left="2" w:right="3" w:firstLine="18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）就资产负债表日前后记录的收入交易，选取样本，</w:t>
            </w:r>
            <w:r>
              <w:rPr>
                <w:rFonts w:ascii="宋体" w:hAnsi="宋体" w:cs="宋体" w:eastAsia="宋体" w:hint="default"/>
                <w:sz w:val="18"/>
                <w:szCs w:val="18"/>
              </w:rPr>
              <w:t> </w:t>
            </w:r>
            <w:r>
              <w:rPr>
                <w:rFonts w:ascii="宋体" w:hAnsi="宋体" w:cs="宋体" w:eastAsia="宋体" w:hint="default"/>
                <w:spacing w:val="-1"/>
                <w:sz w:val="18"/>
                <w:szCs w:val="18"/>
              </w:rPr>
              <w:t>检查创业辅导培训业务课程排期表等文件，评价收入是否被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记录于恰当的会计期间。</w:t>
            </w:r>
          </w:p>
          <w:p>
            <w:pPr>
              <w:pStyle w:val="TableParagraph"/>
              <w:spacing w:line="240" w:lineRule="auto" w:before="24"/>
              <w:ind w:left="362" w:right="0"/>
              <w:jc w:val="left"/>
              <w:rPr>
                <w:rFonts w:ascii="宋体" w:hAnsi="宋体" w:cs="宋体" w:eastAsia="宋体" w:hint="default"/>
                <w:sz w:val="18"/>
                <w:szCs w:val="18"/>
              </w:rPr>
            </w:pPr>
            <w:r>
              <w:rPr>
                <w:rFonts w:ascii="宋体" w:hAnsi="宋体" w:cs="宋体" w:eastAsia="宋体" w:hint="default"/>
                <w:sz w:val="18"/>
                <w:szCs w:val="18"/>
              </w:rPr>
              <w:t>针对公关服务收入：</w:t>
            </w:r>
          </w:p>
          <w:p>
            <w:pPr>
              <w:pStyle w:val="TableParagraph"/>
              <w:spacing w:line="309" w:lineRule="auto" w:before="76"/>
              <w:ind w:left="2" w:right="1" w:firstLine="18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）我们了解、评估了管理层对创业黑马自合同审批至</w:t>
            </w:r>
            <w:r>
              <w:rPr>
                <w:rFonts w:ascii="宋体" w:hAnsi="宋体" w:cs="宋体" w:eastAsia="宋体" w:hint="default"/>
                <w:sz w:val="18"/>
                <w:szCs w:val="18"/>
              </w:rPr>
              <w:t> </w:t>
            </w:r>
            <w:r>
              <w:rPr>
                <w:rFonts w:ascii="宋体" w:hAnsi="宋体" w:cs="宋体" w:eastAsia="宋体" w:hint="default"/>
                <w:spacing w:val="-1"/>
                <w:sz w:val="18"/>
                <w:szCs w:val="18"/>
              </w:rPr>
              <w:t>相关收入入账的公关服务流程中内部控制的设计，并测试了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关键控制执行的有效性；</w:t>
            </w:r>
          </w:p>
          <w:p>
            <w:pPr>
              <w:pStyle w:val="TableParagraph"/>
              <w:spacing w:line="312" w:lineRule="auto" w:before="24"/>
              <w:ind w:left="2" w:right="3" w:firstLine="18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）我们通过了解同行业可比上市公司收入确认政策，</w:t>
            </w:r>
            <w:r>
              <w:rPr>
                <w:rFonts w:ascii="宋体" w:hAnsi="宋体" w:cs="宋体" w:eastAsia="宋体" w:hint="default"/>
                <w:sz w:val="18"/>
                <w:szCs w:val="18"/>
              </w:rPr>
              <w:t> </w:t>
            </w:r>
            <w:r>
              <w:rPr>
                <w:rFonts w:ascii="宋体" w:hAnsi="宋体" w:cs="宋体" w:eastAsia="宋体" w:hint="default"/>
                <w:spacing w:val="-1"/>
                <w:sz w:val="18"/>
                <w:szCs w:val="18"/>
              </w:rPr>
              <w:t>与管理层讨论业务特点及检查相关合同，对与公关服务收入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确认有关的重大风险及确认时点进行了分析评估，进而评估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了公关服务收入的确认政策；</w:t>
            </w:r>
          </w:p>
          <w:p>
            <w:pPr>
              <w:pStyle w:val="TableParagraph"/>
              <w:spacing w:line="309" w:lineRule="auto" w:before="22"/>
              <w:ind w:left="2" w:right="3" w:firstLine="18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）选取样本检查公关业务客户合同、执行进度单、验</w:t>
            </w:r>
            <w:r>
              <w:rPr>
                <w:rFonts w:ascii="宋体" w:hAnsi="宋体" w:cs="宋体" w:eastAsia="宋体" w:hint="default"/>
                <w:sz w:val="18"/>
                <w:szCs w:val="18"/>
              </w:rPr>
              <w:t> </w:t>
            </w:r>
            <w:r>
              <w:rPr>
                <w:rFonts w:ascii="宋体" w:hAnsi="宋体" w:cs="宋体" w:eastAsia="宋体" w:hint="default"/>
                <w:spacing w:val="-1"/>
                <w:sz w:val="18"/>
                <w:szCs w:val="18"/>
              </w:rPr>
              <w:t>收文件、发票、回款单等相关支持文件，并结合应收账款函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证等程序对收入真实性进行核查；</w:t>
            </w:r>
          </w:p>
          <w:p>
            <w:pPr>
              <w:pStyle w:val="TableParagraph"/>
              <w:spacing w:line="309" w:lineRule="auto" w:before="24"/>
              <w:ind w:left="2" w:right="3" w:firstLine="18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）就资产负债表日前后记录的收入交易，选取样本，</w:t>
            </w:r>
            <w:r>
              <w:rPr>
                <w:rFonts w:ascii="宋体" w:hAnsi="宋体" w:cs="宋体" w:eastAsia="宋体" w:hint="default"/>
                <w:sz w:val="18"/>
                <w:szCs w:val="18"/>
              </w:rPr>
              <w:t> </w:t>
            </w:r>
            <w:r>
              <w:rPr>
                <w:rFonts w:ascii="宋体" w:hAnsi="宋体" w:cs="宋体" w:eastAsia="宋体" w:hint="default"/>
                <w:spacing w:val="-1"/>
                <w:sz w:val="18"/>
                <w:szCs w:val="18"/>
              </w:rPr>
              <w:t>检查公关业务执行进度单等文件，评价收入是否被记录于恰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当的会计期间。</w:t>
            </w:r>
          </w:p>
        </w:tc>
      </w:tr>
      <w:tr>
        <w:trPr>
          <w:trHeight w:val="347" w:hRule="exact"/>
        </w:trPr>
        <w:tc>
          <w:tcPr>
            <w:tcW w:w="9353" w:type="dxa"/>
            <w:gridSpan w:val="2"/>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二、应收账款的可收回性</w:t>
            </w:r>
            <w:r>
              <w:rPr>
                <w:rFonts w:ascii="宋体" w:hAnsi="宋体" w:cs="宋体" w:eastAsia="宋体" w:hint="default"/>
                <w:sz w:val="18"/>
                <w:szCs w:val="18"/>
              </w:rPr>
            </w:r>
          </w:p>
        </w:tc>
      </w:tr>
      <w:tr>
        <w:trPr>
          <w:trHeight w:val="4716" w:hRule="exact"/>
        </w:trPr>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24" w:firstLine="362"/>
              <w:jc w:val="both"/>
              <w:rPr>
                <w:rFonts w:ascii="宋体" w:hAnsi="宋体" w:cs="宋体" w:eastAsia="宋体" w:hint="default"/>
                <w:sz w:val="18"/>
                <w:szCs w:val="18"/>
              </w:rPr>
            </w:pPr>
            <w:r>
              <w:rPr>
                <w:rFonts w:ascii="宋体" w:hAnsi="宋体" w:cs="宋体" w:eastAsia="宋体" w:hint="default"/>
                <w:spacing w:val="5"/>
                <w:sz w:val="18"/>
                <w:szCs w:val="18"/>
              </w:rPr>
              <w:t>截至</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31</w:t>
            </w:r>
            <w:r>
              <w:rPr>
                <w:rFonts w:ascii="宋体" w:hAnsi="宋体" w:cs="宋体" w:eastAsia="宋体" w:hint="default"/>
                <w:spacing w:val="5"/>
                <w:sz w:val="18"/>
                <w:szCs w:val="18"/>
              </w:rPr>
              <w:t>日创业黑马财务报表应收账款净额</w:t>
            </w:r>
            <w:r>
              <w:rPr>
                <w:rFonts w:ascii="宋体" w:hAnsi="宋体" w:cs="宋体" w:eastAsia="宋体" w:hint="default"/>
                <w:spacing w:val="7"/>
                <w:sz w:val="18"/>
                <w:szCs w:val="18"/>
              </w:rPr>
              <w:t> </w:t>
            </w:r>
            <w:r>
              <w:rPr>
                <w:rFonts w:ascii="宋体" w:hAnsi="宋体" w:cs="宋体" w:eastAsia="宋体" w:hint="default"/>
                <w:sz w:val="18"/>
                <w:szCs w:val="18"/>
              </w:rPr>
              <w:t>人民币</w:t>
            </w:r>
            <w:r>
              <w:rPr>
                <w:rFonts w:ascii="Times New Roman" w:hAnsi="Times New Roman" w:cs="Times New Roman" w:eastAsia="Times New Roman" w:hint="default"/>
                <w:sz w:val="18"/>
                <w:szCs w:val="18"/>
              </w:rPr>
              <w:t>4,604.66</w:t>
            </w:r>
            <w:r>
              <w:rPr>
                <w:rFonts w:ascii="宋体" w:hAnsi="宋体" w:cs="宋体" w:eastAsia="宋体" w:hint="default"/>
                <w:sz w:val="18"/>
                <w:szCs w:val="18"/>
              </w:rPr>
              <w:t>万元，较上年同期增加人民币</w:t>
            </w:r>
            <w:r>
              <w:rPr>
                <w:rFonts w:ascii="Times New Roman" w:hAnsi="Times New Roman" w:cs="Times New Roman" w:eastAsia="Times New Roman" w:hint="default"/>
                <w:sz w:val="18"/>
                <w:szCs w:val="18"/>
              </w:rPr>
              <w:t>3,053.76</w:t>
            </w:r>
            <w:r>
              <w:rPr>
                <w:rFonts w:ascii="宋体" w:hAnsi="宋体" w:cs="宋体" w:eastAsia="宋体" w:hint="default"/>
                <w:sz w:val="18"/>
                <w:szCs w:val="18"/>
              </w:rPr>
              <w:t>万元， 增幅</w:t>
            </w:r>
            <w:r>
              <w:rPr>
                <w:rFonts w:ascii="Times New Roman" w:hAnsi="Times New Roman" w:cs="Times New Roman" w:eastAsia="Times New Roman" w:hint="default"/>
                <w:sz w:val="18"/>
                <w:szCs w:val="18"/>
              </w:rPr>
              <w:t>196.90%</w:t>
            </w:r>
            <w:r>
              <w:rPr>
                <w:rFonts w:ascii="宋体" w:hAnsi="宋体" w:cs="宋体" w:eastAsia="宋体" w:hint="default"/>
                <w:sz w:val="18"/>
                <w:szCs w:val="18"/>
              </w:rPr>
              <w:t>。由于应收账款期末价值较上年变动较大，且</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可收回性的确定需要管理层获取客观证据，评估预期未来可</w:t>
            </w:r>
            <w:r>
              <w:rPr>
                <w:rFonts w:ascii="宋体" w:hAnsi="宋体" w:cs="宋体" w:eastAsia="宋体" w:hint="default"/>
                <w:sz w:val="18"/>
                <w:szCs w:val="18"/>
              </w:rPr>
              <w:t> 获得的现金流量并确定其现值，涉及管理层运用重大会计估 计和判断。因此我们将应收账款的可收回性及真实性确定为 关键审计事项。</w:t>
            </w: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2" w:right="1" w:firstLine="360"/>
              <w:jc w:val="both"/>
              <w:rPr>
                <w:rFonts w:ascii="宋体" w:hAnsi="宋体" w:cs="宋体" w:eastAsia="宋体" w:hint="default"/>
                <w:sz w:val="18"/>
                <w:szCs w:val="18"/>
              </w:rPr>
            </w:pPr>
            <w:r>
              <w:rPr>
                <w:rFonts w:ascii="宋体" w:hAnsi="宋体" w:cs="宋体" w:eastAsia="宋体" w:hint="default"/>
                <w:spacing w:val="-2"/>
                <w:sz w:val="18"/>
                <w:szCs w:val="18"/>
              </w:rPr>
              <w:t>关于应收账款的会计政策详见附注三（十一）；关于应</w:t>
            </w:r>
            <w:r>
              <w:rPr>
                <w:rFonts w:ascii="宋体" w:hAnsi="宋体" w:cs="宋体" w:eastAsia="宋体" w:hint="default"/>
                <w:sz w:val="18"/>
                <w:szCs w:val="18"/>
              </w:rPr>
              <w:t> 收账款的披露详见附注六（注释</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我们执行的主要审计程序如下：</w:t>
            </w:r>
          </w:p>
          <w:p>
            <w:pPr>
              <w:pStyle w:val="TableParagraph"/>
              <w:spacing w:line="309" w:lineRule="auto" w:before="76"/>
              <w:ind w:left="2" w:right="3" w:firstLine="18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）了解、评估并测试与应收账款日常管理及可收回性</w:t>
            </w:r>
            <w:r>
              <w:rPr>
                <w:rFonts w:ascii="宋体" w:hAnsi="宋体" w:cs="宋体" w:eastAsia="宋体" w:hint="default"/>
                <w:sz w:val="18"/>
                <w:szCs w:val="18"/>
              </w:rPr>
              <w:t> </w:t>
            </w:r>
            <w:r>
              <w:rPr>
                <w:rFonts w:ascii="宋体" w:hAnsi="宋体" w:cs="宋体" w:eastAsia="宋体" w:hint="default"/>
                <w:spacing w:val="-1"/>
                <w:sz w:val="18"/>
                <w:szCs w:val="18"/>
              </w:rPr>
              <w:t>评估相关的关键内部控制，将应收账款周转率历史数据、同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行业数据对比分析，复核应收账款的可回收性是否异常；</w:t>
            </w:r>
          </w:p>
          <w:p>
            <w:pPr>
              <w:pStyle w:val="TableParagraph"/>
              <w:spacing w:line="312" w:lineRule="auto" w:before="24"/>
              <w:ind w:left="2" w:right="3" w:firstLine="21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）了解管理层评估应收账款计提坏账准备时的判断和 </w:t>
            </w:r>
            <w:r>
              <w:rPr>
                <w:rFonts w:ascii="宋体" w:hAnsi="宋体" w:cs="宋体" w:eastAsia="宋体" w:hint="default"/>
                <w:spacing w:val="-1"/>
                <w:sz w:val="18"/>
                <w:szCs w:val="18"/>
              </w:rPr>
              <w:t>考虑的因素，分析管理层对应收账款坏账准备会计估计的合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理性，包括应收账款组合的依据、金额重大的判断、单独计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提坏账准备的判断等；</w:t>
            </w:r>
          </w:p>
          <w:p>
            <w:pPr>
              <w:pStyle w:val="TableParagraph"/>
              <w:spacing w:line="309" w:lineRule="auto" w:before="22"/>
              <w:ind w:left="2" w:right="3" w:firstLine="145"/>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）对于单独计提坏账准备的应收账款，选取样本获取管</w:t>
            </w:r>
            <w:r>
              <w:rPr>
                <w:rFonts w:ascii="宋体" w:hAnsi="宋体" w:cs="宋体" w:eastAsia="宋体" w:hint="default"/>
                <w:sz w:val="18"/>
                <w:szCs w:val="18"/>
              </w:rPr>
              <w:t> </w:t>
            </w:r>
            <w:r>
              <w:rPr>
                <w:rFonts w:ascii="宋体" w:hAnsi="宋体" w:cs="宋体" w:eastAsia="宋体" w:hint="default"/>
                <w:spacing w:val="-1"/>
                <w:sz w:val="18"/>
                <w:szCs w:val="18"/>
              </w:rPr>
              <w:t>理层对预计未来可收回金额做出估计的依据，包括客户信用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记录、违约及期后实际还款情况，并复核其合理性。</w:t>
            </w:r>
          </w:p>
          <w:p>
            <w:pPr>
              <w:pStyle w:val="TableParagraph"/>
              <w:spacing w:line="309" w:lineRule="auto" w:before="24"/>
              <w:ind w:left="2" w:right="3" w:firstLine="18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）对于按账龄分析法计提坏账准备的应收账款，分析</w:t>
            </w:r>
            <w:r>
              <w:rPr>
                <w:rFonts w:ascii="宋体" w:hAnsi="宋体" w:cs="宋体" w:eastAsia="宋体" w:hint="default"/>
                <w:sz w:val="18"/>
                <w:szCs w:val="18"/>
              </w:rPr>
              <w:t> </w:t>
            </w:r>
            <w:r>
              <w:rPr>
                <w:rFonts w:ascii="宋体" w:hAnsi="宋体" w:cs="宋体" w:eastAsia="宋体" w:hint="default"/>
                <w:spacing w:val="-1"/>
                <w:sz w:val="18"/>
                <w:szCs w:val="18"/>
              </w:rPr>
              <w:t>创业黑马应收账款坏账准备会计估计的合理性，并选取样本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对账龄准确性进行测试；</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2"/>
        <w:spacing w:line="240" w:lineRule="auto" w:before="26"/>
        <w:ind w:left="1616" w:right="0"/>
        <w:jc w:val="left"/>
        <w:rPr>
          <w:b w:val="0"/>
          <w:bCs w:val="0"/>
        </w:rPr>
      </w:pPr>
      <w:r>
        <w:rPr/>
        <w:t>四、其他信息</w:t>
      </w:r>
      <w:r>
        <w:rPr>
          <w:b w:val="0"/>
          <w:bCs w:val="0"/>
        </w:rPr>
      </w:r>
    </w:p>
    <w:p>
      <w:pPr>
        <w:spacing w:line="240" w:lineRule="auto" w:before="0"/>
        <w:rPr>
          <w:rFonts w:ascii="宋体" w:hAnsi="宋体" w:cs="宋体" w:eastAsia="宋体" w:hint="default"/>
          <w:b/>
          <w:bCs/>
          <w:sz w:val="20"/>
          <w:szCs w:val="20"/>
        </w:rPr>
      </w:pPr>
    </w:p>
    <w:p>
      <w:pPr>
        <w:pStyle w:val="Heading4"/>
        <w:spacing w:line="256" w:lineRule="auto"/>
        <w:ind w:right="0" w:firstLine="420"/>
        <w:jc w:val="left"/>
      </w:pPr>
      <w:r>
        <w:rPr>
          <w:spacing w:val="-1"/>
        </w:rPr>
        <w:t>创业黑马管理层（以下简称管理层）对其他信息负责。其他信息包括创业黑马</w:t>
      </w:r>
      <w:r>
        <w:rPr>
          <w:rFonts w:ascii="Times New Roman" w:hAnsi="Times New Roman" w:cs="Times New Roman" w:eastAsia="Times New Roman" w:hint="default"/>
          <w:spacing w:val="-1"/>
        </w:rPr>
        <w:t>2017</w:t>
      </w:r>
      <w:r>
        <w:rPr>
          <w:spacing w:val="-1"/>
        </w:rPr>
        <w:t>年年度报告中涵盖</w:t>
      </w:r>
      <w:r>
        <w:rPr/>
        <w:t> 的信息，但不包括财务报表和我们的审计报告。</w:t>
      </w:r>
    </w:p>
    <w:p>
      <w:pPr>
        <w:spacing w:after="0" w:line="256"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left="1553" w:right="0"/>
        <w:jc w:val="left"/>
      </w:pPr>
      <w:r>
        <w:rPr/>
        <w:t>我们对财务报表发表的审计意见不涵盖其他信息，我们也不对其他信息发表任何形式的鉴证结论。</w:t>
      </w:r>
    </w:p>
    <w:p>
      <w:pPr>
        <w:pStyle w:val="Heading4"/>
        <w:spacing w:line="273" w:lineRule="auto" w:before="157"/>
        <w:ind w:right="0" w:firstLine="420"/>
        <w:jc w:val="left"/>
      </w:pPr>
      <w:r>
        <w:rPr>
          <w:spacing w:val="-1"/>
        </w:rPr>
        <w:t>结合我们对财务报表的审计，我们的责任是阅读其他信息，在此过程中，考虑其他信息是否与财务报</w:t>
      </w:r>
      <w:r>
        <w:rPr/>
        <w:t> 表或我们在审计过程中了解到的情况存在重大不一致或者似乎存在重大错报。</w:t>
      </w:r>
    </w:p>
    <w:p>
      <w:pPr>
        <w:pStyle w:val="Heading4"/>
        <w:spacing w:line="273" w:lineRule="auto" w:before="128"/>
        <w:ind w:right="0" w:firstLine="420"/>
        <w:jc w:val="left"/>
      </w:pPr>
      <w:r>
        <w:rPr>
          <w:spacing w:val="-1"/>
        </w:rPr>
        <w:t>基于我们已执行的工作，如果我们确定其他信息存在重大错报，我们应当报告该事实。在这方面，我</w:t>
      </w:r>
      <w:r>
        <w:rPr/>
        <w:t> 们无任何事项需要报告。</w:t>
      </w:r>
    </w:p>
    <w:p>
      <w:pPr>
        <w:spacing w:line="240" w:lineRule="auto" w:before="1"/>
        <w:rPr>
          <w:rFonts w:ascii="宋体" w:hAnsi="宋体" w:cs="宋体" w:eastAsia="宋体" w:hint="default"/>
          <w:sz w:val="17"/>
          <w:szCs w:val="17"/>
        </w:rPr>
      </w:pPr>
    </w:p>
    <w:p>
      <w:pPr>
        <w:pStyle w:val="Heading2"/>
        <w:spacing w:line="240" w:lineRule="auto"/>
        <w:ind w:left="1616" w:right="0"/>
        <w:jc w:val="left"/>
        <w:rPr>
          <w:b w:val="0"/>
          <w:bCs w:val="0"/>
        </w:rPr>
      </w:pPr>
      <w:r>
        <w:rPr/>
        <w:t>五、管理层和治理层对财务报表的责任</w:t>
      </w:r>
      <w:r>
        <w:rPr>
          <w:b w:val="0"/>
          <w:bCs w:val="0"/>
        </w:rPr>
      </w:r>
    </w:p>
    <w:p>
      <w:pPr>
        <w:spacing w:line="240" w:lineRule="auto" w:before="0"/>
        <w:rPr>
          <w:rFonts w:ascii="宋体" w:hAnsi="宋体" w:cs="宋体" w:eastAsia="宋体" w:hint="default"/>
          <w:b/>
          <w:bCs/>
          <w:sz w:val="20"/>
          <w:szCs w:val="20"/>
        </w:rPr>
      </w:pPr>
    </w:p>
    <w:p>
      <w:pPr>
        <w:pStyle w:val="Heading4"/>
        <w:spacing w:line="273" w:lineRule="auto"/>
        <w:ind w:right="0" w:firstLine="420"/>
        <w:jc w:val="left"/>
      </w:pPr>
      <w:r>
        <w:rPr>
          <w:spacing w:val="-1"/>
        </w:rPr>
        <w:t>管理层负责按照企业会计准则的规定编制财务报表，使其实现公允反映，并设计、执行和维护必要的</w:t>
      </w:r>
      <w:r>
        <w:rPr/>
        <w:t> 内部控制，以使财务报表不存在由于舞弊或错误导致的重大错报。</w:t>
      </w:r>
    </w:p>
    <w:p>
      <w:pPr>
        <w:pStyle w:val="Heading4"/>
        <w:spacing w:line="273" w:lineRule="auto" w:before="127"/>
        <w:ind w:right="0" w:firstLine="420"/>
        <w:jc w:val="left"/>
      </w:pPr>
      <w:r>
        <w:rPr>
          <w:spacing w:val="-8"/>
        </w:rPr>
        <w:t>在编制财务报表时，管理层负责评估创业黑马的持续经营能力，披露与持续经营相关的事项（如适用），</w:t>
      </w:r>
      <w:r>
        <w:rPr/>
        <w:t> 并运用持续经营假设，除非计划进行清算、终止运营或别无其他现实的选择。</w:t>
      </w:r>
    </w:p>
    <w:p>
      <w:pPr>
        <w:pStyle w:val="Heading4"/>
        <w:spacing w:line="240" w:lineRule="auto" w:before="127"/>
        <w:ind w:left="1553" w:right="0"/>
        <w:jc w:val="left"/>
      </w:pPr>
      <w:r>
        <w:rPr/>
        <w:t>治理层负责监督创业黑马的财务报告过程。</w:t>
      </w:r>
    </w:p>
    <w:p>
      <w:pPr>
        <w:spacing w:line="240" w:lineRule="auto" w:before="4"/>
        <w:rPr>
          <w:rFonts w:ascii="宋体" w:hAnsi="宋体" w:cs="宋体" w:eastAsia="宋体" w:hint="default"/>
          <w:sz w:val="19"/>
          <w:szCs w:val="19"/>
        </w:rPr>
      </w:pPr>
    </w:p>
    <w:p>
      <w:pPr>
        <w:pStyle w:val="Heading2"/>
        <w:spacing w:line="240" w:lineRule="auto"/>
        <w:ind w:left="1616" w:right="0"/>
        <w:jc w:val="left"/>
        <w:rPr>
          <w:b w:val="0"/>
          <w:bCs w:val="0"/>
        </w:rPr>
      </w:pPr>
      <w:r>
        <w:rPr/>
        <w:t>六、注册会计师对财务报表审计的责任</w:t>
      </w:r>
      <w:r>
        <w:rPr>
          <w:b w:val="0"/>
          <w:bCs w:val="0"/>
        </w:rPr>
      </w:r>
    </w:p>
    <w:p>
      <w:pPr>
        <w:spacing w:line="240" w:lineRule="auto" w:before="0"/>
        <w:rPr>
          <w:rFonts w:ascii="宋体" w:hAnsi="宋体" w:cs="宋体" w:eastAsia="宋体" w:hint="default"/>
          <w:b/>
          <w:bCs/>
          <w:sz w:val="20"/>
          <w:szCs w:val="20"/>
        </w:rPr>
      </w:pPr>
    </w:p>
    <w:p>
      <w:pPr>
        <w:pStyle w:val="Heading4"/>
        <w:spacing w:line="273" w:lineRule="auto"/>
        <w:ind w:right="1131" w:firstLine="420"/>
        <w:jc w:val="both"/>
      </w:pPr>
      <w:r>
        <w:rPr>
          <w:spacing w:val="-1"/>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Heading4"/>
        <w:spacing w:line="273" w:lineRule="auto" w:before="127"/>
        <w:ind w:right="1116" w:firstLine="420"/>
        <w:jc w:val="left"/>
      </w:pPr>
      <w:r>
        <w:rPr>
          <w:spacing w:val="-1"/>
        </w:rPr>
        <w:t>在按照审计准则执行审计工作的过程中，我们运用职业判断，并保持职业怀疑。同时，我们也执行以</w:t>
      </w:r>
      <w:r>
        <w:rPr/>
        <w:t> 下工作：</w:t>
      </w:r>
    </w:p>
    <w:p>
      <w:pPr>
        <w:pStyle w:val="Heading4"/>
        <w:spacing w:line="266" w:lineRule="auto" w:before="127"/>
        <w:ind w:right="1024" w:firstLine="42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 </w:t>
      </w: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r>
        <w:rPr/>
        <w:t> 重大错报的风险。</w:t>
      </w:r>
    </w:p>
    <w:p>
      <w:pPr>
        <w:pStyle w:val="Heading4"/>
        <w:spacing w:line="256" w:lineRule="auto" w:before="134"/>
        <w:ind w:right="1116" w:firstLine="42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 见。</w:t>
      </w:r>
    </w:p>
    <w:p>
      <w:pPr>
        <w:pStyle w:val="Heading4"/>
        <w:spacing w:line="240" w:lineRule="auto" w:before="142"/>
        <w:ind w:left="1554"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Heading4"/>
        <w:spacing w:line="268" w:lineRule="auto" w:before="141"/>
        <w:ind w:left="1134" w:right="1130" w:firstLine="42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）对管理层使用持续经营假设的恰当性得出结论。同时，根据获取的审计证据，就可能导致对创 </w:t>
      </w:r>
      <w:r>
        <w:rPr>
          <w:spacing w:val="-1"/>
        </w:rPr>
        <w:t>业黑马持续经营能力产生重大疑虑的事项或情况是否存在重大不确定性得出结论。如果我们得出结论认为</w:t>
      </w:r>
      <w:r>
        <w:rPr>
          <w:spacing w:val="-80"/>
        </w:rPr>
        <w:t> </w:t>
      </w:r>
      <w:r>
        <w:rPr>
          <w:spacing w:val="-80"/>
        </w:rPr>
      </w:r>
      <w:r>
        <w:rPr>
          <w:spacing w:val="-1"/>
        </w:rPr>
        <w:t>存在重大不确定性，审计准则要求我们在审计报告中提请报表使用者注意财务报表中的相关披露；如果披</w:t>
      </w:r>
      <w:r>
        <w:rPr>
          <w:spacing w:val="-81"/>
        </w:rPr>
        <w:t> </w:t>
      </w:r>
      <w:r>
        <w:rPr>
          <w:spacing w:val="-81"/>
        </w:rPr>
      </w:r>
      <w:r>
        <w:rPr>
          <w:spacing w:val="-1"/>
        </w:rPr>
        <w:t>露不充分，我们应当发表非无保留意见。我们的结论基于截至审计报告日可获得的信息。然而，未来的事</w:t>
      </w:r>
      <w:r>
        <w:rPr>
          <w:spacing w:val="-86"/>
        </w:rPr>
        <w:t> </w:t>
      </w:r>
      <w:r>
        <w:rPr>
          <w:spacing w:val="-86"/>
        </w:rPr>
      </w:r>
      <w:r>
        <w:rPr/>
        <w:t>项或情况可能导致创业黑马不能持续经营。</w:t>
      </w:r>
    </w:p>
    <w:p>
      <w:pPr>
        <w:pStyle w:val="Heading4"/>
        <w:spacing w:line="256" w:lineRule="auto" w:before="132"/>
        <w:ind w:left="1134" w:right="1116" w:firstLine="42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 和事项。</w:t>
      </w:r>
    </w:p>
    <w:p>
      <w:pPr>
        <w:pStyle w:val="Heading4"/>
        <w:spacing w:line="256" w:lineRule="auto" w:before="142"/>
        <w:ind w:left="1134" w:right="0" w:firstLine="420"/>
        <w:jc w:val="left"/>
      </w:pPr>
      <w:r>
        <w:rPr/>
        <w:t>（</w:t>
      </w:r>
      <w:r>
        <w:rPr>
          <w:rFonts w:ascii="Times New Roman" w:hAnsi="Times New Roman" w:cs="Times New Roman" w:eastAsia="Times New Roman" w:hint="default"/>
        </w:rPr>
        <w:t>6</w:t>
      </w:r>
      <w:r>
        <w:rPr/>
        <w:t>）就创业黑马中实体或业务活动的财务信息获取充分、适当的审计证据，以对财务报表发表审计 意见。我们负责指导、监督和执行集团审计，并对审计意见承担全部责任。</w:t>
      </w:r>
    </w:p>
    <w:p>
      <w:pPr>
        <w:pStyle w:val="Heading4"/>
        <w:spacing w:line="273" w:lineRule="auto" w:before="142"/>
        <w:ind w:left="1134" w:right="0" w:firstLine="420"/>
        <w:jc w:val="left"/>
      </w:pPr>
      <w:r>
        <w:rPr>
          <w:spacing w:val="-1"/>
        </w:rPr>
        <w:t>我们与治理层就计划的审计范围、时间安排和重大审计发现等事项进行沟通，包括沟通我们在审计中</w:t>
      </w:r>
      <w:r>
        <w:rPr/>
        <w:t> 识别出的值得关注的内部控制缺陷。</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73" w:lineRule="auto" w:before="35"/>
        <w:ind w:right="1132" w:firstLine="420"/>
        <w:jc w:val="both"/>
      </w:pPr>
      <w:r>
        <w:rPr>
          <w:spacing w:val="-1"/>
        </w:rPr>
        <w:t>我们还就已遵守与独立性相关的职业道德要求向治理层提供声明，并与治理层沟通可能被合理认为影</w:t>
      </w:r>
      <w:r>
        <w:rPr/>
        <w:t> 响我们独立性的所有关系和其他事项，以及相关的防范措施（如适用）。</w:t>
      </w:r>
    </w:p>
    <w:p>
      <w:pPr>
        <w:pStyle w:val="Heading4"/>
        <w:spacing w:line="273" w:lineRule="auto" w:before="127"/>
        <w:ind w:right="1130" w:firstLine="420"/>
        <w:jc w:val="both"/>
      </w:pPr>
      <w:r>
        <w:rPr/>
        <w:pict>
          <v:group style="position:absolute;margin-left:56.34pt;margin-top:122.313683pt;width:426.9pt;height:.75pt;mso-position-horizontal-relative:page;mso-position-vertical-relative:paragraph;z-index:-910624" coordorigin="1127,2446" coordsize="8538,15">
            <v:group style="position:absolute;left:1134;top:2453;width:4262;height:2" coordorigin="1134,2453" coordsize="4262,2">
              <v:shape style="position:absolute;left:1134;top:2453;width:4262;height:2" coordorigin="1134,2453" coordsize="4262,0" path="m1134,2453l5396,2453e" filled="false" stroked="true" strokeweight=".72pt" strokecolor="#000000">
                <v:path arrowok="t"/>
              </v:shape>
            </v:group>
            <v:group style="position:absolute;left:5396;top:2453;width:15;height:2" coordorigin="5396,2453" coordsize="15,2">
              <v:shape style="position:absolute;left:5396;top:2453;width:15;height:2" coordorigin="5396,2453" coordsize="15,0" path="m5396,2453l5410,2453e" filled="false" stroked="true" strokeweight=".72pt" strokecolor="#000000">
                <v:path arrowok="t"/>
              </v:shape>
            </v:group>
            <v:group style="position:absolute;left:5410;top:2453;width:2295;height:2" coordorigin="5410,2453" coordsize="2295,2">
              <v:shape style="position:absolute;left:5410;top:2453;width:2295;height:2" coordorigin="5410,2453" coordsize="2295,0" path="m5410,2453l7705,2453e" filled="false" stroked="true" strokeweight=".72pt" strokecolor="#000000">
                <v:path arrowok="t"/>
              </v:shape>
            </v:group>
            <v:group style="position:absolute;left:7705;top:2453;width:15;height:2" coordorigin="7705,2453" coordsize="15,2">
              <v:shape style="position:absolute;left:7705;top:2453;width:15;height:2" coordorigin="7705,2453" coordsize="15,0" path="m7705,2453l7719,2453e" filled="false" stroked="true" strokeweight=".72pt" strokecolor="#000000">
                <v:path arrowok="t"/>
              </v:shape>
            </v:group>
            <v:group style="position:absolute;left:7719;top:2453;width:1939;height:2" coordorigin="7719,2453" coordsize="1939,2">
              <v:shape style="position:absolute;left:7719;top:2453;width:1939;height:2" coordorigin="7719,2453" coordsize="1939,0" path="m7719,2453l9658,2453e" filled="false" stroked="true" strokeweight=".72pt" strokecolor="#000000">
                <v:path arrowok="t"/>
              </v:shape>
            </v:group>
            <w10:wrap type="none"/>
          </v:group>
        </w:pict>
      </w:r>
      <w:r>
        <w:rPr>
          <w:spacing w:val="-1"/>
        </w:rPr>
        <w:t>从与治理层沟通过的事项中，我们确定哪些事项对本期合并财务报表审计最为重要，因而构成关键审</w:t>
      </w:r>
      <w:r>
        <w:rPr/>
        <w:t> </w:t>
      </w:r>
      <w:r>
        <w:rPr>
          <w:spacing w:val="-1"/>
        </w:rPr>
        <w:t>计事项。我们在审计报告中描述这些事项，除非法律法规禁止公开披露这些事项，或在极少数情形下，如</w:t>
      </w:r>
      <w:r>
        <w:rPr>
          <w:spacing w:val="-85"/>
        </w:rPr>
        <w:t> </w:t>
      </w:r>
      <w:r>
        <w:rPr>
          <w:spacing w:val="-85"/>
        </w:rPr>
      </w:r>
      <w:r>
        <w:rPr>
          <w:spacing w:val="-1"/>
        </w:rPr>
        <w:t>果合理预期在审计报告中沟通某事项造成的负面后果超过在公众利益方面产生的益处，我们确定不应在审</w:t>
      </w:r>
      <w:r>
        <w:rPr>
          <w:spacing w:val="-80"/>
        </w:rPr>
        <w:t> </w:t>
      </w:r>
      <w:r>
        <w:rPr>
          <w:spacing w:val="-80"/>
        </w:rPr>
      </w:r>
      <w:r>
        <w:rPr/>
        <w:t>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tbl>
      <w:tblPr>
        <w:tblW w:w="0" w:type="auto"/>
        <w:jc w:val="left"/>
        <w:tblInd w:w="1950" w:type="dxa"/>
        <w:tblLayout w:type="fixed"/>
        <w:tblCellMar>
          <w:top w:w="0" w:type="dxa"/>
          <w:left w:w="0" w:type="dxa"/>
          <w:bottom w:w="0" w:type="dxa"/>
          <w:right w:w="0" w:type="dxa"/>
        </w:tblCellMar>
        <w:tblLook w:val="01E0"/>
      </w:tblPr>
      <w:tblGrid>
        <w:gridCol w:w="3445"/>
        <w:gridCol w:w="4262"/>
      </w:tblGrid>
      <w:tr>
        <w:trPr>
          <w:trHeight w:val="899" w:hRule="exact"/>
        </w:trPr>
        <w:tc>
          <w:tcPr>
            <w:tcW w:w="3445" w:type="dxa"/>
            <w:tcBorders>
              <w:top w:val="nil" w:sz="6" w:space="0" w:color="auto"/>
              <w:left w:val="nil" w:sz="6" w:space="0" w:color="auto"/>
              <w:bottom w:val="nil" w:sz="6" w:space="0" w:color="auto"/>
              <w:right w:val="nil" w:sz="6" w:space="0" w:color="auto"/>
            </w:tcBorders>
          </w:tcPr>
          <w:p>
            <w:pPr>
              <w:pStyle w:val="TableParagraph"/>
              <w:spacing w:line="256" w:lineRule="auto" w:before="3"/>
              <w:ind w:left="200" w:right="1017" w:firstLine="658"/>
              <w:jc w:val="left"/>
              <w:rPr>
                <w:rFonts w:ascii="宋体" w:hAnsi="宋体" w:cs="宋体" w:eastAsia="宋体" w:hint="default"/>
                <w:sz w:val="21"/>
                <w:szCs w:val="21"/>
              </w:rPr>
            </w:pP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北京 二</w:t>
            </w:r>
            <w:r>
              <w:rPr>
                <w:rFonts w:ascii="Times New Roman" w:hAnsi="Times New Roman" w:cs="Times New Roman" w:eastAsia="Times New Roman" w:hint="default"/>
                <w:sz w:val="21"/>
                <w:szCs w:val="21"/>
              </w:rPr>
              <w:t>○</w:t>
            </w:r>
            <w:r>
              <w:rPr>
                <w:rFonts w:ascii="宋体" w:hAnsi="宋体" w:cs="宋体" w:eastAsia="宋体" w:hint="default"/>
                <w:sz w:val="21"/>
                <w:szCs w:val="21"/>
              </w:rPr>
              <w:t>一八年四月二十三日</w:t>
            </w:r>
          </w:p>
        </w:tc>
        <w:tc>
          <w:tcPr>
            <w:tcW w:w="4262" w:type="dxa"/>
            <w:tcBorders>
              <w:top w:val="nil" w:sz="6" w:space="0" w:color="auto"/>
              <w:left w:val="nil" w:sz="6" w:space="0" w:color="auto"/>
              <w:bottom w:val="single" w:sz="6" w:space="0" w:color="000000"/>
              <w:right w:val="nil" w:sz="6" w:space="0" w:color="auto"/>
            </w:tcBorders>
          </w:tcPr>
          <w:p>
            <w:pPr>
              <w:pStyle w:val="TableParagraph"/>
              <w:spacing w:line="240" w:lineRule="auto" w:before="123"/>
              <w:ind w:right="1743"/>
              <w:jc w:val="center"/>
              <w:rPr>
                <w:rFonts w:ascii="宋体" w:hAnsi="宋体" w:cs="宋体" w:eastAsia="宋体" w:hint="default"/>
                <w:sz w:val="21"/>
                <w:szCs w:val="21"/>
              </w:rPr>
            </w:pPr>
            <w:r>
              <w:rPr>
                <w:rFonts w:ascii="宋体" w:hAnsi="宋体" w:cs="宋体" w:eastAsia="宋体" w:hint="default"/>
                <w:sz w:val="21"/>
                <w:szCs w:val="21"/>
              </w:rPr>
              <w:t>中国注册会计师</w:t>
            </w:r>
          </w:p>
          <w:p>
            <w:pPr>
              <w:pStyle w:val="TableParagraph"/>
              <w:spacing w:line="240" w:lineRule="auto" w:before="157"/>
              <w:ind w:right="1743"/>
              <w:jc w:val="center"/>
              <w:rPr>
                <w:rFonts w:ascii="宋体" w:hAnsi="宋体" w:cs="宋体" w:eastAsia="宋体" w:hint="default"/>
                <w:sz w:val="21"/>
                <w:szCs w:val="21"/>
              </w:rPr>
            </w:pPr>
            <w:r>
              <w:rPr>
                <w:rFonts w:ascii="宋体" w:hAnsi="宋体" w:cs="宋体" w:eastAsia="宋体" w:hint="default"/>
                <w:sz w:val="21"/>
                <w:szCs w:val="21"/>
              </w:rPr>
              <w:t>（项目合伙人）：</w:t>
            </w:r>
          </w:p>
        </w:tc>
      </w:tr>
      <w:tr>
        <w:trPr>
          <w:trHeight w:val="468" w:hRule="exact"/>
        </w:trPr>
        <w:tc>
          <w:tcPr>
            <w:tcW w:w="3445" w:type="dxa"/>
            <w:tcBorders>
              <w:top w:val="nil" w:sz="6" w:space="0" w:color="auto"/>
              <w:left w:val="nil" w:sz="6" w:space="0" w:color="auto"/>
              <w:bottom w:val="nil" w:sz="6" w:space="0" w:color="auto"/>
              <w:right w:val="nil" w:sz="6" w:space="0" w:color="auto"/>
            </w:tcBorders>
          </w:tcPr>
          <w:p>
            <w:pPr/>
          </w:p>
        </w:tc>
        <w:tc>
          <w:tcPr>
            <w:tcW w:w="4262" w:type="dxa"/>
            <w:tcBorders>
              <w:top w:val="single" w:sz="6" w:space="0" w:color="000000"/>
              <w:left w:val="nil" w:sz="6" w:space="0" w:color="auto"/>
              <w:bottom w:val="nil" w:sz="6" w:space="0" w:color="auto"/>
              <w:right w:val="nil" w:sz="6" w:space="0" w:color="auto"/>
            </w:tcBorders>
          </w:tcPr>
          <w:p>
            <w:pPr>
              <w:pStyle w:val="TableParagraph"/>
              <w:spacing w:line="240" w:lineRule="auto" w:before="116"/>
              <w:ind w:left="418"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r>
    </w:tbl>
    <w:p>
      <w:pPr>
        <w:spacing w:line="240" w:lineRule="auto" w:before="9"/>
        <w:rPr>
          <w:rFonts w:ascii="宋体" w:hAnsi="宋体" w:cs="宋体" w:eastAsia="宋体" w:hint="default"/>
          <w:sz w:val="18"/>
          <w:szCs w:val="18"/>
        </w:rPr>
      </w:pPr>
    </w:p>
    <w:p>
      <w:pPr>
        <w:pStyle w:val="Heading2"/>
        <w:spacing w:line="240" w:lineRule="auto" w:before="26"/>
        <w:ind w:left="1134" w:right="0"/>
        <w:jc w:val="left"/>
        <w:rPr>
          <w:b w:val="0"/>
          <w:bCs w:val="0"/>
        </w:rPr>
      </w:pPr>
      <w:r>
        <w:rPr/>
        <w:pict>
          <v:group style="position:absolute;margin-left:56.34pt;margin-top:-12.584365pt;width:426.9pt;height:.75pt;mso-position-horizontal-relative:page;mso-position-vertical-relative:paragraph;z-index:-910600" coordorigin="1127,-252" coordsize="8538,15">
            <v:group style="position:absolute;left:1134;top:-244;width:4262;height:2" coordorigin="1134,-244" coordsize="4262,2">
              <v:shape style="position:absolute;left:1134;top:-244;width:4262;height:2" coordorigin="1134,-244" coordsize="4262,0" path="m1134,-244l5396,-244e" filled="false" stroked="true" strokeweight=".72pt" strokecolor="#000000">
                <v:path arrowok="t"/>
              </v:shape>
            </v:group>
            <v:group style="position:absolute;left:5396;top:-244;width:15;height:2" coordorigin="5396,-244" coordsize="15,2">
              <v:shape style="position:absolute;left:5396;top:-244;width:15;height:2" coordorigin="5396,-244" coordsize="15,0" path="m5396,-244l5410,-244e" filled="false" stroked="true" strokeweight=".72pt" strokecolor="#000000">
                <v:path arrowok="t"/>
              </v:shape>
            </v:group>
            <v:group style="position:absolute;left:5410;top:-244;width:2295;height:2" coordorigin="5410,-244" coordsize="2295,2">
              <v:shape style="position:absolute;left:5410;top:-244;width:2295;height:2" coordorigin="5410,-244" coordsize="2295,0" path="m5410,-244l7705,-244e" filled="false" stroked="true" strokeweight=".72pt" strokecolor="#000000">
                <v:path arrowok="t"/>
              </v:shape>
            </v:group>
            <v:group style="position:absolute;left:7705;top:-244;width:15;height:2" coordorigin="7705,-244" coordsize="15,2">
              <v:shape style="position:absolute;left:7705;top:-244;width:15;height:2" coordorigin="7705,-244" coordsize="15,0" path="m7705,-244l7719,-244e" filled="false" stroked="true" strokeweight=".72pt" strokecolor="#000000">
                <v:path arrowok="t"/>
              </v:shape>
            </v:group>
            <v:group style="position:absolute;left:7719;top:-244;width:1939;height:2" coordorigin="7719,-244" coordsize="1939,2">
              <v:shape style="position:absolute;left:7719;top:-244;width:1939;height:2" coordorigin="7719,-244" coordsize="1939,0" path="m7719,-244l9658,-244e" filled="false" stroked="true" strokeweight=".72pt" strokecolor="#000000">
                <v:path arrowok="t"/>
              </v:shape>
            </v:group>
            <w10:wrap type="none"/>
          </v:group>
        </w:pict>
      </w:r>
      <w:bookmarkStart w:name="二、财务报表" w:id="153"/>
      <w:bookmarkEnd w:id="153"/>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4"/>
      <w:bookmarkEnd w:id="15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t>编制单位：创业黑马（北京）科技股份有限公司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257" w:right="-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3" w:equalWidth="0">
            <w:col w:w="4915" w:space="40"/>
            <w:col w:w="174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267,067,107.24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227,017,881.24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228,508.50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46,046,620.06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15,509,024.02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2,296,807.16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752,643.62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2,501,813.29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1,645,615.43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131,152,376.55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3,055,334.85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449,064,724.30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248,209,007.66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4,140,551.18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3,560,875.06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2,639,731.01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2,113,876.65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934,072.07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4,962,966.82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2,867,586.29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400,090.64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132,499.00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2,207,661.32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11,037,809.17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12,922,100.87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460,102,533.47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261,131,108.53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5,855,381.63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5,835,989.52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44,023,583.14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42,938,671.47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15,942,830.34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12,558,708.87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11,165,062.93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15,108,692.55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959,875.09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1,449,660.25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77,946,733.13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77,891,722.66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2,572,129.23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3,775,676.80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2,572,129.23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3,775,676.80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80,518,862.36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81,667,399.46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216,309,476.55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80,406,074.77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5,077,777.56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2,917,528.37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86,915,593.99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41,903,038.29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376,302,848.10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176,226,641.43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3,280,823.01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3,237,067.64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379,583,671.11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179,463,709.07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460,102,533.47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261,131,108.53</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before="44"/>
        <w:ind w:left="0" w:right="1229"/>
        <w:jc w:val="right"/>
      </w:pPr>
      <w:r>
        <w:rPr/>
        <w:t>法定代表人：牛文文</w:t>
        <w:tab/>
        <w:t>主管会计工作负责人：韩雪冬</w:t>
        <w:tab/>
        <w:t>会计机构负责人：潘博</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5"/>
      <w:bookmarkEnd w:id="15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234,402,044.07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185,801,955.71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13,958,665.40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10,509,215.49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969,291.68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55,533.40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5,212,010.01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5,821,352.83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130,784,840.79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2,688,679.23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385,326,851.95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204,876,736.66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39,267,628.66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15,982,743.18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688,449.29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728,918.96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1,413,878.19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875,743.05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124,801.63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43,931.73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387,100.64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132,499.00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41,881,858.41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17,763,835.92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427,208,710.36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222,640,572.58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2,685,930.06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5,004,171.00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42,639,597.52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38,916,184.73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13,292,774.39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10,610,383.71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3,261,791.53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8,912,384.66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38,929,806.96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6,132,730.45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100,809,900.46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69,575,854.55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100,809,900.46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69,575,854.55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207,621,034.31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72,889,434.31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5,077,777.56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2,917,528.37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45,699,998.03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26,257,755.35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326,398,809.90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153,064,718.03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427,208,710.36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222,640,572.58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r>
        <w:rPr/>
        <w:pict>
          <v:group style="position:absolute;margin-left:212.119995pt;margin-top:629.919983pt;width:157.7pt;height:19.6pt;mso-position-horizontal-relative:page;mso-position-vertical-relative:page;z-index:-910576" coordorigin="4242,12598" coordsize="3154,392">
            <v:shape style="position:absolute;left:4242;top:12598;width:3154;height:392" coordorigin="4242,12598" coordsize="3154,392" path="m4242,12990l7396,12990,7396,12598,4242,12598,4242,12990xe" filled="true" fillcolor="#ffffff" stroked="false">
              <v:path arrowok="t"/>
              <v:fill type="solid"/>
            </v:shape>
            <w10:wrap type="none"/>
          </v:group>
        </w:pict>
      </w:r>
    </w:p>
    <w:p>
      <w:pPr>
        <w:pStyle w:val="Heading3"/>
        <w:spacing w:line="240" w:lineRule="auto" w:before="35"/>
        <w:ind w:right="0"/>
        <w:jc w:val="left"/>
        <w:rPr>
          <w:b w:val="0"/>
          <w:bCs w:val="0"/>
        </w:rPr>
      </w:pPr>
      <w:bookmarkStart w:name="3、合并利润表" w:id="156"/>
      <w:bookmarkEnd w:id="15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184,541,810.94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184,207,222.24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184,541,810.94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184,207,222.24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139,952,868.33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138,888,045.63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67,451,259.25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71,991,649.99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1,102,176.74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2,060,378.16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25,487,365.72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21,337,401.06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47,189,009.19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44,174,042.98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-3,052,147.07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-1,488,359.79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1,775,204.50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812,933.23</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2,808,870.73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-81,526.19</w:t>
            </w:r>
            <w:r>
              <w:rPr>
                <w:rFonts w:ascii="Times New Roman"/>
                <w:sz w:val="18"/>
              </w:rPr>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3,556.58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-359,448.82</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2"/>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15,864,204.97</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63,262,018.31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45,237,650.42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871.64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14,048,035.58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1,474.69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26,159.71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72.47998pt;width:157.7pt;height:19.650pt;mso-position-horizontal-relative:page;mso-position-vertical-relative:page;z-index:-910552" coordorigin="4242,1450" coordsize="3154,393">
            <v:shape style="position:absolute;left:4242;top:1450;width:3154;height:393" coordorigin="4242,1450" coordsize="3154,393" path="m4242,1842l7396,1842,7396,1450,4242,1450,4242,184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63,261,415.26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59,259,526.29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15,090,471.76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16,648,110.72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48,170,943.50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42,611,415.57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48,170,943.50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42,611,415.57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47,172,804.89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40,537,983.98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998,138.61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2,073,431.59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48,170,943.50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42,611,415.57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47,172,804.89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40,537,983.98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998,138.61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2,073,431.59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4"/>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4"/>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0.79</w:t>
            </w:r>
          </w:p>
        </w:tc>
      </w:tr>
    </w:tbl>
    <w:p>
      <w:pPr>
        <w:pStyle w:val="BodyText"/>
        <w:tabs>
          <w:tab w:pos="4644" w:val="left" w:leader="none"/>
          <w:tab w:pos="887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法定代表人：牛文文</w:t>
        <w:tab/>
        <w:t>主管会计工作负责人：韩雪冬</w:t>
        <w:tab/>
        <w:t>会计机构负责人：潘博 </w:t>
      </w:r>
      <w:bookmarkStart w:name="4、母公司利润表" w:id="157"/>
      <w:bookmarkEnd w:id="15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118,044,663.23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146,698,956.78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41,393,818.63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56,371,767.35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483,178.34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1,710,692.11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21,084,870.99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16,232,610.85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34,304,766.43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29,557,584.18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-3,024,998.54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-1,497,628.76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1,018,406.56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521,753.89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5,184,618.78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3,368,367.61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-359,448.82</w:t>
            </w:r>
            <w:r>
              <w:rPr>
                <w:rFonts w:ascii="Times New Roman"/>
                <w:sz w:val="18"/>
              </w:rPr>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27,969,239.60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47,170,544.77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522.27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27,968,880.52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47,420,022.50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6,366,388.65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11,826,809.93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21,602,491.87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35,593,212.57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21,602,491.87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35,593,212.57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21,602,491.87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35,593,212.57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合并现金流量表" w:id="158"/>
      <w:bookmarkEnd w:id="15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143" w:right="0"/>
              <w:jc w:val="left"/>
              <w:rPr>
                <w:rFonts w:ascii="Times New Roman" w:hAnsi="Times New Roman" w:cs="Times New Roman" w:eastAsia="Times New Roman" w:hint="default"/>
                <w:sz w:val="18"/>
                <w:szCs w:val="18"/>
              </w:rPr>
            </w:pPr>
            <w:r>
              <w:rPr>
                <w:rFonts w:ascii="Times New Roman"/>
                <w:sz w:val="18"/>
              </w:rPr>
              <w:t>160,806,092.90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43" w:right="0"/>
              <w:jc w:val="left"/>
              <w:rPr>
                <w:rFonts w:ascii="Times New Roman" w:hAnsi="Times New Roman" w:cs="Times New Roman" w:eastAsia="Times New Roman" w:hint="default"/>
                <w:sz w:val="18"/>
                <w:szCs w:val="18"/>
              </w:rPr>
            </w:pPr>
            <w:r>
              <w:rPr>
                <w:rFonts w:ascii="Times New Roman"/>
                <w:sz w:val="18"/>
              </w:rPr>
              <w:t>182,675,382.65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120,263.52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18,538,501.23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18,731,048.34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179,344,594.13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201,526,694.51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45,466,073.91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54,833,301.70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63,153,244.63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60,125,943.23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27,627,096.65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18,681,415.70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29,123,453.19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25,186,935.10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165,369,868.38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158,827,595.73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13,974,725.75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42,699,098.78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2,449,421.91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225,616.43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66,582.43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221,949,934.47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50,292,198.86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4,038,215.99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2,668,561.46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776,592.00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50,532,345.23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349,814,807.99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53,200,906.69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-127,864,873.52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-2,908,707.83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163,990,000.00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163,990,000.00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2,282,581.46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2,282,581.46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7,768,044.77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10,050,626.23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5,127,000.00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153,939,373.77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-5,126,950.00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40,049,226.00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34,663,440.95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227,017,881.24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192,354,440.29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267,067,107.24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227,017,881.24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6、母公司现金流量表" w:id="159"/>
      <w:bookmarkEnd w:id="15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118,557,317.92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135,359,762.98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74,657,730.38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5,481,555.34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193,215,048.30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140,841,318.32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26,272,590.54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43,207,268.12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51,405,840.06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41,424,400.81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15,861,591.93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14,514,447.11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54,570,982.86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14,731,267.60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148,111,005.39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113,877,383.64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45,104,042.91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26,963,934.68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1,672,200.00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4,825,169.96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2,565,616.43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-359.08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224,324,810.88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54,237,816.43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1,348,692.00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1,239,504.05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28,202,028.66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8,117,000.00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374,550,720.66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59,356,504.05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-150,225,909.78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-5,118,687.62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7,768,044.77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7,768,044.77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153,721,955.23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-2,849,950.00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48,600,088.36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18,995,297.06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185,801,955.71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166,806,658.65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234,402,044.07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185,801,955.71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7、合并所有者权益变动表" w:id="160"/>
      <w:bookmarkEnd w:id="16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80,406,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074.77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2,917,5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28.37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41,903,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038.29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3,237,0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67.64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179,463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,709.07</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80,406,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074.77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2,917,5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28.37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41,903,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038.29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3,237,0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67.64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179,463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,709.07</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135,903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,401.78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2,160,2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49.19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45,012,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555.70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200,119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,962.04</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47,172,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804.89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998,138</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48,170,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943.50</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135,903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,401.78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1,328,1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98.22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154,231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,600.00</w:t>
            </w:r>
          </w:p>
        </w:tc>
      </w:tr>
      <w:tr>
        <w:trPr>
          <w:trHeight w:val="705"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24" w:right="0"/>
              <w:jc w:val="left"/>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04"/>
              <w:ind w:left="68"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135,903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,401.78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1,328,1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98.22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154,231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2,160,2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49.19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-2,160,2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49.19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-2,282,5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81.46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-2,282,5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81.46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2,160,2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49.19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-2,160,2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49.19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-2,282,5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81.46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-2,282,5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81.46</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216,309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,476.55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5,077,7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77.56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86,915,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593.99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3,280,8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23.01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379,583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,671.11</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8"/>
        <w:gridCol w:w="562"/>
        <w:gridCol w:w="1592"/>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9"/>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16"/>
              <w:ind w:left="53" w:right="53"/>
              <w:jc w:val="left"/>
              <w:rPr>
                <w:rFonts w:ascii="宋体" w:hAnsi="宋体" w:cs="宋体" w:eastAsia="宋体" w:hint="default"/>
                <w:sz w:val="18"/>
                <w:szCs w:val="18"/>
              </w:rPr>
            </w:pPr>
            <w:r>
              <w:rPr>
                <w:rFonts w:ascii="宋体" w:hAnsi="宋体" w:cs="宋体" w:eastAsia="宋体" w:hint="default"/>
                <w:sz w:val="18"/>
                <w:szCs w:val="18"/>
              </w:rPr>
              <w:t>所有者 权益合</w:t>
            </w:r>
          </w:p>
        </w:tc>
      </w:tr>
      <w:tr>
        <w:trPr>
          <w:trHeight w:val="40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7" w:right="0"/>
              <w:jc w:val="left"/>
              <w:rPr>
                <w:rFonts w:ascii="宋体" w:hAnsi="宋体" w:cs="宋体" w:eastAsia="宋体" w:hint="default"/>
                <w:sz w:val="18"/>
                <w:szCs w:val="18"/>
              </w:rPr>
            </w:pPr>
            <w:r>
              <w:rPr>
                <w:rFonts w:ascii="宋体" w:hAnsi="宋体" w:cs="宋体" w:eastAsia="宋体" w:hint="default"/>
                <w:sz w:val="18"/>
                <w:szCs w:val="18"/>
              </w:rPr>
              <w:t>资本公</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减：库</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其他综</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专项储</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一般风</w:t>
            </w: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3"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161"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46"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56"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single" w:sz="4" w:space="0" w:color="000000"/>
              <w:left w:val="single" w:sz="9" w:space="0" w:color="D2D2D2"/>
              <w:right w:val="single" w:sz="4" w:space="0" w:color="000000"/>
            </w:tcBorders>
          </w:tcPr>
          <w:p>
            <w:pPr>
              <w:pStyle w:val="TableParagraph"/>
              <w:spacing w:line="240" w:lineRule="auto" w:before="11"/>
              <w:ind w:left="49"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1"/>
              <w:ind w:left="15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97"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9" w:space="0" w:color="D2D2D2"/>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tcPr>
          <w:p>
            <w:pPr/>
          </w:p>
        </w:tc>
      </w:tr>
      <w:tr>
        <w:trPr>
          <w:trHeight w:val="196"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9" w:space="0" w:color="D2D2D2"/>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tcPr>
          <w:p>
            <w:pPr/>
          </w:p>
        </w:tc>
      </w:tr>
      <w:tr>
        <w:trPr>
          <w:trHeight w:val="161"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9" w:space="0" w:color="D2D2D2"/>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79,294,</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537.98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4,282,5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82.68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5,636,5</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37.39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140,213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,658.05</w:t>
            </w: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79,294,</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537.98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4,282,5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82.68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5,636,5</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37.39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140,213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,658.05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pacing w:val="-3"/>
                <w:sz w:val="18"/>
              </w:rPr>
              <w:t>1,111,5</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36.79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2,917,5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28.37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37,620,</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455.61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-2,399,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469.75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39,250,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051.02</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40,537,</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983.98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2,073,4</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31.59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42,611,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415.57</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pacing w:val="-3"/>
                <w:sz w:val="18"/>
              </w:rPr>
              <w:t>1,111,5</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36.79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-2,312,</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901.34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-1,201,3</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64.55</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50.00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1,131,4</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21.00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1,131,4</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21.00</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-2,312,</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901.34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-2,332,8</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35.55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2,917,5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28.37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-2,917,5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28.37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-2,160,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-2,160,0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2,917,5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28.37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-2,917,5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28.37</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-2,160,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-2,160,0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80,406,</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074.77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2,917,5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28.37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41,903,</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038.29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3,237,0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67.64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179,463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,709.07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8、母公司所有者权益变动表" w:id="161"/>
      <w:bookmarkEnd w:id="16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51,000,0</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72,889,43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4.31</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2,917,528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.37</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103" w:right="0"/>
              <w:jc w:val="left"/>
              <w:rPr>
                <w:rFonts w:ascii="Times New Roman" w:hAnsi="Times New Roman" w:cs="Times New Roman" w:eastAsia="Times New Roman" w:hint="default"/>
                <w:sz w:val="18"/>
                <w:szCs w:val="18"/>
              </w:rPr>
            </w:pPr>
            <w:r>
              <w:rPr>
                <w:rFonts w:ascii="Times New Roman"/>
                <w:sz w:val="18"/>
              </w:rPr>
              <w:t>26,257,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755.35</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27" w:right="0"/>
              <w:jc w:val="left"/>
              <w:rPr>
                <w:rFonts w:ascii="Times New Roman" w:hAnsi="Times New Roman" w:cs="Times New Roman" w:eastAsia="Times New Roman" w:hint="default"/>
                <w:sz w:val="18"/>
                <w:szCs w:val="18"/>
              </w:rPr>
            </w:pPr>
            <w:r>
              <w:rPr>
                <w:rFonts w:ascii="Times New Roman"/>
                <w:sz w:val="18"/>
              </w:rPr>
              <w:t>153,064,7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18.03</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51,000,0</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72,889,43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4.31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2,917,528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26,257,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755.35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153,064,7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18.03</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17,000,0</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134,731,6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2,160,249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19,442,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242.68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173,334,0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91.87</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（一）综合收益总</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21,602,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21,602,49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491.87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Times New Roman" w:hAnsi="Times New Roman" w:cs="Times New Roman" w:eastAsia="Times New Roman" w:hint="default"/>
                <w:sz w:val="18"/>
                <w:szCs w:val="18"/>
              </w:rPr>
            </w:pPr>
            <w:r>
              <w:rPr>
                <w:rFonts w:ascii="Times New Roman"/>
                <w:sz w:val="18"/>
              </w:rPr>
              <w:t>1.87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17,000,0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134,731,6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151,731,6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17,000,0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134,731,6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151,731,6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2,160,249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-2,160,2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49.19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2,160,249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-2,160,2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49.19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68,000,0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207,621,0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34.31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5,077,777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45,699,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998.03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326,398,8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09.90</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199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减：库存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2"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5"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4"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5"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51,000,0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71,757,96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3.31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-6,417,9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28.85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116,340,0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34.46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51,000,0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71,757,96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3.31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-6,417,9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28.85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116,340,0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34.46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1,131,471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2,917,528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32,675,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684.20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36,724,68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3.57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35,593,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212.57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35,593,21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2.57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1,131,471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1,131,471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50.00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1,131,421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1,131,421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2,917,528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-2,917,5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28.37</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2,917,528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-2,917,5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28.37</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51,000,0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72,889,43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2,917,528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26,257,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755.35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153,064,7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18.03</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134" w:right="0"/>
        <w:jc w:val="left"/>
        <w:rPr>
          <w:b w:val="0"/>
          <w:bCs w:val="0"/>
        </w:rPr>
      </w:pPr>
      <w:bookmarkStart w:name="三、公司基本情况" w:id="162"/>
      <w:bookmarkEnd w:id="162"/>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4"/>
        <w:spacing w:line="256" w:lineRule="auto"/>
        <w:ind w:right="1132" w:firstLine="420"/>
        <w:jc w:val="both"/>
      </w:pPr>
      <w:r>
        <w:rPr/>
        <w:t>创业黑马（北京）科技股份有限公司（以下简称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日经北京市工商 </w:t>
      </w:r>
      <w:r>
        <w:rPr>
          <w:spacing w:val="-1"/>
        </w:rPr>
        <w:t>行政管理局朝阳分局准予设立，并颁发营业执照。公司于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08</w:t>
      </w:r>
      <w:r>
        <w:rPr>
          <w:spacing w:val="-1"/>
        </w:rPr>
        <w:t>月</w:t>
      </w:r>
      <w:r>
        <w:rPr>
          <w:rFonts w:ascii="Times New Roman" w:hAnsi="Times New Roman" w:cs="Times New Roman" w:eastAsia="Times New Roman" w:hint="default"/>
          <w:spacing w:val="-1"/>
        </w:rPr>
        <w:t>10</w:t>
      </w:r>
      <w:r>
        <w:rPr>
          <w:spacing w:val="-1"/>
        </w:rPr>
        <w:t>日在深圳交易所上市，现持有统一</w:t>
      </w:r>
      <w:r>
        <w:rPr>
          <w:spacing w:val="-82"/>
        </w:rPr>
        <w:t> </w:t>
      </w:r>
      <w:r>
        <w:rPr>
          <w:spacing w:val="-82"/>
        </w:rPr>
      </w:r>
      <w:r>
        <w:rPr/>
        <w:t>社会信用代码：</w:t>
      </w:r>
      <w:r>
        <w:rPr>
          <w:rFonts w:ascii="Times New Roman" w:hAnsi="Times New Roman" w:cs="Times New Roman" w:eastAsia="Times New Roman" w:hint="default"/>
        </w:rPr>
        <w:t>91110105585848161G</w:t>
      </w:r>
      <w:r>
        <w:rPr/>
        <w:t>号的营业执照。公司营业期限：</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日至长期。</w:t>
      </w:r>
    </w:p>
    <w:p>
      <w:pPr>
        <w:pStyle w:val="Heading4"/>
        <w:spacing w:line="256" w:lineRule="auto" w:before="125"/>
        <w:ind w:left="1134" w:right="1130" w:firstLine="42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日，本公司注册资本</w:t>
      </w:r>
      <w:r>
        <w:rPr>
          <w:rFonts w:ascii="Times New Roman" w:hAnsi="Times New Roman" w:cs="Times New Roman" w:eastAsia="Times New Roman" w:hint="default"/>
        </w:rPr>
        <w:t>6,800</w:t>
      </w:r>
      <w:r>
        <w:rPr/>
        <w:t>万元。住所为：北京市朝阳区酒仙桥北路甲</w:t>
      </w:r>
      <w:r>
        <w:rPr>
          <w:rFonts w:ascii="Times New Roman" w:hAnsi="Times New Roman" w:cs="Times New Roman" w:eastAsia="Times New Roman" w:hint="default"/>
        </w:rPr>
        <w:t>10</w:t>
      </w:r>
      <w:r>
        <w:rPr/>
        <w:t>号院</w:t>
      </w:r>
      <w:r>
        <w:rPr>
          <w:rFonts w:ascii="Times New Roman" w:hAnsi="Times New Roman" w:cs="Times New Roman" w:eastAsia="Times New Roman" w:hint="default"/>
        </w:rPr>
        <w:t>205</w:t>
      </w:r>
      <w:r>
        <w:rPr/>
        <w:t>号 楼</w:t>
      </w:r>
      <w:r>
        <w:rPr>
          <w:rFonts w:ascii="Times New Roman" w:hAnsi="Times New Roman" w:cs="Times New Roman" w:eastAsia="Times New Roman" w:hint="default"/>
        </w:rPr>
        <w:t>-1</w:t>
      </w:r>
      <w:r>
        <w:rPr/>
        <w:t>至</w:t>
      </w:r>
      <w:r>
        <w:rPr>
          <w:rFonts w:ascii="Times New Roman" w:hAnsi="Times New Roman" w:cs="Times New Roman" w:eastAsia="Times New Roman" w:hint="default"/>
        </w:rPr>
        <w:t>7</w:t>
      </w:r>
      <w:r>
        <w:rPr/>
        <w:t>层</w:t>
      </w:r>
      <w:r>
        <w:rPr>
          <w:rFonts w:ascii="Times New Roman" w:hAnsi="Times New Roman" w:cs="Times New Roman" w:eastAsia="Times New Roman" w:hint="default"/>
        </w:rPr>
        <w:t>101</w:t>
      </w:r>
      <w:r>
        <w:rPr/>
        <w:t>内</w:t>
      </w:r>
      <w:r>
        <w:rPr>
          <w:rFonts w:ascii="Times New Roman" w:hAnsi="Times New Roman" w:cs="Times New Roman" w:eastAsia="Times New Roman" w:hint="default"/>
        </w:rPr>
        <w:t>706</w:t>
      </w:r>
      <w:r>
        <w:rPr/>
        <w:t>室。法定代表人：牛文文。</w:t>
      </w:r>
    </w:p>
    <w:p>
      <w:pPr>
        <w:pStyle w:val="Heading4"/>
        <w:spacing w:line="256" w:lineRule="auto" w:before="125"/>
        <w:ind w:right="1017" w:firstLine="420"/>
        <w:jc w:val="left"/>
        <w:rPr>
          <w:rFonts w:ascii="Times New Roman" w:hAnsi="Times New Roman" w:cs="Times New Roman" w:eastAsia="Times New Roman" w:hint="default"/>
        </w:rPr>
      </w:pPr>
      <w:r>
        <w:rPr/>
        <w:t>经营范围为：技术推广服务；创业服务；组织文化艺术交流活动</w:t>
      </w:r>
      <w:r>
        <w:rPr>
          <w:rFonts w:ascii="Times New Roman" w:hAnsi="Times New Roman" w:cs="Times New Roman" w:eastAsia="Times New Roman" w:hint="default"/>
        </w:rPr>
        <w:t>(</w:t>
      </w:r>
      <w:r>
        <w:rPr/>
        <w:t>不含演出</w:t>
      </w:r>
      <w:r>
        <w:rPr>
          <w:rFonts w:ascii="Times New Roman" w:hAnsi="Times New Roman" w:cs="Times New Roman" w:eastAsia="Times New Roman" w:hint="default"/>
        </w:rPr>
        <w:t>)</w:t>
      </w:r>
      <w:r>
        <w:rPr/>
        <w:t>；经济贸易咨询；教育咨 询；投资咨询；投资管理；企业管理咨询；会议及展览服务；企业策划</w:t>
      </w:r>
      <w:r>
        <w:rPr>
          <w:rFonts w:ascii="Times New Roman" w:hAnsi="Times New Roman" w:cs="Times New Roman" w:eastAsia="Times New Roman" w:hint="default"/>
        </w:rPr>
        <w:t>;</w:t>
      </w:r>
      <w:r>
        <w:rPr/>
        <w:t>设计、制作、代理、发布广告</w:t>
      </w:r>
      <w:r>
        <w:rPr>
          <w:rFonts w:ascii="Times New Roman" w:hAnsi="Times New Roman" w:cs="Times New Roman" w:eastAsia="Times New Roman" w:hint="default"/>
        </w:rPr>
        <w:t>;</w:t>
      </w:r>
      <w:r>
        <w:rPr/>
        <w:t>计</w:t>
      </w:r>
      <w:r>
        <w:rPr>
          <w:spacing w:val="-40"/>
        </w:rPr>
        <w:t> </w:t>
      </w:r>
      <w:r>
        <w:rPr>
          <w:spacing w:val="-4"/>
        </w:rPr>
        <w:t>算机技术培训；技术培训；销售计算机、软件及辅助设备、通讯设备</w:t>
      </w:r>
      <w:r>
        <w:rPr>
          <w:rFonts w:ascii="Times New Roman" w:hAnsi="Times New Roman" w:cs="Times New Roman" w:eastAsia="Times New Roman" w:hint="default"/>
          <w:spacing w:val="-4"/>
        </w:rPr>
        <w:t>;</w:t>
      </w:r>
      <w:r>
        <w:rPr>
          <w:spacing w:val="-4"/>
        </w:rPr>
        <w:t>从事互联网文化活动；人才中介服务。</w:t>
      </w:r>
      <w:r>
        <w:rPr>
          <w:spacing w:val="-103"/>
        </w:rPr>
        <w:t> </w:t>
      </w:r>
      <w:r>
        <w:rPr>
          <w:spacing w:val="-103"/>
        </w:rPr>
      </w:r>
      <w:r>
        <w:rPr>
          <w:rFonts w:ascii="Times New Roman" w:hAnsi="Times New Roman" w:cs="Times New Roman" w:eastAsia="Times New Roman" w:hint="default"/>
        </w:rPr>
        <w:t>(</w:t>
      </w:r>
      <w:r>
        <w:rPr/>
        <w:t>企业依法自主选择经营项目</w:t>
      </w:r>
      <w:r>
        <w:rPr>
          <w:rFonts w:ascii="Times New Roman" w:hAnsi="Times New Roman" w:cs="Times New Roman" w:eastAsia="Times New Roman" w:hint="default"/>
        </w:rPr>
        <w:t>,</w:t>
      </w:r>
      <w:r>
        <w:rPr/>
        <w:t>开展经营活动；人才中介服务、从事互联网文化活动以及依法须经批准的项</w:t>
      </w:r>
      <w:r>
        <w:rPr>
          <w:spacing w:val="-51"/>
        </w:rPr>
        <w:t> </w:t>
      </w:r>
      <w:r>
        <w:rPr>
          <w:spacing w:val="-51"/>
        </w:rPr>
      </w:r>
      <w:r>
        <w:rPr>
          <w:spacing w:val="-4"/>
        </w:rPr>
        <w:t>目</w:t>
      </w:r>
      <w:r>
        <w:rPr>
          <w:rFonts w:ascii="Times New Roman" w:hAnsi="Times New Roman" w:cs="Times New Roman" w:eastAsia="Times New Roman" w:hint="default"/>
          <w:spacing w:val="-4"/>
        </w:rPr>
        <w:t>,</w:t>
      </w:r>
      <w:r>
        <w:rPr>
          <w:spacing w:val="-4"/>
        </w:rPr>
        <w:t>经相关部门批准后依批准的内容开展经营活动；不得从事本市产业政策禁止和限制类项目的经营活动。</w:t>
      </w:r>
      <w:r>
        <w:rPr>
          <w:rFonts w:ascii="Times New Roman" w:hAnsi="Times New Roman" w:cs="Times New Roman" w:eastAsia="Times New Roman" w:hint="default"/>
          <w:spacing w:val="-4"/>
        </w:rPr>
        <w:t>)</w:t>
      </w:r>
    </w:p>
    <w:p>
      <w:pPr>
        <w:pStyle w:val="Heading4"/>
        <w:spacing w:line="256" w:lineRule="auto" w:before="125"/>
        <w:ind w:left="1554" w:right="1092"/>
        <w:jc w:val="left"/>
      </w:pPr>
      <w:r>
        <w:rPr/>
        <w:t>本公司财务报告业经公司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日第一届第十九次董事会会议决议批准。 本公司合并财务报表的合并范围以控制为基础确定，包括本公司及全部子公司的财务报表。子公司，</w:t>
      </w:r>
    </w:p>
    <w:p>
      <w:pPr>
        <w:pStyle w:val="Heading4"/>
        <w:spacing w:line="376" w:lineRule="auto" w:before="22"/>
        <w:ind w:left="1554" w:right="7602" w:hanging="420"/>
        <w:jc w:val="left"/>
      </w:pPr>
      <w:r>
        <w:rPr/>
        <w:t>是指被本公司控制的企业或主体。 合并财务报表范围</w:t>
      </w:r>
    </w:p>
    <w:p>
      <w:pPr>
        <w:spacing w:line="240" w:lineRule="auto" w:before="0"/>
        <w:rPr>
          <w:rFonts w:ascii="宋体" w:hAnsi="宋体" w:cs="宋体" w:eastAsia="宋体" w:hint="default"/>
          <w:sz w:val="4"/>
          <w:szCs w:val="4"/>
        </w:rPr>
      </w:pPr>
    </w:p>
    <w:tbl>
      <w:tblPr>
        <w:tblW w:w="0" w:type="auto"/>
        <w:jc w:val="left"/>
        <w:tblInd w:w="1131" w:type="dxa"/>
        <w:tblLayout w:type="fixed"/>
        <w:tblCellMar>
          <w:top w:w="0" w:type="dxa"/>
          <w:left w:w="0" w:type="dxa"/>
          <w:bottom w:w="0" w:type="dxa"/>
          <w:right w:w="0" w:type="dxa"/>
        </w:tblCellMar>
        <w:tblLook w:val="01E0"/>
      </w:tblPr>
      <w:tblGrid>
        <w:gridCol w:w="3045"/>
        <w:gridCol w:w="1470"/>
        <w:gridCol w:w="614"/>
        <w:gridCol w:w="1524"/>
        <w:gridCol w:w="1644"/>
      </w:tblGrid>
      <w:tr>
        <w:trPr>
          <w:trHeight w:val="348" w:hRule="exact"/>
        </w:trPr>
        <w:tc>
          <w:tcPr>
            <w:tcW w:w="3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子公司类型</w:t>
            </w:r>
            <w:r>
              <w:rPr>
                <w:rFonts w:ascii="宋体" w:hAnsi="宋体" w:cs="宋体" w:eastAsia="宋体" w:hint="default"/>
                <w:sz w:val="18"/>
                <w:szCs w:val="18"/>
              </w:rPr>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级次</w:t>
            </w:r>
            <w:r>
              <w:rPr>
                <w:rFonts w:ascii="宋体" w:hAnsi="宋体" w:cs="宋体" w:eastAsia="宋体" w:hint="default"/>
                <w:sz w:val="18"/>
                <w:szCs w:val="18"/>
              </w:rPr>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93"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sz w:val="18"/>
                <w:szCs w:val="18"/>
              </w:rPr>
            </w:r>
          </w:p>
        </w:tc>
      </w:tr>
      <w:tr>
        <w:trPr>
          <w:trHeight w:val="347" w:hRule="exact"/>
        </w:trPr>
        <w:tc>
          <w:tcPr>
            <w:tcW w:w="3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北京创业未来传媒技术有限公司</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北京佳沃世纪企业管理咨询有限公司</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南京创业未来信息科技有限公司</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66.70%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66.70%</w:t>
            </w:r>
          </w:p>
        </w:tc>
      </w:tr>
      <w:tr>
        <w:trPr>
          <w:trHeight w:val="347" w:hRule="exact"/>
        </w:trPr>
        <w:tc>
          <w:tcPr>
            <w:tcW w:w="3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广州创润信息科技有限公司</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67.00%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67.00%</w:t>
            </w:r>
          </w:p>
        </w:tc>
      </w:tr>
      <w:tr>
        <w:trPr>
          <w:trHeight w:val="347" w:hRule="exact"/>
        </w:trPr>
        <w:tc>
          <w:tcPr>
            <w:tcW w:w="3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北京创富未来科技有限公司</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51.00%</w:t>
            </w:r>
          </w:p>
        </w:tc>
      </w:tr>
      <w:tr>
        <w:trPr>
          <w:trHeight w:val="348" w:hRule="exact"/>
        </w:trPr>
        <w:tc>
          <w:tcPr>
            <w:tcW w:w="3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北京爱代言科技有限公司</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青岛黑马创业服务有限公司</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成都创业未来信息技术有限公司</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北京黑马创投科技有限公司</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北京奇点小伙伴科技有限公司</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西藏黑马信息技术服务有限公司</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南昌致新信息技术服务有限公司</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31" w:type="dxa"/>
        <w:tblLayout w:type="fixed"/>
        <w:tblCellMar>
          <w:top w:w="0" w:type="dxa"/>
          <w:left w:w="0" w:type="dxa"/>
          <w:bottom w:w="0" w:type="dxa"/>
          <w:right w:w="0" w:type="dxa"/>
        </w:tblCellMar>
        <w:tblLook w:val="01E0"/>
      </w:tblPr>
      <w:tblGrid>
        <w:gridCol w:w="3045"/>
        <w:gridCol w:w="1470"/>
        <w:gridCol w:w="614"/>
        <w:gridCol w:w="1524"/>
        <w:gridCol w:w="1644"/>
      </w:tblGrid>
      <w:tr>
        <w:trPr>
          <w:trHeight w:val="347" w:hRule="exact"/>
        </w:trPr>
        <w:tc>
          <w:tcPr>
            <w:tcW w:w="3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嘉兴致新投资管理有限公司</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北京创闻天下科技有限公司</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51.20%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51.20%</w:t>
            </w:r>
          </w:p>
        </w:tc>
      </w:tr>
    </w:tbl>
    <w:p>
      <w:pPr>
        <w:pStyle w:val="Heading4"/>
        <w:spacing w:line="276" w:lineRule="exact"/>
        <w:ind w:left="1554" w:right="0"/>
        <w:jc w:val="left"/>
      </w:pPr>
      <w:r>
        <w:rPr/>
        <w:t>有关子公司的情况参见本附注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2"/>
        <w:spacing w:line="240" w:lineRule="auto" w:before="156"/>
        <w:ind w:right="0"/>
        <w:jc w:val="left"/>
        <w:rPr>
          <w:b w:val="0"/>
          <w:bCs w:val="0"/>
        </w:rPr>
      </w:pPr>
      <w:bookmarkStart w:name="四、财务报表的编制基础" w:id="163"/>
      <w:bookmarkEnd w:id="163"/>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4"/>
      <w:bookmarkEnd w:id="16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1093" w:firstLine="420"/>
        <w:jc w:val="left"/>
      </w:pPr>
      <w:r>
        <w:rPr/>
        <w:t>本财务报表以公司持续经营假设为基础，根据实际发生的交易事项，按照企业会计准则的有关规定， 并基于以下所述重要会计政策、会计估计进行编制。</w:t>
      </w:r>
    </w:p>
    <w:p>
      <w:pPr>
        <w:spacing w:line="240" w:lineRule="auto" w:before="8"/>
        <w:rPr>
          <w:rFonts w:ascii="宋体" w:hAnsi="宋体" w:cs="宋体" w:eastAsia="宋体" w:hint="default"/>
          <w:sz w:val="23"/>
          <w:szCs w:val="23"/>
        </w:rPr>
      </w:pPr>
    </w:p>
    <w:p>
      <w:pPr>
        <w:pStyle w:val="Heading3"/>
        <w:spacing w:line="240" w:lineRule="auto"/>
        <w:ind w:left="1134" w:right="0"/>
        <w:jc w:val="left"/>
        <w:rPr>
          <w:b w:val="0"/>
          <w:bCs w:val="0"/>
        </w:rPr>
      </w:pPr>
      <w:bookmarkStart w:name="2、持续经营" w:id="165"/>
      <w:bookmarkEnd w:id="16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Heading4"/>
        <w:spacing w:line="256" w:lineRule="auto"/>
        <w:ind w:left="1134" w:right="0" w:firstLine="420"/>
        <w:jc w:val="left"/>
      </w:pPr>
      <w:r>
        <w:rPr>
          <w:spacing w:val="-1"/>
        </w:rPr>
        <w:t>本公司管理层已评价自报告期末起</w:t>
      </w:r>
      <w:r>
        <w:rPr>
          <w:rFonts w:ascii="Times New Roman" w:hAnsi="Times New Roman" w:cs="Times New Roman" w:eastAsia="Times New Roman" w:hint="default"/>
          <w:spacing w:val="-1"/>
        </w:rPr>
        <w:t>12</w:t>
      </w:r>
      <w:r>
        <w:rPr>
          <w:spacing w:val="-1"/>
        </w:rPr>
        <w:t>个月的持续经营能力，本公司不存在可能导致对持续经营假设产</w:t>
      </w:r>
      <w:r>
        <w:rPr/>
        <w:t> 生重大疑虑的事项或情况。</w:t>
      </w:r>
    </w:p>
    <w:p>
      <w:pPr>
        <w:spacing w:line="240" w:lineRule="auto" w:before="13"/>
        <w:rPr>
          <w:rFonts w:ascii="宋体" w:hAnsi="宋体" w:cs="宋体" w:eastAsia="宋体" w:hint="default"/>
          <w:sz w:val="22"/>
          <w:szCs w:val="22"/>
        </w:rPr>
      </w:pPr>
    </w:p>
    <w:p>
      <w:pPr>
        <w:pStyle w:val="Heading2"/>
        <w:spacing w:line="240" w:lineRule="auto"/>
        <w:ind w:left="1134" w:right="0"/>
        <w:jc w:val="left"/>
        <w:rPr>
          <w:b w:val="0"/>
          <w:bCs w:val="0"/>
        </w:rPr>
      </w:pPr>
      <w:bookmarkStart w:name="五、重要会计政策及会计估计" w:id="166"/>
      <w:bookmarkEnd w:id="166"/>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338" w:lineRule="auto" w:before="29"/>
        <w:ind w:left="1134" w:right="0"/>
        <w:jc w:val="left"/>
      </w:pPr>
      <w:r>
        <w:rPr/>
        <w:t>具体会计政策和会计估计提示： </w:t>
      </w:r>
      <w:r>
        <w:rPr>
          <w:spacing w:val="-2"/>
        </w:rPr>
        <w:t>公司根据实际生产经营特点针对应收款项坏账准备计提、固定资产折旧、无形资产摊销、收入确认等交易或事项制定了具体</w:t>
      </w:r>
      <w:r>
        <w:rPr>
          <w:spacing w:val="-66"/>
        </w:rPr>
        <w:t> </w:t>
      </w:r>
      <w:r>
        <w:rPr>
          <w:spacing w:val="-66"/>
        </w:rPr>
      </w:r>
      <w:r>
        <w:rPr/>
        <w:t>会计政策和会计估计。</w:t>
      </w:r>
    </w:p>
    <w:p>
      <w:pPr>
        <w:spacing w:line="612" w:lineRule="exact" w:before="34"/>
        <w:ind w:left="1554" w:right="0" w:hanging="420"/>
        <w:jc w:val="left"/>
        <w:rPr>
          <w:rFonts w:ascii="宋体" w:hAnsi="宋体" w:cs="宋体" w:eastAsia="宋体" w:hint="default"/>
          <w:sz w:val="21"/>
          <w:szCs w:val="21"/>
        </w:rPr>
      </w:pPr>
      <w:bookmarkStart w:name="1、遵循企业会计准则的声明" w:id="167"/>
      <w:bookmarkEnd w:id="16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本公司基于上述编制基础编制的财务报表符合财政部已颁布的最新企业会计准则及其应用指南、解释</w:t>
      </w:r>
    </w:p>
    <w:p>
      <w:pPr>
        <w:pStyle w:val="Heading4"/>
        <w:spacing w:line="235" w:lineRule="exact"/>
        <w:ind w:left="1134" w:right="0"/>
        <w:jc w:val="left"/>
      </w:pPr>
      <w:r>
        <w:rPr/>
        <w:t>以及其他相关规定</w:t>
      </w: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的要求，真实完整地反映了公司的财务状况、经营成果和现金流</w:t>
      </w:r>
    </w:p>
    <w:p>
      <w:pPr>
        <w:pStyle w:val="Heading4"/>
        <w:spacing w:line="240" w:lineRule="auto" w:before="21"/>
        <w:ind w:left="1134" w:right="0"/>
        <w:jc w:val="left"/>
      </w:pPr>
      <w:r>
        <w:rPr/>
        <w:t>量等有关信息。</w:t>
      </w:r>
    </w:p>
    <w:p>
      <w:pPr>
        <w:pStyle w:val="Heading4"/>
        <w:spacing w:line="256" w:lineRule="auto" w:before="157"/>
        <w:ind w:right="0" w:firstLine="420"/>
        <w:jc w:val="left"/>
      </w:pPr>
      <w:r>
        <w:rPr>
          <w:spacing w:val="-4"/>
        </w:rPr>
        <w:t>此外，本财务报表参照了《公开发行证券的公司信息披露编报规则第</w:t>
      </w:r>
      <w:r>
        <w:rPr>
          <w:rFonts w:ascii="Times New Roman" w:hAnsi="Times New Roman" w:cs="Times New Roman" w:eastAsia="Times New Roman" w:hint="default"/>
          <w:spacing w:val="-4"/>
        </w:rPr>
        <w:t>15</w:t>
      </w:r>
      <w:r>
        <w:rPr>
          <w:spacing w:val="-4"/>
        </w:rPr>
        <w:t>号</w:t>
      </w:r>
      <w:r>
        <w:rPr>
          <w:rFonts w:ascii="Times New Roman" w:hAnsi="Times New Roman" w:cs="Times New Roman" w:eastAsia="Times New Roman" w:hint="default"/>
          <w:spacing w:val="-4"/>
        </w:rPr>
        <w:t>-</w:t>
      </w:r>
      <w:r>
        <w:rPr>
          <w:spacing w:val="-4"/>
        </w:rPr>
        <w:t>财务报告的一般规定》</w:t>
      </w:r>
      <w:r>
        <w:rPr>
          <w:rFonts w:ascii="Times New Roman" w:hAnsi="Times New Roman" w:cs="Times New Roman" w:eastAsia="Times New Roman" w:hint="default"/>
          <w:spacing w:val="-4"/>
        </w:rPr>
        <w:t>(2014</w:t>
      </w:r>
      <w:r>
        <w:rPr>
          <w:rFonts w:ascii="Times New Roman" w:hAnsi="Times New Roman" w:cs="Times New Roman" w:eastAsia="Times New Roman" w:hint="default"/>
        </w:rPr>
        <w:t> </w:t>
      </w:r>
      <w:r>
        <w:rPr/>
        <w:t>年修订</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第</w:t>
      </w:r>
      <w:r>
        <w:rPr>
          <w:rFonts w:ascii="Times New Roman" w:hAnsi="Times New Roman" w:cs="Times New Roman" w:eastAsia="Times New Roman" w:hint="default"/>
        </w:rPr>
        <w:t>15</w:t>
      </w:r>
      <w:r>
        <w:rPr/>
        <w:t>号文</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的列报和披露要求。</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3"/>
        <w:spacing w:line="240" w:lineRule="auto" w:before="162"/>
        <w:ind w:right="0"/>
        <w:jc w:val="left"/>
        <w:rPr>
          <w:b w:val="0"/>
          <w:bCs w:val="0"/>
        </w:rPr>
      </w:pPr>
      <w:bookmarkStart w:name="2、会计期间" w:id="168"/>
      <w:bookmarkEnd w:id="16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553" w:right="0"/>
        <w:jc w:val="left"/>
      </w:pPr>
      <w:r>
        <w:rPr/>
        <w:t>本公司的会计年度从公历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4"/>
        <w:spacing w:line="506" w:lineRule="auto" w:before="179"/>
        <w:ind w:left="1134" w:right="3402"/>
        <w:jc w:val="left"/>
      </w:pPr>
      <w:bookmarkStart w:name="3、营业周期" w:id="169"/>
      <w:bookmarkEnd w:id="169"/>
      <w:r>
        <w:rPr/>
      </w:r>
      <w:r>
        <w:rPr>
          <w:rFonts w:ascii="Times New Roman" w:hAnsi="Times New Roman" w:cs="Times New Roman" w:eastAsia="Times New Roman" w:hint="default"/>
          <w:b/>
          <w:bCs/>
        </w:rPr>
        <w:t>3</w:t>
      </w:r>
      <w:r>
        <w:rPr>
          <w:rFonts w:ascii="宋体" w:hAnsi="宋体" w:cs="宋体" w:eastAsia="宋体" w:hint="default"/>
          <w:b/>
          <w:bCs/>
        </w:rPr>
        <w:t>、营业周期</w:t>
      </w:r>
      <w:r>
        <w:rPr>
          <w:rFonts w:ascii="宋体" w:hAnsi="宋体" w:cs="宋体" w:eastAsia="宋体" w:hint="default"/>
          <w:b/>
          <w:bCs/>
          <w:w w:val="99"/>
        </w:rPr>
        <w:t> </w:t>
      </w:r>
      <w:r>
        <w:rPr/>
        <w:t>本公司以</w:t>
      </w:r>
      <w:r>
        <w:rPr>
          <w:rFonts w:ascii="Times New Roman" w:hAnsi="Times New Roman" w:cs="Times New Roman" w:eastAsia="Times New Roman" w:hint="default"/>
        </w:rPr>
        <w:t>12</w:t>
      </w:r>
      <w:r>
        <w:rPr/>
        <w:t>个月作为一个经营周期，并以其作为资产和负债的流动性划分标准。</w:t>
      </w:r>
    </w:p>
    <w:p>
      <w:pPr>
        <w:spacing w:after="0" w:line="506"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记账本位币" w:id="170"/>
      <w:bookmarkEnd w:id="17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553" w:right="0"/>
        <w:jc w:val="left"/>
      </w:pPr>
      <w:r>
        <w:rPr/>
        <w:t>本公司采用人民币作为记账本位币。</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bookmarkStart w:name="5、同一控制下和非同一控制下企业合并的会计处理方法" w:id="171"/>
      <w:bookmarkEnd w:id="17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357" w:lineRule="auto"/>
        <w:ind w:left="155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同一控制下企业合并的会计处理方法</w:t>
      </w:r>
      <w:r>
        <w:rPr>
          <w:w w:val="99"/>
        </w:rPr>
        <w:t> </w:t>
      </w:r>
      <w:r>
        <w:rPr>
          <w:spacing w:val="3"/>
        </w:rPr>
        <w:t>本公司在一次交易取得或通过多次交易分步实现同一控制下企业合并，企业合并中取得的资产和负</w:t>
      </w:r>
    </w:p>
    <w:p>
      <w:pPr>
        <w:pStyle w:val="Heading4"/>
        <w:spacing w:line="209" w:lineRule="exact"/>
        <w:ind w:right="0"/>
        <w:jc w:val="left"/>
      </w:pPr>
      <w:r>
        <w:rPr/>
        <w:t>债，按照合并日被合并方在最终控制方合并财务报表中的的账面价值计量。本公司取得的净资产账面价值</w:t>
      </w:r>
    </w:p>
    <w:p>
      <w:pPr>
        <w:pStyle w:val="Heading4"/>
        <w:spacing w:line="273" w:lineRule="auto" w:before="37"/>
        <w:ind w:right="1116"/>
        <w:jc w:val="left"/>
      </w:pPr>
      <w:r>
        <w:rPr>
          <w:spacing w:val="-1"/>
        </w:rPr>
        <w:t>与支付的合并对价账面价值（或发行股份面值总额）的差额，调整资本公积；资本公积不足冲减的，调整</w:t>
      </w:r>
      <w:r>
        <w:rPr>
          <w:spacing w:val="-83"/>
        </w:rPr>
        <w:t> </w:t>
      </w:r>
      <w:r>
        <w:rPr>
          <w:spacing w:val="-83"/>
        </w:rPr>
      </w:r>
      <w:r>
        <w:rPr/>
        <w:t>留存收益。</w:t>
      </w:r>
    </w:p>
    <w:p>
      <w:pPr>
        <w:pStyle w:val="Heading4"/>
        <w:spacing w:line="357" w:lineRule="auto" w:before="127"/>
        <w:ind w:left="1554" w:right="0"/>
        <w:jc w:val="left"/>
      </w:pPr>
      <w:r>
        <w:rPr>
          <w:rFonts w:ascii="Times New Roman" w:hAnsi="Times New Roman" w:cs="Times New Roman" w:eastAsia="Times New Roman" w:hint="default"/>
        </w:rPr>
        <w:t>(2)</w:t>
      </w:r>
      <w:r>
        <w:rPr/>
        <w:t>非同一控制下企业合并的会计处理方法</w:t>
      </w:r>
      <w:r>
        <w:rPr>
          <w:w w:val="99"/>
        </w:rPr>
        <w:t> </w:t>
      </w:r>
      <w:r>
        <w:rPr>
          <w:spacing w:val="-1"/>
        </w:rPr>
        <w:t>本公司在购买日对合并成本大于合并中取得的被购买方可辨认净资产公允价值份额的差额，确认为商</w:t>
      </w:r>
    </w:p>
    <w:p>
      <w:pPr>
        <w:pStyle w:val="Heading4"/>
        <w:spacing w:line="209" w:lineRule="exact"/>
        <w:ind w:left="1134" w:right="0"/>
        <w:jc w:val="left"/>
      </w:pPr>
      <w:r>
        <w:rPr/>
        <w:t>誉；如果合并成本小于合并中取得的被购买方可辨认净资产公允价值份额，首先对取得的被购买方各项可</w:t>
      </w:r>
    </w:p>
    <w:p>
      <w:pPr>
        <w:pStyle w:val="Heading4"/>
        <w:spacing w:line="273" w:lineRule="auto" w:before="37"/>
        <w:ind w:left="1134" w:right="0"/>
        <w:jc w:val="left"/>
      </w:pPr>
      <w:r>
        <w:rPr>
          <w:spacing w:val="-1"/>
        </w:rPr>
        <w:t>辨认资产、负债及或有负债的公允价值以及合并成本的计量进行复核，经复核后合并成本仍小于合并中取</w:t>
      </w:r>
      <w:r>
        <w:rPr>
          <w:spacing w:val="-81"/>
        </w:rPr>
        <w:t> </w:t>
      </w:r>
      <w:r>
        <w:rPr>
          <w:spacing w:val="-81"/>
        </w:rPr>
      </w:r>
      <w:r>
        <w:rPr/>
        <w:t>得的被购买方可辨认净资产公允价值份额的，其差额计入当期损益。</w:t>
      </w:r>
    </w:p>
    <w:p>
      <w:pPr>
        <w:pStyle w:val="Heading4"/>
        <w:spacing w:line="240" w:lineRule="auto" w:before="127"/>
        <w:ind w:left="1553" w:right="0"/>
        <w:jc w:val="left"/>
      </w:pPr>
      <w:r>
        <w:rPr/>
        <w:t>通过多次交易分步实现非同一控制下企业合并，应按以下顺序处理：</w:t>
      </w:r>
    </w:p>
    <w:p>
      <w:pPr>
        <w:pStyle w:val="Heading4"/>
        <w:spacing w:line="268" w:lineRule="auto" w:before="157"/>
        <w:ind w:right="1131" w:firstLine="420"/>
        <w:jc w:val="both"/>
      </w:pPr>
      <w:r>
        <w:rPr>
          <w:rFonts w:ascii="Times New Roman" w:hAnsi="Times New Roman" w:cs="Times New Roman" w:eastAsia="Times New Roman" w:hint="default"/>
        </w:rPr>
        <w:t>1</w:t>
      </w:r>
      <w:r>
        <w:rPr/>
        <w:t>）调整长期股权投资初始投资成本。购买日之前持有股权采用权益法核算的，按照该股权在购买日 </w:t>
      </w:r>
      <w:r>
        <w:rPr>
          <w:spacing w:val="-1"/>
        </w:rPr>
        <w:t>的公允价值进行重新计量，公允价值与其账面价值的差额计入当期投资收益；购买日之前持有的被购买方</w:t>
      </w:r>
      <w:r>
        <w:rPr>
          <w:spacing w:val="-81"/>
        </w:rPr>
        <w:t> </w:t>
      </w:r>
      <w:r>
        <w:rPr>
          <w:spacing w:val="-81"/>
        </w:rPr>
      </w:r>
      <w:r>
        <w:rPr>
          <w:spacing w:val="-1"/>
        </w:rPr>
        <w:t>的股权涉及权益法核算下的其他综合收益、其他所有者权益变动的，转为购买日所属当期收益，由于被投</w:t>
      </w:r>
      <w:r>
        <w:rPr>
          <w:spacing w:val="-83"/>
        </w:rPr>
        <w:t> </w:t>
      </w:r>
      <w:r>
        <w:rPr>
          <w:spacing w:val="-83"/>
        </w:rPr>
      </w:r>
      <w:r>
        <w:rPr/>
        <w:t>资方重新计量设定受益计划净负债或净资产变动而产生的其他综合收益除外。</w:t>
      </w:r>
    </w:p>
    <w:p>
      <w:pPr>
        <w:pStyle w:val="Heading4"/>
        <w:spacing w:line="264" w:lineRule="auto" w:before="132"/>
        <w:ind w:right="1133" w:firstLine="420"/>
        <w:jc w:val="both"/>
      </w:pPr>
      <w:r>
        <w:rPr>
          <w:rFonts w:ascii="Times New Roman" w:hAnsi="Times New Roman" w:cs="Times New Roman" w:eastAsia="Times New Roman" w:hint="default"/>
        </w:rPr>
        <w:t>2</w:t>
      </w:r>
      <w:r>
        <w:rPr/>
        <w:t>）确认商誉（或计入当期损益的金额）。将第一步调整后长期股权投资初始投资成本与购买日应享 </w:t>
      </w:r>
      <w:r>
        <w:rPr>
          <w:spacing w:val="-1"/>
        </w:rPr>
        <w:t>有子公司可辨认净资产公允价值份额比较，前者大于后者，差额确认为商誉；前者小于后者，差额计入当</w:t>
      </w:r>
      <w:r>
        <w:rPr>
          <w:spacing w:val="-86"/>
        </w:rPr>
        <w:t> </w:t>
      </w:r>
      <w:r>
        <w:rPr>
          <w:spacing w:val="-86"/>
        </w:rPr>
      </w:r>
      <w:r>
        <w:rPr/>
        <w:t>期损益。</w:t>
      </w:r>
    </w:p>
    <w:p>
      <w:pPr>
        <w:pStyle w:val="Heading4"/>
        <w:spacing w:line="367" w:lineRule="auto" w:before="136"/>
        <w:ind w:left="1553" w:right="0"/>
        <w:jc w:val="left"/>
      </w:pPr>
      <w:r>
        <w:rPr/>
        <w:t>通过多次交易分步处置股权至丧失对子公司控制权的情形 </w:t>
      </w:r>
      <w:r>
        <w:rPr>
          <w:rFonts w:ascii="Times New Roman" w:hAnsi="Times New Roman" w:cs="Times New Roman" w:eastAsia="Times New Roman" w:hint="default"/>
        </w:rPr>
        <w:t>1</w:t>
      </w:r>
      <w:r>
        <w:rPr/>
        <w:t>）判断分步处置股权至丧失对子公司控制权过程中的各项交易是否属于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的原则 </w:t>
      </w:r>
      <w:r>
        <w:rPr>
          <w:spacing w:val="-1"/>
        </w:rPr>
        <w:t>处置对子公司股权投资的各项交易的条款、条件以及经济影响符合以下一种或多种情况，通常表明应</w:t>
      </w:r>
    </w:p>
    <w:p>
      <w:pPr>
        <w:pStyle w:val="Heading4"/>
        <w:spacing w:line="201" w:lineRule="exact"/>
        <w:ind w:right="0"/>
        <w:jc w:val="left"/>
      </w:pPr>
      <w:r>
        <w:rPr/>
        <w:t>将多次交易事项作为一揽子交易进行会计处理：</w:t>
      </w:r>
    </w:p>
    <w:p>
      <w:pPr>
        <w:pStyle w:val="Heading4"/>
        <w:spacing w:line="240" w:lineRule="auto" w:before="157"/>
        <w:ind w:left="1660" w:right="0"/>
        <w:jc w:val="left"/>
      </w:pPr>
      <w:r>
        <w:rPr/>
        <w:t>①这些交易是同时或者在考虑了彼此影响的情况下订立的；</w:t>
      </w:r>
    </w:p>
    <w:p>
      <w:pPr>
        <w:pStyle w:val="Heading4"/>
        <w:spacing w:line="240" w:lineRule="auto" w:before="157"/>
        <w:ind w:left="1660" w:right="0"/>
        <w:jc w:val="left"/>
      </w:pPr>
      <w:r>
        <w:rPr/>
        <w:t>②这些交易整体才能达成一项完整的商业结果；</w:t>
      </w:r>
    </w:p>
    <w:p>
      <w:pPr>
        <w:pStyle w:val="Heading4"/>
        <w:spacing w:line="240" w:lineRule="auto" w:before="157"/>
        <w:ind w:left="1659" w:right="0"/>
        <w:jc w:val="left"/>
      </w:pPr>
      <w:r>
        <w:rPr/>
        <w:t>③一项交易的发生取决于其他至少一项交易的发生；</w:t>
      </w:r>
    </w:p>
    <w:p>
      <w:pPr>
        <w:pStyle w:val="Heading4"/>
        <w:spacing w:line="367" w:lineRule="auto" w:before="157"/>
        <w:ind w:left="1553" w:right="0" w:firstLine="106"/>
        <w:jc w:val="left"/>
      </w:pPr>
      <w:r>
        <w:rPr/>
        <w:t>④一项交易单独看是不经济的，但是和其他交易一并考虑时是经济的。 </w:t>
      </w:r>
      <w:r>
        <w:rPr>
          <w:rFonts w:ascii="Times New Roman" w:hAnsi="Times New Roman" w:cs="Times New Roman" w:eastAsia="Times New Roman" w:hint="default"/>
        </w:rPr>
        <w:t>2</w:t>
      </w:r>
      <w:r>
        <w:rPr/>
        <w:t>）分步处置股权至丧失对子公司控制权过程中的各项交易属于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 </w:t>
      </w:r>
      <w:r>
        <w:rPr>
          <w:spacing w:val="-1"/>
        </w:rPr>
        <w:t>处置对子公司股权投资直至丧失控制权的各项交易属于一揽子交易的，应当将各项交易作为一项处置</w:t>
      </w:r>
    </w:p>
    <w:p>
      <w:pPr>
        <w:pStyle w:val="Heading4"/>
        <w:spacing w:line="201" w:lineRule="exact"/>
        <w:ind w:right="0"/>
        <w:jc w:val="left"/>
      </w:pPr>
      <w:r>
        <w:rPr/>
        <w:t>子公司并丧失控制权的交易进行会计处理；但是，在丧失控制权之前每一次处置价款与处置投资对应的享</w:t>
      </w:r>
    </w:p>
    <w:p>
      <w:pPr>
        <w:pStyle w:val="Heading4"/>
        <w:spacing w:line="273" w:lineRule="auto" w:before="37"/>
        <w:ind w:right="0"/>
        <w:jc w:val="left"/>
      </w:pPr>
      <w:r>
        <w:rPr>
          <w:spacing w:val="-1"/>
        </w:rPr>
        <w:t>有该子公司净资产份额的差额，在合并财务报表中应当确认为其他综合收益，在丧失控制权时一并转入丧</w:t>
      </w:r>
      <w:r>
        <w:rPr>
          <w:spacing w:val="-81"/>
        </w:rPr>
        <w:t> </w:t>
      </w:r>
      <w:r>
        <w:rPr>
          <w:spacing w:val="-81"/>
        </w:rPr>
      </w:r>
      <w:r>
        <w:rPr/>
        <w:t>失控制权当期的损益。</w:t>
      </w:r>
    </w:p>
    <w:p>
      <w:pPr>
        <w:pStyle w:val="Heading4"/>
        <w:spacing w:line="240" w:lineRule="auto" w:before="127"/>
        <w:ind w:left="1553" w:right="0"/>
        <w:jc w:val="left"/>
      </w:pPr>
      <w:r>
        <w:rPr/>
        <w:t>在合并财务报表中，对于剩余股权，应当按照其在丧失控制权日的公允价值进行重新计量。处置股权</w:t>
      </w:r>
    </w:p>
    <w:p>
      <w:pPr>
        <w:spacing w:after="0" w:line="240" w:lineRule="auto"/>
        <w:jc w:val="left"/>
        <w:sectPr>
          <w:footerReference w:type="default" r:id="rId14"/>
          <w:pgSz w:w="11910" w:h="16840"/>
          <w:pgMar w:footer="979" w:header="747" w:top="1060" w:bottom="1160" w:left="0" w:right="0"/>
        </w:sectPr>
      </w:pPr>
    </w:p>
    <w:p>
      <w:pPr>
        <w:spacing w:line="240" w:lineRule="auto" w:before="9"/>
        <w:rPr>
          <w:rFonts w:ascii="宋体" w:hAnsi="宋体" w:cs="宋体" w:eastAsia="宋体" w:hint="default"/>
          <w:sz w:val="24"/>
          <w:szCs w:val="24"/>
        </w:rPr>
      </w:pPr>
    </w:p>
    <w:p>
      <w:pPr>
        <w:pStyle w:val="Heading4"/>
        <w:spacing w:line="273" w:lineRule="auto" w:before="35"/>
        <w:ind w:right="1131"/>
        <w:jc w:val="both"/>
      </w:pPr>
      <w:r>
        <w:rPr>
          <w:spacing w:val="-1"/>
        </w:rPr>
        <w:t>取得的对价与剩余股权公允价值之和，减去按原持股比例计算应享有原子公司自购买日开始持续计算的净</w:t>
      </w:r>
      <w:r>
        <w:rPr>
          <w:spacing w:val="-81"/>
        </w:rPr>
        <w:t> </w:t>
      </w:r>
      <w:r>
        <w:rPr>
          <w:spacing w:val="-81"/>
        </w:rPr>
      </w:r>
      <w:r>
        <w:rPr>
          <w:spacing w:val="-1"/>
        </w:rPr>
        <w:t>资产的份额之间的差额，计入丧失控制权当期的投资收益。与原子公司股权投资相关的其他综合收益，应</w:t>
      </w:r>
      <w:r>
        <w:rPr>
          <w:spacing w:val="-83"/>
        </w:rPr>
        <w:t> </w:t>
      </w:r>
      <w:r>
        <w:rPr>
          <w:spacing w:val="-83"/>
        </w:rPr>
      </w:r>
      <w:r>
        <w:rPr/>
        <w:t>当在丧失控制权时转为当期投资收益。</w:t>
      </w:r>
    </w:p>
    <w:p>
      <w:pPr>
        <w:pStyle w:val="Heading4"/>
        <w:spacing w:line="357" w:lineRule="auto" w:before="127"/>
        <w:ind w:left="1554" w:right="0"/>
        <w:jc w:val="left"/>
      </w:pPr>
      <w:r>
        <w:rPr>
          <w:rFonts w:ascii="Times New Roman" w:hAnsi="Times New Roman" w:cs="Times New Roman" w:eastAsia="Times New Roman" w:hint="default"/>
        </w:rPr>
        <w:t>3</w:t>
      </w:r>
      <w:r>
        <w:rPr/>
        <w:t>）分步处置股权至丧失对子公司控制权过程中的各项交易不属于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 </w:t>
      </w:r>
      <w:r>
        <w:rPr>
          <w:spacing w:val="-1"/>
        </w:rPr>
        <w:t>处置对子公司的投资未丧失控制权的，合并财务报表中处置价款与处置投资对应的享有该子公司净资</w:t>
      </w:r>
    </w:p>
    <w:p>
      <w:pPr>
        <w:pStyle w:val="Heading4"/>
        <w:spacing w:line="209" w:lineRule="exact"/>
        <w:ind w:left="1134" w:right="0"/>
        <w:jc w:val="both"/>
      </w:pPr>
      <w:r>
        <w:rPr/>
        <w:t>产份额的差额计入资本公积（资本溢价或股本溢价），资本溢价不足冲减的，应当调整留存收益。</w:t>
      </w:r>
    </w:p>
    <w:p>
      <w:pPr>
        <w:pStyle w:val="Heading4"/>
        <w:spacing w:line="273" w:lineRule="auto" w:before="157"/>
        <w:ind w:left="1134" w:right="1130" w:firstLine="420"/>
        <w:jc w:val="both"/>
      </w:pPr>
      <w:r>
        <w:rPr>
          <w:spacing w:val="-1"/>
        </w:rPr>
        <w:t>处置对子公司的投资丧失控制权的，在合并财务报表中，对于剩余股权，应当按照其在丧失控制权日</w:t>
      </w:r>
      <w:r>
        <w:rPr/>
        <w:t> </w:t>
      </w:r>
      <w:r>
        <w:rPr>
          <w:spacing w:val="-1"/>
        </w:rPr>
        <w:t>的公允价值进行重新计量。处置股权取得的对价与剩余股权公允价值之和，减去按原持股比例计算应享有</w:t>
      </w:r>
      <w:r>
        <w:rPr>
          <w:spacing w:val="-81"/>
        </w:rPr>
        <w:t> </w:t>
      </w:r>
      <w:r>
        <w:rPr>
          <w:spacing w:val="-81"/>
        </w:rPr>
      </w:r>
      <w:r>
        <w:rPr>
          <w:spacing w:val="-1"/>
        </w:rPr>
        <w:t>原有子公司自购买日开始持续计算的净资产的份额之间的差额，计入丧失控制权当期的投资收益。与原有</w:t>
      </w:r>
      <w:r>
        <w:rPr>
          <w:spacing w:val="-81"/>
        </w:rPr>
        <w:t> </w:t>
      </w:r>
      <w:r>
        <w:rPr>
          <w:spacing w:val="-81"/>
        </w:rPr>
      </w:r>
      <w:r>
        <w:rPr/>
        <w:t>子公司股权投资相关的其他综合收益，应当在丧失控制权时转为当期投资收益。</w:t>
      </w:r>
    </w:p>
    <w:p>
      <w:pPr>
        <w:spacing w:line="590" w:lineRule="atLeast" w:before="9"/>
        <w:ind w:left="1554" w:right="0" w:hanging="420"/>
        <w:jc w:val="left"/>
        <w:rPr>
          <w:rFonts w:ascii="宋体" w:hAnsi="宋体" w:cs="宋体" w:eastAsia="宋体" w:hint="default"/>
          <w:sz w:val="21"/>
          <w:szCs w:val="21"/>
        </w:rPr>
      </w:pPr>
      <w:bookmarkStart w:name="6、合并财务报表的编制方法" w:id="172"/>
      <w:bookmarkEnd w:id="17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pacing w:val="-1"/>
          <w:sz w:val="21"/>
          <w:szCs w:val="21"/>
        </w:rPr>
        <w:t>合并财务报表以母公司及其子公司的财务报表为基础，根据其他有关资料，由本公司按照《企业会计</w:t>
      </w:r>
    </w:p>
    <w:p>
      <w:pPr>
        <w:pStyle w:val="Heading4"/>
        <w:spacing w:line="240" w:lineRule="auto" w:before="37"/>
        <w:ind w:left="1134" w:right="0"/>
        <w:jc w:val="both"/>
      </w:pPr>
      <w:r>
        <w:rPr/>
        <w:t>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8"/>
        <w:rPr>
          <w:rFonts w:ascii="宋体" w:hAnsi="宋体" w:cs="宋体" w:eastAsia="宋体" w:hint="default"/>
          <w:sz w:val="24"/>
          <w:szCs w:val="24"/>
        </w:rPr>
      </w:pPr>
    </w:p>
    <w:p>
      <w:pPr>
        <w:pStyle w:val="Heading3"/>
        <w:spacing w:line="240" w:lineRule="auto"/>
        <w:ind w:right="0"/>
        <w:jc w:val="both"/>
        <w:rPr>
          <w:b w:val="0"/>
          <w:bCs w:val="0"/>
        </w:rPr>
      </w:pPr>
      <w:bookmarkStart w:name="7、合营安排分类及共同经营会计处理方法" w:id="173"/>
      <w:bookmarkEnd w:id="173"/>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pStyle w:val="Heading4"/>
        <w:spacing w:line="430" w:lineRule="atLeast" w:before="182"/>
        <w:ind w:left="1553" w:right="1128"/>
        <w:jc w:val="left"/>
      </w:pPr>
      <w:r>
        <w:rPr/>
        <w:t>（</w:t>
      </w:r>
      <w:r>
        <w:rPr>
          <w:rFonts w:ascii="Times New Roman" w:hAnsi="Times New Roman" w:cs="Times New Roman" w:eastAsia="Times New Roman" w:hint="default"/>
        </w:rPr>
        <w:t>1</w:t>
      </w:r>
      <w:r>
        <w:rPr/>
        <w:t>）合营安排的认定和分类 合营安排，是指一项由两个或两个以上的参与方共同控制的安排。合营安排具有下列特征：</w:t>
      </w:r>
      <w:r>
        <w:rPr>
          <w:rFonts w:ascii="Times New Roman" w:hAnsi="Times New Roman" w:cs="Times New Roman" w:eastAsia="Times New Roman" w:hint="default"/>
        </w:rPr>
        <w:t>1)</w:t>
      </w:r>
      <w:r>
        <w:rPr/>
        <w:t>各参与</w:t>
      </w:r>
    </w:p>
    <w:p>
      <w:pPr>
        <w:pStyle w:val="Heading4"/>
        <w:spacing w:line="266" w:lineRule="auto" w:before="21"/>
        <w:ind w:right="1132"/>
        <w:jc w:val="both"/>
      </w:pPr>
      <w:r>
        <w:rPr/>
        <w:t>方均受到该安排的约束；</w:t>
      </w:r>
      <w:r>
        <w:rPr>
          <w:rFonts w:ascii="Times New Roman" w:hAnsi="Times New Roman" w:cs="Times New Roman" w:eastAsia="Times New Roman" w:hint="default"/>
        </w:rPr>
        <w:t>2)</w:t>
      </w:r>
      <w:r>
        <w:rPr/>
        <w:t>两个或两个以上的参与方对该安排实施共同控制。任何一个参与方都不能够单</w:t>
      </w:r>
      <w:r>
        <w:rPr>
          <w:spacing w:val="-97"/>
        </w:rPr>
        <w:t> </w:t>
      </w:r>
      <w:r>
        <w:rPr>
          <w:spacing w:val="-97"/>
        </w:rPr>
      </w:r>
      <w:r>
        <w:rPr>
          <w:spacing w:val="-1"/>
        </w:rPr>
        <w:t>独控制该安排，对该安排具有共同控制的任何一个参与方均能够阻止其他参与方或参与方组合单独控制该</w:t>
      </w:r>
      <w:r>
        <w:rPr>
          <w:spacing w:val="-81"/>
        </w:rPr>
        <w:t> </w:t>
      </w:r>
      <w:r>
        <w:rPr>
          <w:spacing w:val="-81"/>
        </w:rPr>
      </w:r>
      <w:r>
        <w:rPr/>
        <w:t>安排。</w:t>
      </w:r>
    </w:p>
    <w:p>
      <w:pPr>
        <w:pStyle w:val="Heading4"/>
        <w:spacing w:line="273" w:lineRule="auto" w:before="134"/>
        <w:ind w:right="1131" w:firstLine="420"/>
        <w:jc w:val="both"/>
      </w:pPr>
      <w:r>
        <w:rPr>
          <w:spacing w:val="-1"/>
        </w:rPr>
        <w:t>共同控制，是指按照相关约定对某项安排所共有的控制，并且该安排的相关活动必须经过分享控制权</w:t>
      </w:r>
      <w:r>
        <w:rPr/>
        <w:t> 的参与方一致同意后才能决策。</w:t>
      </w:r>
    </w:p>
    <w:p>
      <w:pPr>
        <w:pStyle w:val="Heading4"/>
        <w:spacing w:line="273" w:lineRule="auto" w:before="127"/>
        <w:ind w:right="1131" w:firstLine="420"/>
        <w:jc w:val="both"/>
      </w:pPr>
      <w:r>
        <w:rPr>
          <w:spacing w:val="-1"/>
        </w:rPr>
        <w:t>合营安排分为共同经营和合营企业。共同经营，是指合营方享有该安排相关资产且承担该安排相关负</w:t>
      </w:r>
      <w:r>
        <w:rPr/>
        <w:t> 债的合营安排。合营企业，是指合营方仅对该安排的净资产享有权利的合营安排。</w:t>
      </w:r>
    </w:p>
    <w:p>
      <w:pPr>
        <w:pStyle w:val="Heading4"/>
        <w:spacing w:line="357" w:lineRule="auto" w:before="127"/>
        <w:ind w:left="1553" w:right="0"/>
        <w:jc w:val="left"/>
      </w:pPr>
      <w:r>
        <w:rPr/>
        <w:t>（</w:t>
      </w:r>
      <w:r>
        <w:rPr>
          <w:rFonts w:ascii="Times New Roman" w:hAnsi="Times New Roman" w:cs="Times New Roman" w:eastAsia="Times New Roman" w:hint="default"/>
        </w:rPr>
        <w:t>2</w:t>
      </w:r>
      <w:r>
        <w:rPr/>
        <w:t>）合营安排的会计处理 </w:t>
      </w:r>
      <w:r>
        <w:rPr>
          <w:spacing w:val="-1"/>
        </w:rPr>
        <w:t>共同经营参与方应当确认其与共同经营中利益份额相关的下列项目，并按照相关企业会计准则的规定</w:t>
      </w:r>
    </w:p>
    <w:p>
      <w:pPr>
        <w:pStyle w:val="Heading4"/>
        <w:spacing w:line="225" w:lineRule="exact"/>
        <w:ind w:right="0"/>
        <w:jc w:val="both"/>
      </w:pPr>
      <w:r>
        <w:rPr/>
        <w:t>进行会计处理：</w:t>
      </w:r>
      <w:r>
        <w:rPr>
          <w:rFonts w:ascii="Times New Roman" w:hAnsi="Times New Roman" w:cs="Times New Roman" w:eastAsia="Times New Roman" w:hint="default"/>
        </w:rPr>
        <w:t>1)</w:t>
      </w:r>
      <w:r>
        <w:rPr/>
        <w:t>确认单独所持有的资产，以及按其份额确认共同持有的资产；</w:t>
      </w:r>
      <w:r>
        <w:rPr>
          <w:rFonts w:ascii="Times New Roman" w:hAnsi="Times New Roman" w:cs="Times New Roman" w:eastAsia="Times New Roman" w:hint="default"/>
        </w:rPr>
        <w:t>2)</w:t>
      </w:r>
      <w:r>
        <w:rPr/>
        <w:t>确认单独所承担的负债，</w:t>
      </w:r>
    </w:p>
    <w:p>
      <w:pPr>
        <w:pStyle w:val="Heading4"/>
        <w:spacing w:line="256" w:lineRule="auto" w:before="21"/>
        <w:ind w:right="1014"/>
        <w:jc w:val="left"/>
      </w:pPr>
      <w:r>
        <w:rPr/>
        <w:t>以及按其份额确认共同承担的负债；</w:t>
      </w:r>
      <w:r>
        <w:rPr>
          <w:rFonts w:ascii="Times New Roman" w:hAnsi="Times New Roman" w:cs="Times New Roman" w:eastAsia="Times New Roman" w:hint="default"/>
        </w:rPr>
        <w:t>3)</w:t>
      </w:r>
      <w:r>
        <w:rPr/>
        <w:t>确认出售其享有的共同经营产出份额所产生的收入；</w:t>
      </w:r>
      <w:r>
        <w:rPr>
          <w:rFonts w:ascii="Times New Roman" w:hAnsi="Times New Roman" w:cs="Times New Roman" w:eastAsia="Times New Roman" w:hint="default"/>
        </w:rPr>
        <w:t>4)</w:t>
      </w:r>
      <w:r>
        <w:rPr/>
        <w:t>按其份额确</w:t>
      </w:r>
      <w:r>
        <w:rPr>
          <w:spacing w:val="-64"/>
        </w:rPr>
        <w:t> </w:t>
      </w:r>
      <w:r>
        <w:rPr>
          <w:spacing w:val="-64"/>
        </w:rPr>
      </w:r>
      <w:r>
        <w:rPr>
          <w:spacing w:val="-2"/>
        </w:rPr>
        <w:t>认共同经营因出售产出所产生的收入；</w:t>
      </w:r>
      <w:r>
        <w:rPr>
          <w:rFonts w:ascii="Times New Roman" w:hAnsi="Times New Roman" w:cs="Times New Roman" w:eastAsia="Times New Roman" w:hint="default"/>
          <w:spacing w:val="-2"/>
        </w:rPr>
        <w:t>5)</w:t>
      </w:r>
      <w:r>
        <w:rPr>
          <w:spacing w:val="-2"/>
        </w:rPr>
        <w:t>确认单独所发生的费用，以及按其份额确认共同经营发生的费用。</w:t>
      </w:r>
    </w:p>
    <w:p>
      <w:pPr>
        <w:pStyle w:val="Heading4"/>
        <w:spacing w:line="256" w:lineRule="auto" w:before="125"/>
        <w:ind w:right="1136" w:firstLine="420"/>
        <w:jc w:val="both"/>
      </w:pPr>
      <w:r>
        <w:rPr/>
        <w:t>合营企业参与方应当按照《企业会计准则第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长期股权投资》的规定对合营企业的投资进行会 计处理。</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line="590" w:lineRule="atLeast" w:before="0"/>
        <w:ind w:left="1553" w:right="0" w:hanging="420"/>
        <w:jc w:val="left"/>
        <w:rPr>
          <w:rFonts w:ascii="宋体" w:hAnsi="宋体" w:cs="宋体" w:eastAsia="宋体" w:hint="default"/>
          <w:sz w:val="21"/>
          <w:szCs w:val="21"/>
        </w:rPr>
      </w:pPr>
      <w:bookmarkStart w:name="8、现金及现金等价物的确定标准" w:id="174"/>
      <w:bookmarkEnd w:id="17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现金流量表的现金指企业库存现金及可以随时用于支付的存款。现金等价物指持有的期限短（一般是</w:t>
      </w:r>
    </w:p>
    <w:p>
      <w:pPr>
        <w:pStyle w:val="Heading4"/>
        <w:spacing w:line="240" w:lineRule="auto" w:before="37"/>
        <w:ind w:right="0"/>
        <w:jc w:val="both"/>
      </w:pPr>
      <w:r>
        <w:rPr/>
        <w:t>指从购买日起三个月内到期）、流动性强、易于转换为已知金额现金、价值变动风险很小的投资。</w:t>
      </w:r>
    </w:p>
    <w:p>
      <w:pPr>
        <w:spacing w:after="0" w:line="240" w:lineRule="auto"/>
        <w:jc w:val="both"/>
        <w:sectPr>
          <w:footerReference w:type="default" r:id="rId15"/>
          <w:pgSz w:w="11910" w:h="16840"/>
          <w:pgMar w:footer="979" w:header="747" w:top="1060" w:bottom="1160" w:left="0" w:right="0"/>
          <w:pgNumType w:start="101"/>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9、外币业务和外币报表折算" w:id="175"/>
      <w:bookmarkEnd w:id="175"/>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4"/>
        <w:spacing w:line="357" w:lineRule="auto"/>
        <w:ind w:left="1553" w:right="0"/>
        <w:jc w:val="left"/>
      </w:pPr>
      <w:r>
        <w:rPr/>
        <w:t>（</w:t>
      </w:r>
      <w:r>
        <w:rPr>
          <w:rFonts w:ascii="Times New Roman" w:hAnsi="Times New Roman" w:cs="Times New Roman" w:eastAsia="Times New Roman" w:hint="default"/>
        </w:rPr>
        <w:t>1</w:t>
      </w:r>
      <w:r>
        <w:rPr/>
        <w:t>）外币业务折算 </w:t>
      </w:r>
      <w:r>
        <w:rPr>
          <w:spacing w:val="-1"/>
        </w:rPr>
        <w:t>外币交易在初始确认时，采用交易发生日的即期汇率折算为人民币金额。资产负债表日，外币货币性</w:t>
      </w:r>
    </w:p>
    <w:p>
      <w:pPr>
        <w:pStyle w:val="Heading4"/>
        <w:spacing w:line="209" w:lineRule="exact"/>
        <w:ind w:right="0"/>
        <w:jc w:val="both"/>
      </w:pPr>
      <w:r>
        <w:rPr/>
        <w:t>项目采用资产负债表日即期汇率折算，因汇率不同而产生的汇兑差额，除与购建符合资本化条件资产有关</w:t>
      </w:r>
    </w:p>
    <w:p>
      <w:pPr>
        <w:pStyle w:val="Heading4"/>
        <w:spacing w:line="273" w:lineRule="auto" w:before="37"/>
        <w:ind w:right="1131"/>
        <w:jc w:val="both"/>
      </w:pPr>
      <w:r>
        <w:rPr>
          <w:spacing w:val="-1"/>
        </w:rPr>
        <w:t>的外币专门借款本金及利息的汇兑差额外，计入当期损益；以历史成本计量的外币非货币性项目仍采用交</w:t>
      </w:r>
      <w:r>
        <w:rPr>
          <w:spacing w:val="-81"/>
        </w:rPr>
        <w:t> </w:t>
      </w:r>
      <w:r>
        <w:rPr>
          <w:spacing w:val="-81"/>
        </w:rPr>
      </w:r>
      <w:r>
        <w:rPr>
          <w:spacing w:val="-1"/>
        </w:rPr>
        <w:t>易发生日的即期汇率折算，不改变其人民币金额；以公允价值计量的外币非货币性项目，采用公允价值确</w:t>
      </w:r>
      <w:r>
        <w:rPr>
          <w:spacing w:val="-83"/>
        </w:rPr>
        <w:t> </w:t>
      </w:r>
      <w:r>
        <w:rPr>
          <w:spacing w:val="-83"/>
        </w:rPr>
      </w:r>
      <w:r>
        <w:rPr/>
        <w:t>定日的即期汇率折算，差额计入当期损益或其他综合收益。</w:t>
      </w:r>
    </w:p>
    <w:p>
      <w:pPr>
        <w:pStyle w:val="Heading4"/>
        <w:spacing w:line="432" w:lineRule="exact" w:before="27"/>
        <w:ind w:left="1553" w:right="1122"/>
        <w:jc w:val="left"/>
      </w:pPr>
      <w:r>
        <w:rPr/>
        <w:t>（</w:t>
      </w:r>
      <w:r>
        <w:rPr>
          <w:rFonts w:ascii="Times New Roman" w:hAnsi="Times New Roman" w:cs="Times New Roman" w:eastAsia="Times New Roman" w:hint="default"/>
        </w:rPr>
        <w:t>2</w:t>
      </w:r>
      <w:r>
        <w:rPr/>
        <w:t>）外币财务报表折算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w:t>
      </w:r>
      <w:r>
        <w:rPr/>
      </w:r>
    </w:p>
    <w:p>
      <w:pPr>
        <w:pStyle w:val="Heading4"/>
        <w:spacing w:line="271" w:lineRule="exact"/>
        <w:ind w:right="0"/>
        <w:jc w:val="both"/>
      </w:pPr>
      <w:r>
        <w:rPr/>
        <w:t>润</w:t>
      </w:r>
      <w:r>
        <w:rPr>
          <w:rFonts w:ascii="Times New Roman" w:hAnsi="Times New Roman" w:cs="Times New Roman" w:eastAsia="Times New Roman" w:hint="default"/>
        </w:rPr>
        <w:t>”</w:t>
      </w:r>
      <w:r>
        <w:rPr/>
        <w:t>项目外，其他项目采用交易发生日的即期汇率折算；利润表中的收入和费用项目，采用交易发生日的</w:t>
      </w:r>
    </w:p>
    <w:p>
      <w:pPr>
        <w:pStyle w:val="Heading4"/>
        <w:spacing w:line="240" w:lineRule="auto" w:before="21"/>
        <w:ind w:right="0"/>
        <w:jc w:val="both"/>
      </w:pPr>
      <w:r>
        <w:rPr/>
        <w:t>即期汇率折算。按照上述折算产生的外币财务报表折算差额，确认为其他综合收益。</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10、金融工具" w:id="176"/>
      <w:bookmarkEnd w:id="176"/>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Heading4"/>
        <w:spacing w:line="357" w:lineRule="auto"/>
        <w:ind w:left="1554" w:right="0"/>
        <w:jc w:val="left"/>
      </w:pPr>
      <w:r>
        <w:rPr/>
        <w:t>（</w:t>
      </w:r>
      <w:r>
        <w:rPr>
          <w:rFonts w:ascii="Times New Roman" w:hAnsi="Times New Roman" w:cs="Times New Roman" w:eastAsia="Times New Roman" w:hint="default"/>
        </w:rPr>
        <w:t>1</w:t>
      </w:r>
      <w:r>
        <w:rPr/>
        <w:t>）金融资产和金融负债的分类 </w:t>
      </w:r>
      <w:r>
        <w:rPr>
          <w:spacing w:val="-1"/>
        </w:rPr>
        <w:t>金融资产在初始确认时划分为以下四类：以公允价值计量且其变动计入当期损益的金融资产（包括交</w:t>
      </w:r>
    </w:p>
    <w:p>
      <w:pPr>
        <w:pStyle w:val="Heading4"/>
        <w:spacing w:line="209" w:lineRule="exact"/>
        <w:ind w:left="1134" w:right="0"/>
        <w:jc w:val="both"/>
      </w:pPr>
      <w:r>
        <w:rPr/>
        <w:t>易性金融资产和指定为以公允价值计量且其变动计入当期损益的金融资产）、持有至到期投资、贷款和应</w:t>
      </w:r>
    </w:p>
    <w:p>
      <w:pPr>
        <w:pStyle w:val="Heading4"/>
        <w:spacing w:line="240" w:lineRule="auto" w:before="37"/>
        <w:ind w:left="1134" w:right="0"/>
        <w:jc w:val="both"/>
      </w:pPr>
      <w:r>
        <w:rPr/>
        <w:t>收款项、可供出售金融资产。</w:t>
      </w:r>
    </w:p>
    <w:p>
      <w:pPr>
        <w:pStyle w:val="Heading4"/>
        <w:spacing w:line="273" w:lineRule="auto" w:before="157"/>
        <w:ind w:left="1134" w:right="1131" w:firstLine="420"/>
        <w:jc w:val="both"/>
      </w:pPr>
      <w:r>
        <w:rPr>
          <w:spacing w:val="-1"/>
        </w:rPr>
        <w:t>金融负债在初始确认时划分为以下两类：以公允价值计量且其变动计入当期损益的金融负债（包括交</w:t>
      </w:r>
      <w:r>
        <w:rPr/>
        <w:t> 易性金融负债和指定为以公允价值计量且其变动计入当期损益的金融负债）、其他金融负债。</w:t>
      </w:r>
    </w:p>
    <w:p>
      <w:pPr>
        <w:pStyle w:val="Heading4"/>
        <w:spacing w:line="357" w:lineRule="auto" w:before="127"/>
        <w:ind w:left="1554" w:right="1017"/>
        <w:jc w:val="left"/>
      </w:pPr>
      <w:r>
        <w:rPr/>
        <w:t>（</w:t>
      </w:r>
      <w:r>
        <w:rPr>
          <w:rFonts w:ascii="Times New Roman" w:hAnsi="Times New Roman" w:cs="Times New Roman" w:eastAsia="Times New Roman" w:hint="default"/>
        </w:rPr>
        <w:t>2</w:t>
      </w:r>
      <w:r>
        <w:rPr/>
        <w:t>）金融资产和金融负债的确认依据、计量方法和终止确认条件 </w:t>
      </w:r>
      <w:r>
        <w:rPr>
          <w:spacing w:val="-3"/>
        </w:rPr>
        <w:t>本公司成为金融工具合同的一方时，确认一项金融资产或金融负债。初始确认金融资产或金融负债时，</w:t>
      </w:r>
    </w:p>
    <w:p>
      <w:pPr>
        <w:pStyle w:val="Heading4"/>
        <w:spacing w:line="209" w:lineRule="exact"/>
        <w:ind w:left="1134" w:right="0"/>
        <w:jc w:val="both"/>
      </w:pPr>
      <w:r>
        <w:rPr/>
        <w:t>按照公允价值计量；对于以公允价值计量且其变动计入当期损益的金融资产和金融负债，相关交易费用直</w:t>
      </w:r>
    </w:p>
    <w:p>
      <w:pPr>
        <w:pStyle w:val="Heading4"/>
        <w:spacing w:line="240" w:lineRule="auto" w:before="37"/>
        <w:ind w:left="1134" w:right="0"/>
        <w:jc w:val="both"/>
      </w:pPr>
      <w:r>
        <w:rPr/>
        <w:t>接计入当期损益；对于其他类别的金融资产或金融负债，相关交易费用计入初始确认金额。</w:t>
      </w:r>
    </w:p>
    <w:p>
      <w:pPr>
        <w:pStyle w:val="Heading4"/>
        <w:spacing w:line="266" w:lineRule="auto" w:before="157"/>
        <w:ind w:right="1132" w:firstLine="420"/>
        <w:jc w:val="both"/>
      </w:pPr>
      <w:r>
        <w:rPr>
          <w:spacing w:val="3"/>
        </w:rPr>
        <w:t>本公司按照公允价值对金融资产进行后续计量，且不扣除将来处置该金融资产时可能发生的交易费</w:t>
      </w:r>
      <w:r>
        <w:rPr/>
        <w:t> </w:t>
      </w:r>
      <w:r>
        <w:rPr>
          <w:spacing w:val="-1"/>
        </w:rPr>
        <w:t>用，但下列情况除外：</w:t>
      </w:r>
      <w:r>
        <w:rPr>
          <w:rFonts w:ascii="Times New Roman" w:hAnsi="Times New Roman" w:cs="Times New Roman" w:eastAsia="Times New Roman" w:hint="default"/>
          <w:spacing w:val="-1"/>
        </w:rPr>
        <w:t>1</w:t>
      </w:r>
      <w:r>
        <w:rPr>
          <w:spacing w:val="-1"/>
        </w:rPr>
        <w:t>）持有至到期投资以及贷款和应收款项采用实际利率法，按摊余成本计量；</w:t>
      </w:r>
      <w:r>
        <w:rPr>
          <w:rFonts w:ascii="Times New Roman" w:hAnsi="Times New Roman" w:cs="Times New Roman" w:eastAsia="Times New Roman" w:hint="default"/>
          <w:spacing w:val="-1"/>
        </w:rPr>
        <w:t>2</w:t>
      </w:r>
      <w:r>
        <w:rPr>
          <w:spacing w:val="-1"/>
        </w:rPr>
        <w:t>）在</w:t>
      </w:r>
      <w:r>
        <w:rPr>
          <w:spacing w:val="-86"/>
        </w:rPr>
        <w:t> </w:t>
      </w:r>
      <w:r>
        <w:rPr>
          <w:spacing w:val="-1"/>
        </w:rPr>
        <w:t>活跃市场中没有报价且其公允价值不能可靠计量的权益工具投资，以及与该权益工具挂钩并须通过交付该</w:t>
      </w:r>
      <w:r>
        <w:rPr>
          <w:spacing w:val="-81"/>
        </w:rPr>
        <w:t> </w:t>
      </w:r>
      <w:r>
        <w:rPr>
          <w:spacing w:val="-81"/>
        </w:rPr>
      </w:r>
      <w:r>
        <w:rPr/>
        <w:t>权益工具结算的衍生金融资产，按照成本计量。</w:t>
      </w:r>
    </w:p>
    <w:p>
      <w:pPr>
        <w:pStyle w:val="Heading4"/>
        <w:spacing w:line="266" w:lineRule="auto" w:before="134"/>
        <w:ind w:right="1130" w:firstLine="420"/>
        <w:jc w:val="both"/>
      </w:pPr>
      <w:r>
        <w:rPr/>
        <w:t>本公司采用实际利率法，按摊余成本对金融负债进行后续计量，但下列情况除外：</w:t>
      </w:r>
      <w:r>
        <w:rPr>
          <w:rFonts w:ascii="Times New Roman" w:hAnsi="Times New Roman" w:cs="Times New Roman" w:eastAsia="Times New Roman" w:hint="default"/>
        </w:rPr>
        <w:t>1</w:t>
      </w:r>
      <w:r>
        <w:rPr/>
        <w:t>）以公允价值计 </w:t>
      </w:r>
      <w:r>
        <w:rPr>
          <w:spacing w:val="-1"/>
        </w:rPr>
        <w:t>量且其变动计入当期损益的金融负债，按照公允价值计量，且不扣除将来结清金融负债时可能发生的交易</w:t>
      </w:r>
      <w:r>
        <w:rPr>
          <w:spacing w:val="-80"/>
        </w:rPr>
        <w:t> </w:t>
      </w:r>
      <w:r>
        <w:rPr>
          <w:spacing w:val="-80"/>
        </w:rPr>
      </w:r>
      <w:r>
        <w:rPr/>
        <w:t>费用；</w:t>
      </w:r>
      <w:r>
        <w:rPr>
          <w:rFonts w:ascii="Times New Roman" w:hAnsi="Times New Roman" w:cs="Times New Roman" w:eastAsia="Times New Roman" w:hint="default"/>
        </w:rPr>
        <w:t>2</w:t>
      </w:r>
      <w:r>
        <w:rPr/>
        <w:t>）与在活跃市场中没有报价、公允价值不能可靠计量的权益工具挂钩并须通过交付该权益工具结</w:t>
      </w:r>
      <w:r>
        <w:rPr>
          <w:spacing w:val="-35"/>
        </w:rPr>
        <w:t> </w:t>
      </w:r>
      <w:r>
        <w:rPr>
          <w:spacing w:val="-35"/>
        </w:rPr>
      </w:r>
      <w:r>
        <w:rPr/>
        <w:t>算的衍生金融负债，按照成本计量；</w:t>
      </w:r>
      <w:r>
        <w:rPr>
          <w:rFonts w:ascii="Times New Roman" w:hAnsi="Times New Roman" w:cs="Times New Roman" w:eastAsia="Times New Roman" w:hint="default"/>
        </w:rPr>
        <w:t>3</w:t>
      </w:r>
      <w:r>
        <w:rPr/>
        <w:t>）不属于指定为以公允价值计量且其变动计入当期损益的金融负债</w:t>
      </w:r>
      <w:r>
        <w:rPr>
          <w:spacing w:val="-31"/>
        </w:rPr>
        <w:t> </w:t>
      </w:r>
      <w:r>
        <w:rPr>
          <w:spacing w:val="-31"/>
        </w:rPr>
      </w:r>
      <w:r>
        <w:rPr>
          <w:spacing w:val="-1"/>
        </w:rPr>
        <w:t>的财务担保合同，或没有指定为以公允价值计量且其变动计入当期损益并将以低于市场利率贷款的贷款承</w:t>
      </w:r>
      <w:r>
        <w:rPr>
          <w:spacing w:val="-81"/>
        </w:rPr>
        <w:t> </w:t>
      </w:r>
      <w:r>
        <w:rPr>
          <w:spacing w:val="-81"/>
        </w:rPr>
      </w:r>
      <w:r>
        <w:rPr>
          <w:spacing w:val="-1"/>
        </w:rPr>
        <w:t>诺，在初始确认后按照下列两项金额之中的较高者进行后续计量：①按照《企业会计准则第</w:t>
      </w:r>
      <w:r>
        <w:rPr>
          <w:rFonts w:ascii="宋体" w:hAnsi="宋体" w:cs="宋体" w:eastAsia="宋体" w:hint="default"/>
          <w:spacing w:val="-1"/>
        </w:rPr>
        <w:t>13</w:t>
      </w:r>
      <w:r>
        <w:rPr>
          <w:spacing w:val="-1"/>
        </w:rPr>
        <w:t>号——或有</w:t>
      </w:r>
      <w:r>
        <w:rPr>
          <w:spacing w:val="-82"/>
        </w:rPr>
        <w:t> </w:t>
      </w:r>
      <w:r>
        <w:rPr>
          <w:spacing w:val="-1"/>
        </w:rPr>
        <w:t>事项》确定的金额；②初始确认金额扣除按照《企业会计准则第</w:t>
      </w:r>
      <w:r>
        <w:rPr>
          <w:rFonts w:ascii="宋体" w:hAnsi="宋体" w:cs="宋体" w:eastAsia="宋体" w:hint="default"/>
          <w:spacing w:val="-1"/>
        </w:rPr>
        <w:t>14</w:t>
      </w:r>
      <w:r>
        <w:rPr>
          <w:spacing w:val="-1"/>
        </w:rPr>
        <w:t>号——收入》的原则确定的累积摊销额</w:t>
      </w:r>
      <w:r>
        <w:rPr>
          <w:spacing w:val="-86"/>
        </w:rPr>
        <w:t> </w:t>
      </w:r>
      <w:r>
        <w:rPr>
          <w:spacing w:val="-86"/>
        </w:rPr>
      </w:r>
      <w:r>
        <w:rPr/>
        <w:t>后的余额。</w:t>
      </w:r>
    </w:p>
    <w:p>
      <w:pPr>
        <w:pStyle w:val="Heading4"/>
        <w:spacing w:line="266" w:lineRule="auto" w:before="134"/>
        <w:ind w:right="0" w:firstLine="420"/>
        <w:jc w:val="left"/>
      </w:pPr>
      <w:r>
        <w:rPr>
          <w:spacing w:val="-1"/>
        </w:rPr>
        <w:t>金融资产或金融负债公允价值变动形成的利得或损失，除与套期保值有关外，按照如下方法处理：</w:t>
      </w:r>
      <w:r>
        <w:rPr>
          <w:rFonts w:ascii="Times New Roman" w:hAnsi="Times New Roman" w:cs="Times New Roman" w:eastAsia="Times New Roman" w:hint="default"/>
          <w:spacing w:val="-1"/>
        </w:rPr>
        <w:t>1</w:t>
      </w:r>
      <w:r>
        <w:rPr>
          <w:spacing w:val="-1"/>
        </w:rPr>
        <w:t>）</w:t>
      </w:r>
      <w:r>
        <w:rPr/>
        <w:t> 以公允价值计量且其变动计入当期损益的金融资产或金融负债公允价值变动形成的利得或损失，计入公允</w:t>
      </w:r>
      <w:r>
        <w:rPr/>
        <w:t> 价值变动损益；在资产持有期间所取得的利息或现金股利，确认为投资收益；处置时，将实际收到的金额 与初始入账金额之间的差额确认为投资收益，同时调整公允价值变动损益。</w:t>
      </w:r>
      <w:r>
        <w:rPr>
          <w:rFonts w:ascii="Times New Roman" w:hAnsi="Times New Roman" w:cs="Times New Roman" w:eastAsia="Times New Roman" w:hint="default"/>
        </w:rPr>
        <w:t>2</w:t>
      </w:r>
      <w:r>
        <w:rPr/>
        <w:t>）可供出售金融资产的公允</w:t>
      </w:r>
    </w:p>
    <w:p>
      <w:pPr>
        <w:spacing w:after="0" w:line="266"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73" w:lineRule="auto" w:before="35"/>
        <w:ind w:right="1130"/>
        <w:jc w:val="both"/>
      </w:pPr>
      <w:r>
        <w:rPr>
          <w:spacing w:val="-1"/>
        </w:rPr>
        <w:t>价值变动计入其他综合收益；持有期间按实际利率法计算的利息，计入投资收益；可供出售权益工具投资</w:t>
      </w:r>
      <w:r>
        <w:rPr>
          <w:spacing w:val="-83"/>
        </w:rPr>
        <w:t> </w:t>
      </w:r>
      <w:r>
        <w:rPr>
          <w:spacing w:val="-83"/>
        </w:rPr>
      </w:r>
      <w:r>
        <w:rPr>
          <w:spacing w:val="-1"/>
        </w:rPr>
        <w:t>的现金股利，于被投资单位宣告发放股利时计入投资收益；处置时，将实际收到的金额与账面价值扣除原</w:t>
      </w:r>
      <w:r>
        <w:rPr>
          <w:spacing w:val="-83"/>
        </w:rPr>
        <w:t> </w:t>
      </w:r>
      <w:r>
        <w:rPr>
          <w:spacing w:val="-83"/>
        </w:rPr>
      </w:r>
      <w:r>
        <w:rPr/>
        <w:t>直接计入其他综合收益的公允价值变动累计额之后的差额确认为投资收益。</w:t>
      </w:r>
    </w:p>
    <w:p>
      <w:pPr>
        <w:pStyle w:val="Heading4"/>
        <w:spacing w:line="273" w:lineRule="auto" w:before="127"/>
        <w:ind w:right="1131" w:firstLine="420"/>
        <w:jc w:val="both"/>
      </w:pPr>
      <w:r>
        <w:rPr>
          <w:spacing w:val="3"/>
        </w:rPr>
        <w:t>当收取某项金融资产现金流量的合同权利已终止或该金融资产所有权上几乎所有的风险和报酬已转</w:t>
      </w:r>
      <w:r>
        <w:rPr/>
        <w:t> </w:t>
      </w:r>
      <w:r>
        <w:rPr>
          <w:spacing w:val="-1"/>
        </w:rPr>
        <w:t>移时，终止确认该金融资产；当金融负债的现时义务全部或部分解除时，相应终止确认该金融负债或其一</w:t>
      </w:r>
      <w:r>
        <w:rPr>
          <w:spacing w:val="-83"/>
        </w:rPr>
        <w:t> </w:t>
      </w:r>
      <w:r>
        <w:rPr>
          <w:spacing w:val="-83"/>
        </w:rPr>
      </w:r>
      <w:r>
        <w:rPr/>
        <w:t>部分。</w:t>
      </w:r>
    </w:p>
    <w:p>
      <w:pPr>
        <w:pStyle w:val="Heading4"/>
        <w:spacing w:line="357" w:lineRule="auto" w:before="127"/>
        <w:ind w:left="1553" w:right="0"/>
        <w:jc w:val="left"/>
      </w:pPr>
      <w:r>
        <w:rPr/>
        <w:t>（</w:t>
      </w:r>
      <w:r>
        <w:rPr>
          <w:rFonts w:ascii="Times New Roman" w:hAnsi="Times New Roman" w:cs="Times New Roman" w:eastAsia="Times New Roman" w:hint="default"/>
        </w:rPr>
        <w:t>3</w:t>
      </w:r>
      <w:r>
        <w:rPr/>
        <w:t>）金融资产转移的确认依据和计量方法 </w:t>
      </w:r>
      <w:r>
        <w:rPr>
          <w:spacing w:val="-1"/>
        </w:rPr>
        <w:t>本公司已将金融资产所有权上几乎所有的风险和报酬转移给了转入方的，终止确认该金融资产；保留</w:t>
      </w:r>
    </w:p>
    <w:p>
      <w:pPr>
        <w:pStyle w:val="Heading4"/>
        <w:spacing w:line="209" w:lineRule="exact"/>
        <w:ind w:right="0"/>
        <w:jc w:val="left"/>
      </w:pPr>
      <w:r>
        <w:rPr/>
        <w:t>了金融资产所有权上几乎所有的风险和报酬的，继续确认所转移的金融资产，并将收到的对价确认为一项</w:t>
      </w:r>
    </w:p>
    <w:p>
      <w:pPr>
        <w:pStyle w:val="Heading4"/>
        <w:spacing w:line="264" w:lineRule="auto" w:before="37"/>
        <w:ind w:right="1024"/>
        <w:jc w:val="left"/>
      </w:pPr>
      <w:r>
        <w:rPr>
          <w:spacing w:val="-3"/>
        </w:rPr>
        <w:t>金融负债。本公司既没有转移也没有保留金融资产所有权上几乎所有的风险和报酬的，分别下列情况处理：</w:t>
      </w:r>
      <w:r>
        <w:rPr>
          <w:spacing w:val="-92"/>
        </w:rPr>
        <w:t> </w:t>
      </w:r>
      <w:r>
        <w:rPr>
          <w:spacing w:val="-92"/>
        </w:rPr>
      </w:r>
      <w:r>
        <w:rPr>
          <w:rFonts w:ascii="Times New Roman" w:hAnsi="Times New Roman" w:cs="Times New Roman" w:eastAsia="Times New Roman" w:hint="default"/>
        </w:rPr>
        <w:t>1</w:t>
      </w:r>
      <w:r>
        <w:rPr/>
        <w:t>）</w:t>
      </w:r>
      <w:r>
        <w:rPr>
          <w:spacing w:val="-16"/>
        </w:rPr>
        <w:t> </w:t>
      </w:r>
      <w:r>
        <w:rPr/>
        <w:t>放弃了对该金融资产控制的，终止确认该金融资产；</w:t>
      </w:r>
      <w:r>
        <w:rPr>
          <w:rFonts w:ascii="Times New Roman" w:hAnsi="Times New Roman" w:cs="Times New Roman" w:eastAsia="Times New Roman" w:hint="default"/>
        </w:rPr>
        <w:t>2</w:t>
      </w:r>
      <w:r>
        <w:rPr/>
        <w:t>）</w:t>
      </w:r>
      <w:r>
        <w:rPr>
          <w:spacing w:val="-16"/>
        </w:rPr>
        <w:t> </w:t>
      </w:r>
      <w:r>
        <w:rPr/>
        <w:t>未放弃对该金融资产控制的，按照继续涉入</w:t>
      </w:r>
      <w:r>
        <w:rPr>
          <w:spacing w:val="-99"/>
        </w:rPr>
        <w:t> </w:t>
      </w:r>
      <w:r>
        <w:rPr>
          <w:spacing w:val="-99"/>
        </w:rPr>
      </w:r>
      <w:r>
        <w:rPr/>
        <w:t>所转移金融资产的程度确认有关金融资产，并相应确认有关负债。</w:t>
      </w:r>
    </w:p>
    <w:p>
      <w:pPr>
        <w:pStyle w:val="Heading4"/>
        <w:spacing w:line="261" w:lineRule="auto" w:before="136"/>
        <w:ind w:right="1130" w:firstLine="420"/>
        <w:jc w:val="both"/>
      </w:pPr>
      <w:r>
        <w:rPr/>
        <w:t>金融资产整体转移满足终止确认条件的，将下列两项金额的差额计入当期损益：</w:t>
      </w:r>
      <w:r>
        <w:rPr>
          <w:rFonts w:ascii="Times New Roman" w:hAnsi="Times New Roman" w:cs="Times New Roman" w:eastAsia="Times New Roman" w:hint="default"/>
        </w:rPr>
        <w:t>1</w:t>
      </w:r>
      <w:r>
        <w:rPr/>
        <w:t>）</w:t>
      </w:r>
      <w:r>
        <w:rPr>
          <w:spacing w:val="-21"/>
        </w:rPr>
        <w:t> </w:t>
      </w:r>
      <w:r>
        <w:rPr/>
        <w:t>所转移金融资产</w:t>
      </w:r>
      <w:r>
        <w:rPr/>
        <w:t> 的账面价值；</w:t>
      </w:r>
      <w:r>
        <w:rPr>
          <w:rFonts w:ascii="Times New Roman" w:hAnsi="Times New Roman" w:cs="Times New Roman" w:eastAsia="Times New Roman" w:hint="default"/>
        </w:rPr>
        <w:t>2</w:t>
      </w:r>
      <w:r>
        <w:rPr/>
        <w:t>）</w:t>
      </w:r>
      <w:r>
        <w:rPr>
          <w:spacing w:val="-23"/>
        </w:rPr>
        <w:t> </w:t>
      </w:r>
      <w:r>
        <w:rPr/>
        <w:t>因转移而收到的对价，与原直接计入其他综合收益的公允价值变动累计额之和。金融资</w:t>
      </w:r>
      <w:r>
        <w:rPr/>
        <w:t> </w:t>
      </w:r>
      <w:r>
        <w:rPr>
          <w:spacing w:val="-1"/>
        </w:rPr>
        <w:t>产部分转移满足终止确认条件的，将所转移金融资产整体的账面价值，在终止确认部分和未终止确认部分</w:t>
      </w:r>
      <w:r>
        <w:rPr>
          <w:spacing w:val="-81"/>
        </w:rPr>
        <w:t> </w:t>
      </w:r>
      <w:r>
        <w:rPr>
          <w:spacing w:val="-81"/>
        </w:rPr>
      </w:r>
      <w:r>
        <w:rPr/>
        <w:t>之间，按照各自的相对公允价值进行分摊，并将下列两项金额的差额计入当期损益：</w:t>
      </w:r>
      <w:r>
        <w:rPr>
          <w:rFonts w:ascii="Times New Roman" w:hAnsi="Times New Roman" w:cs="Times New Roman" w:eastAsia="Times New Roman" w:hint="default"/>
        </w:rPr>
        <w:t>1</w:t>
      </w:r>
      <w:r>
        <w:rPr/>
        <w:t>）</w:t>
      </w:r>
      <w:r>
        <w:rPr>
          <w:spacing w:val="-22"/>
        </w:rPr>
        <w:t> </w:t>
      </w:r>
      <w:r>
        <w:rPr/>
        <w:t>终止确认部分的</w:t>
      </w:r>
      <w:r>
        <w:rPr/>
        <w:t> 账面价值；</w:t>
      </w:r>
      <w:r>
        <w:rPr>
          <w:rFonts w:ascii="Times New Roman" w:hAnsi="Times New Roman" w:cs="Times New Roman" w:eastAsia="Times New Roman" w:hint="default"/>
        </w:rPr>
        <w:t>2</w:t>
      </w:r>
      <w:r>
        <w:rPr/>
        <w:t>）</w:t>
      </w:r>
      <w:r>
        <w:rPr>
          <w:spacing w:val="-22"/>
        </w:rPr>
        <w:t> </w:t>
      </w:r>
      <w:r>
        <w:rPr/>
        <w:t>终止确认部分的对价，与原直接计入其他综合收益的公允价值变动累计额中对应终止确认</w:t>
      </w:r>
      <w:r>
        <w:rPr/>
        <w:t> 部分的金额之和。</w:t>
      </w:r>
    </w:p>
    <w:p>
      <w:pPr>
        <w:pStyle w:val="Heading4"/>
        <w:spacing w:line="357" w:lineRule="auto" w:before="138"/>
        <w:ind w:left="1553" w:right="0"/>
        <w:jc w:val="left"/>
      </w:pPr>
      <w:r>
        <w:rPr/>
        <w:t>（</w:t>
      </w:r>
      <w:r>
        <w:rPr>
          <w:rFonts w:ascii="Times New Roman" w:hAnsi="Times New Roman" w:cs="Times New Roman" w:eastAsia="Times New Roman" w:hint="default"/>
        </w:rPr>
        <w:t>4</w:t>
      </w:r>
      <w:r>
        <w:rPr/>
        <w:t>）主要金融资产和金融负债的公允价值确定方法 </w:t>
      </w:r>
      <w:r>
        <w:rPr>
          <w:spacing w:val="-1"/>
        </w:rPr>
        <w:t>存在活跃市场的金融资产或金融负债，以活跃市场的报价确定其公允价值；不存在活跃市场的金融资</w:t>
      </w:r>
    </w:p>
    <w:p>
      <w:pPr>
        <w:pStyle w:val="Heading4"/>
        <w:spacing w:line="210" w:lineRule="exact"/>
        <w:ind w:right="0"/>
        <w:jc w:val="left"/>
      </w:pPr>
      <w:r>
        <w:rPr/>
        <w:t>产或金融负债，采用估值技术（包括参考熟悉情况并自愿交易的各方最近进行的市场交易中使用的价格、</w:t>
      </w:r>
    </w:p>
    <w:p>
      <w:pPr>
        <w:pStyle w:val="Heading4"/>
        <w:spacing w:line="273" w:lineRule="auto" w:before="37"/>
        <w:ind w:right="1093"/>
        <w:jc w:val="left"/>
      </w:pPr>
      <w:r>
        <w:rPr/>
        <w:t>参照实质上相同的其他金融工具的当前公允价值、现金流量折现法和期权定价模型等）确定其公允价值； 初始取得或源生的金融资产或承担的金融负债，以市场交易价格作为确定其公允价值的基础。</w:t>
      </w:r>
    </w:p>
    <w:p>
      <w:pPr>
        <w:pStyle w:val="Heading4"/>
        <w:spacing w:line="357" w:lineRule="auto" w:before="127"/>
        <w:ind w:left="1553" w:right="0"/>
        <w:jc w:val="left"/>
      </w:pPr>
      <w:r>
        <w:rPr/>
        <w:t>（</w:t>
      </w:r>
      <w:r>
        <w:rPr>
          <w:rFonts w:ascii="Times New Roman" w:hAnsi="Times New Roman" w:cs="Times New Roman" w:eastAsia="Times New Roman" w:hint="default"/>
        </w:rPr>
        <w:t>5</w:t>
      </w:r>
      <w:r>
        <w:rPr/>
        <w:t>）金融资产的减值测试和减值准备计提方法 </w:t>
      </w:r>
      <w:r>
        <w:rPr>
          <w:spacing w:val="3"/>
        </w:rPr>
        <w:t>资产负债表日对以公允价值计量且其变动计入当期损益的金融资产以外的金融资产的账面价值进行</w:t>
      </w:r>
    </w:p>
    <w:p>
      <w:pPr>
        <w:pStyle w:val="Heading4"/>
        <w:spacing w:line="209" w:lineRule="exact"/>
        <w:ind w:right="0"/>
        <w:jc w:val="left"/>
      </w:pPr>
      <w:r>
        <w:rPr/>
        <w:t>检查，如有客观证据表明该金融资产发生减值的，计提减值准备。</w:t>
      </w:r>
    </w:p>
    <w:p>
      <w:pPr>
        <w:pStyle w:val="Heading4"/>
        <w:spacing w:line="273" w:lineRule="auto" w:before="157"/>
        <w:ind w:right="1027" w:firstLine="420"/>
        <w:jc w:val="both"/>
      </w:pPr>
      <w:r>
        <w:rPr/>
        <w:t>对单项金额重大的金融资产单独进行减值测试；对单项金额不重大的金融资产，可以单独进行减值测 </w:t>
      </w:r>
      <w:r>
        <w:rPr>
          <w:spacing w:val="-5"/>
        </w:rPr>
        <w:t>试，或包括在具有类似信用风险特征的金融资产组合中进行减值测试；单独测试未发生减值的金融资产（包</w:t>
      </w:r>
      <w:r>
        <w:rPr>
          <w:spacing w:val="-101"/>
        </w:rPr>
        <w:t> </w:t>
      </w:r>
      <w:r>
        <w:rPr>
          <w:spacing w:val="-101"/>
        </w:rPr>
      </w:r>
      <w:r>
        <w:rPr>
          <w:spacing w:val="-3"/>
        </w:rPr>
        <w:t>括单项金额重大和不重大的金融资产），包括在具有类似信用风险特征的金融资产组合中再进行减值测试。</w:t>
      </w:r>
    </w:p>
    <w:p>
      <w:pPr>
        <w:pStyle w:val="Heading4"/>
        <w:spacing w:line="273" w:lineRule="auto" w:before="127"/>
        <w:ind w:left="1134" w:right="1110" w:firstLine="420"/>
        <w:jc w:val="both"/>
      </w:pPr>
      <w:r>
        <w:rPr>
          <w:spacing w:val="-1"/>
        </w:rPr>
        <w:t>按摊余成本计量的金融资产，期末有客观证据表明其发生了减值的，根据其账面价值与预计未来现金</w:t>
      </w:r>
      <w:r>
        <w:rPr/>
        <w:t> 流量现值之间的差额确认减值损失。在活跃市场中没有报价且其公允价值不能可靠计量的权益工具投资， </w:t>
      </w:r>
      <w:r>
        <w:rPr>
          <w:spacing w:val="-1"/>
        </w:rPr>
        <w:t>或与该权益工具挂钩并须通过交付该权益工具结算的衍生金融资产发生减值时，将该权益工具投资或衍生</w:t>
      </w:r>
      <w:r>
        <w:rPr>
          <w:spacing w:val="-81"/>
        </w:rPr>
        <w:t> </w:t>
      </w:r>
      <w:r>
        <w:rPr>
          <w:spacing w:val="-81"/>
        </w:rPr>
      </w:r>
      <w:r>
        <w:rPr/>
        <w:t>金融资产的账面价值，与按照类似金融资产当时市场收益率对未来现金流量折现确定的现值之间的差额， 确认为减值损失。</w:t>
      </w:r>
    </w:p>
    <w:p>
      <w:pPr>
        <w:pStyle w:val="Heading4"/>
        <w:spacing w:line="273" w:lineRule="auto" w:before="127"/>
        <w:ind w:left="1134" w:right="1131" w:firstLine="420"/>
        <w:jc w:val="both"/>
      </w:pPr>
      <w:r>
        <w:rPr>
          <w:spacing w:val="-1"/>
        </w:rPr>
        <w:t>可供出售金融资产的公允价值发生较大幅度下降，或在综合考虑各种相关因素后，预期这种下降趋势</w:t>
      </w:r>
      <w:r>
        <w:rPr/>
        <w:t> </w:t>
      </w:r>
      <w:r>
        <w:rPr>
          <w:spacing w:val="-1"/>
        </w:rPr>
        <w:t>属于非暂时性的，确认其减值损失，并将原直接计入其他综合收益的公允价值累计损失一并转出计入减值</w:t>
      </w:r>
      <w:r>
        <w:rPr>
          <w:spacing w:val="-81"/>
        </w:rPr>
        <w:t> </w:t>
      </w:r>
      <w:r>
        <w:rPr>
          <w:spacing w:val="-81"/>
        </w:rPr>
      </w:r>
      <w:r>
        <w:rPr/>
        <w:t>损失。</w:t>
      </w:r>
    </w:p>
    <w:p>
      <w:pPr>
        <w:pStyle w:val="Heading4"/>
        <w:spacing w:line="264" w:lineRule="auto" w:before="127"/>
        <w:ind w:left="1134" w:right="0" w:firstLine="336"/>
        <w:jc w:val="left"/>
      </w:pPr>
      <w:r>
        <w:rPr>
          <w:spacing w:val="-4"/>
        </w:rPr>
        <w:t>（</w:t>
      </w:r>
      <w:r>
        <w:rPr>
          <w:rFonts w:ascii="Times New Roman" w:hAnsi="Times New Roman" w:cs="Times New Roman" w:eastAsia="Times New Roman" w:hint="default"/>
          <w:spacing w:val="-4"/>
        </w:rPr>
        <w:t>6</w:t>
      </w:r>
      <w:r>
        <w:rPr>
          <w:spacing w:val="-4"/>
        </w:rPr>
        <w:t>）本期将尚未到期的持有至到期投资重分类为可供出售金融资产，持有意图或能力发生改变的依据：</w:t>
      </w:r>
      <w:r>
        <w:rPr/>
        <w:t> 相对于本公司全部持有至到期投资在出售或重分类前的总额较大，在处置或重分类后应立即将其剩余的持 有至到期投资重分类为可供出售金融资产。</w:t>
      </w:r>
    </w:p>
    <w:p>
      <w:pPr>
        <w:spacing w:after="0" w:line="264"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1、应收款项" w:id="177"/>
      <w:bookmarkEnd w:id="177"/>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单项金额重大并单独计提坏账准备的应收款项" w:id="178"/>
      <w:bookmarkEnd w:id="178"/>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万元以上的应收款项确认为单 项金额重大的应收款项。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按信用风险特征组合计提坏账准备的应收款项" w:id="179"/>
      <w:bookmarkEnd w:id="179"/>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按账龄分析法计提坏账准备的应收账款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134" w:right="0"/>
        <w:jc w:val="left"/>
      </w:pPr>
      <w:r>
        <w:rPr/>
        <w:t>组合中，采用账龄分析法计提坏账准备的：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80"/>
      <w:bookmarkEnd w:id="180"/>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pStyle w:val="BodyText"/>
        <w:spacing w:line="240" w:lineRule="auto" w:before="44"/>
        <w:ind w:left="0" w:right="1139"/>
        <w:jc w:val="right"/>
      </w:pPr>
      <w:r>
        <w:rPr/>
        <w:pict>
          <v:shape style="position:absolute;margin-left:56.459999pt;margin-top:-31.988277pt;width:479.2pt;height:87.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个别认定。</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3"/>
        <w:spacing w:line="240" w:lineRule="auto" w:before="35"/>
        <w:ind w:left="1134" w:right="0"/>
        <w:jc w:val="left"/>
        <w:rPr>
          <w:b w:val="0"/>
          <w:bCs w:val="0"/>
        </w:rPr>
      </w:pPr>
      <w:bookmarkStart w:name="12、存货" w:id="181"/>
      <w:bookmarkEnd w:id="181"/>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Heading4"/>
        <w:spacing w:line="357" w:lineRule="auto" w:before="2"/>
        <w:ind w:left="1554" w:right="0"/>
        <w:jc w:val="left"/>
      </w:pPr>
      <w:r>
        <w:rPr/>
        <w:t>（</w:t>
      </w:r>
      <w:r>
        <w:rPr>
          <w:rFonts w:ascii="Times New Roman" w:hAnsi="Times New Roman" w:cs="Times New Roman" w:eastAsia="Times New Roman" w:hint="default"/>
        </w:rPr>
        <w:t>1</w:t>
      </w:r>
      <w:r>
        <w:rPr/>
        <w:t>）存货的分类 </w:t>
      </w:r>
      <w:r>
        <w:rPr>
          <w:spacing w:val="-1"/>
        </w:rPr>
        <w:t>存货包括在日常活动中持有以备出售的产成品或商品、处在生产过程中的在产品、在生产过程或提供</w:t>
      </w:r>
    </w:p>
    <w:p>
      <w:pPr>
        <w:pStyle w:val="Heading4"/>
        <w:spacing w:line="209" w:lineRule="exact"/>
        <w:ind w:left="1134" w:right="0"/>
        <w:jc w:val="left"/>
      </w:pPr>
      <w:r>
        <w:rPr/>
        <w:t>劳务过程中耗用的材料和物料等。</w:t>
      </w:r>
    </w:p>
    <w:p>
      <w:pPr>
        <w:spacing w:after="0" w:line="209" w:lineRule="exact"/>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357" w:lineRule="auto" w:before="35"/>
        <w:ind w:left="1553" w:right="7393"/>
        <w:jc w:val="left"/>
      </w:pPr>
      <w:r>
        <w:rPr/>
        <w:t>（</w:t>
      </w:r>
      <w:r>
        <w:rPr>
          <w:rFonts w:ascii="Times New Roman" w:hAnsi="Times New Roman" w:cs="Times New Roman" w:eastAsia="Times New Roman" w:hint="default"/>
        </w:rPr>
        <w:t>2</w:t>
      </w:r>
      <w:r>
        <w:rPr/>
        <w:t>）发出存货的计价方法 发出存货采用移动加权平均法。</w:t>
      </w:r>
    </w:p>
    <w:p>
      <w:pPr>
        <w:pStyle w:val="Heading4"/>
        <w:spacing w:line="357" w:lineRule="auto" w:before="54"/>
        <w:ind w:left="1553" w:right="0"/>
        <w:jc w:val="left"/>
      </w:pPr>
      <w:r>
        <w:rPr/>
        <w:t>（</w:t>
      </w:r>
      <w:r>
        <w:rPr>
          <w:rFonts w:ascii="Times New Roman" w:hAnsi="Times New Roman" w:cs="Times New Roman" w:eastAsia="Times New Roman" w:hint="default"/>
        </w:rPr>
        <w:t>3</w:t>
      </w:r>
      <w:r>
        <w:rPr/>
        <w:t>）存货可变现净值的确定依据及存货跌价准备的计提方法 </w:t>
      </w:r>
      <w:r>
        <w:rPr>
          <w:spacing w:val="-1"/>
        </w:rPr>
        <w:t>资产负债表日，存货采用成本与可变现净值孰低计量，按照单个存货成本高于可变现净值的差额计提</w:t>
      </w:r>
    </w:p>
    <w:p>
      <w:pPr>
        <w:pStyle w:val="Heading4"/>
        <w:spacing w:line="209" w:lineRule="exact"/>
        <w:ind w:right="0"/>
        <w:jc w:val="left"/>
      </w:pPr>
      <w:r>
        <w:rPr/>
        <w:t>存货跌价准备。直接用于出售的存货，在正常生产经营过程中以该存货的估计售价减去估计的销售费用和</w:t>
      </w:r>
    </w:p>
    <w:p>
      <w:pPr>
        <w:pStyle w:val="Heading4"/>
        <w:spacing w:line="273" w:lineRule="auto" w:before="37"/>
        <w:ind w:right="1024"/>
        <w:jc w:val="left"/>
      </w:pPr>
      <w:r>
        <w:rPr/>
        <w:t>相关税费后的金额确定其可变现净值；需要经过加工的存货，在正常生产经营过程中以所生产的产成品的 估计售价减去至完工时估计将要发生的成本、估计的销售费用和相关税费后的金额确定其可变现净值；资 </w:t>
      </w:r>
      <w:r>
        <w:rPr>
          <w:spacing w:val="-3"/>
        </w:rPr>
        <w:t>产负债表日，同一项存货中一部分有合同价格约定、其他部分不存在合同价格的，分别确定其可变现净值，</w:t>
      </w:r>
      <w:r>
        <w:rPr>
          <w:spacing w:val="-90"/>
        </w:rPr>
        <w:t> </w:t>
      </w:r>
      <w:r>
        <w:rPr>
          <w:spacing w:val="-90"/>
        </w:rPr>
      </w:r>
      <w:r>
        <w:rPr/>
        <w:t>并与其对应的成本进行比较，分别确定存货跌价准备的计提或转回的金额。</w:t>
      </w:r>
    </w:p>
    <w:p>
      <w:pPr>
        <w:pStyle w:val="Heading4"/>
        <w:spacing w:line="357" w:lineRule="auto" w:before="127"/>
        <w:ind w:left="1553" w:right="7393"/>
        <w:jc w:val="left"/>
      </w:pPr>
      <w:r>
        <w:rPr/>
        <w:t>（</w:t>
      </w:r>
      <w:r>
        <w:rPr>
          <w:rFonts w:ascii="Times New Roman" w:hAnsi="Times New Roman" w:cs="Times New Roman" w:eastAsia="Times New Roman" w:hint="default"/>
        </w:rPr>
        <w:t>4</w:t>
      </w:r>
      <w:r>
        <w:rPr/>
        <w:t>）存货的盘存制度 存货的盘存制度为永续盘存制。</w:t>
      </w:r>
    </w:p>
    <w:p>
      <w:pPr>
        <w:pStyle w:val="Heading4"/>
        <w:spacing w:line="357" w:lineRule="auto" w:before="54"/>
        <w:ind w:left="1553" w:right="6868"/>
        <w:jc w:val="left"/>
      </w:pPr>
      <w:r>
        <w:rPr/>
        <w:t>（</w:t>
      </w:r>
      <w:r>
        <w:rPr>
          <w:rFonts w:ascii="Times New Roman" w:hAnsi="Times New Roman" w:cs="Times New Roman" w:eastAsia="Times New Roman" w:hint="default"/>
        </w:rPr>
        <w:t>5</w:t>
      </w:r>
      <w:r>
        <w:rPr/>
        <w:t>）低值易耗品和包装物的摊销方法 </w:t>
      </w:r>
      <w:r>
        <w:rPr>
          <w:rFonts w:ascii="Times New Roman" w:hAnsi="Times New Roman" w:cs="Times New Roman" w:eastAsia="Times New Roman" w:hint="default"/>
        </w:rPr>
        <w:t>1</w:t>
      </w:r>
      <w:r>
        <w:rPr/>
        <w:t>）</w:t>
      </w:r>
      <w:r>
        <w:rPr>
          <w:spacing w:val="-21"/>
        </w:rPr>
        <w:t> </w:t>
      </w:r>
      <w:r>
        <w:rPr/>
        <w:t>低值易耗品</w:t>
      </w:r>
      <w:r>
        <w:rPr/>
        <w:t> 按照一次转销法进行摊销。</w:t>
      </w:r>
    </w:p>
    <w:p>
      <w:pPr>
        <w:pStyle w:val="Heading4"/>
        <w:spacing w:line="357" w:lineRule="auto" w:before="54"/>
        <w:ind w:left="1553" w:right="7813"/>
        <w:jc w:val="left"/>
      </w:pPr>
      <w:r>
        <w:rPr>
          <w:rFonts w:ascii="Times New Roman" w:hAnsi="Times New Roman" w:cs="Times New Roman" w:eastAsia="Times New Roman" w:hint="default"/>
        </w:rPr>
        <w:t>2</w:t>
      </w:r>
      <w:r>
        <w:rPr/>
        <w:t>）</w:t>
      </w:r>
      <w:r>
        <w:rPr>
          <w:spacing w:val="-21"/>
        </w:rPr>
        <w:t> </w:t>
      </w:r>
      <w:r>
        <w:rPr/>
        <w:t>包装物</w:t>
      </w:r>
      <w:r>
        <w:rPr/>
        <w:t> 按照一次转销法进行摊销。</w:t>
      </w:r>
    </w:p>
    <w:p>
      <w:pPr>
        <w:spacing w:line="240" w:lineRule="auto" w:before="13"/>
        <w:rPr>
          <w:rFonts w:ascii="宋体" w:hAnsi="宋体" w:cs="宋体" w:eastAsia="宋体" w:hint="default"/>
          <w:sz w:val="17"/>
          <w:szCs w:val="17"/>
        </w:rPr>
      </w:pPr>
    </w:p>
    <w:p>
      <w:pPr>
        <w:pStyle w:val="Heading3"/>
        <w:spacing w:line="240" w:lineRule="auto"/>
        <w:ind w:right="0"/>
        <w:jc w:val="left"/>
        <w:rPr>
          <w:b w:val="0"/>
          <w:bCs w:val="0"/>
        </w:rPr>
      </w:pPr>
      <w:bookmarkStart w:name="13、持有待售资产" w:id="182"/>
      <w:bookmarkEnd w:id="182"/>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24"/>
          <w:szCs w:val="24"/>
        </w:rPr>
      </w:pPr>
    </w:p>
    <w:p>
      <w:pPr>
        <w:pStyle w:val="Heading4"/>
        <w:spacing w:line="264" w:lineRule="auto"/>
        <w:ind w:right="1024" w:firstLine="420"/>
        <w:jc w:val="left"/>
      </w:pPr>
      <w:r>
        <w:rPr/>
        <w:t>本公司将同时满足下列条件的企业组成部分（或非流动资产）划分为持有待售：</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根据类似交易中 出售此类资产或处置组的惯例，在当前状况下即可立即出售；</w:t>
      </w:r>
      <w:r>
        <w:rPr>
          <w:rFonts w:ascii="Times New Roman" w:hAnsi="Times New Roman" w:cs="Times New Roman" w:eastAsia="Times New Roman" w:hint="default"/>
        </w:rPr>
        <w:t>(2) </w:t>
      </w:r>
      <w:r>
        <w:rPr/>
        <w:t>出售极可能发生，已经就一项出售计划</w:t>
      </w:r>
      <w:r>
        <w:rPr>
          <w:spacing w:val="-66"/>
        </w:rPr>
        <w:t> </w:t>
      </w:r>
      <w:r>
        <w:rPr>
          <w:spacing w:val="-66"/>
        </w:rPr>
      </w:r>
      <w:r>
        <w:rPr>
          <w:spacing w:val="-3"/>
        </w:rPr>
        <w:t>作出决议且获得确定的购买承诺（确定的购买承诺，是指企业与其他方签订的具有法律约束力的购买协议，</w:t>
      </w:r>
      <w:r>
        <w:rPr>
          <w:spacing w:val="-92"/>
        </w:rPr>
        <w:t> </w:t>
      </w:r>
      <w:r>
        <w:rPr>
          <w:spacing w:val="-92"/>
        </w:rPr>
      </w:r>
      <w:r>
        <w:rPr/>
        <w:t>该协议包含交易价格、时间和足够严厉的违约惩罚等重要条款，使协议出现重大调整或者撤销的可能性极</w:t>
      </w:r>
      <w:r>
        <w:rPr/>
        <w:t> 小。），预计出售将在一年内完成。已经获得按照有关规定需得到相关权力机构或者监管部门的批准。</w:t>
      </w:r>
    </w:p>
    <w:p>
      <w:pPr>
        <w:pStyle w:val="Heading4"/>
        <w:spacing w:line="273" w:lineRule="auto" w:before="136"/>
        <w:ind w:right="1130" w:firstLine="420"/>
        <w:jc w:val="both"/>
      </w:pPr>
      <w:r>
        <w:rPr>
          <w:spacing w:val="-1"/>
        </w:rPr>
        <w:t>本公司将持有待售的预计净残值调整为反映其公允价值减去出售费用后的净额（但不得超过该项持有</w:t>
      </w:r>
      <w:r>
        <w:rPr/>
        <w:t> </w:t>
      </w:r>
      <w:r>
        <w:rPr>
          <w:spacing w:val="-1"/>
        </w:rPr>
        <w:t>待售的原账面价值），原账面价值高于调整后预计净残值的差额，作为资产减值损失计入当期损益，同时</w:t>
      </w:r>
      <w:r>
        <w:rPr>
          <w:spacing w:val="-85"/>
        </w:rPr>
        <w:t> </w:t>
      </w:r>
      <w:r>
        <w:rPr>
          <w:spacing w:val="-85"/>
        </w:rPr>
      </w:r>
      <w:r>
        <w:rPr>
          <w:spacing w:val="-1"/>
        </w:rPr>
        <w:t>计提持有待售资产减值准备。对于持有待售的处置组确认的资产减值损失金额，应当先抵减处置组中商誉</w:t>
      </w:r>
      <w:r>
        <w:rPr>
          <w:spacing w:val="-81"/>
        </w:rPr>
        <w:t> </w:t>
      </w:r>
      <w:r>
        <w:rPr>
          <w:spacing w:val="-81"/>
        </w:rPr>
      </w:r>
      <w:r>
        <w:rPr>
          <w:spacing w:val="-1"/>
        </w:rPr>
        <w:t>的账面价值，再根据处置组中适用本准则计量规定的各项非流动资产账面价值所占比重，按比例抵减其账</w:t>
      </w:r>
      <w:r>
        <w:rPr>
          <w:spacing w:val="-81"/>
        </w:rPr>
        <w:t> </w:t>
      </w:r>
      <w:r>
        <w:rPr>
          <w:spacing w:val="-81"/>
        </w:rPr>
      </w:r>
      <w:r>
        <w:rPr/>
        <w:t>面价值。</w:t>
      </w:r>
    </w:p>
    <w:p>
      <w:pPr>
        <w:pStyle w:val="Heading4"/>
        <w:spacing w:line="273" w:lineRule="auto" w:before="127"/>
        <w:ind w:right="1130" w:firstLine="420"/>
        <w:jc w:val="both"/>
      </w:pPr>
      <w:r>
        <w:rPr>
          <w:spacing w:val="-1"/>
        </w:rPr>
        <w:t>后续资产负债表日持有待售的非流动资产公允价值减去出售费用后的净额增加的，以前减记的金额应</w:t>
      </w:r>
      <w:r>
        <w:rPr/>
        <w:t> </w:t>
      </w:r>
      <w:r>
        <w:rPr>
          <w:spacing w:val="-1"/>
        </w:rPr>
        <w:t>当予以恢复，并在划分为持有待售类别后确认的资产减值损失金额内转回，转回金额计入当期损益。划分</w:t>
      </w:r>
      <w:r>
        <w:rPr>
          <w:spacing w:val="-83"/>
        </w:rPr>
        <w:t> </w:t>
      </w:r>
      <w:r>
        <w:rPr>
          <w:spacing w:val="-83"/>
        </w:rPr>
      </w:r>
      <w:r>
        <w:rPr>
          <w:spacing w:val="-1"/>
        </w:rPr>
        <w:t>为持有待售类别前确认的资产减值损失不得转回。后续资产负债表日持有待售的处置组公允价值减去出售</w:t>
      </w:r>
      <w:r>
        <w:rPr>
          <w:spacing w:val="-81"/>
        </w:rPr>
        <w:t> </w:t>
      </w:r>
      <w:r>
        <w:rPr>
          <w:spacing w:val="-81"/>
        </w:rPr>
      </w:r>
      <w:r>
        <w:rPr>
          <w:spacing w:val="-1"/>
        </w:rPr>
        <w:t>费用后的净额增加的，以前减记的金额应当予以恢复，并在划分为持有待售类别后适用本准则计量规定的</w:t>
      </w:r>
      <w:r>
        <w:rPr>
          <w:spacing w:val="-81"/>
        </w:rPr>
        <w:t> </w:t>
      </w:r>
      <w:r>
        <w:rPr>
          <w:spacing w:val="-81"/>
        </w:rPr>
      </w:r>
      <w:r>
        <w:rPr>
          <w:spacing w:val="-1"/>
        </w:rPr>
        <w:t>非流动资产确认的资产减值损失金额内转回，转回金额计入当期损益。已抵减的商誉账面价值，以及适用</w:t>
      </w:r>
      <w:r>
        <w:rPr>
          <w:spacing w:val="-83"/>
        </w:rPr>
        <w:t> </w:t>
      </w:r>
      <w:r>
        <w:rPr>
          <w:spacing w:val="-83"/>
        </w:rPr>
      </w:r>
      <w:r>
        <w:rPr>
          <w:spacing w:val="-1"/>
        </w:rPr>
        <w:t>本准则计量规定的非流动资产在划分为持有待售类别前确认的资产减值损失不得转回。持有待售的处置组</w:t>
      </w:r>
      <w:r>
        <w:rPr>
          <w:spacing w:val="-81"/>
        </w:rPr>
        <w:t> </w:t>
      </w:r>
      <w:r>
        <w:rPr>
          <w:spacing w:val="-81"/>
        </w:rPr>
      </w:r>
      <w:r>
        <w:rPr/>
        <w:t>确认的资产减值损失后续转回金额，</w:t>
      </w:r>
      <w:r>
        <w:rPr>
          <w:spacing w:val="49"/>
        </w:rPr>
        <w:t> </w:t>
      </w:r>
      <w:r>
        <w:rPr/>
        <w:t>应当根据处置组中除商誉外适用本准则计量规定的各项非流动资产</w:t>
      </w:r>
      <w:r>
        <w:rPr>
          <w:spacing w:val="-88"/>
        </w:rPr>
        <w:t> </w:t>
      </w:r>
      <w:r>
        <w:rPr>
          <w:spacing w:val="-88"/>
        </w:rPr>
      </w:r>
      <w:r>
        <w:rPr/>
        <w:t>账面价值所占比重，按比例增加其账面价值。</w:t>
      </w:r>
    </w:p>
    <w:p>
      <w:pPr>
        <w:pStyle w:val="Heading4"/>
        <w:spacing w:line="273" w:lineRule="auto" w:before="127"/>
        <w:ind w:left="1134" w:right="1131" w:firstLine="420"/>
        <w:jc w:val="both"/>
      </w:pPr>
      <w:r>
        <w:rPr>
          <w:spacing w:val="-1"/>
        </w:rPr>
        <w:t>企业因出售对子公司的投资等原因导致其丧失对子公司控制权的，无论出售后企业是否保留部分权益</w:t>
      </w:r>
      <w:r>
        <w:rPr/>
        <w:t> </w:t>
      </w:r>
      <w:r>
        <w:rPr>
          <w:spacing w:val="-1"/>
        </w:rPr>
        <w:t>性投资，应当在拟出售的对子公司投资满足持有待售类别划分条件时，在母公司个别财务报表中将对子公</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pPr>
      <w:r>
        <w:rPr/>
        <w:t>司投资整体划分为持有待售类别，在合并财务报表中将子公司所有资产和负债划分为持有待售类别。</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4、长期股权投资" w:id="183"/>
      <w:bookmarkEnd w:id="183"/>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54" w:right="0"/>
        <w:jc w:val="left"/>
      </w:pPr>
      <w:r>
        <w:rPr/>
        <w:t>（</w:t>
      </w:r>
      <w:r>
        <w:rPr>
          <w:rFonts w:ascii="Times New Roman" w:hAnsi="Times New Roman" w:cs="Times New Roman" w:eastAsia="Times New Roman" w:hint="default"/>
        </w:rPr>
        <w:t>1</w:t>
      </w:r>
      <w:r>
        <w:rPr/>
        <w:t>）投资成本的确定</w:t>
      </w:r>
    </w:p>
    <w:p>
      <w:pPr>
        <w:pStyle w:val="Heading4"/>
        <w:spacing w:line="266" w:lineRule="auto" w:before="141"/>
        <w:ind w:left="1134" w:right="1131" w:firstLine="420"/>
        <w:jc w:val="both"/>
      </w:pPr>
      <w:r>
        <w:rPr>
          <w:rFonts w:ascii="Times New Roman" w:hAnsi="Times New Roman" w:cs="Times New Roman" w:eastAsia="Times New Roman" w:hint="default"/>
        </w:rPr>
        <w:t>1</w:t>
      </w:r>
      <w:r>
        <w:rPr/>
        <w:t>）</w:t>
      </w:r>
      <w:r>
        <w:rPr>
          <w:spacing w:val="-22"/>
        </w:rPr>
        <w:t> </w:t>
      </w:r>
      <w:r>
        <w:rPr/>
        <w:t>同一控制下的企业合并形成的，合并方以支付现金、转让非现金资产、承担债务或发行权益性证</w:t>
      </w:r>
      <w:r>
        <w:rPr/>
        <w:t> </w:t>
      </w:r>
      <w:r>
        <w:rPr>
          <w:spacing w:val="-1"/>
        </w:rPr>
        <w:t>券作为合并对价的，在合并日按照被合并方所有者权益在最终控制方合并财务报表中的账面价值的份额作</w:t>
      </w:r>
      <w:r>
        <w:rPr>
          <w:spacing w:val="-81"/>
        </w:rPr>
        <w:t> </w:t>
      </w:r>
      <w:r>
        <w:rPr>
          <w:spacing w:val="-81"/>
        </w:rPr>
      </w:r>
      <w:r>
        <w:rPr>
          <w:spacing w:val="-1"/>
        </w:rPr>
        <w:t>为其初始投资成本。长期股权投资初始投资成本与支付的合并对价的账面价值或发行股份的面值总额之间</w:t>
      </w:r>
      <w:r>
        <w:rPr>
          <w:spacing w:val="-81"/>
        </w:rPr>
        <w:t> </w:t>
      </w:r>
      <w:r>
        <w:rPr>
          <w:spacing w:val="-81"/>
        </w:rPr>
      </w:r>
      <w:r>
        <w:rPr/>
        <w:t>的差额调整资本公积</w:t>
      </w:r>
      <w:r>
        <w:rPr>
          <w:rFonts w:ascii="Times New Roman" w:hAnsi="Times New Roman" w:cs="Times New Roman" w:eastAsia="Times New Roman" w:hint="default"/>
        </w:rPr>
        <w:t>(</w:t>
      </w:r>
      <w:r>
        <w:rPr/>
        <w:t>资本溢价或股本溢价</w:t>
      </w:r>
      <w:r>
        <w:rPr>
          <w:rFonts w:ascii="Times New Roman" w:hAnsi="Times New Roman" w:cs="Times New Roman" w:eastAsia="Times New Roman" w:hint="default"/>
        </w:rPr>
        <w:t>)</w:t>
      </w:r>
      <w:r>
        <w:rPr/>
        <w:t>；资本公积不足冲减的，调整留存收益。</w:t>
      </w:r>
    </w:p>
    <w:p>
      <w:pPr>
        <w:pStyle w:val="Heading4"/>
        <w:spacing w:line="273" w:lineRule="auto" w:before="115"/>
        <w:ind w:right="1132" w:firstLine="420"/>
        <w:jc w:val="both"/>
      </w:pPr>
      <w:r>
        <w:rPr>
          <w:spacing w:val="-1"/>
        </w:rPr>
        <w:t>分步实现同一控制下企业合并的，应当以持股比例计算的合并日应享有被合并方账面所有者权益份额</w:t>
      </w:r>
      <w:r>
        <w:rPr/>
        <w:t> </w:t>
      </w:r>
      <w:r>
        <w:rPr>
          <w:spacing w:val="-1"/>
        </w:rPr>
        <w:t>作为该项投资的初始投资成本。初始投资成本与其原长期股权投资账面价值加上合并日取得进一步股份新</w:t>
      </w:r>
      <w:r>
        <w:rPr>
          <w:spacing w:val="-81"/>
        </w:rPr>
        <w:t> </w:t>
      </w:r>
      <w:r>
        <w:rPr>
          <w:spacing w:val="-81"/>
        </w:rPr>
      </w:r>
      <w:r>
        <w:rPr>
          <w:spacing w:val="-1"/>
        </w:rPr>
        <w:t>支付对价的账面价值之和的差额，调整资本公积（资本溢价或股本溢价），资本公积不足冲减的，冲减留</w:t>
      </w:r>
      <w:r>
        <w:rPr>
          <w:spacing w:val="-83"/>
        </w:rPr>
        <w:t> </w:t>
      </w:r>
      <w:r>
        <w:rPr>
          <w:spacing w:val="-83"/>
        </w:rPr>
      </w:r>
      <w:r>
        <w:rPr/>
        <w:t>存收益。</w:t>
      </w:r>
    </w:p>
    <w:p>
      <w:pPr>
        <w:pStyle w:val="Heading4"/>
        <w:spacing w:line="240" w:lineRule="auto" w:before="127"/>
        <w:ind w:left="1554" w:right="0"/>
        <w:jc w:val="left"/>
      </w:pPr>
      <w:r>
        <w:rPr>
          <w:rFonts w:ascii="Times New Roman" w:hAnsi="Times New Roman" w:cs="Times New Roman" w:eastAsia="Times New Roman" w:hint="default"/>
        </w:rPr>
        <w:t>2</w:t>
      </w:r>
      <w:r>
        <w:rPr/>
        <w:t>）</w:t>
      </w:r>
      <w:r>
        <w:rPr>
          <w:spacing w:val="-42"/>
        </w:rPr>
        <w:t> </w:t>
      </w:r>
      <w:r>
        <w:rPr>
          <w:spacing w:val="-2"/>
        </w:rPr>
        <w:t>非同一控制下的企业合并形成的，在购买日按照支付的合并对价的公允价值作为其初始投资成本。</w:t>
      </w:r>
    </w:p>
    <w:p>
      <w:pPr>
        <w:pStyle w:val="Heading4"/>
        <w:spacing w:line="264" w:lineRule="auto" w:before="141"/>
        <w:ind w:left="1134" w:right="1131" w:firstLine="420"/>
        <w:jc w:val="both"/>
      </w:pPr>
      <w:r>
        <w:rPr>
          <w:rFonts w:ascii="Times New Roman" w:hAnsi="Times New Roman" w:cs="Times New Roman" w:eastAsia="Times New Roman" w:hint="default"/>
        </w:rPr>
        <w:t>3</w:t>
      </w:r>
      <w:r>
        <w:rPr/>
        <w:t>）</w:t>
      </w:r>
      <w:r>
        <w:rPr>
          <w:spacing w:val="-22"/>
        </w:rPr>
        <w:t> </w:t>
      </w:r>
      <w:r>
        <w:rPr/>
        <w:t>除企业合并形成以外的：以支付现金取得的，按照实际支付的购买价款作为其初始投资成本；以</w:t>
      </w:r>
      <w:r>
        <w:rPr/>
        <w:t> </w:t>
      </w:r>
      <w:r>
        <w:rPr>
          <w:spacing w:val="-1"/>
        </w:rPr>
        <w:t>发行权益性证券取得的，按照发行权益性证券的公允价值作为其初始投资成本；投资者投入的，按照投资</w:t>
      </w:r>
      <w:r>
        <w:rPr>
          <w:spacing w:val="-83"/>
        </w:rPr>
        <w:t> </w:t>
      </w:r>
      <w:r>
        <w:rPr>
          <w:spacing w:val="-83"/>
        </w:rPr>
      </w:r>
      <w:r>
        <w:rPr/>
        <w:t>合同或协议约定的价值作为其初始投资成本（合同或协议约定价值不公允的除外）。</w:t>
      </w:r>
    </w:p>
    <w:p>
      <w:pPr>
        <w:pStyle w:val="Heading4"/>
        <w:spacing w:line="432" w:lineRule="exact" w:before="36"/>
        <w:ind w:left="1553" w:right="1130"/>
        <w:jc w:val="left"/>
      </w:pPr>
      <w:r>
        <w:rPr/>
        <w:t>（</w:t>
      </w:r>
      <w:r>
        <w:rPr>
          <w:rFonts w:ascii="Times New Roman" w:hAnsi="Times New Roman" w:cs="Times New Roman" w:eastAsia="Times New Roman" w:hint="default"/>
        </w:rPr>
        <w:t>2</w:t>
      </w:r>
      <w:r>
        <w:rPr/>
        <w:t>）后续计量及损益确认方法 </w:t>
      </w:r>
      <w:r>
        <w:rPr>
          <w:spacing w:val="-2"/>
        </w:rPr>
        <w:t>本公司能够对被投资单位实施控制的长期股权投资</w:t>
      </w:r>
      <w:r>
        <w:rPr>
          <w:rFonts w:ascii="Times New Roman" w:hAnsi="Times New Roman" w:cs="Times New Roman" w:eastAsia="Times New Roman" w:hint="default"/>
          <w:spacing w:val="-2"/>
        </w:rPr>
        <w:t>,</w:t>
      </w:r>
      <w:r>
        <w:rPr>
          <w:spacing w:val="-2"/>
        </w:rPr>
        <w:t>在本公司个别财务报表中采用成本法核算；对具有</w:t>
      </w:r>
    </w:p>
    <w:p>
      <w:pPr>
        <w:pStyle w:val="Heading4"/>
        <w:spacing w:line="255" w:lineRule="exact"/>
        <w:ind w:right="0"/>
        <w:jc w:val="left"/>
      </w:pPr>
      <w:r>
        <w:rPr/>
        <w:t>共同控制或重大影响的长期股权投资，采用权益法核算。</w:t>
      </w:r>
    </w:p>
    <w:p>
      <w:pPr>
        <w:pStyle w:val="Heading4"/>
        <w:spacing w:line="256" w:lineRule="auto" w:before="157"/>
        <w:ind w:right="1128" w:firstLine="420"/>
        <w:jc w:val="both"/>
      </w:pPr>
      <w:r>
        <w:rPr/>
        <w:t>采用成本法时</w:t>
      </w:r>
      <w:r>
        <w:rPr>
          <w:rFonts w:ascii="Times New Roman" w:hAnsi="Times New Roman" w:cs="Times New Roman" w:eastAsia="Times New Roman" w:hint="default"/>
        </w:rPr>
        <w:t>,</w:t>
      </w:r>
      <w:r>
        <w:rPr/>
        <w:t>长期股权投资按初始投资成本计价</w:t>
      </w:r>
      <w:r>
        <w:rPr>
          <w:rFonts w:ascii="Times New Roman" w:hAnsi="Times New Roman" w:cs="Times New Roman" w:eastAsia="Times New Roman" w:hint="default"/>
        </w:rPr>
        <w:t>,</w:t>
      </w:r>
      <w:r>
        <w:rPr/>
        <w:t>除取得投资时实际支付的价款或对价中包含的已宣 告但尚未发放的现金股利或利润外</w:t>
      </w:r>
      <w:r>
        <w:rPr>
          <w:rFonts w:ascii="Times New Roman" w:hAnsi="Times New Roman" w:cs="Times New Roman" w:eastAsia="Times New Roman" w:hint="default"/>
        </w:rPr>
        <w:t>,</w:t>
      </w:r>
      <w:r>
        <w:rPr/>
        <w:t>按享有被投资单位宣告分派的现金股利或利润</w:t>
      </w:r>
      <w:r>
        <w:rPr>
          <w:rFonts w:ascii="Times New Roman" w:hAnsi="Times New Roman" w:cs="Times New Roman" w:eastAsia="Times New Roman" w:hint="default"/>
        </w:rPr>
        <w:t>,</w:t>
      </w:r>
      <w:r>
        <w:rPr/>
        <w:t>确认为当期投资收益</w:t>
      </w:r>
      <w:r>
        <w:rPr>
          <w:rFonts w:ascii="Times New Roman" w:hAnsi="Times New Roman" w:cs="Times New Roman" w:eastAsia="Times New Roman" w:hint="default"/>
        </w:rPr>
        <w:t>,</w:t>
      </w:r>
      <w:r>
        <w:rPr/>
        <w:t>并</w:t>
      </w:r>
      <w:r>
        <w:rPr>
          <w:spacing w:val="-76"/>
        </w:rPr>
        <w:t> </w:t>
      </w:r>
      <w:r>
        <w:rPr/>
        <w:t>同时根据有关资产减值政策考虑长期投资是否减值。</w:t>
      </w:r>
    </w:p>
    <w:p>
      <w:pPr>
        <w:pStyle w:val="Heading4"/>
        <w:spacing w:line="256" w:lineRule="auto" w:before="142"/>
        <w:ind w:right="1131" w:firstLine="420"/>
        <w:jc w:val="both"/>
      </w:pPr>
      <w:r>
        <w:rPr>
          <w:spacing w:val="2"/>
        </w:rPr>
        <w:t>采用权益法时</w:t>
      </w:r>
      <w:r>
        <w:rPr>
          <w:rFonts w:ascii="Times New Roman" w:hAnsi="Times New Roman" w:cs="Times New Roman" w:eastAsia="Times New Roman" w:hint="default"/>
          <w:spacing w:val="2"/>
        </w:rPr>
        <w:t>,</w:t>
      </w:r>
      <w:r>
        <w:rPr>
          <w:spacing w:val="2"/>
        </w:rPr>
        <w:t>长期股权投资的初始投资成本大于投资时应享有被投资单位可辨认净资产公允价值份</w:t>
      </w:r>
      <w:r>
        <w:rPr/>
        <w:t> </w:t>
      </w:r>
      <w:r>
        <w:rPr>
          <w:spacing w:val="-2"/>
        </w:rPr>
        <w:t>额的</w:t>
      </w:r>
      <w:r>
        <w:rPr>
          <w:rFonts w:ascii="Times New Roman" w:hAnsi="Times New Roman" w:cs="Times New Roman" w:eastAsia="Times New Roman" w:hint="default"/>
          <w:spacing w:val="-2"/>
        </w:rPr>
        <w:t>,</w:t>
      </w:r>
      <w:r>
        <w:rPr>
          <w:spacing w:val="-2"/>
        </w:rPr>
        <w:t>归入长期股权投资的初始投资成本；长期股权投资的初始投资成本小于投资时应享有被投资单位可辨</w:t>
      </w:r>
      <w:r>
        <w:rPr>
          <w:spacing w:val="-86"/>
        </w:rPr>
        <w:t> </w:t>
      </w:r>
      <w:r>
        <w:rPr>
          <w:spacing w:val="-86"/>
        </w:rPr>
      </w:r>
      <w:r>
        <w:rPr/>
        <w:t>认净资产公允价值份额的</w:t>
      </w:r>
      <w:r>
        <w:rPr>
          <w:rFonts w:ascii="Times New Roman" w:hAnsi="Times New Roman" w:cs="Times New Roman" w:eastAsia="Times New Roman" w:hint="default"/>
        </w:rPr>
        <w:t>,</w:t>
      </w:r>
      <w:r>
        <w:rPr/>
        <w:t>其差额计入当期损益</w:t>
      </w:r>
      <w:r>
        <w:rPr>
          <w:rFonts w:ascii="Times New Roman" w:hAnsi="Times New Roman" w:cs="Times New Roman" w:eastAsia="Times New Roman" w:hint="default"/>
        </w:rPr>
        <w:t>,</w:t>
      </w:r>
      <w:r>
        <w:rPr/>
        <w:t>同时调整长期股权投资的成本。</w:t>
      </w:r>
    </w:p>
    <w:p>
      <w:pPr>
        <w:pStyle w:val="Heading4"/>
        <w:spacing w:line="256" w:lineRule="auto" w:before="125"/>
        <w:ind w:right="1129" w:firstLine="420"/>
        <w:jc w:val="both"/>
      </w:pPr>
      <w:r>
        <w:rPr/>
        <w:t>采用权益法时</w:t>
      </w:r>
      <w:r>
        <w:rPr>
          <w:rFonts w:ascii="Times New Roman" w:hAnsi="Times New Roman" w:cs="Times New Roman" w:eastAsia="Times New Roman" w:hint="default"/>
        </w:rPr>
        <w:t>,</w:t>
      </w:r>
      <w:r>
        <w:rPr/>
        <w:t>取得长期股权投资后</w:t>
      </w:r>
      <w:r>
        <w:rPr>
          <w:rFonts w:ascii="Times New Roman" w:hAnsi="Times New Roman" w:cs="Times New Roman" w:eastAsia="Times New Roman" w:hint="default"/>
        </w:rPr>
        <w:t>,</w:t>
      </w:r>
      <w:r>
        <w:rPr/>
        <w:t>按照应享有或应分担的被投资单位实现的净损益的份额</w:t>
      </w:r>
      <w:r>
        <w:rPr>
          <w:rFonts w:ascii="Times New Roman" w:hAnsi="Times New Roman" w:cs="Times New Roman" w:eastAsia="Times New Roman" w:hint="default"/>
        </w:rPr>
        <w:t>,</w:t>
      </w:r>
      <w:r>
        <w:rPr/>
        <w:t>确认投资 </w:t>
      </w:r>
      <w:r>
        <w:rPr>
          <w:spacing w:val="-2"/>
        </w:rPr>
        <w:t>损益并调整长期股权投资的账面价值。在确认应享有被投资单位净损益的份额时</w:t>
      </w:r>
      <w:r>
        <w:rPr>
          <w:rFonts w:ascii="Times New Roman" w:hAnsi="Times New Roman" w:cs="Times New Roman" w:eastAsia="Times New Roman" w:hint="default"/>
          <w:spacing w:val="-2"/>
        </w:rPr>
        <w:t>,</w:t>
      </w:r>
      <w:r>
        <w:rPr>
          <w:spacing w:val="-2"/>
        </w:rPr>
        <w:t>以取得投资时被投资单位</w:t>
      </w:r>
      <w:r>
        <w:rPr>
          <w:spacing w:val="-86"/>
        </w:rPr>
        <w:t> </w:t>
      </w:r>
      <w:r>
        <w:rPr/>
        <w:t>各项可辨认资产等的公允价值为基础</w:t>
      </w:r>
      <w:r>
        <w:rPr>
          <w:rFonts w:ascii="Times New Roman" w:hAnsi="Times New Roman" w:cs="Times New Roman" w:eastAsia="Times New Roman" w:hint="default"/>
        </w:rPr>
        <w:t>,</w:t>
      </w:r>
      <w:r>
        <w:rPr/>
        <w:t>按照本公司的会计政策及会计期间</w:t>
      </w:r>
      <w:r>
        <w:rPr>
          <w:rFonts w:ascii="Times New Roman" w:hAnsi="Times New Roman" w:cs="Times New Roman" w:eastAsia="Times New Roman" w:hint="default"/>
        </w:rPr>
        <w:t>,</w:t>
      </w:r>
      <w:r>
        <w:rPr/>
        <w:t>并抵销与联营企业及合营企业之</w:t>
      </w:r>
      <w:r>
        <w:rPr>
          <w:spacing w:val="-31"/>
        </w:rPr>
        <w:t> </w:t>
      </w:r>
      <w:r>
        <w:rPr>
          <w:spacing w:val="-31"/>
        </w:rPr>
      </w:r>
      <w:r>
        <w:rPr/>
        <w:t>间发生的内部交易损益按照持股比例计算归属于投资企业的部分</w:t>
      </w:r>
      <w:r>
        <w:rPr>
          <w:rFonts w:ascii="Times New Roman" w:hAnsi="Times New Roman" w:cs="Times New Roman" w:eastAsia="Times New Roman" w:hint="default"/>
        </w:rPr>
        <w:t>(</w:t>
      </w:r>
      <w:r>
        <w:rPr/>
        <w:t>但内部交易损失属于资产减值损失的</w:t>
      </w:r>
      <w:r>
        <w:rPr>
          <w:rFonts w:ascii="Times New Roman" w:hAnsi="Times New Roman" w:cs="Times New Roman" w:eastAsia="Times New Roman" w:hint="default"/>
        </w:rPr>
        <w:t>,</w:t>
      </w:r>
      <w:r>
        <w:rPr/>
        <w:t>应</w:t>
      </w:r>
      <w:r>
        <w:rPr>
          <w:spacing w:val="-45"/>
        </w:rPr>
        <w:t> </w:t>
      </w:r>
      <w:r>
        <w:rPr/>
        <w:t>全额确认</w:t>
      </w:r>
      <w:r>
        <w:rPr>
          <w:rFonts w:ascii="Times New Roman" w:hAnsi="Times New Roman" w:cs="Times New Roman" w:eastAsia="Times New Roman" w:hint="default"/>
        </w:rPr>
        <w:t>),</w:t>
      </w:r>
      <w:r>
        <w:rPr/>
        <w:t>对被投资单位的净利润进行调整后确认。按照被投资单位宣告分派的利润或现金股利计算应分</w:t>
      </w:r>
      <w:r>
        <w:rPr>
          <w:spacing w:val="-54"/>
        </w:rPr>
        <w:t> </w:t>
      </w:r>
      <w:r>
        <w:rPr>
          <w:spacing w:val="-54"/>
        </w:rPr>
      </w:r>
      <w:r>
        <w:rPr/>
        <w:t>得的部分</w:t>
      </w:r>
      <w:r>
        <w:rPr>
          <w:rFonts w:ascii="Times New Roman" w:hAnsi="Times New Roman" w:cs="Times New Roman" w:eastAsia="Times New Roman" w:hint="default"/>
        </w:rPr>
        <w:t>,</w:t>
      </w:r>
      <w:r>
        <w:rPr/>
        <w:t>相应减少长期股权投资的账面价值。本公司确认被投资单位发生的净亏损</w:t>
      </w:r>
      <w:r>
        <w:rPr>
          <w:rFonts w:ascii="Times New Roman" w:hAnsi="Times New Roman" w:cs="Times New Roman" w:eastAsia="Times New Roman" w:hint="default"/>
        </w:rPr>
        <w:t>,</w:t>
      </w:r>
      <w:r>
        <w:rPr/>
        <w:t>以长期股权投资的账</w:t>
      </w:r>
      <w:r>
        <w:rPr>
          <w:spacing w:val="-29"/>
        </w:rPr>
        <w:t> </w:t>
      </w:r>
      <w:r>
        <w:rPr>
          <w:spacing w:val="-29"/>
        </w:rPr>
      </w:r>
      <w:r>
        <w:rPr>
          <w:spacing w:val="2"/>
        </w:rPr>
        <w:t>面价值以及其他实质上构成对被投资单位净投资的长期权益减记至零为限</w:t>
      </w:r>
      <w:r>
        <w:rPr>
          <w:rFonts w:ascii="Times New Roman" w:hAnsi="Times New Roman" w:cs="Times New Roman" w:eastAsia="Times New Roman" w:hint="default"/>
          <w:spacing w:val="2"/>
        </w:rPr>
        <w:t>,</w:t>
      </w:r>
      <w:r>
        <w:rPr>
          <w:spacing w:val="2"/>
        </w:rPr>
        <w:t>本公司负有承担额外损失义务</w:t>
      </w:r>
      <w:r>
        <w:rPr>
          <w:spacing w:val="-73"/>
        </w:rPr>
        <w:t> </w:t>
      </w:r>
      <w:r>
        <w:rPr>
          <w:spacing w:val="-73"/>
        </w:rPr>
      </w:r>
      <w:r>
        <w:rPr>
          <w:spacing w:val="-2"/>
        </w:rPr>
        <w:t>的除外。对于被投资单位除净损益以外所有者权益的其他变动</w:t>
      </w:r>
      <w:r>
        <w:rPr>
          <w:rFonts w:ascii="Times New Roman" w:hAnsi="Times New Roman" w:cs="Times New Roman" w:eastAsia="Times New Roman" w:hint="default"/>
          <w:spacing w:val="-2"/>
        </w:rPr>
        <w:t>,</w:t>
      </w:r>
      <w:r>
        <w:rPr>
          <w:spacing w:val="-2"/>
        </w:rPr>
        <w:t>调整长期股权投资的账面价值并计入所有者</w:t>
      </w:r>
      <w:r>
        <w:rPr>
          <w:spacing w:val="-86"/>
        </w:rPr>
        <w:t> </w:t>
      </w:r>
      <w:r>
        <w:rPr/>
        <w:t>权益。</w:t>
      </w:r>
    </w:p>
    <w:p>
      <w:pPr>
        <w:pStyle w:val="Heading4"/>
        <w:spacing w:line="357" w:lineRule="auto" w:before="142"/>
        <w:ind w:left="1553" w:right="0"/>
        <w:jc w:val="left"/>
      </w:pPr>
      <w:r>
        <w:rPr/>
        <w:t>（</w:t>
      </w:r>
      <w:r>
        <w:rPr>
          <w:rFonts w:ascii="Times New Roman" w:hAnsi="Times New Roman" w:cs="Times New Roman" w:eastAsia="Times New Roman" w:hint="default"/>
        </w:rPr>
        <w:t>3</w:t>
      </w:r>
      <w:r>
        <w:rPr/>
        <w:t>）确定对被投资单位具有控制、重大影响的依据 </w:t>
      </w:r>
      <w:r>
        <w:rPr>
          <w:spacing w:val="-1"/>
        </w:rPr>
        <w:t>控制，是指拥有对被投资方的权力，通过参与被投资方的相关活动而享有可变回报，并且有能力运用</w:t>
      </w:r>
    </w:p>
    <w:p>
      <w:pPr>
        <w:pStyle w:val="Heading4"/>
        <w:spacing w:line="209" w:lineRule="exact"/>
        <w:ind w:right="0"/>
        <w:jc w:val="left"/>
      </w:pPr>
      <w:r>
        <w:rPr/>
        <w:t>对被投资方的权力影响回报金额；重大影响，是指投资方对被投资单位的财务和经营政策有参与决策的权</w:t>
      </w:r>
    </w:p>
    <w:p>
      <w:pPr>
        <w:pStyle w:val="Heading4"/>
        <w:spacing w:line="240" w:lineRule="auto" w:before="37"/>
        <w:ind w:right="0"/>
        <w:jc w:val="left"/>
      </w:pPr>
      <w:r>
        <w:rPr/>
        <w:t>力，但并不能够控制或者与其他方一起共同控制这些政策的制定。</w:t>
      </w:r>
    </w:p>
    <w:p>
      <w:pPr>
        <w:pStyle w:val="Heading4"/>
        <w:spacing w:line="240" w:lineRule="auto" w:before="157"/>
        <w:ind w:left="1553" w:right="0"/>
        <w:jc w:val="left"/>
      </w:pPr>
      <w:r>
        <w:rPr/>
        <w:t>（</w:t>
      </w:r>
      <w:r>
        <w:rPr>
          <w:rFonts w:ascii="Times New Roman" w:hAnsi="Times New Roman" w:cs="Times New Roman" w:eastAsia="Times New Roman" w:hint="default"/>
        </w:rPr>
        <w:t>4</w:t>
      </w:r>
      <w:r>
        <w:rPr/>
        <w:t>）长期股权投资的处置</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357" w:lineRule="auto" w:before="35"/>
        <w:ind w:left="1553" w:right="0"/>
        <w:jc w:val="left"/>
      </w:pPr>
      <w:r>
        <w:rPr>
          <w:rFonts w:ascii="Times New Roman" w:hAnsi="Times New Roman" w:cs="Times New Roman" w:eastAsia="Times New Roman" w:hint="default"/>
        </w:rPr>
        <w:t>1</w:t>
      </w:r>
      <w:r>
        <w:rPr/>
        <w:t>）部分处置对子公司的长期股权投资，但不丧失控制权的情形 </w:t>
      </w:r>
      <w:r>
        <w:rPr>
          <w:spacing w:val="-1"/>
        </w:rPr>
        <w:t>部分处置对子公司的长期股权投资，但不丧失控制权时，应当将处置价款与处置投资对应的账面价值</w:t>
      </w:r>
    </w:p>
    <w:p>
      <w:pPr>
        <w:pStyle w:val="Heading4"/>
        <w:spacing w:line="209" w:lineRule="exact"/>
        <w:ind w:right="0"/>
        <w:jc w:val="left"/>
      </w:pPr>
      <w:r>
        <w:rPr/>
        <w:t>的差额确认为当期投资收益。</w:t>
      </w:r>
    </w:p>
    <w:p>
      <w:pPr>
        <w:pStyle w:val="Heading4"/>
        <w:spacing w:line="357" w:lineRule="auto" w:before="157"/>
        <w:ind w:left="1553" w:right="0"/>
        <w:jc w:val="left"/>
      </w:pPr>
      <w:r>
        <w:rPr>
          <w:rFonts w:ascii="Times New Roman" w:hAnsi="Times New Roman" w:cs="Times New Roman" w:eastAsia="Times New Roman" w:hint="default"/>
        </w:rPr>
        <w:t>2</w:t>
      </w:r>
      <w:r>
        <w:rPr/>
        <w:t>）部分处置股权投资或其他原因丧失了对子公司控制权的情形 </w:t>
      </w:r>
      <w:r>
        <w:rPr>
          <w:spacing w:val="-1"/>
        </w:rPr>
        <w:t>部分处置股权投资或其他原因丧失了对子公司控制权的，对于处置的股权，应结转与所售股权相对应</w:t>
      </w:r>
    </w:p>
    <w:p>
      <w:pPr>
        <w:pStyle w:val="Heading4"/>
        <w:spacing w:line="209" w:lineRule="exact"/>
        <w:ind w:right="0"/>
        <w:jc w:val="left"/>
      </w:pPr>
      <w:r>
        <w:rPr/>
        <w:t>的长期股权投资的账面价值，出售所得价款与处置长期股权投资账面价值之间差额，确认为投资收益（损</w:t>
      </w:r>
    </w:p>
    <w:p>
      <w:pPr>
        <w:pStyle w:val="Heading4"/>
        <w:spacing w:line="273" w:lineRule="auto" w:before="37"/>
        <w:ind w:right="0"/>
        <w:jc w:val="left"/>
      </w:pPr>
      <w:r>
        <w:rPr>
          <w:spacing w:val="-1"/>
        </w:rPr>
        <w:t>失）；同时，对于剩余股权，应当按其账面价值确认为长期股权投资或其它相关金融资产。处置后的剩余</w:t>
      </w:r>
      <w:r>
        <w:rPr>
          <w:spacing w:val="-83"/>
        </w:rPr>
        <w:t> </w:t>
      </w:r>
      <w:r>
        <w:rPr>
          <w:spacing w:val="-83"/>
        </w:rPr>
      </w:r>
      <w:r>
        <w:rPr/>
        <w:t>股权能够对子公司实施共同控制或重大影响的，应按有关成本法转为权益法的相关规定进行会计处理。</w:t>
      </w:r>
    </w:p>
    <w:p>
      <w:pPr>
        <w:pStyle w:val="Heading4"/>
        <w:spacing w:line="357" w:lineRule="auto" w:before="127"/>
        <w:ind w:left="1553" w:right="0"/>
        <w:jc w:val="left"/>
      </w:pPr>
      <w:r>
        <w:rPr/>
        <w:t>（</w:t>
      </w:r>
      <w:r>
        <w:rPr>
          <w:rFonts w:ascii="Times New Roman" w:hAnsi="Times New Roman" w:cs="Times New Roman" w:eastAsia="Times New Roman" w:hint="default"/>
        </w:rPr>
        <w:t>5</w:t>
      </w:r>
      <w:r>
        <w:rPr/>
        <w:t>）减值测试方法及减值准备计提方法 </w:t>
      </w:r>
      <w:r>
        <w:rPr>
          <w:spacing w:val="-1"/>
        </w:rPr>
        <w:t>对子公司、联营企业及合营企业的投资，在资产负债表日有客观证据表明其发生减值的，按照账面价</w:t>
      </w:r>
    </w:p>
    <w:p>
      <w:pPr>
        <w:pStyle w:val="Heading4"/>
        <w:spacing w:line="209" w:lineRule="exact"/>
        <w:ind w:right="0"/>
        <w:jc w:val="left"/>
      </w:pPr>
      <w:r>
        <w:rPr/>
        <w:t>值与可收回金额的差额计提相应的减值准备。</w:t>
      </w:r>
    </w:p>
    <w:p>
      <w:pPr>
        <w:spacing w:line="240" w:lineRule="auto" w:before="11"/>
        <w:rPr>
          <w:rFonts w:ascii="宋体" w:hAnsi="宋体" w:cs="宋体" w:eastAsia="宋体" w:hint="default"/>
          <w:sz w:val="25"/>
          <w:szCs w:val="25"/>
        </w:rPr>
      </w:pPr>
    </w:p>
    <w:p>
      <w:pPr>
        <w:pStyle w:val="Heading3"/>
        <w:spacing w:line="240" w:lineRule="auto"/>
        <w:ind w:left="1134" w:right="0"/>
        <w:jc w:val="left"/>
        <w:rPr>
          <w:b w:val="0"/>
          <w:bCs w:val="0"/>
        </w:rPr>
      </w:pPr>
      <w:bookmarkStart w:name="15、投资性房地产" w:id="184"/>
      <w:bookmarkEnd w:id="184"/>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8952"/>
        <w:jc w:val="left"/>
      </w:pPr>
      <w:r>
        <w:rPr/>
        <w:t>投资性房地产计量模式 成本法计量 折旧或摊销方法</w:t>
      </w:r>
    </w:p>
    <w:p>
      <w:pPr>
        <w:pStyle w:val="Heading4"/>
        <w:spacing w:line="256" w:lineRule="auto"/>
        <w:ind w:left="1134" w:right="1141" w:firstLine="420"/>
        <w:jc w:val="both"/>
      </w:pPr>
      <w:r>
        <w:rPr/>
        <w:t>（</w:t>
      </w:r>
      <w:r>
        <w:rPr>
          <w:rFonts w:ascii="Times New Roman" w:hAnsi="Times New Roman" w:cs="Times New Roman" w:eastAsia="Times New Roman" w:hint="default"/>
        </w:rPr>
        <w:t>1</w:t>
      </w:r>
      <w:r>
        <w:rPr/>
        <w:t>）投资性房地产包括已出租的土地使用权、持有并准备增值后转让的土地使用权和已出租的建筑 物。</w:t>
      </w:r>
    </w:p>
    <w:p>
      <w:pPr>
        <w:pStyle w:val="Heading4"/>
        <w:spacing w:line="264" w:lineRule="auto" w:before="143"/>
        <w:ind w:left="1134" w:right="1130" w:firstLine="420"/>
        <w:jc w:val="both"/>
      </w:pPr>
      <w:r>
        <w:rPr/>
        <w:t>（</w:t>
      </w:r>
      <w:r>
        <w:rPr>
          <w:rFonts w:ascii="Times New Roman" w:hAnsi="Times New Roman" w:cs="Times New Roman" w:eastAsia="Times New Roman" w:hint="default"/>
        </w:rPr>
        <w:t>2</w:t>
      </w:r>
      <w:r>
        <w:rPr/>
        <w:t>）投资性房地产按照成本进行初始计量，采用成本模式进行后续计量，并采用与固定资产和无形 </w:t>
      </w:r>
      <w:r>
        <w:rPr>
          <w:spacing w:val="-1"/>
        </w:rPr>
        <w:t>资产相同的方法计提折旧或进行摊销。资产负债表日，有迹象表明投资性房地产发生减值的，按照账面价</w:t>
      </w:r>
      <w:r>
        <w:rPr>
          <w:spacing w:val="-82"/>
        </w:rPr>
        <w:t> </w:t>
      </w:r>
      <w:r>
        <w:rPr>
          <w:spacing w:val="-82"/>
        </w:rPr>
      </w:r>
      <w:r>
        <w:rPr/>
        <w:t>值与可收回金额的差额计提相应的减值准备。</w:t>
      </w:r>
    </w:p>
    <w:p>
      <w:pPr>
        <w:spacing w:line="240" w:lineRule="auto" w:before="3"/>
        <w:rPr>
          <w:rFonts w:ascii="宋体" w:hAnsi="宋体" w:cs="宋体" w:eastAsia="宋体" w:hint="default"/>
          <w:sz w:val="24"/>
          <w:szCs w:val="24"/>
        </w:rPr>
      </w:pPr>
    </w:p>
    <w:p>
      <w:pPr>
        <w:pStyle w:val="Heading3"/>
        <w:spacing w:line="240" w:lineRule="auto"/>
        <w:ind w:left="1134" w:right="0"/>
        <w:jc w:val="left"/>
        <w:rPr>
          <w:b w:val="0"/>
          <w:bCs w:val="0"/>
        </w:rPr>
      </w:pPr>
      <w:bookmarkStart w:name="16、固定资产" w:id="185"/>
      <w:bookmarkEnd w:id="185"/>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确认条件" w:id="186"/>
      <w:bookmarkEnd w:id="18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固定资产是指为生产商品、提供劳务、出租或经营管理而持有的，使用年限超过一个会计年度的有形资产。</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折旧方法" w:id="187"/>
      <w:bookmarkEnd w:id="18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19.40%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19.40%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32.33%</w:t>
            </w:r>
          </w:p>
        </w:tc>
      </w:tr>
    </w:tbl>
    <w:p>
      <w:pPr>
        <w:spacing w:line="240" w:lineRule="auto" w:before="3"/>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3）融资租入固定资产的认定依据、计价和折旧方法" w:id="188"/>
      <w:bookmarkEnd w:id="188"/>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符合下列一项或数项标准的，认定为融资租赁：</w:t>
      </w:r>
    </w:p>
    <w:p>
      <w:pPr>
        <w:pStyle w:val="BodyText"/>
        <w:spacing w:line="240" w:lineRule="auto" w:before="116"/>
        <w:ind w:left="1134" w:right="0"/>
        <w:jc w:val="left"/>
      </w:pPr>
      <w:r>
        <w:rPr>
          <w:rFonts w:ascii="Times New Roman" w:hAnsi="Times New Roman" w:cs="Times New Roman" w:eastAsia="Times New Roman" w:hint="default"/>
        </w:rPr>
        <w:t>1</w:t>
      </w:r>
      <w:r>
        <w:rPr/>
        <w:t>） 在租赁期届满时，租赁资产的所有权转移给承租人；</w:t>
      </w:r>
    </w:p>
    <w:p>
      <w:pPr>
        <w:pStyle w:val="BodyText"/>
        <w:spacing w:line="240" w:lineRule="auto" w:before="101"/>
        <w:ind w:left="1134" w:right="0"/>
        <w:jc w:val="left"/>
      </w:pPr>
      <w:r>
        <w:rPr>
          <w:rFonts w:ascii="Times New Roman" w:hAnsi="Times New Roman" w:cs="Times New Roman" w:eastAsia="Times New Roman" w:hint="default"/>
        </w:rPr>
        <w:t>2</w:t>
      </w:r>
      <w:r>
        <w:rPr/>
        <w:t>）</w:t>
      </w:r>
      <w:r>
        <w:rPr>
          <w:spacing w:val="20"/>
        </w:rPr>
        <w:t> </w:t>
      </w:r>
      <w:r>
        <w:rPr>
          <w:spacing w:val="-2"/>
        </w:rPr>
        <w:t>承租人有购买租赁资产的选择权，所订立的购买价款预计将远低于行使选择权时租赁资产的公允价值，因而在租赁开始</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日就可以合理确定承租人将会行使这种选择权；</w:t>
      </w:r>
    </w:p>
    <w:p>
      <w:pPr>
        <w:pStyle w:val="BodyText"/>
        <w:spacing w:line="240" w:lineRule="auto" w:before="115"/>
        <w:ind w:right="0"/>
        <w:jc w:val="left"/>
      </w:pPr>
      <w:r>
        <w:rPr>
          <w:rFonts w:ascii="Times New Roman" w:hAnsi="Times New Roman" w:cs="Times New Roman" w:eastAsia="Times New Roman" w:hint="default"/>
        </w:rPr>
        <w:t>3</w:t>
      </w:r>
      <w:r>
        <w:rPr/>
        <w:t>）</w:t>
      </w:r>
      <w:r>
        <w:rPr>
          <w:spacing w:val="-41"/>
        </w:rPr>
        <w:t> </w:t>
      </w:r>
      <w:r>
        <w:rPr/>
        <w:t>即使资产的所有权不转移，但租赁期占租赁资产使用寿命的大部分</w:t>
      </w:r>
      <w:r>
        <w:rPr>
          <w:spacing w:val="-9"/>
        </w:rPr>
        <w:t> </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通常占租赁资产使用寿命的</w:t>
      </w:r>
      <w:r>
        <w:rPr>
          <w:spacing w:val="-50"/>
        </w:rPr>
        <w:t> </w:t>
      </w:r>
      <w:r>
        <w:rPr>
          <w:rFonts w:ascii="Times New Roman" w:hAnsi="Times New Roman" w:cs="Times New Roman" w:eastAsia="Times New Roman" w:hint="default"/>
          <w:spacing w:val="-6"/>
        </w:rPr>
        <w:t>75%</w:t>
      </w:r>
      <w:r>
        <w:rPr>
          <w:spacing w:val="-6"/>
        </w:rPr>
        <w:t>以上（含</w:t>
      </w:r>
      <w:r>
        <w:rPr>
          <w:spacing w:val="-50"/>
        </w:rPr>
        <w:t> </w:t>
      </w:r>
      <w:r>
        <w:rPr>
          <w:rFonts w:ascii="Times New Roman" w:hAnsi="Times New Roman" w:cs="Times New Roman" w:eastAsia="Times New Roman" w:hint="default"/>
          <w:spacing w:val="-6"/>
        </w:rPr>
        <w:t>75%</w:t>
      </w:r>
      <w:r>
        <w:rPr>
          <w:spacing w:val="-6"/>
        </w:rPr>
        <w:t>）</w:t>
      </w:r>
      <w:r>
        <w:rPr>
          <w:rFonts w:ascii="Times New Roman" w:hAnsi="Times New Roman" w:cs="Times New Roman" w:eastAsia="Times New Roman" w:hint="default"/>
          <w:spacing w:val="-6"/>
        </w:rPr>
        <w:t>]</w:t>
      </w:r>
      <w:r>
        <w:rPr>
          <w:spacing w:val="-6"/>
        </w:rPr>
        <w:t>；</w:t>
      </w:r>
    </w:p>
    <w:p>
      <w:pPr>
        <w:pStyle w:val="BodyText"/>
        <w:spacing w:line="302" w:lineRule="auto" w:before="63"/>
        <w:ind w:right="1157"/>
        <w:jc w:val="left"/>
      </w:pPr>
      <w:r>
        <w:rPr>
          <w:rFonts w:ascii="Times New Roman" w:hAnsi="Times New Roman" w:cs="Times New Roman" w:eastAsia="Times New Roman" w:hint="default"/>
        </w:rPr>
        <w:t>4</w:t>
      </w:r>
      <w:r>
        <w:rPr/>
        <w:t>） 承租人在租赁开始日的最低租赁付款额现值，几乎相当于租赁开始日租赁资产公允价值 </w:t>
      </w:r>
      <w:r>
        <w:rPr>
          <w:rFonts w:ascii="Times New Roman" w:hAnsi="Times New Roman" w:cs="Times New Roman" w:eastAsia="Times New Roman" w:hint="default"/>
        </w:rPr>
        <w:t>[ 90%</w:t>
      </w:r>
      <w:r>
        <w:rPr/>
        <w:t>以上（含</w:t>
      </w:r>
      <w:r>
        <w:rPr>
          <w:spacing w:val="-49"/>
        </w:rPr>
        <w:t> </w:t>
      </w:r>
      <w:r>
        <w:rPr>
          <w:rFonts w:ascii="Times New Roman" w:hAnsi="Times New Roman" w:cs="Times New Roman" w:eastAsia="Times New Roman" w:hint="default"/>
        </w:rPr>
        <w:t>90%</w:t>
      </w:r>
      <w:r>
        <w:rPr/>
        <w:t>）</w:t>
      </w:r>
      <w:r>
        <w:rPr>
          <w:rFonts w:ascii="Times New Roman" w:hAnsi="Times New Roman" w:cs="Times New Roman" w:eastAsia="Times New Roman" w:hint="default"/>
        </w:rPr>
        <w:t>]</w:t>
      </w:r>
      <w:r>
        <w:rPr/>
        <w:t>；出租 人在租赁开始日的最低租赁收款额现值，几乎相当于租赁开始日租赁资产公允价值 </w:t>
      </w:r>
      <w:r>
        <w:rPr>
          <w:rFonts w:ascii="Times New Roman" w:hAnsi="Times New Roman" w:cs="Times New Roman" w:eastAsia="Times New Roman" w:hint="default"/>
        </w:rPr>
        <w:t>[ 90%</w:t>
      </w:r>
      <w:r>
        <w:rPr/>
        <w:t>以上（含</w:t>
      </w:r>
      <w:r>
        <w:rPr>
          <w:spacing w:val="-48"/>
        </w:rPr>
        <w:t> </w:t>
      </w:r>
      <w:r>
        <w:rPr>
          <w:rFonts w:ascii="Times New Roman" w:hAnsi="Times New Roman" w:cs="Times New Roman" w:eastAsia="Times New Roman" w:hint="default"/>
        </w:rPr>
        <w:t>90%</w:t>
      </w:r>
      <w:r>
        <w:rPr/>
        <w:t>）</w:t>
      </w:r>
      <w:r>
        <w:rPr>
          <w:rFonts w:ascii="Times New Roman" w:hAnsi="Times New Roman" w:cs="Times New Roman" w:eastAsia="Times New Roman" w:hint="default"/>
        </w:rPr>
        <w:t>]</w:t>
      </w:r>
      <w:r>
        <w:rPr/>
        <w:t>；</w:t>
      </w:r>
    </w:p>
    <w:p>
      <w:pPr>
        <w:pStyle w:val="BodyText"/>
        <w:spacing w:line="328" w:lineRule="auto" w:before="52"/>
        <w:ind w:right="1116"/>
        <w:jc w:val="left"/>
      </w:pPr>
      <w:r>
        <w:rPr>
          <w:rFonts w:ascii="Times New Roman" w:hAnsi="Times New Roman" w:cs="Times New Roman" w:eastAsia="Times New Roman" w:hint="default"/>
        </w:rPr>
        <w:t>5</w:t>
      </w:r>
      <w:r>
        <w:rPr/>
        <w:t>） 租赁资产性质特殊，如果不作较大改造，只有承租人才能使用。 </w:t>
      </w:r>
      <w:r>
        <w:rPr>
          <w:spacing w:val="-2"/>
        </w:rPr>
        <w:t>融资租入的固定资产，按租赁开始日租赁资产的公允价值与最低租赁付款额的现值中较低者入账，按自有固定资产的折旧政</w:t>
      </w:r>
      <w:r>
        <w:rPr>
          <w:spacing w:val="-64"/>
        </w:rPr>
        <w:t> </w:t>
      </w:r>
      <w:r>
        <w:rPr>
          <w:spacing w:val="-64"/>
        </w:rPr>
      </w:r>
      <w:r>
        <w:rPr/>
        <w:t>策计提折旧。</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17、在建工程" w:id="189"/>
      <w:bookmarkEnd w:id="189"/>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300" w:lineRule="auto" w:before="28"/>
        <w:ind w:right="0" w:firstLine="420"/>
        <w:jc w:val="left"/>
      </w:pPr>
      <w:r>
        <w:rPr>
          <w:spacing w:val="-3"/>
        </w:rPr>
        <w:t>（</w:t>
      </w:r>
      <w:r>
        <w:rPr>
          <w:rFonts w:ascii="Times New Roman" w:hAnsi="Times New Roman" w:cs="Times New Roman" w:eastAsia="Times New Roman" w:hint="default"/>
          <w:spacing w:val="-3"/>
        </w:rPr>
        <w:t>1</w:t>
      </w:r>
      <w:r>
        <w:rPr>
          <w:spacing w:val="-3"/>
        </w:rPr>
        <w:t>）在建工程达到预定可使用状态时，按工程实际成本转入固定资产。已达到预定可使用状态但尚未办理竣工决算的，</w:t>
      </w:r>
      <w:r>
        <w:rPr/>
        <w:t> 先按估计价值转入固定资产，待办理竣工决算后再按实际成本调整原暂估价值，但不再调整原已计提的折旧。</w:t>
      </w:r>
    </w:p>
    <w:p>
      <w:pPr>
        <w:pStyle w:val="BodyText"/>
        <w:spacing w:line="240" w:lineRule="auto" w:before="151"/>
        <w:ind w:left="1553" w:right="0"/>
        <w:jc w:val="left"/>
      </w:pPr>
      <w:r>
        <w:rPr/>
        <w:t>（</w:t>
      </w:r>
      <w:r>
        <w:rPr>
          <w:rFonts w:ascii="Times New Roman" w:hAnsi="Times New Roman" w:cs="Times New Roman" w:eastAsia="Times New Roman" w:hint="default"/>
        </w:rPr>
        <w:t>2</w:t>
      </w:r>
      <w:r>
        <w:rPr/>
        <w:t>）资产负债表日，有迹象表明在建工程发生减值的，按照账面价值与可收回金额的差额计提相应的减值准备。</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18、借款费用" w:id="190"/>
      <w:bookmarkEnd w:id="190"/>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Heading4"/>
        <w:spacing w:line="357" w:lineRule="auto"/>
        <w:ind w:left="1554" w:right="0"/>
        <w:jc w:val="left"/>
      </w:pPr>
      <w:r>
        <w:rPr/>
        <w:t>（</w:t>
      </w:r>
      <w:r>
        <w:rPr>
          <w:rFonts w:ascii="Times New Roman" w:hAnsi="Times New Roman" w:cs="Times New Roman" w:eastAsia="Times New Roman" w:hint="default"/>
        </w:rPr>
        <w:t>1</w:t>
      </w:r>
      <w:r>
        <w:rPr/>
        <w:t>）借款费用资本化的确认原则 </w:t>
      </w:r>
      <w:r>
        <w:rPr>
          <w:spacing w:val="-1"/>
        </w:rPr>
        <w:t>本公司发生的借款费用，可直接归属于符合资本化条件的资产的购建或者生产的，予以资本化，计入</w:t>
      </w:r>
    </w:p>
    <w:p>
      <w:pPr>
        <w:pStyle w:val="Heading4"/>
        <w:spacing w:line="209" w:lineRule="exact"/>
        <w:ind w:left="1134" w:right="0"/>
        <w:jc w:val="both"/>
      </w:pPr>
      <w:r>
        <w:rPr/>
        <w:t>相关资产成本；其他借款费用，在发生时确认为费用，计入当期损益。</w:t>
      </w:r>
    </w:p>
    <w:p>
      <w:pPr>
        <w:pStyle w:val="Heading4"/>
        <w:spacing w:line="240" w:lineRule="auto" w:before="157"/>
        <w:ind w:left="1553" w:right="0"/>
        <w:jc w:val="left"/>
      </w:pPr>
      <w:r>
        <w:rPr/>
        <w:t>（</w:t>
      </w:r>
      <w:r>
        <w:rPr>
          <w:rFonts w:ascii="Times New Roman" w:hAnsi="Times New Roman" w:cs="Times New Roman" w:eastAsia="Times New Roman" w:hint="default"/>
        </w:rPr>
        <w:t>2</w:t>
      </w:r>
      <w:r>
        <w:rPr/>
        <w:t>）借款费用资本化期间</w:t>
      </w:r>
    </w:p>
    <w:p>
      <w:pPr>
        <w:pStyle w:val="Heading4"/>
        <w:spacing w:line="256" w:lineRule="auto" w:before="141"/>
        <w:ind w:right="0" w:firstLine="420"/>
        <w:jc w:val="left"/>
      </w:pPr>
      <w:r>
        <w:rPr>
          <w:rFonts w:ascii="Times New Roman" w:hAnsi="Times New Roman" w:cs="Times New Roman" w:eastAsia="Times New Roman" w:hint="default"/>
        </w:rPr>
        <w:t>1</w:t>
      </w:r>
      <w:r>
        <w:rPr/>
        <w:t>）当借款费用同时满足下列条件时，开始资本化：①资产支出已经发生；②借款费用已经发生；③ 为使资产达到预定可使用或可销售状态所必要的购建或者生产活动已经开始。</w:t>
      </w:r>
    </w:p>
    <w:p>
      <w:pPr>
        <w:pStyle w:val="Heading4"/>
        <w:spacing w:line="264" w:lineRule="auto" w:before="142"/>
        <w:ind w:left="1134" w:right="1110" w:firstLine="420"/>
        <w:jc w:val="both"/>
      </w:pPr>
      <w:r>
        <w:rPr>
          <w:rFonts w:ascii="Times New Roman" w:hAnsi="Times New Roman" w:cs="Times New Roman" w:eastAsia="Times New Roman" w:hint="default"/>
        </w:rPr>
        <w:t>2</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 </w:t>
      </w:r>
      <w:r>
        <w:rPr>
          <w:spacing w:val="-1"/>
        </w:rPr>
        <w:t>暂停借款费用的资本化；中断期间发生的借款费用确认为当期费用，直至资产的购建或者生产活动重新开</w:t>
      </w:r>
      <w:r>
        <w:rPr>
          <w:spacing w:val="-81"/>
        </w:rPr>
        <w:t> </w:t>
      </w:r>
      <w:r>
        <w:rPr>
          <w:spacing w:val="-81"/>
        </w:rPr>
      </w:r>
      <w:r>
        <w:rPr/>
        <w:t>始。</w:t>
      </w:r>
    </w:p>
    <w:p>
      <w:pPr>
        <w:pStyle w:val="Heading4"/>
        <w:spacing w:line="240" w:lineRule="auto" w:before="136"/>
        <w:ind w:left="1554" w:right="0"/>
        <w:jc w:val="left"/>
      </w:pPr>
      <w:r>
        <w:rPr>
          <w:rFonts w:ascii="Times New Roman" w:hAnsi="Times New Roman" w:cs="Times New Roman" w:eastAsia="Times New Roman" w:hint="default"/>
        </w:rPr>
        <w:t>3</w:t>
      </w:r>
      <w:r>
        <w:rPr/>
        <w:t>）当所购建或者生产符合资本化条件的资产达到预定可使用或可销售状态时，借款费用停止资本化。</w:t>
      </w:r>
    </w:p>
    <w:p>
      <w:pPr>
        <w:pStyle w:val="Heading4"/>
        <w:spacing w:line="357" w:lineRule="auto" w:before="141"/>
        <w:ind w:left="1554" w:right="0"/>
        <w:jc w:val="left"/>
      </w:pPr>
      <w:r>
        <w:rPr/>
        <w:t>（</w:t>
      </w:r>
      <w:r>
        <w:rPr>
          <w:rFonts w:ascii="Times New Roman" w:hAnsi="Times New Roman" w:cs="Times New Roman" w:eastAsia="Times New Roman" w:hint="default"/>
        </w:rPr>
        <w:t>3</w:t>
      </w:r>
      <w:r>
        <w:rPr/>
        <w:t>）借款费用资本化金额 </w:t>
      </w:r>
      <w:r>
        <w:rPr>
          <w:spacing w:val="-1"/>
        </w:rPr>
        <w:t>为购建或者生产符合资本化条件的资产而借入专门借款的，以专门借款当期实际发生的利息费用（包</w:t>
      </w:r>
    </w:p>
    <w:p>
      <w:pPr>
        <w:pStyle w:val="Heading4"/>
        <w:spacing w:line="209" w:lineRule="exact"/>
        <w:ind w:left="1134" w:right="0"/>
        <w:jc w:val="both"/>
      </w:pPr>
      <w:r>
        <w:rPr/>
        <w:t>括按照实际利率法确定的折价或溢价的摊销），减去将尚未动用的借款资金存入银行取得的利息收入或进</w:t>
      </w:r>
    </w:p>
    <w:p>
      <w:pPr>
        <w:pStyle w:val="Heading4"/>
        <w:spacing w:line="273" w:lineRule="auto" w:before="37"/>
        <w:ind w:left="1134" w:right="1131"/>
        <w:jc w:val="both"/>
      </w:pPr>
      <w:r>
        <w:rPr>
          <w:spacing w:val="-1"/>
        </w:rPr>
        <w:t>行暂时性投资取得的投资收益后的金额，确定应予资本化的利息金额；为购建或者生产符合资本化条件的</w:t>
      </w:r>
      <w:r>
        <w:rPr>
          <w:spacing w:val="-81"/>
        </w:rPr>
        <w:t> </w:t>
      </w:r>
      <w:r>
        <w:rPr>
          <w:spacing w:val="-81"/>
        </w:rPr>
      </w:r>
      <w:r>
        <w:rPr>
          <w:spacing w:val="-1"/>
        </w:rPr>
        <w:t>资产占用了一般借款的，根据累计资产支出超过专门借款的资产支出加权平均数乘以占用一般借款的资本</w:t>
      </w:r>
      <w:r>
        <w:rPr>
          <w:spacing w:val="-81"/>
        </w:rPr>
        <w:t> </w:t>
      </w:r>
      <w:r>
        <w:rPr>
          <w:spacing w:val="-81"/>
        </w:rPr>
      </w:r>
      <w:r>
        <w:rPr/>
        <w:t>化率，计算确定一般借款应予资本化的利息金额。</w:t>
      </w:r>
    </w:p>
    <w:p>
      <w:pPr>
        <w:spacing w:line="240" w:lineRule="auto" w:before="8"/>
        <w:rPr>
          <w:rFonts w:ascii="宋体" w:hAnsi="宋体" w:cs="宋体" w:eastAsia="宋体" w:hint="default"/>
          <w:sz w:val="23"/>
          <w:szCs w:val="23"/>
        </w:rPr>
      </w:pPr>
    </w:p>
    <w:p>
      <w:pPr>
        <w:pStyle w:val="Heading3"/>
        <w:spacing w:line="240" w:lineRule="auto"/>
        <w:ind w:left="1134" w:right="0"/>
        <w:jc w:val="both"/>
        <w:rPr>
          <w:b w:val="0"/>
          <w:bCs w:val="0"/>
        </w:rPr>
      </w:pPr>
      <w:bookmarkStart w:name="19、无形资产" w:id="191"/>
      <w:bookmarkEnd w:id="191"/>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both"/>
        <w:rPr>
          <w:b w:val="0"/>
          <w:bCs w:val="0"/>
        </w:rPr>
      </w:pPr>
      <w:bookmarkStart w:name="（1）计价方法、使用寿命、减值测试" w:id="192"/>
      <w:bookmarkEnd w:id="19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spacing w:after="0" w:line="357"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left="1493" w:right="0"/>
        <w:jc w:val="left"/>
      </w:pPr>
      <w:r>
        <w:rPr/>
        <w:t>无形资产包括土地使用权、专利权及非专利技术等，按成本进行初始计量。</w:t>
      </w:r>
    </w:p>
    <w:p>
      <w:pPr>
        <w:spacing w:line="240" w:lineRule="auto" w:before="0"/>
        <w:rPr>
          <w:rFonts w:ascii="宋体" w:hAnsi="宋体" w:cs="宋体" w:eastAsia="宋体" w:hint="default"/>
          <w:sz w:val="15"/>
          <w:szCs w:val="15"/>
        </w:rPr>
      </w:pPr>
    </w:p>
    <w:p>
      <w:pPr>
        <w:pStyle w:val="BodyText"/>
        <w:spacing w:line="316" w:lineRule="auto"/>
        <w:ind w:right="0" w:firstLine="360"/>
        <w:jc w:val="left"/>
      </w:pPr>
      <w:r>
        <w:rPr>
          <w:spacing w:val="-2"/>
        </w:rPr>
        <w:t>使用寿命有限的无形资产，在使用寿命内按照与该项无形资产有关的经济利益的预期实现方式系统合理地摊销，无法可</w:t>
      </w:r>
      <w:r>
        <w:rPr/>
        <w:t> 靠确定预期实现方式的，采用直线法摊销。具体年限如下：</w:t>
      </w:r>
    </w:p>
    <w:p>
      <w:pPr>
        <w:spacing w:line="240" w:lineRule="auto" w:before="11"/>
        <w:rPr>
          <w:rFonts w:ascii="宋体" w:hAnsi="宋体" w:cs="宋体" w:eastAsia="宋体" w:hint="default"/>
          <w:sz w:val="9"/>
          <w:szCs w:val="9"/>
        </w:rPr>
      </w:pPr>
    </w:p>
    <w:tbl>
      <w:tblPr>
        <w:tblW w:w="0" w:type="auto"/>
        <w:jc w:val="left"/>
        <w:tblInd w:w="1142" w:type="dxa"/>
        <w:tblLayout w:type="fixed"/>
        <w:tblCellMar>
          <w:top w:w="0" w:type="dxa"/>
          <w:left w:w="0" w:type="dxa"/>
          <w:bottom w:w="0" w:type="dxa"/>
          <w:right w:w="0" w:type="dxa"/>
        </w:tblCellMar>
        <w:tblLook w:val="01E0"/>
      </w:tblPr>
      <w:tblGrid>
        <w:gridCol w:w="3769"/>
        <w:gridCol w:w="4736"/>
      </w:tblGrid>
      <w:tr>
        <w:trPr>
          <w:trHeight w:val="347" w:hRule="exact"/>
        </w:trPr>
        <w:tc>
          <w:tcPr>
            <w:tcW w:w="3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4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摊销年限（年）</w:t>
            </w:r>
            <w:r>
              <w:rPr>
                <w:rFonts w:ascii="宋体" w:hAnsi="宋体" w:cs="宋体" w:eastAsia="宋体" w:hint="default"/>
                <w:sz w:val="18"/>
                <w:szCs w:val="18"/>
              </w:rPr>
            </w:r>
          </w:p>
        </w:tc>
      </w:tr>
      <w:tr>
        <w:trPr>
          <w:trHeight w:val="348" w:hRule="exact"/>
        </w:trPr>
        <w:tc>
          <w:tcPr>
            <w:tcW w:w="3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4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r>
    </w:tbl>
    <w:p>
      <w:pPr>
        <w:spacing w:line="240" w:lineRule="auto" w:before="3"/>
        <w:rPr>
          <w:rFonts w:ascii="宋体" w:hAnsi="宋体" w:cs="宋体" w:eastAsia="宋体" w:hint="default"/>
          <w:sz w:val="21"/>
          <w:szCs w:val="21"/>
        </w:rPr>
      </w:pPr>
    </w:p>
    <w:p>
      <w:pPr>
        <w:pStyle w:val="BodyText"/>
        <w:spacing w:line="316" w:lineRule="auto" w:before="44"/>
        <w:ind w:left="1134" w:right="1131" w:firstLine="420"/>
        <w:jc w:val="both"/>
      </w:pPr>
      <w:r>
        <w:rPr/>
        <w:t>使用寿命确定的无形资产，在资产负债表日有迹象表明发生减值的，按照账面价值与可收回金额的差额计提相应的减 值准备；使用寿命不确定的无形资产和尚未达到可使用状态的无形资产，无论是否存在减值迹象，每年均进行减值测试。</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内部研究开发支出会计政策" w:id="193"/>
      <w:bookmarkEnd w:id="19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pStyle w:val="Heading4"/>
        <w:spacing w:line="430" w:lineRule="atLeast" w:before="166"/>
        <w:ind w:left="1469" w:right="1177" w:firstLine="84"/>
        <w:jc w:val="left"/>
      </w:pPr>
      <w:r>
        <w:rPr/>
        <w:t>本公司划分内部研究开发项目研究阶段支出和开发阶段支出的具体标准： 研究阶段支出是指公司研发项目在确认可以形成研究成果并能够为商业性生产使用前的所有支出；开</w:t>
      </w:r>
    </w:p>
    <w:p>
      <w:pPr>
        <w:pStyle w:val="Heading4"/>
        <w:spacing w:line="273" w:lineRule="auto" w:before="37"/>
        <w:ind w:right="0"/>
        <w:jc w:val="left"/>
      </w:pPr>
      <w:r>
        <w:rPr>
          <w:spacing w:val="-1"/>
        </w:rPr>
        <w:t>发阶段支出是指研发项目在确认可以形成研究成果并能够为商业性生产使用后的可直接归属的支出，确认</w:t>
      </w:r>
      <w:r>
        <w:rPr>
          <w:spacing w:val="-81"/>
        </w:rPr>
        <w:t> </w:t>
      </w:r>
      <w:r>
        <w:rPr>
          <w:spacing w:val="-81"/>
        </w:rPr>
      </w:r>
      <w:r>
        <w:rPr/>
        <w:t>可以形成研究成果并能够为商业性生产使用，以公司内部专家评审意见为准。</w:t>
      </w:r>
    </w:p>
    <w:p>
      <w:pPr>
        <w:pStyle w:val="Heading4"/>
        <w:spacing w:line="307" w:lineRule="auto" w:before="47"/>
        <w:ind w:left="1554" w:right="0"/>
        <w:jc w:val="left"/>
      </w:pPr>
      <w:r>
        <w:rPr/>
        <w:t>研究阶段的支出，于发生时计入当期损益。 </w:t>
      </w:r>
      <w:r>
        <w:rPr>
          <w:spacing w:val="-1"/>
        </w:rPr>
        <w:t>开发阶段的支出同时满足下列条件的，确认为无形资产，不能满足下述条件的开发阶段的支出计入当</w:t>
      </w:r>
    </w:p>
    <w:p>
      <w:pPr>
        <w:pStyle w:val="Heading4"/>
        <w:spacing w:line="254" w:lineRule="exact"/>
        <w:ind w:left="1134" w:right="0"/>
        <w:jc w:val="left"/>
      </w:pPr>
      <w:r>
        <w:rPr/>
        <w:t>期损益：</w:t>
      </w:r>
    </w:p>
    <w:p>
      <w:pPr>
        <w:pStyle w:val="Heading4"/>
        <w:spacing w:line="240" w:lineRule="auto" w:before="76"/>
        <w:ind w:left="1764" w:right="0"/>
        <w:jc w:val="left"/>
      </w:pPr>
      <w:r>
        <w:rPr>
          <w:rFonts w:ascii="Times New Roman" w:hAnsi="Times New Roman" w:cs="Times New Roman" w:eastAsia="Times New Roman" w:hint="default"/>
        </w:rPr>
        <w:t>1</w:t>
      </w:r>
      <w:r>
        <w:rPr/>
        <w:t>）完成该无形资产以使其能够使用或出售在技术上具有可行性；</w:t>
      </w:r>
    </w:p>
    <w:p>
      <w:pPr>
        <w:pStyle w:val="Heading4"/>
        <w:spacing w:line="240" w:lineRule="auto" w:before="61"/>
        <w:ind w:left="1764" w:right="0"/>
        <w:jc w:val="left"/>
      </w:pPr>
      <w:r>
        <w:rPr>
          <w:rFonts w:ascii="Times New Roman" w:hAnsi="Times New Roman" w:cs="Times New Roman" w:eastAsia="Times New Roman" w:hint="default"/>
        </w:rPr>
        <w:t>2</w:t>
      </w:r>
      <w:r>
        <w:rPr/>
        <w:t>）具有完成该无形资产并使用或出售的意图；</w:t>
      </w:r>
    </w:p>
    <w:p>
      <w:pPr>
        <w:pStyle w:val="Heading4"/>
        <w:spacing w:line="259" w:lineRule="auto" w:before="61"/>
        <w:ind w:left="1134" w:right="1197" w:firstLine="630"/>
        <w:jc w:val="left"/>
      </w:pPr>
      <w:r>
        <w:rPr>
          <w:rFonts w:ascii="Times New Roman" w:hAnsi="Times New Roman" w:cs="Times New Roman" w:eastAsia="Times New Roman" w:hint="default"/>
        </w:rPr>
        <w:t>3</w:t>
      </w:r>
      <w:r>
        <w:rPr/>
        <w:t>）无形资产产生经济利益的方式，包括能够证明运用该无形资产生产的产品存在市场或无形资产 自身存在市场，无形资产将在内部使用的，能够证明其有用性；</w:t>
      </w:r>
    </w:p>
    <w:p>
      <w:pPr>
        <w:pStyle w:val="Heading4"/>
        <w:spacing w:line="256" w:lineRule="auto" w:before="58"/>
        <w:ind w:left="1134" w:right="1197" w:firstLine="630"/>
        <w:jc w:val="left"/>
      </w:pPr>
      <w:r>
        <w:rPr>
          <w:rFonts w:ascii="Times New Roman" w:hAnsi="Times New Roman" w:cs="Times New Roman" w:eastAsia="Times New Roman" w:hint="default"/>
        </w:rPr>
        <w:t>4</w:t>
      </w:r>
      <w:r>
        <w:rPr/>
        <w:t>）有足够的技术、财务资源和其他资源支持，以完成该无形资产的开发，并有能力使用或出售该 无形资产；</w:t>
      </w:r>
    </w:p>
    <w:p>
      <w:pPr>
        <w:pStyle w:val="Heading4"/>
        <w:spacing w:line="290" w:lineRule="auto" w:before="63"/>
        <w:ind w:left="1134" w:right="3192" w:firstLine="630"/>
        <w:jc w:val="left"/>
      </w:pPr>
      <w:r>
        <w:rPr>
          <w:rFonts w:ascii="Times New Roman" w:hAnsi="Times New Roman" w:cs="Times New Roman" w:eastAsia="Times New Roman" w:hint="default"/>
        </w:rPr>
        <w:t>5</w:t>
      </w:r>
      <w:r>
        <w:rPr/>
        <w:t>）归属于该无形资产开发阶段的支出能够可靠地计量。 无法区分研究阶段支出和开发阶段支出的，将发生的研发支出全部计入当期损益。</w:t>
      </w:r>
    </w:p>
    <w:p>
      <w:pPr>
        <w:pStyle w:val="Heading4"/>
        <w:spacing w:line="612" w:lineRule="exact" w:before="50"/>
        <w:ind w:left="1554" w:right="1092" w:hanging="420"/>
        <w:jc w:val="left"/>
      </w:pPr>
      <w:bookmarkStart w:name="20、长期资产减值" w:id="194"/>
      <w:bookmarkEnd w:id="194"/>
      <w:r>
        <w:rPr/>
      </w:r>
      <w:r>
        <w:rPr>
          <w:rFonts w:ascii="Times New Roman" w:hAnsi="Times New Roman" w:cs="Times New Roman" w:eastAsia="Times New Roman" w:hint="default"/>
          <w:b/>
          <w:bCs/>
        </w:rPr>
        <w:t>20</w:t>
      </w:r>
      <w:r>
        <w:rPr>
          <w:rFonts w:ascii="宋体" w:hAnsi="宋体" w:cs="宋体" w:eastAsia="宋体" w:hint="default"/>
          <w:b/>
          <w:bCs/>
        </w:rPr>
        <w:t>、长期资产减值</w:t>
      </w:r>
      <w:r>
        <w:rPr>
          <w:rFonts w:ascii="宋体" w:hAnsi="宋体" w:cs="宋体" w:eastAsia="宋体" w:hint="default"/>
          <w:b/>
          <w:bCs/>
          <w:w w:val="99"/>
        </w:rPr>
        <w:t> </w:t>
      </w:r>
      <w:r>
        <w:rPr/>
        <w:t>对于固定资产、在建工程、使用寿命有限的无形资产、以成本模式计量的投资性房地产及对子公司、</w:t>
      </w:r>
    </w:p>
    <w:p>
      <w:pPr>
        <w:pStyle w:val="Heading4"/>
        <w:spacing w:line="219" w:lineRule="exact"/>
        <w:ind w:left="1134" w:right="0"/>
        <w:jc w:val="left"/>
      </w:pPr>
      <w:r>
        <w:rPr>
          <w:spacing w:val="-3"/>
        </w:rPr>
        <w:t>合营企业、联营企业的长期股权投资等非流动非金融资产，本公司于资产负债表日判断是否存在减值迹象。</w:t>
      </w:r>
    </w:p>
    <w:p>
      <w:pPr>
        <w:pStyle w:val="Heading4"/>
        <w:spacing w:line="273" w:lineRule="auto" w:before="37"/>
        <w:ind w:left="1134" w:right="0"/>
        <w:jc w:val="left"/>
      </w:pPr>
      <w:r>
        <w:rPr>
          <w:spacing w:val="-1"/>
        </w:rPr>
        <w:t>如存在减值迹象的，则估计其可收回金额，进行减值测试。商誉、使用寿命不确定的无形资产和尚未达到</w:t>
      </w:r>
      <w:r>
        <w:rPr>
          <w:spacing w:val="-86"/>
        </w:rPr>
        <w:t> </w:t>
      </w:r>
      <w:r>
        <w:rPr>
          <w:spacing w:val="-86"/>
        </w:rPr>
      </w:r>
      <w:r>
        <w:rPr/>
        <w:t>可使用状态的无形资产，无论是否存在减值迹象，每年均进行减值测试。</w:t>
      </w:r>
    </w:p>
    <w:p>
      <w:pPr>
        <w:pStyle w:val="Heading4"/>
        <w:spacing w:line="273" w:lineRule="auto" w:before="7"/>
        <w:ind w:right="1130" w:firstLine="420"/>
        <w:jc w:val="both"/>
      </w:pPr>
      <w:r>
        <w:rPr>
          <w:spacing w:val="-1"/>
        </w:rPr>
        <w:t>减值测试结果表明资产的可收回金额低于其账面价值的，按其差额计提减值准备并计入减值损失。可</w:t>
      </w:r>
      <w:r>
        <w:rPr/>
        <w:t> </w:t>
      </w:r>
      <w:r>
        <w:rPr>
          <w:spacing w:val="-1"/>
        </w:rPr>
        <w:t>收回金额为资产的公允价值减去处置费用后的净额与资产预计未来现金流量的现值两者之间的较高者。资</w:t>
      </w:r>
      <w:r>
        <w:rPr>
          <w:spacing w:val="-81"/>
        </w:rPr>
        <w:t> </w:t>
      </w:r>
      <w:r>
        <w:rPr>
          <w:spacing w:val="-81"/>
        </w:rPr>
      </w:r>
      <w:r>
        <w:rPr>
          <w:spacing w:val="-1"/>
        </w:rPr>
        <w:t>产的公允价值根据公平交易中销售协议价格确定；不存在销售协议但存在资产活跃市场的，公允价值按照</w:t>
      </w:r>
      <w:r>
        <w:rPr>
          <w:spacing w:val="-81"/>
        </w:rPr>
        <w:t> </w:t>
      </w:r>
      <w:r>
        <w:rPr>
          <w:spacing w:val="-81"/>
        </w:rPr>
      </w:r>
      <w:r>
        <w:rPr/>
        <w:t>该资 产的买方出价确定；不存在销售协议和资产活跃市场的，则以可获取的最佳信息</w:t>
      </w:r>
      <w:r>
        <w:rPr>
          <w:spacing w:val="-25"/>
        </w:rPr>
        <w:t> </w:t>
      </w:r>
      <w:r>
        <w:rPr/>
        <w:t>为基础估计资产的</w:t>
      </w:r>
      <w:r>
        <w:rPr/>
        <w:t> 公允价值。处置费用包括与资产处置有关的法律费用、相关税</w:t>
      </w:r>
      <w:r>
        <w:rPr>
          <w:spacing w:val="49"/>
        </w:rPr>
        <w:t> </w:t>
      </w:r>
      <w:r>
        <w:rPr/>
        <w:t>费、搬运费以及为使资产达到可销售状态</w:t>
      </w:r>
      <w:r>
        <w:rPr>
          <w:spacing w:val="-88"/>
        </w:rPr>
        <w:t> </w:t>
      </w:r>
      <w:r>
        <w:rPr>
          <w:spacing w:val="-88"/>
        </w:rPr>
      </w:r>
      <w:r>
        <w:rPr/>
        <w:t>所发生的直接费用。资产预计未来现金</w:t>
      </w:r>
      <w:r>
        <w:rPr>
          <w:spacing w:val="51"/>
        </w:rPr>
        <w:t> </w:t>
      </w:r>
      <w:r>
        <w:rPr/>
        <w:t>流量的现值，按照资产在持续使用过程中和最终处置时所产生的</w:t>
      </w:r>
      <w:r>
        <w:rPr>
          <w:spacing w:val="-88"/>
        </w:rPr>
        <w:t> </w:t>
      </w:r>
      <w:r>
        <w:rPr>
          <w:spacing w:val="-88"/>
        </w:rPr>
      </w:r>
      <w:r>
        <w:rPr>
          <w:spacing w:val="-1"/>
        </w:rPr>
        <w:t>预计未来现金流量，选择恰当的折现率对其进行折现后的金额加以确定。资产减值准备按单项资产为基础</w:t>
      </w:r>
      <w:r>
        <w:rPr>
          <w:spacing w:val="-81"/>
        </w:rPr>
        <w:t> </w:t>
      </w:r>
      <w:r>
        <w:rPr>
          <w:spacing w:val="-81"/>
        </w:rPr>
      </w:r>
      <w:r>
        <w:rPr>
          <w:spacing w:val="-1"/>
        </w:rPr>
        <w:t>计算并确认，如果难以对单项资产的可收回金额进行估计的，以该资产所属的资产组确定资产组的可收回</w:t>
      </w:r>
      <w:r>
        <w:rPr>
          <w:spacing w:val="-81"/>
        </w:rPr>
        <w:t> </w:t>
      </w:r>
      <w:r>
        <w:rPr>
          <w:spacing w:val="-81"/>
        </w:rPr>
      </w:r>
      <w:r>
        <w:rPr/>
        <w:t>金额。资产组是能够独立产生现金流入的最小资产组合。</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73" w:lineRule="auto" w:before="35"/>
        <w:ind w:right="1130" w:firstLine="420"/>
        <w:jc w:val="both"/>
      </w:pPr>
      <w:r>
        <w:rPr>
          <w:spacing w:val="-1"/>
        </w:rPr>
        <w:t>在财务报表中单独列示的商誉，在进行减值测试时，将商誉的账面价值分摊至预期从企业合并的协同</w:t>
      </w:r>
      <w:r>
        <w:rPr/>
        <w:t> </w:t>
      </w:r>
      <w:r>
        <w:rPr>
          <w:spacing w:val="-1"/>
        </w:rPr>
        <w:t>效应中受益的资产组或资产组组合。测试结果表明包含分摊的商誉的资产组或资产组组合的可收回金额低</w:t>
      </w:r>
      <w:r>
        <w:rPr>
          <w:spacing w:val="-81"/>
        </w:rPr>
        <w:t> </w:t>
      </w:r>
      <w:r>
        <w:rPr>
          <w:spacing w:val="-81"/>
        </w:rPr>
      </w:r>
      <w:r>
        <w:rPr>
          <w:spacing w:val="-1"/>
        </w:rPr>
        <w:t>于其账面价值的，确认相应的减值损失。减值损失金额先抵减分摊至该资产组或资产组组合的商誉的账面</w:t>
      </w:r>
      <w:r>
        <w:rPr>
          <w:spacing w:val="-80"/>
        </w:rPr>
        <w:t> </w:t>
      </w:r>
      <w:r>
        <w:rPr>
          <w:spacing w:val="-80"/>
        </w:rPr>
      </w:r>
      <w:r>
        <w:rPr>
          <w:spacing w:val="-1"/>
        </w:rPr>
        <w:t>价值，再根据资产组或资产组组合中除商誉以外的其他各项资产的账面价值所占比重，按比例抵减其他各</w:t>
      </w:r>
      <w:r>
        <w:rPr>
          <w:spacing w:val="-81"/>
        </w:rPr>
        <w:t> </w:t>
      </w:r>
      <w:r>
        <w:rPr>
          <w:spacing w:val="-81"/>
        </w:rPr>
      </w:r>
      <w:r>
        <w:rPr/>
        <w:t>项资产的账面价值。上述资产减值损失一经确认，以后期间不予转回价值得以恢复的部分。</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1、长期待摊费用" w:id="195"/>
      <w:bookmarkEnd w:id="195"/>
      <w:r>
        <w:rPr>
          <w:b w:val="0"/>
          <w:bCs w:val="0"/>
        </w:rPr>
      </w:r>
      <w:r>
        <w:rPr>
          <w:rFonts w:ascii="Times New Roman" w:hAnsi="Times New Roman" w:cs="Times New Roman" w:eastAsia="Times New Roman" w:hint="default"/>
        </w:rPr>
        <w:t>21</w:t>
      </w:r>
      <w:r>
        <w:rPr/>
        <w:t>、长期待摊费用</w:t>
      </w:r>
      <w:r>
        <w:rPr>
          <w:b w:val="0"/>
          <w:bCs w:val="0"/>
        </w:rPr>
      </w:r>
    </w:p>
    <w:p>
      <w:pPr>
        <w:pStyle w:val="Heading4"/>
        <w:spacing w:line="430" w:lineRule="atLeast" w:before="166"/>
        <w:ind w:left="1553" w:right="0"/>
        <w:jc w:val="left"/>
      </w:pPr>
      <w:r>
        <w:rPr/>
        <w:t>长期待摊费用为已经发生但应由报告期和以后各期负担的分摊期限在一年以上的各项费用。 </w:t>
      </w:r>
      <w:r>
        <w:rPr>
          <w:spacing w:val="-1"/>
        </w:rPr>
        <w:t>长期待摊费用按实际发生额入账，在受益期或规定的期限内分期平均摊销。如果长期待摊的费用项目</w:t>
      </w:r>
    </w:p>
    <w:p>
      <w:pPr>
        <w:pStyle w:val="Heading4"/>
        <w:spacing w:line="240" w:lineRule="auto" w:before="37"/>
        <w:ind w:right="0"/>
        <w:jc w:val="left"/>
      </w:pPr>
      <w:r>
        <w:rPr/>
        <w:t>不能使以后会计期间受益则将尚未摊销的该项目的摊余价值全部转入当期损益。</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2、职工薪酬" w:id="196"/>
      <w:bookmarkEnd w:id="196"/>
      <w:r>
        <w:rPr>
          <w:b w:val="0"/>
          <w:bCs w:val="0"/>
        </w:rPr>
      </w:r>
      <w:r>
        <w:rPr>
          <w:rFonts w:ascii="Times New Roman" w:hAnsi="Times New Roman" w:cs="Times New Roman" w:eastAsia="Times New Roman" w:hint="default"/>
        </w:rPr>
        <w:t>22</w:t>
      </w:r>
      <w:r>
        <w:rPr/>
        <w:t>、职工薪酬</w:t>
      </w:r>
      <w:r>
        <w:rPr>
          <w:b w:val="0"/>
          <w:bCs w:val="0"/>
        </w:rPr>
      </w:r>
    </w:p>
    <w:p>
      <w:pPr>
        <w:spacing w:line="590" w:lineRule="atLeast" w:before="23"/>
        <w:ind w:left="1554" w:right="0" w:hanging="420"/>
        <w:jc w:val="left"/>
        <w:rPr>
          <w:rFonts w:ascii="宋体" w:hAnsi="宋体" w:cs="宋体" w:eastAsia="宋体" w:hint="default"/>
          <w:sz w:val="21"/>
          <w:szCs w:val="21"/>
        </w:rPr>
      </w:pPr>
      <w:bookmarkStart w:name="（1）短期薪酬的会计处理方法" w:id="197"/>
      <w:bookmarkEnd w:id="1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本公司在职工提供服务的会计期间，将实际发生的短期薪酬确认为负债，并计入当期损益或相关资产</w:t>
      </w:r>
    </w:p>
    <w:p>
      <w:pPr>
        <w:pStyle w:val="Heading4"/>
        <w:spacing w:line="240" w:lineRule="auto" w:before="37"/>
        <w:ind w:left="1134" w:right="0"/>
        <w:jc w:val="left"/>
      </w:pPr>
      <w:r>
        <w:rPr/>
        <w:t>成本。其中，非货币性福利按照公允价值计量。</w:t>
      </w:r>
    </w:p>
    <w:p>
      <w:pPr>
        <w:spacing w:line="590" w:lineRule="atLeast" w:before="39"/>
        <w:ind w:left="1554" w:right="0" w:hanging="420"/>
        <w:jc w:val="left"/>
        <w:rPr>
          <w:rFonts w:ascii="宋体" w:hAnsi="宋体" w:cs="宋体" w:eastAsia="宋体" w:hint="default"/>
          <w:sz w:val="21"/>
          <w:szCs w:val="21"/>
        </w:rPr>
      </w:pPr>
      <w:bookmarkStart w:name="（2）离职后福利的会计处理方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本公司职工参加了由当地劳动和社会保障部门组织实施的社会基本养老保险。本公司以当地规定的社</w:t>
      </w:r>
    </w:p>
    <w:p>
      <w:pPr>
        <w:pStyle w:val="Heading4"/>
        <w:spacing w:line="273" w:lineRule="auto" w:before="37"/>
        <w:ind w:left="1134" w:right="1110"/>
        <w:jc w:val="both"/>
      </w:pPr>
      <w:r>
        <w:rPr/>
        <w:t>会基本养老保险缴纳基数和比例，按月向当地社会基本养老保险经办机构缴纳养老保险费。职工退休后， 当地劳动及社会保障部门有责任向已退休员工支付社会基本养老金。本公司在职工提供服务的会计期间， 将根据上述社保规定计算应缴纳的金额确认为负债，并计入当期损益或相关资产成本。</w:t>
      </w:r>
    </w:p>
    <w:p>
      <w:pPr>
        <w:spacing w:line="590" w:lineRule="atLeast" w:before="9"/>
        <w:ind w:left="1553" w:right="0" w:hanging="420"/>
        <w:jc w:val="left"/>
        <w:rPr>
          <w:rFonts w:ascii="宋体" w:hAnsi="宋体" w:cs="宋体" w:eastAsia="宋体" w:hint="default"/>
          <w:sz w:val="21"/>
          <w:szCs w:val="21"/>
        </w:rPr>
      </w:pPr>
      <w:bookmarkStart w:name="（3）辞退福利的会计处理方法"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本公司在职工劳动合同到期之前解除与职工的劳动关系、或者为鼓励职工自愿接受裁减而提出给予补</w:t>
      </w:r>
    </w:p>
    <w:p>
      <w:pPr>
        <w:pStyle w:val="Heading4"/>
        <w:spacing w:line="273" w:lineRule="auto" w:before="37"/>
        <w:ind w:right="0"/>
        <w:jc w:val="left"/>
      </w:pPr>
      <w:r>
        <w:rPr>
          <w:spacing w:val="-1"/>
        </w:rPr>
        <w:t>偿，在本公司不能单方面撤回解除劳动关系计划或裁减建议时和确认与涉及支付辞退福利的重组相关的成</w:t>
      </w:r>
      <w:r>
        <w:rPr>
          <w:spacing w:val="-81"/>
        </w:rPr>
        <w:t> </w:t>
      </w:r>
      <w:r>
        <w:rPr>
          <w:spacing w:val="-81"/>
        </w:rPr>
      </w:r>
      <w:r>
        <w:rPr/>
        <w:t>本费用时两者孰早日，确认因解除与职工的劳动关系给予补偿而产生的负债，同时计入当期损益。</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3、预计负债" w:id="200"/>
      <w:bookmarkEnd w:id="200"/>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left="1134" w:right="1131" w:firstLine="420"/>
        <w:jc w:val="both"/>
      </w:pPr>
      <w:r>
        <w:rPr>
          <w:spacing w:val="-1"/>
        </w:rPr>
        <w:t>因对外提供担保、诉讼事项、产品质量保证、亏损合同等或有事项形成的义务成为本公司承担的现时</w:t>
      </w:r>
      <w:r>
        <w:rPr/>
        <w:t> </w:t>
      </w:r>
      <w:r>
        <w:rPr>
          <w:spacing w:val="-1"/>
        </w:rPr>
        <w:t>义务，履行该义务很可能导致经济利益流出本公司，且该义务的金额能够可靠的计量时，本公司将该项义</w:t>
      </w:r>
      <w:r>
        <w:rPr>
          <w:spacing w:val="-83"/>
        </w:rPr>
        <w:t> </w:t>
      </w:r>
      <w:r>
        <w:rPr>
          <w:spacing w:val="-83"/>
        </w:rPr>
      </w:r>
      <w:r>
        <w:rPr/>
        <w:t>务确认为预计负债。</w:t>
      </w:r>
    </w:p>
    <w:p>
      <w:pPr>
        <w:pStyle w:val="Heading4"/>
        <w:spacing w:line="273" w:lineRule="auto" w:before="127"/>
        <w:ind w:left="1134" w:right="1131" w:firstLine="420"/>
        <w:jc w:val="both"/>
      </w:pPr>
      <w:r>
        <w:rPr>
          <w:spacing w:val="-1"/>
        </w:rPr>
        <w:t>本公司按照履行相关现时义务所需支出的最佳估计数对预计负债进行初始计量，并在资产负债表日对</w:t>
      </w:r>
      <w:r>
        <w:rPr/>
        <w:t> 预计负债的账面价值进行复核。</w:t>
      </w:r>
    </w:p>
    <w:p>
      <w:pPr>
        <w:spacing w:line="240" w:lineRule="auto" w:before="8"/>
        <w:rPr>
          <w:rFonts w:ascii="宋体" w:hAnsi="宋体" w:cs="宋体" w:eastAsia="宋体" w:hint="default"/>
          <w:sz w:val="23"/>
          <w:szCs w:val="23"/>
        </w:rPr>
      </w:pPr>
    </w:p>
    <w:p>
      <w:pPr>
        <w:pStyle w:val="Heading3"/>
        <w:spacing w:line="240" w:lineRule="auto"/>
        <w:ind w:left="1134" w:right="0"/>
        <w:jc w:val="left"/>
        <w:rPr>
          <w:b w:val="0"/>
          <w:bCs w:val="0"/>
        </w:rPr>
      </w:pPr>
      <w:bookmarkStart w:name="24、股份支付" w:id="201"/>
      <w:bookmarkEnd w:id="201"/>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8"/>
        <w:rPr>
          <w:rFonts w:ascii="宋体" w:hAnsi="宋体" w:cs="宋体" w:eastAsia="宋体" w:hint="default"/>
          <w:b/>
          <w:bCs/>
          <w:sz w:val="24"/>
          <w:szCs w:val="24"/>
        </w:rPr>
      </w:pPr>
    </w:p>
    <w:p>
      <w:pPr>
        <w:pStyle w:val="Heading4"/>
        <w:spacing w:line="357" w:lineRule="auto"/>
        <w:ind w:left="1554" w:right="529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股份支付的种类</w:t>
      </w:r>
      <w:r>
        <w:rPr>
          <w:w w:val="99"/>
        </w:rPr>
        <w:t> </w:t>
      </w:r>
      <w:r>
        <w:rPr/>
        <w:t>包括以权益结算的股份支付和以现金结算的股份支付。</w:t>
      </w:r>
    </w:p>
    <w:p>
      <w:pPr>
        <w:spacing w:after="0" w:line="357"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left="155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权益工具公允价值的确定方法</w:t>
      </w:r>
    </w:p>
    <w:p>
      <w:pPr>
        <w:pStyle w:val="Heading4"/>
        <w:spacing w:line="240" w:lineRule="auto" w:before="141"/>
        <w:ind w:left="1553" w:right="0"/>
        <w:jc w:val="left"/>
      </w:pPr>
      <w:r>
        <w:rPr>
          <w:rFonts w:ascii="Times New Roman" w:hAnsi="Times New Roman" w:cs="Times New Roman" w:eastAsia="Times New Roman" w:hint="default"/>
        </w:rPr>
        <w:t>1</w:t>
      </w:r>
      <w:r>
        <w:rPr/>
        <w:t>）存在活跃市场的，按照活跃市场中的报价确定。</w:t>
      </w:r>
    </w:p>
    <w:p>
      <w:pPr>
        <w:pStyle w:val="Heading4"/>
        <w:spacing w:line="256" w:lineRule="auto" w:before="141"/>
        <w:ind w:right="1110" w:firstLine="420"/>
        <w:jc w:val="both"/>
      </w:pPr>
      <w:r>
        <w:rPr>
          <w:rFonts w:ascii="Times New Roman" w:hAnsi="Times New Roman" w:cs="Times New Roman" w:eastAsia="Times New Roman" w:hint="default"/>
        </w:rPr>
        <w:t>2</w:t>
      </w:r>
      <w:r>
        <w:rPr/>
        <w:t>）不存在活跃市场的，采用估值技术确定，包括参考熟悉情况并自愿交易的各方最近进行的市场交 易中使用的价格、参照实质上相同的其他金融工具的当前公允价值、现金流量折现法和期权定价模型等。</w:t>
      </w:r>
    </w:p>
    <w:p>
      <w:pPr>
        <w:pStyle w:val="Heading4"/>
        <w:spacing w:line="362" w:lineRule="auto" w:before="142"/>
        <w:ind w:left="1554" w:right="5082"/>
        <w:jc w:val="left"/>
      </w:pPr>
      <w:r>
        <w:rPr>
          <w:rFonts w:ascii="Times New Roman" w:hAnsi="Times New Roman" w:cs="Times New Roman" w:eastAsia="Times New Roman" w:hint="default"/>
        </w:rPr>
        <w:t>(3)</w:t>
      </w:r>
      <w:r>
        <w:rPr/>
        <w:t>确认可行权权益工具最佳估计的依据</w:t>
      </w:r>
      <w:r>
        <w:rPr>
          <w:w w:val="99"/>
        </w:rPr>
        <w:t> </w:t>
      </w:r>
      <w:r>
        <w:rPr/>
        <w:t>根据最新取得的可行权职工数变动等后续信息进行估计。</w:t>
      </w:r>
      <w:r>
        <w:rPr>
          <w:w w:val="99"/>
        </w:rPr>
        <w:t> </w:t>
      </w: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实施、修改、终止股份支付计划的相关会计处理</w:t>
      </w:r>
      <w:r>
        <w:rPr>
          <w:w w:val="99"/>
        </w:rPr>
        <w:t> </w:t>
      </w:r>
      <w:r>
        <w:rPr>
          <w:rFonts w:ascii="Times New Roman" w:hAnsi="Times New Roman" w:cs="Times New Roman" w:eastAsia="Times New Roman" w:hint="default"/>
        </w:rPr>
        <w:t>1</w:t>
      </w:r>
      <w:r>
        <w:rPr/>
        <w:t>）以权益结算的股份支付</w:t>
      </w:r>
    </w:p>
    <w:p>
      <w:pPr>
        <w:pStyle w:val="Heading4"/>
        <w:spacing w:line="273" w:lineRule="auto" w:before="22"/>
        <w:ind w:left="1134" w:right="1023" w:firstLine="420"/>
        <w:jc w:val="left"/>
      </w:pPr>
      <w:r>
        <w:rPr/>
        <w:t>授予后立即可行权的换取职工服务的以权益结算的股份支付，在授予日按照权益工具的公允价值计入 相关成本或费用，相应调整资本公积。完成等待期内的服务或达到规定业绩条件才可行权的换取职工服务 </w:t>
      </w:r>
      <w:r>
        <w:rPr>
          <w:spacing w:val="-3"/>
        </w:rPr>
        <w:t>的以权益结算的股份支付，在等待期内的每个资产负债表日，以对可行权权益工具数量的最佳估计为基础，</w:t>
      </w:r>
      <w:r>
        <w:rPr>
          <w:spacing w:val="-92"/>
        </w:rPr>
        <w:t> </w:t>
      </w:r>
      <w:r>
        <w:rPr>
          <w:spacing w:val="-92"/>
        </w:rPr>
      </w:r>
      <w:r>
        <w:rPr/>
        <w:t>按权益工具授予日的公允价值，将当期取得的服务计入相关成本或费用，相应调整资本公积。</w:t>
      </w:r>
    </w:p>
    <w:p>
      <w:pPr>
        <w:pStyle w:val="Heading4"/>
        <w:spacing w:line="273" w:lineRule="auto" w:before="127"/>
        <w:ind w:left="1134" w:right="1130" w:firstLine="420"/>
        <w:jc w:val="both"/>
      </w:pPr>
      <w:r>
        <w:rPr>
          <w:spacing w:val="-1"/>
        </w:rPr>
        <w:t>换取其他方服务的权益结算的股份支付，如果其他方服务的公允价值能够可靠计量的，按照其他方服</w:t>
      </w:r>
      <w:r>
        <w:rPr/>
        <w:t> </w:t>
      </w:r>
      <w:r>
        <w:rPr>
          <w:spacing w:val="-1"/>
        </w:rPr>
        <w:t>务在取得日的公允价值计量；如果其他方服务的公允价值不能可靠计量，但权益工具的公允价值能够可靠</w:t>
      </w:r>
      <w:r>
        <w:rPr>
          <w:spacing w:val="-81"/>
        </w:rPr>
        <w:t> </w:t>
      </w:r>
      <w:r>
        <w:rPr>
          <w:spacing w:val="-81"/>
        </w:rPr>
      </w:r>
      <w:r>
        <w:rPr/>
        <w:t>计量的，按照权益工具在服务取得日的公允价值计量，计入相关成本或费用，相应增加所有者权益。</w:t>
      </w:r>
    </w:p>
    <w:p>
      <w:pPr>
        <w:pStyle w:val="Heading4"/>
        <w:spacing w:line="357" w:lineRule="auto" w:before="127"/>
        <w:ind w:left="1554" w:right="0"/>
        <w:jc w:val="left"/>
      </w:pPr>
      <w:r>
        <w:rPr>
          <w:rFonts w:ascii="Times New Roman" w:hAnsi="Times New Roman" w:cs="Times New Roman" w:eastAsia="Times New Roman" w:hint="default"/>
        </w:rPr>
        <w:t>2</w:t>
      </w:r>
      <w:r>
        <w:rPr/>
        <w:t>）以现金结算的股份支付 </w:t>
      </w:r>
      <w:r>
        <w:rPr>
          <w:spacing w:val="-1"/>
        </w:rPr>
        <w:t>授予后立即可行权的换取职工服务的以现金结算的股份支付，在授予日按本公司承担负债的公允价值</w:t>
      </w:r>
    </w:p>
    <w:p>
      <w:pPr>
        <w:pStyle w:val="Heading4"/>
        <w:spacing w:line="209" w:lineRule="exact"/>
        <w:ind w:left="1134" w:right="0"/>
        <w:jc w:val="left"/>
      </w:pPr>
      <w:r>
        <w:rPr/>
        <w:t>计入相关成本或费用，相应增加负债。完成等待期内的服务或达到规定业绩条件才可行权的换取职工服务</w:t>
      </w:r>
    </w:p>
    <w:p>
      <w:pPr>
        <w:pStyle w:val="Heading4"/>
        <w:spacing w:line="273" w:lineRule="auto" w:before="37"/>
        <w:ind w:left="1134" w:right="0"/>
        <w:jc w:val="left"/>
      </w:pPr>
      <w:r>
        <w:rPr>
          <w:spacing w:val="-1"/>
        </w:rPr>
        <w:t>的以现金结算的股份支付，在等待期内的每个资产负债表日，以对可行权情况的最佳估计为基础，按本公</w:t>
      </w:r>
      <w:r>
        <w:rPr>
          <w:spacing w:val="-82"/>
        </w:rPr>
        <w:t> </w:t>
      </w:r>
      <w:r>
        <w:rPr>
          <w:spacing w:val="-82"/>
        </w:rPr>
      </w:r>
      <w:r>
        <w:rPr/>
        <w:t>司承担负债的公允价值，将当期取得的服务计入相关成本或费用和相应的负债。</w:t>
      </w:r>
    </w:p>
    <w:p>
      <w:pPr>
        <w:pStyle w:val="Heading4"/>
        <w:spacing w:line="357" w:lineRule="auto" w:before="127"/>
        <w:ind w:left="1554" w:right="0"/>
        <w:jc w:val="left"/>
      </w:pPr>
      <w:r>
        <w:rPr>
          <w:rFonts w:ascii="Times New Roman" w:hAnsi="Times New Roman" w:cs="Times New Roman" w:eastAsia="Times New Roman" w:hint="default"/>
        </w:rPr>
        <w:t>3</w:t>
      </w:r>
      <w:r>
        <w:rPr/>
        <w:t>）修改、终止股份支付计划 </w:t>
      </w:r>
      <w:r>
        <w:rPr>
          <w:spacing w:val="-1"/>
        </w:rPr>
        <w:t>如果修改增加了所授予的权益工具的公允价值，本公司按照权益工具公允价值的增加相应地确认取得</w:t>
      </w:r>
    </w:p>
    <w:p>
      <w:pPr>
        <w:pStyle w:val="Heading4"/>
        <w:spacing w:line="209" w:lineRule="exact"/>
        <w:ind w:left="1134" w:right="0"/>
        <w:jc w:val="left"/>
      </w:pPr>
      <w:r>
        <w:rPr/>
        <w:t>服务的增加；如果修改增加了所授予的权益工具的数量，本公司将增加的权益工具的公允价值相应地确认</w:t>
      </w:r>
    </w:p>
    <w:p>
      <w:pPr>
        <w:pStyle w:val="Heading4"/>
        <w:spacing w:line="273" w:lineRule="auto" w:before="37"/>
        <w:ind w:left="1134" w:right="0"/>
        <w:jc w:val="left"/>
      </w:pPr>
      <w:r>
        <w:rPr>
          <w:spacing w:val="-1"/>
        </w:rPr>
        <w:t>为取得服务的增加；如果本公司按照有利于职工的方式修改可行权条件，公司在处理可行权条件时，考虑</w:t>
      </w:r>
      <w:r>
        <w:rPr>
          <w:spacing w:val="-83"/>
        </w:rPr>
        <w:t> </w:t>
      </w:r>
      <w:r>
        <w:rPr>
          <w:spacing w:val="-83"/>
        </w:rPr>
      </w:r>
      <w:r>
        <w:rPr/>
        <w:t>修改后的可行权条件。</w:t>
      </w:r>
    </w:p>
    <w:p>
      <w:pPr>
        <w:pStyle w:val="Heading4"/>
        <w:spacing w:line="273" w:lineRule="auto" w:before="127"/>
        <w:ind w:left="1134" w:right="1131" w:firstLine="420"/>
        <w:jc w:val="both"/>
      </w:pPr>
      <w:r>
        <w:rPr>
          <w:spacing w:val="-1"/>
        </w:rPr>
        <w:t>如果修改减少了授予的权益工具的公允价值，本公司继续以权益工具在授予日的公允价值为基础，确</w:t>
      </w:r>
      <w:r>
        <w:rPr/>
        <w:t> </w:t>
      </w:r>
      <w:r>
        <w:rPr>
          <w:spacing w:val="-1"/>
        </w:rPr>
        <w:t>认取得服务的金额，而不考虑权益工具公允价值的减少；如果修改减少了授予的权益工具的数量，本公司</w:t>
      </w:r>
      <w:r>
        <w:rPr>
          <w:spacing w:val="-83"/>
        </w:rPr>
        <w:t> </w:t>
      </w:r>
      <w:r>
        <w:rPr>
          <w:spacing w:val="-83"/>
        </w:rPr>
      </w:r>
      <w:r>
        <w:rPr>
          <w:spacing w:val="-1"/>
        </w:rPr>
        <w:t>将减少部分作为已授予的权益工具的取消来进行处理；如果以不利于职工的方式修改了可行权条件，在处</w:t>
      </w:r>
      <w:r>
        <w:rPr>
          <w:spacing w:val="-81"/>
        </w:rPr>
        <w:t> </w:t>
      </w:r>
      <w:r>
        <w:rPr>
          <w:spacing w:val="-81"/>
        </w:rPr>
      </w:r>
      <w:r>
        <w:rPr/>
        <w:t>理可行权条件时，不考虑修改后的可行权条件。</w:t>
      </w:r>
    </w:p>
    <w:p>
      <w:pPr>
        <w:pStyle w:val="Heading4"/>
        <w:spacing w:line="273" w:lineRule="auto" w:before="127"/>
        <w:ind w:left="1134" w:right="1132" w:firstLine="420"/>
        <w:jc w:val="both"/>
      </w:pPr>
      <w:r>
        <w:rPr>
          <w:spacing w:val="-1"/>
        </w:rPr>
        <w:t>如果本公司在等待期内取消了所授予的权益工具或结算了所授予的权益工具（因未满足可行权条件而</w:t>
      </w:r>
      <w:r>
        <w:rPr/>
        <w:t> 被取消的除外），则将取消或结算作为加速可行权处理，立即确认原本在剩余等待期内确认的金额。</w:t>
      </w:r>
    </w:p>
    <w:p>
      <w:pPr>
        <w:spacing w:line="240" w:lineRule="auto" w:before="8"/>
        <w:rPr>
          <w:rFonts w:ascii="宋体" w:hAnsi="宋体" w:cs="宋体" w:eastAsia="宋体" w:hint="default"/>
          <w:sz w:val="23"/>
          <w:szCs w:val="23"/>
        </w:rPr>
      </w:pPr>
    </w:p>
    <w:p>
      <w:pPr>
        <w:pStyle w:val="Heading3"/>
        <w:spacing w:line="240" w:lineRule="auto"/>
        <w:ind w:left="1134" w:right="0"/>
        <w:jc w:val="left"/>
        <w:rPr>
          <w:b w:val="0"/>
          <w:bCs w:val="0"/>
        </w:rPr>
      </w:pPr>
      <w:bookmarkStart w:name="25、收入" w:id="202"/>
      <w:bookmarkEnd w:id="202"/>
      <w:r>
        <w:rPr>
          <w:b w:val="0"/>
          <w:bCs w:val="0"/>
        </w:rPr>
      </w: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Heading4"/>
        <w:spacing w:line="264" w:lineRule="auto" w:before="2"/>
        <w:ind w:left="1134" w:right="1131" w:firstLine="420"/>
        <w:jc w:val="both"/>
      </w:pPr>
      <w:r>
        <w:rPr>
          <w:rFonts w:ascii="Times New Roman" w:hAnsi="Times New Roman" w:cs="Times New Roman" w:eastAsia="Times New Roman" w:hint="default"/>
          <w:spacing w:val="-2"/>
        </w:rPr>
        <w:t>(1)</w:t>
      </w:r>
      <w:r>
        <w:rPr>
          <w:spacing w:val="-2"/>
        </w:rPr>
        <w:t>商品销售收入：公司已将商品所有权上的主要风险和报酬转移给购货方；既没有保留通常与所有权</w:t>
      </w:r>
      <w:r>
        <w:rPr>
          <w:w w:val="99"/>
        </w:rPr>
        <w:t> </w:t>
      </w:r>
      <w:r>
        <w:rPr>
          <w:spacing w:val="-1"/>
        </w:rPr>
        <w:t>相联系的继续管理权，也没有对已售出的商品实施有效控制；相关的经济利益很可能流入企业；收入的金</w:t>
      </w:r>
      <w:r>
        <w:rPr>
          <w:spacing w:val="-84"/>
        </w:rPr>
        <w:t> </w:t>
      </w:r>
      <w:r>
        <w:rPr>
          <w:spacing w:val="-84"/>
        </w:rPr>
      </w:r>
      <w:r>
        <w:rPr/>
        <w:t>额和相关的成本能够可靠地计量，确认收入的实现。</w:t>
      </w:r>
    </w:p>
    <w:p>
      <w:pPr>
        <w:spacing w:after="0" w:line="264"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56" w:lineRule="auto" w:before="35"/>
        <w:ind w:right="1132" w:firstLine="420"/>
        <w:jc w:val="both"/>
      </w:pPr>
      <w:r>
        <w:rPr>
          <w:rFonts w:ascii="Times New Roman" w:hAnsi="Times New Roman" w:cs="Times New Roman" w:eastAsia="Times New Roman" w:hint="default"/>
          <w:spacing w:val="-2"/>
        </w:rPr>
        <w:t>(2)</w:t>
      </w:r>
      <w:r>
        <w:rPr>
          <w:spacing w:val="-2"/>
        </w:rPr>
        <w:t>提供劳务收入：在提供劳务交易的结果能够可靠估计的情况下，于期末按完工百分比法确认相关的</w:t>
      </w:r>
      <w:r>
        <w:rPr>
          <w:w w:val="99"/>
        </w:rPr>
        <w:t> </w:t>
      </w:r>
      <w:r>
        <w:rPr/>
        <w:t>劳务收入。</w:t>
      </w:r>
    </w:p>
    <w:p>
      <w:pPr>
        <w:pStyle w:val="Heading4"/>
        <w:spacing w:line="256" w:lineRule="auto" w:before="142"/>
        <w:ind w:right="1132" w:firstLine="420"/>
        <w:jc w:val="both"/>
      </w:pPr>
      <w:r>
        <w:rPr>
          <w:spacing w:val="-3"/>
        </w:rPr>
        <w:t>提供劳务交易的结果能够可靠估计是指同时满足：</w:t>
      </w:r>
      <w:r>
        <w:rPr>
          <w:rFonts w:ascii="Times New Roman" w:hAnsi="Times New Roman" w:cs="Times New Roman" w:eastAsia="Times New Roman" w:hint="default"/>
          <w:spacing w:val="-3"/>
        </w:rPr>
        <w:t>A</w:t>
      </w:r>
      <w:r>
        <w:rPr>
          <w:spacing w:val="-3"/>
        </w:rPr>
        <w:t>、收入的金额能够可靠地计量；</w:t>
      </w:r>
      <w:r>
        <w:rPr>
          <w:rFonts w:ascii="Times New Roman" w:hAnsi="Times New Roman" w:cs="Times New Roman" w:eastAsia="Times New Roman" w:hint="default"/>
          <w:spacing w:val="-3"/>
        </w:rPr>
        <w:t>B</w:t>
      </w:r>
      <w:r>
        <w:rPr>
          <w:spacing w:val="-3"/>
        </w:rPr>
        <w:t>、相关的经济利</w:t>
      </w:r>
      <w:r>
        <w:rPr/>
        <w:t> </w:t>
      </w:r>
      <w:r>
        <w:rPr>
          <w:spacing w:val="-3"/>
        </w:rPr>
        <w:t>益很可能流入企业；</w:t>
      </w:r>
      <w:r>
        <w:rPr>
          <w:rFonts w:ascii="Times New Roman" w:hAnsi="Times New Roman" w:cs="Times New Roman" w:eastAsia="Times New Roman" w:hint="default"/>
          <w:spacing w:val="-3"/>
        </w:rPr>
        <w:t>C</w:t>
      </w:r>
      <w:r>
        <w:rPr>
          <w:spacing w:val="-3"/>
        </w:rPr>
        <w:t>、交易的完工程度能够可靠地确定；</w:t>
      </w:r>
      <w:r>
        <w:rPr>
          <w:rFonts w:ascii="Times New Roman" w:hAnsi="Times New Roman" w:cs="Times New Roman" w:eastAsia="Times New Roman" w:hint="default"/>
          <w:spacing w:val="-3"/>
        </w:rPr>
        <w:t>D</w:t>
      </w:r>
      <w:r>
        <w:rPr>
          <w:spacing w:val="-3"/>
        </w:rPr>
        <w:t>、交易中已发生和将发生的成本能够可靠地计</w:t>
      </w:r>
      <w:r>
        <w:rPr>
          <w:spacing w:val="-70"/>
        </w:rPr>
        <w:t> </w:t>
      </w:r>
      <w:r>
        <w:rPr>
          <w:spacing w:val="-70"/>
        </w:rPr>
      </w:r>
      <w:r>
        <w:rPr/>
        <w:t>量。</w:t>
      </w:r>
    </w:p>
    <w:p>
      <w:pPr>
        <w:pStyle w:val="Heading4"/>
        <w:spacing w:line="240" w:lineRule="auto" w:before="142"/>
        <w:ind w:left="1554" w:right="0"/>
        <w:jc w:val="left"/>
      </w:pPr>
      <w:r>
        <w:rPr/>
        <w:t>企业在资产负债表日提供劳务交易结果不能够可靠估计的，区分以下情况处理：</w:t>
      </w:r>
    </w:p>
    <w:p>
      <w:pPr>
        <w:pStyle w:val="Heading4"/>
        <w:spacing w:line="256" w:lineRule="auto" w:before="157"/>
        <w:ind w:right="1215" w:firstLine="420"/>
        <w:jc w:val="both"/>
      </w:pPr>
      <w:r>
        <w:rPr>
          <w:rFonts w:ascii="Times New Roman" w:hAnsi="Times New Roman" w:cs="Times New Roman" w:eastAsia="Times New Roman" w:hint="default"/>
        </w:rPr>
        <w:t>1</w:t>
      </w:r>
      <w:r>
        <w:rPr/>
        <w:t>）已经发生的劳务成本预计能够得到补偿的，按照已经发生的劳务成本金额确认提供劳务收入，并 按相同金额结转劳务成本。</w:t>
      </w:r>
    </w:p>
    <w:p>
      <w:pPr>
        <w:pStyle w:val="Heading4"/>
        <w:spacing w:line="256" w:lineRule="auto" w:before="142"/>
        <w:ind w:right="1215" w:firstLine="420"/>
        <w:jc w:val="both"/>
      </w:pPr>
      <w:r>
        <w:rPr>
          <w:rFonts w:ascii="Times New Roman" w:hAnsi="Times New Roman" w:cs="Times New Roman" w:eastAsia="Times New Roman" w:hint="default"/>
        </w:rPr>
        <w:t>2</w:t>
      </w:r>
      <w:r>
        <w:rPr/>
        <w:t>）已经发生的劳务成本预计不能够得到补偿的，将已经发生的劳务成本计入当期损益，则不确认提 供劳务收入。</w:t>
      </w:r>
    </w:p>
    <w:p>
      <w:pPr>
        <w:pStyle w:val="Heading4"/>
        <w:spacing w:line="430" w:lineRule="atLeast" w:before="3"/>
        <w:ind w:left="1553" w:right="0"/>
        <w:jc w:val="left"/>
      </w:pPr>
      <w:r>
        <w:rPr>
          <w:rFonts w:ascii="Times New Roman" w:hAnsi="Times New Roman" w:cs="Times New Roman" w:eastAsia="Times New Roman" w:hint="default"/>
        </w:rPr>
        <w:t>(3)</w:t>
      </w:r>
      <w:r>
        <w:rPr/>
        <w:t>本公司主要提供公关服务、创业辅导培训、会员服务业务，具体收入确认原则如下：</w:t>
      </w:r>
      <w:r>
        <w:rPr>
          <w:w w:val="99"/>
        </w:rPr>
        <w:t> </w:t>
      </w:r>
      <w:r>
        <w:rPr>
          <w:rFonts w:ascii="Times New Roman" w:hAnsi="Times New Roman" w:cs="Times New Roman" w:eastAsia="Times New Roman" w:hint="default"/>
          <w:spacing w:val="-1"/>
        </w:rPr>
        <w:t>1</w:t>
      </w:r>
      <w:r>
        <w:rPr>
          <w:spacing w:val="-1"/>
        </w:rPr>
        <w:t>）公关服务：公司根据合同提供劳务服务，客户对已完成的项目确认验收，公司于客户确认验收后，</w:t>
      </w:r>
    </w:p>
    <w:p>
      <w:pPr>
        <w:pStyle w:val="Heading4"/>
        <w:spacing w:line="240" w:lineRule="auto" w:before="21"/>
        <w:ind w:right="0"/>
        <w:jc w:val="left"/>
      </w:pPr>
      <w:r>
        <w:rPr/>
        <w:t>确认相应服务的收入。同时，公司对已确认收入项目结转相应成本。</w:t>
      </w:r>
    </w:p>
    <w:p>
      <w:pPr>
        <w:pStyle w:val="Heading4"/>
        <w:spacing w:line="273" w:lineRule="auto" w:before="157"/>
        <w:ind w:right="1024" w:firstLine="420"/>
        <w:jc w:val="left"/>
      </w:pPr>
      <w:r>
        <w:rPr/>
        <w:t>对于未完工的项目区分以下情况处理：已经发生的劳务成本预计能够得到补偿的，按照已经发生的劳 </w:t>
      </w:r>
      <w:r>
        <w:rPr>
          <w:spacing w:val="-3"/>
        </w:rPr>
        <w:t>务成本金额确认提供劳务收入，并按相同金额结转劳务成本；已经发生的劳务成本预计不能够得到补偿的，</w:t>
      </w:r>
      <w:r>
        <w:rPr>
          <w:spacing w:val="-92"/>
        </w:rPr>
        <w:t> </w:t>
      </w:r>
      <w:r>
        <w:rPr>
          <w:spacing w:val="-92"/>
        </w:rPr>
      </w:r>
      <w:r>
        <w:rPr/>
        <w:t>将已经发生的劳务成本计入当期损益，则不确认提供劳务收入。</w:t>
      </w:r>
    </w:p>
    <w:p>
      <w:pPr>
        <w:pStyle w:val="Heading4"/>
        <w:spacing w:line="264" w:lineRule="auto" w:before="127"/>
        <w:ind w:right="0" w:firstLine="420"/>
        <w:jc w:val="left"/>
      </w:pPr>
      <w:r>
        <w:rPr>
          <w:rFonts w:ascii="Times New Roman" w:hAnsi="Times New Roman" w:cs="Times New Roman" w:eastAsia="Times New Roman" w:hint="default"/>
        </w:rPr>
        <w:t>2</w:t>
      </w:r>
      <w:r>
        <w:rPr/>
        <w:t>）创业辅导培训：对于短期一次性培训班业务在培训业务完成后确认收入，同时确认该培训班次产 </w:t>
      </w:r>
      <w:r>
        <w:rPr>
          <w:spacing w:val="-1"/>
        </w:rPr>
        <w:t>生的成本；对于多期培训业务，则将多期培训业务按班次平均拆分为多次培训业务，每完成一个班次的培</w:t>
      </w:r>
      <w:r>
        <w:rPr>
          <w:spacing w:val="-83"/>
        </w:rPr>
        <w:t> </w:t>
      </w:r>
      <w:r>
        <w:rPr>
          <w:spacing w:val="-83"/>
        </w:rPr>
      </w:r>
      <w:r>
        <w:rPr/>
        <w:t>训确认该次培训的收入，并同时确认该次培训产生的成本。</w:t>
      </w:r>
    </w:p>
    <w:p>
      <w:pPr>
        <w:pStyle w:val="Heading4"/>
        <w:spacing w:line="357" w:lineRule="auto" w:before="136"/>
        <w:ind w:left="1553" w:right="4138"/>
        <w:jc w:val="left"/>
      </w:pPr>
      <w:r>
        <w:rPr>
          <w:rFonts w:ascii="Times New Roman" w:hAnsi="Times New Roman" w:cs="Times New Roman" w:eastAsia="Times New Roman" w:hint="default"/>
        </w:rPr>
        <w:t>3</w:t>
      </w:r>
      <w:r>
        <w:rPr/>
        <w:t>）会员服务：自会员缴纳入会费后在整个受益期内分期确认收入。 </w:t>
      </w:r>
      <w:r>
        <w:rPr>
          <w:rFonts w:ascii="Times New Roman" w:hAnsi="Times New Roman" w:cs="Times New Roman" w:eastAsia="Times New Roman" w:hint="default"/>
        </w:rPr>
        <w:t>(4)</w:t>
      </w:r>
      <w:r>
        <w:rPr/>
        <w:t>让渡资产使用权</w:t>
      </w:r>
    </w:p>
    <w:p>
      <w:pPr>
        <w:pStyle w:val="Heading4"/>
        <w:spacing w:line="273" w:lineRule="auto" w:before="27"/>
        <w:ind w:left="1134" w:right="1131" w:firstLine="420"/>
        <w:jc w:val="both"/>
      </w:pPr>
      <w:r>
        <w:rPr>
          <w:spacing w:val="-1"/>
        </w:rPr>
        <w:t>让渡资产使用权在同时满足相关的经济利益很可能流入、收入金额能够可靠计量时，确认让渡资产使</w:t>
      </w:r>
      <w:r>
        <w:rPr/>
        <w:t> </w:t>
      </w:r>
      <w:r>
        <w:rPr>
          <w:spacing w:val="-1"/>
        </w:rPr>
        <w:t>用权的收入。利息收入按照他人使用本公司货币资金的时间和实际利率计算确定；使用费收入按有关合同</w:t>
      </w:r>
      <w:r>
        <w:rPr>
          <w:spacing w:val="-81"/>
        </w:rPr>
        <w:t> </w:t>
      </w:r>
      <w:r>
        <w:rPr>
          <w:spacing w:val="-81"/>
        </w:rPr>
      </w:r>
      <w:r>
        <w:rPr/>
        <w:t>或协议约定的收费时间和方法计算确定。</w:t>
      </w:r>
    </w:p>
    <w:p>
      <w:pPr>
        <w:pStyle w:val="Heading4"/>
        <w:spacing w:line="432" w:lineRule="exact" w:before="27"/>
        <w:ind w:left="1554" w:right="1116"/>
        <w:jc w:val="left"/>
      </w:pPr>
      <w:r>
        <w:rPr>
          <w:rFonts w:ascii="Times New Roman" w:hAnsi="Times New Roman" w:cs="Times New Roman" w:eastAsia="Times New Roman" w:hint="default"/>
        </w:rPr>
        <w:t>(5)</w:t>
      </w:r>
      <w:r>
        <w:rPr/>
        <w:t>建造合同</w:t>
      </w:r>
      <w:r>
        <w:rPr>
          <w:w w:val="99"/>
        </w:rPr>
        <w:t> </w:t>
      </w:r>
      <w:r>
        <w:rPr>
          <w:rFonts w:ascii="Times New Roman" w:hAnsi="Times New Roman" w:cs="Times New Roman" w:eastAsia="Times New Roman" w:hint="default"/>
        </w:rPr>
        <w:t>1</w:t>
      </w:r>
      <w:r>
        <w:rPr/>
        <w:t>）建造合同的结果在资产负债表日能够可靠估计的，根据完工百分比法确认合同收入和合同费用。</w:t>
      </w:r>
    </w:p>
    <w:p>
      <w:pPr>
        <w:pStyle w:val="Heading4"/>
        <w:spacing w:line="255" w:lineRule="exact"/>
        <w:ind w:left="1134" w:right="0"/>
        <w:jc w:val="left"/>
      </w:pPr>
      <w:r>
        <w:rPr/>
        <w:t>建造合同的结果在资产负债表日不能够可靠估计的，若合同成本能够收回的，合同收入根据能够收回的实</w:t>
      </w:r>
    </w:p>
    <w:p>
      <w:pPr>
        <w:pStyle w:val="Heading4"/>
        <w:spacing w:line="273" w:lineRule="auto" w:before="37"/>
        <w:ind w:left="1134" w:right="0"/>
        <w:jc w:val="left"/>
      </w:pPr>
      <w:r>
        <w:rPr>
          <w:spacing w:val="-1"/>
        </w:rPr>
        <w:t>际合同成本予以确认，合同成本在其发生的当期确认为合同费用；若合同成本不可能收回的，在发生时立</w:t>
      </w:r>
      <w:r>
        <w:rPr>
          <w:spacing w:val="-82"/>
        </w:rPr>
        <w:t> </w:t>
      </w:r>
      <w:r>
        <w:rPr>
          <w:spacing w:val="-82"/>
        </w:rPr>
      </w:r>
      <w:r>
        <w:rPr/>
        <w:t>即确认为合同费用，不确认合同收入。</w:t>
      </w:r>
    </w:p>
    <w:p>
      <w:pPr>
        <w:pStyle w:val="Heading4"/>
        <w:spacing w:line="266" w:lineRule="auto" w:before="127"/>
        <w:ind w:left="1134" w:right="1131" w:firstLine="420"/>
        <w:jc w:val="both"/>
      </w:pPr>
      <w:r>
        <w:rPr>
          <w:rFonts w:ascii="Times New Roman" w:hAnsi="Times New Roman" w:cs="Times New Roman" w:eastAsia="Times New Roman" w:hint="default"/>
        </w:rPr>
        <w:t>2</w:t>
      </w:r>
      <w:r>
        <w:rPr/>
        <w:t>）固定造价合同同时满足下列条件表明其结果能够可靠估计：合同总收入能够可靠计量、与合同相 </w:t>
      </w:r>
      <w:r>
        <w:rPr>
          <w:spacing w:val="-1"/>
        </w:rPr>
        <w:t>关的经济利益很可能流入、实际发生的合同成本能够清楚地区分和可靠地计量、合同完工进度和为完成合</w:t>
      </w:r>
      <w:r>
        <w:rPr>
          <w:spacing w:val="-81"/>
        </w:rPr>
        <w:t> </w:t>
      </w:r>
      <w:r>
        <w:rPr>
          <w:spacing w:val="-81"/>
        </w:rPr>
      </w:r>
      <w:r>
        <w:rPr>
          <w:spacing w:val="-1"/>
        </w:rPr>
        <w:t>同尚需发生的成本能够可靠地计量。成本加成合同同时满足下列条件表明其结果能够可靠估计：与合同相</w:t>
      </w:r>
      <w:r>
        <w:rPr>
          <w:spacing w:val="-81"/>
        </w:rPr>
        <w:t> </w:t>
      </w:r>
      <w:r>
        <w:rPr>
          <w:spacing w:val="-81"/>
        </w:rPr>
      </w:r>
      <w:r>
        <w:rPr/>
        <w:t>关的经济利益很可能流入、实际发生的合同成本能够清楚地区分和可靠地计量。</w:t>
      </w:r>
    </w:p>
    <w:p>
      <w:pPr>
        <w:pStyle w:val="Heading4"/>
        <w:spacing w:line="240" w:lineRule="auto" w:before="134"/>
        <w:ind w:left="1553" w:right="0"/>
        <w:jc w:val="left"/>
      </w:pPr>
      <w:r>
        <w:rPr>
          <w:rFonts w:ascii="Times New Roman" w:hAnsi="Times New Roman" w:cs="Times New Roman" w:eastAsia="Times New Roman" w:hint="default"/>
        </w:rPr>
        <w:t>3</w:t>
      </w:r>
      <w:r>
        <w:rPr/>
        <w:t>）确定合同完工进度的方法为累计实际发生的合同成本占合同预计总成本的比例。</w:t>
      </w:r>
    </w:p>
    <w:p>
      <w:pPr>
        <w:pStyle w:val="Heading4"/>
        <w:spacing w:line="256" w:lineRule="auto" w:before="141"/>
        <w:ind w:left="1134" w:right="1135" w:firstLine="420"/>
        <w:jc w:val="both"/>
      </w:pPr>
      <w:r>
        <w:rPr>
          <w:rFonts w:ascii="Times New Roman" w:hAnsi="Times New Roman" w:cs="Times New Roman" w:eastAsia="Times New Roman" w:hint="default"/>
        </w:rPr>
        <w:t>4</w:t>
      </w:r>
      <w:r>
        <w:rPr/>
        <w:t>）资产负债表日，合同预计总成本超过合同总收入的，将预计损失确认为当期费用。执行中的建造 合同，按其差额计提存货跌价准备；待执行的亏损合同，按其差额确认预计负债。</w:t>
      </w:r>
    </w:p>
    <w:p>
      <w:pPr>
        <w:spacing w:after="0" w:line="256"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26、政府补助" w:id="203"/>
      <w:bookmarkEnd w:id="203"/>
      <w:r>
        <w:rPr>
          <w:b w:val="0"/>
          <w:bCs w:val="0"/>
        </w:rPr>
      </w:r>
      <w:r>
        <w:rPr>
          <w:rFonts w:ascii="Times New Roman" w:hAnsi="Times New Roman" w:cs="Times New Roman" w:eastAsia="Times New Roman" w:hint="default"/>
        </w:rPr>
        <w:t>26</w:t>
      </w:r>
      <w:r>
        <w:rPr/>
        <w:t>、政府补助</w:t>
      </w:r>
      <w:r>
        <w:rPr>
          <w:b w:val="0"/>
          <w:bCs w:val="0"/>
        </w:rPr>
      </w:r>
    </w:p>
    <w:p>
      <w:pPr>
        <w:spacing w:line="590" w:lineRule="atLeast" w:before="23"/>
        <w:ind w:left="1554" w:right="0" w:hanging="420"/>
        <w:jc w:val="left"/>
        <w:rPr>
          <w:rFonts w:ascii="宋体" w:hAnsi="宋体" w:cs="宋体" w:eastAsia="宋体" w:hint="default"/>
          <w:sz w:val="21"/>
          <w:szCs w:val="21"/>
        </w:rPr>
      </w:pPr>
      <w:bookmarkStart w:name="（1）与资产相关的政府补助判断依据及会计处理方法" w:id="204"/>
      <w:bookmarkEnd w:id="2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公司取得的、用于购建或以其他方式形成长期资产的政府补助划分为与资产相关的政府补助。与资产</w:t>
      </w:r>
    </w:p>
    <w:p>
      <w:pPr>
        <w:pStyle w:val="Heading4"/>
        <w:spacing w:line="273" w:lineRule="auto" w:before="37"/>
        <w:ind w:left="1134" w:right="1131"/>
        <w:jc w:val="both"/>
      </w:pPr>
      <w:r>
        <w:rPr>
          <w:spacing w:val="-1"/>
        </w:rPr>
        <w:t>相关的政府补助，冲减相关资产的账面价值或确认为递延收益。与资产相关补助确认为递延收益的，在相</w:t>
      </w:r>
      <w:r>
        <w:rPr>
          <w:spacing w:val="-83"/>
        </w:rPr>
        <w:t> </w:t>
      </w:r>
      <w:r>
        <w:rPr>
          <w:spacing w:val="-83"/>
        </w:rPr>
      </w:r>
      <w:r>
        <w:rPr>
          <w:spacing w:val="-1"/>
        </w:rPr>
        <w:t>关资产使用寿命内按照合理、系统的方法分期计入损益。按照名义金额计量的政府补助，直接计入当期损</w:t>
      </w:r>
      <w:r>
        <w:rPr>
          <w:spacing w:val="-83"/>
        </w:rPr>
        <w:t> </w:t>
      </w:r>
      <w:r>
        <w:rPr>
          <w:spacing w:val="-83"/>
        </w:rPr>
      </w:r>
      <w:r>
        <w:rPr>
          <w:spacing w:val="-1"/>
        </w:rPr>
        <w:t>益。相关资产在使用寿命结束前被出售、转让、报废或发生毁损的，将尚未分配的相关递延收益余额转入</w:t>
      </w:r>
      <w:r>
        <w:rPr>
          <w:spacing w:val="-85"/>
        </w:rPr>
        <w:t> </w:t>
      </w:r>
      <w:r>
        <w:rPr>
          <w:spacing w:val="-85"/>
        </w:rPr>
      </w:r>
      <w:r>
        <w:rPr/>
        <w:t>资产处置当期的损益。</w:t>
      </w:r>
    </w:p>
    <w:p>
      <w:pPr>
        <w:spacing w:line="590" w:lineRule="atLeast" w:before="9"/>
        <w:ind w:left="1554" w:right="0" w:hanging="420"/>
        <w:jc w:val="left"/>
        <w:rPr>
          <w:rFonts w:ascii="宋体" w:hAnsi="宋体" w:cs="宋体" w:eastAsia="宋体" w:hint="default"/>
          <w:sz w:val="21"/>
          <w:szCs w:val="21"/>
        </w:rPr>
      </w:pPr>
      <w:bookmarkStart w:name="（2）与收益相关的政府补助判断依据及会计处理方法"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除与资产相关的政府补助之外的政府补助划分为与收益相关的政府补助。对于同时包含与资产相关部</w:t>
      </w:r>
    </w:p>
    <w:p>
      <w:pPr>
        <w:pStyle w:val="Heading4"/>
        <w:spacing w:line="273" w:lineRule="auto" w:before="37"/>
        <w:ind w:left="1134" w:right="1131"/>
        <w:jc w:val="both"/>
      </w:pPr>
      <w:r>
        <w:rPr>
          <w:spacing w:val="-1"/>
        </w:rPr>
        <w:t>分和与收益相关部分的政府补助，难以区分与资产相关或与收益相关的，整体归类为与收益相关的政府补</w:t>
      </w:r>
      <w:r>
        <w:rPr>
          <w:spacing w:val="-81"/>
        </w:rPr>
        <w:t> </w:t>
      </w:r>
      <w:r>
        <w:rPr>
          <w:spacing w:val="-81"/>
        </w:rPr>
      </w:r>
      <w:r>
        <w:rPr>
          <w:spacing w:val="-1"/>
        </w:rPr>
        <w:t>助。与收益相关的政府补助，用于补偿以后期间的相关成本费用或损失的，确认为递延收益，在确认相关</w:t>
      </w:r>
      <w:r>
        <w:rPr>
          <w:spacing w:val="-86"/>
        </w:rPr>
        <w:t> </w:t>
      </w:r>
      <w:r>
        <w:rPr>
          <w:spacing w:val="-86"/>
        </w:rPr>
      </w:r>
      <w:r>
        <w:rPr>
          <w:spacing w:val="-1"/>
        </w:rPr>
        <w:t>成本费用或损失的期间，计入当期损益或冲减相关成本；用于补偿已发生的相关成本费用或损失的，直接</w:t>
      </w:r>
      <w:r>
        <w:rPr>
          <w:spacing w:val="-83"/>
        </w:rPr>
        <w:t> </w:t>
      </w:r>
      <w:r>
        <w:rPr>
          <w:spacing w:val="-83"/>
        </w:rPr>
      </w:r>
      <w:r>
        <w:rPr/>
        <w:t>计入当期损益或冲减相关成本。</w:t>
      </w:r>
    </w:p>
    <w:p>
      <w:pPr>
        <w:spacing w:line="240" w:lineRule="auto" w:before="8"/>
        <w:rPr>
          <w:rFonts w:ascii="宋体" w:hAnsi="宋体" w:cs="宋体" w:eastAsia="宋体" w:hint="default"/>
          <w:sz w:val="23"/>
          <w:szCs w:val="23"/>
        </w:rPr>
      </w:pPr>
    </w:p>
    <w:p>
      <w:pPr>
        <w:pStyle w:val="Heading3"/>
        <w:spacing w:line="240" w:lineRule="auto"/>
        <w:ind w:left="1134" w:right="0"/>
        <w:jc w:val="both"/>
        <w:rPr>
          <w:b w:val="0"/>
          <w:bCs w:val="0"/>
        </w:rPr>
      </w:pPr>
      <w:bookmarkStart w:name="27、递延所得税资产/递延所得税负债" w:id="206"/>
      <w:bookmarkEnd w:id="206"/>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4"/>
        <w:spacing w:line="266" w:lineRule="auto"/>
        <w:ind w:left="1134" w:right="1131" w:firstLine="420"/>
        <w:jc w:val="both"/>
      </w:pPr>
      <w:r>
        <w:rPr/>
        <w:t>（</w:t>
      </w:r>
      <w:r>
        <w:rPr>
          <w:rFonts w:ascii="Times New Roman" w:hAnsi="Times New Roman" w:cs="Times New Roman" w:eastAsia="Times New Roman" w:hint="default"/>
        </w:rPr>
        <w:t>1</w:t>
      </w:r>
      <w:r>
        <w:rPr/>
        <w:t>）</w:t>
      </w:r>
      <w:r>
        <w:rPr>
          <w:spacing w:val="-23"/>
        </w:rPr>
        <w:t> </w:t>
      </w:r>
      <w:r>
        <w:rPr/>
        <w:t>根据资产、负债的账面价值与其计税基础之间的差额（未作为资产和负债确认的项目按照税法</w:t>
      </w:r>
      <w:r>
        <w:rPr/>
        <w:t> </w:t>
      </w:r>
      <w:r>
        <w:rPr>
          <w:spacing w:val="-1"/>
        </w:rPr>
        <w:t>规定可以确定其计税基础的，该计税基础与其账面数之间的差额），按照预期收回该资产或清偿该负债期</w:t>
      </w:r>
      <w:r>
        <w:rPr>
          <w:spacing w:val="-83"/>
        </w:rPr>
        <w:t> </w:t>
      </w:r>
      <w:r>
        <w:rPr>
          <w:spacing w:val="-83"/>
        </w:rPr>
      </w:r>
      <w:r>
        <w:rPr/>
        <w:t>间的适用税率计算确认递延所得税资产或递延所得税负债。</w:t>
      </w:r>
    </w:p>
    <w:p>
      <w:pPr>
        <w:pStyle w:val="Heading4"/>
        <w:spacing w:line="264" w:lineRule="auto" w:before="134"/>
        <w:ind w:left="1134" w:right="1131" w:firstLine="420"/>
        <w:jc w:val="both"/>
      </w:pPr>
      <w:r>
        <w:rPr/>
        <w:t>（</w:t>
      </w:r>
      <w:r>
        <w:rPr>
          <w:rFonts w:ascii="Times New Roman" w:hAnsi="Times New Roman" w:cs="Times New Roman" w:eastAsia="Times New Roman" w:hint="default"/>
        </w:rPr>
        <w:t>2</w:t>
      </w:r>
      <w:r>
        <w:rPr/>
        <w:t>）确认递延所得税资产以很可能取得用来抵扣可抵扣暂时性差异的应纳税所得额为限。资产负债 </w:t>
      </w:r>
      <w:r>
        <w:rPr>
          <w:spacing w:val="-1"/>
        </w:rPr>
        <w:t>表日，有确凿证据表明未来期间很可能获得足够的应纳税所得额用来抵扣可抵扣暂时性差异的，确认以前</w:t>
      </w:r>
      <w:r>
        <w:rPr>
          <w:spacing w:val="-81"/>
        </w:rPr>
        <w:t> </w:t>
      </w:r>
      <w:r>
        <w:rPr>
          <w:spacing w:val="-81"/>
        </w:rPr>
      </w:r>
      <w:r>
        <w:rPr/>
        <w:t>会计期间未确认的递延所得税资产。</w:t>
      </w:r>
    </w:p>
    <w:p>
      <w:pPr>
        <w:pStyle w:val="Heading4"/>
        <w:spacing w:line="264" w:lineRule="auto" w:before="136"/>
        <w:ind w:left="1134" w:right="1131" w:firstLine="420"/>
        <w:jc w:val="both"/>
      </w:pPr>
      <w:r>
        <w:rPr/>
        <w:t>（</w:t>
      </w:r>
      <w:r>
        <w:rPr>
          <w:rFonts w:ascii="Times New Roman" w:hAnsi="Times New Roman" w:cs="Times New Roman" w:eastAsia="Times New Roman" w:hint="default"/>
        </w:rPr>
        <w:t>3</w:t>
      </w:r>
      <w:r>
        <w:rPr/>
        <w:t>）资产负债表日，对递延所得税资产的账面价值进行复核，如果未来期间很可能无法获得足够的 </w:t>
      </w:r>
      <w:r>
        <w:rPr>
          <w:spacing w:val="-1"/>
        </w:rPr>
        <w:t>应纳税所得额用以抵扣递延所得税资产的利益，则减记递延所得税资产的账面价值。在很可能获得足够的</w:t>
      </w:r>
      <w:r>
        <w:rPr>
          <w:spacing w:val="-81"/>
        </w:rPr>
        <w:t> </w:t>
      </w:r>
      <w:r>
        <w:rPr>
          <w:spacing w:val="-81"/>
        </w:rPr>
      </w:r>
      <w:r>
        <w:rPr/>
        <w:t>应纳税所得额时，转回减记的金额。</w:t>
      </w:r>
    </w:p>
    <w:p>
      <w:pPr>
        <w:pStyle w:val="Heading4"/>
        <w:spacing w:line="256" w:lineRule="auto" w:before="136"/>
        <w:ind w:left="1134" w:right="1141" w:firstLine="420"/>
        <w:jc w:val="both"/>
      </w:pPr>
      <w:r>
        <w:rPr/>
        <w:t>（</w:t>
      </w:r>
      <w:r>
        <w:rPr>
          <w:rFonts w:ascii="Times New Roman" w:hAnsi="Times New Roman" w:cs="Times New Roman" w:eastAsia="Times New Roman" w:hint="default"/>
        </w:rPr>
        <w:t>4</w:t>
      </w:r>
      <w:r>
        <w:rPr/>
        <w:t>）本公司当期所得税和递延所得税作为所得税费用或收益计入当期损益，但不包括下列情况产生 的所得税：①企业合并；②直接在所有者权益中确认的交易或者事项。</w:t>
      </w:r>
    </w:p>
    <w:p>
      <w:pPr>
        <w:spacing w:line="240" w:lineRule="auto" w:before="10"/>
        <w:rPr>
          <w:rFonts w:ascii="宋体" w:hAnsi="宋体" w:cs="宋体" w:eastAsia="宋体" w:hint="default"/>
          <w:sz w:val="24"/>
          <w:szCs w:val="24"/>
        </w:rPr>
      </w:pPr>
    </w:p>
    <w:p>
      <w:pPr>
        <w:pStyle w:val="Heading3"/>
        <w:spacing w:line="240" w:lineRule="auto"/>
        <w:ind w:left="1134" w:right="0"/>
        <w:jc w:val="both"/>
        <w:rPr>
          <w:b w:val="0"/>
          <w:bCs w:val="0"/>
        </w:rPr>
      </w:pPr>
      <w:bookmarkStart w:name="28、租赁" w:id="207"/>
      <w:bookmarkEnd w:id="207"/>
      <w:r>
        <w:rPr>
          <w:b w:val="0"/>
          <w:bCs w:val="0"/>
        </w:rPr>
      </w:r>
      <w:r>
        <w:rPr>
          <w:rFonts w:ascii="Times New Roman" w:hAnsi="Times New Roman" w:cs="Times New Roman" w:eastAsia="Times New Roman" w:hint="default"/>
        </w:rPr>
        <w:t>28</w:t>
      </w:r>
      <w:r>
        <w:rPr/>
        <w:t>、租赁</w:t>
      </w:r>
      <w:r>
        <w:rPr>
          <w:b w:val="0"/>
          <w:bCs w:val="0"/>
        </w:rPr>
      </w:r>
    </w:p>
    <w:p>
      <w:pPr>
        <w:spacing w:line="590" w:lineRule="atLeast" w:before="23"/>
        <w:ind w:left="1554" w:right="0" w:hanging="420"/>
        <w:jc w:val="left"/>
        <w:rPr>
          <w:rFonts w:ascii="宋体" w:hAnsi="宋体" w:cs="宋体" w:eastAsia="宋体" w:hint="default"/>
          <w:sz w:val="21"/>
          <w:szCs w:val="21"/>
        </w:rPr>
      </w:pPr>
      <w:bookmarkStart w:name="（1）经营租赁的会计处理方法" w:id="208"/>
      <w:bookmarkEnd w:id="2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本公司为承租人时，在租赁期内各个期间按照直线法将租金计入相关资产成本或确认为当期损益，发</w:t>
      </w:r>
    </w:p>
    <w:p>
      <w:pPr>
        <w:pStyle w:val="Heading4"/>
        <w:spacing w:line="240" w:lineRule="auto" w:before="37"/>
        <w:ind w:left="1134" w:right="0"/>
        <w:jc w:val="both"/>
      </w:pPr>
      <w:r>
        <w:rPr/>
        <w:t>生的初始直接费用，直接计入当期损益。或有租金在实际发生时计入当期损益。</w:t>
      </w:r>
    </w:p>
    <w:p>
      <w:pPr>
        <w:pStyle w:val="Heading4"/>
        <w:spacing w:line="273" w:lineRule="auto" w:before="157"/>
        <w:ind w:right="1024" w:firstLine="420"/>
        <w:jc w:val="left"/>
      </w:pPr>
      <w:r>
        <w:rPr/>
        <w:t>本公司为出租人时，在租赁期内各个期间按照直线法将租金确认为当期损益，发生的初始直接费用， </w:t>
      </w:r>
      <w:r>
        <w:rPr>
          <w:spacing w:val="-3"/>
        </w:rPr>
        <w:t>除金额较大的予以资本化并分期计入损益外，均直接计入当期损益。或有租金在实际发生时计入当期损益。</w:t>
      </w:r>
    </w:p>
    <w:p>
      <w:pPr>
        <w:spacing w:after="0" w:line="273"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r>
        <w:rPr/>
        <w:pict>
          <v:shape style="position:absolute;margin-left:165.297012pt;margin-top:437.859985pt;width:210.2pt;height:23.4pt;mso-position-horizontal-relative:page;mso-position-vertical-relative:page;z-index:-910456" type="#_x0000_t202" filled="false" stroked="false">
            <v:textbox inset="0,0,0,0">
              <w:txbxContent>
                <w:p>
                  <w:pPr>
                    <w:pStyle w:val="BodyText"/>
                    <w:spacing w:line="240" w:lineRule="auto" w:before="127"/>
                    <w:ind w:left="0" w:right="0"/>
                    <w:jc w:val="left"/>
                  </w:pPr>
                  <w:r>
                    <w:rPr/>
                    <w:t>数据不影响。</w:t>
                  </w:r>
                </w:p>
              </w:txbxContent>
            </v:textbox>
            <w10:wrap type="none"/>
          </v:shape>
        </w:pict>
      </w:r>
      <w:r>
        <w:rPr/>
        <w:pict>
          <v:group style="position:absolute;margin-left:216.5pt;margin-top:437.859985pt;width:159pt;height:23.4pt;mso-position-horizontal-relative:page;mso-position-vertical-relative:page;z-index:-910432" coordorigin="4330,8757" coordsize="3180,468">
            <v:shape style="position:absolute;left:4330;top:8757;width:3180;height:468" coordorigin="4330,8757" coordsize="3180,468" path="m4330,9225l7509,9225,7509,8757,4330,8757,4330,9225xe" filled="true" fillcolor="#ffffff" stroked="false">
              <v:path arrowok="t"/>
              <v:fill type="solid"/>
            </v:shape>
            <w10:wrap type="none"/>
          </v:group>
        </w:pict>
      </w:r>
    </w:p>
    <w:p>
      <w:pPr>
        <w:pStyle w:val="Heading3"/>
        <w:spacing w:line="240" w:lineRule="auto" w:before="35"/>
        <w:ind w:right="0"/>
        <w:jc w:val="left"/>
        <w:rPr>
          <w:b w:val="0"/>
          <w:bCs w:val="0"/>
        </w:rPr>
      </w:pPr>
      <w:bookmarkStart w:name="（2）融资租赁的会计处理方法" w:id="209"/>
      <w:bookmarkEnd w:id="209"/>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1131" w:firstLine="420"/>
        <w:jc w:val="both"/>
      </w:pPr>
      <w:r>
        <w:rPr>
          <w:spacing w:val="-1"/>
        </w:rPr>
        <w:t>本公司为承租人时，在租赁期开始日，本公司以租赁开始日租赁资产公允价值与最低租赁付款额现值</w:t>
      </w:r>
      <w:r>
        <w:rPr/>
        <w:t> </w:t>
      </w:r>
      <w:r>
        <w:rPr>
          <w:spacing w:val="-1"/>
        </w:rPr>
        <w:t>中两者较低者作为租入资产的入账价值，将最低租赁付款额作为长期应付款的入账价值，其差额为未确认</w:t>
      </w:r>
      <w:r>
        <w:rPr>
          <w:spacing w:val="-81"/>
        </w:rPr>
        <w:t> </w:t>
      </w:r>
      <w:r>
        <w:rPr>
          <w:spacing w:val="-81"/>
        </w:rPr>
      </w:r>
      <w:r>
        <w:rPr>
          <w:spacing w:val="-1"/>
        </w:rPr>
        <w:t>融资费用，发生的初始直接费用，计入租赁资产价值。在租赁期各个期间，采用实际利率法计算确认当期</w:t>
      </w:r>
      <w:r>
        <w:rPr>
          <w:spacing w:val="-86"/>
        </w:rPr>
        <w:t> </w:t>
      </w:r>
      <w:r>
        <w:rPr>
          <w:spacing w:val="-86"/>
        </w:rPr>
      </w:r>
      <w:r>
        <w:rPr/>
        <w:t>的融资费用。</w:t>
      </w:r>
    </w:p>
    <w:p>
      <w:pPr>
        <w:pStyle w:val="Heading4"/>
        <w:spacing w:line="273" w:lineRule="auto" w:before="127"/>
        <w:ind w:right="1131" w:firstLine="420"/>
        <w:jc w:val="both"/>
      </w:pPr>
      <w:r>
        <w:rPr>
          <w:spacing w:val="-1"/>
        </w:rPr>
        <w:t>本公司为出租人时，在租赁期开始日，本公司以租赁开始日最低租赁收款额与初始直接费用之和作为</w:t>
      </w:r>
      <w:r>
        <w:rPr/>
        <w:t> </w:t>
      </w:r>
      <w:r>
        <w:rPr>
          <w:spacing w:val="-1"/>
        </w:rPr>
        <w:t>应收融资租赁款的入账价值，同时记录未担保余值；将最低租赁收款额、初始直接费用及未担保余值之和</w:t>
      </w:r>
      <w:r>
        <w:rPr>
          <w:spacing w:val="-83"/>
        </w:rPr>
        <w:t> </w:t>
      </w:r>
      <w:r>
        <w:rPr>
          <w:spacing w:val="-83"/>
        </w:rPr>
      </w:r>
      <w:r>
        <w:rPr>
          <w:spacing w:val="-1"/>
        </w:rPr>
        <w:t>与其现值之和的差额确认为未实现融资收益。在租赁期各个期间，采用实际利率法计算确认当期的融资收</w:t>
      </w:r>
      <w:r>
        <w:rPr>
          <w:spacing w:val="-81"/>
        </w:rPr>
        <w:t> </w:t>
      </w:r>
      <w:r>
        <w:rPr>
          <w:spacing w:val="-81"/>
        </w:rPr>
      </w:r>
      <w:r>
        <w:rPr/>
        <w:t>入。</w:t>
      </w:r>
    </w:p>
    <w:p>
      <w:pPr>
        <w:spacing w:line="240" w:lineRule="auto" w:before="8"/>
        <w:rPr>
          <w:rFonts w:ascii="宋体" w:hAnsi="宋体" w:cs="宋体" w:eastAsia="宋体" w:hint="default"/>
          <w:sz w:val="23"/>
          <w:szCs w:val="23"/>
        </w:rPr>
      </w:pPr>
    </w:p>
    <w:p>
      <w:pPr>
        <w:pStyle w:val="Heading3"/>
        <w:spacing w:line="240" w:lineRule="auto"/>
        <w:ind w:left="1134" w:right="0"/>
        <w:jc w:val="left"/>
        <w:rPr>
          <w:b w:val="0"/>
          <w:bCs w:val="0"/>
        </w:rPr>
      </w:pPr>
      <w:bookmarkStart w:name="29、重要会计政策和会计估计变更" w:id="210"/>
      <w:bookmarkEnd w:id="210"/>
      <w:r>
        <w:rPr>
          <w:b w:val="0"/>
          <w:bCs w:val="0"/>
        </w:rPr>
      </w:r>
      <w:r>
        <w:rPr>
          <w:rFonts w:ascii="Times New Roman" w:hAnsi="Times New Roman" w:cs="Times New Roman" w:eastAsia="Times New Roman" w:hint="default"/>
        </w:rPr>
        <w:t>29</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1"/>
      <w:bookmarkEnd w:id="21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3191"/>
        <w:gridCol w:w="346"/>
        <w:gridCol w:w="2560"/>
        <w:gridCol w:w="284"/>
        <w:gridCol w:w="1910"/>
        <w:gridCol w:w="127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27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根据财政部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发布</w:t>
            </w:r>
            <w:r>
              <w:rPr>
                <w:rFonts w:ascii="宋体" w:hAnsi="宋体" w:cs="宋体" w:eastAsia="宋体" w:hint="default"/>
                <w:spacing w:val="-90"/>
                <w:sz w:val="18"/>
                <w:szCs w:val="18"/>
              </w:rPr>
              <w:t>的</w:t>
            </w:r>
            <w:r>
              <w:rPr>
                <w:rFonts w:ascii="宋体" w:hAnsi="宋体" w:cs="宋体" w:eastAsia="宋体" w:hint="default"/>
                <w:sz w:val="18"/>
                <w:szCs w:val="18"/>
              </w:rPr>
              <w:t>《企</w:t>
            </w:r>
          </w:p>
          <w:p>
            <w:pPr>
              <w:pStyle w:val="TableParagraph"/>
              <w:spacing w:line="240" w:lineRule="auto" w:before="61"/>
              <w:ind w:left="22" w:right="0"/>
              <w:jc w:val="both"/>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r>
              <w:rPr>
                <w:rFonts w:ascii="宋体" w:hAnsi="宋体" w:cs="宋体" w:eastAsia="宋体" w:hint="default"/>
                <w:spacing w:val="-90"/>
                <w:sz w:val="18"/>
                <w:szCs w:val="18"/>
              </w:rPr>
              <w:t>》</w:t>
            </w:r>
            <w:r>
              <w:rPr>
                <w:rFonts w:ascii="宋体" w:hAnsi="宋体" w:cs="宋体" w:eastAsia="宋体" w:hint="default"/>
                <w:sz w:val="18"/>
                <w:szCs w:val="18"/>
              </w:rPr>
              <w:t>（财会</w:t>
            </w:r>
          </w:p>
          <w:p>
            <w:pPr>
              <w:pStyle w:val="TableParagraph"/>
              <w:spacing w:line="314" w:lineRule="auto" w:before="63"/>
              <w:ind w:left="22" w:right="5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号）的规定，与企业日常活 动相关的政府补助，应当按照经济业务 实质，计入其他收益或冲减相关成本费 用。与企业日常活动无关的政府补助， 应当计入营业外收支。比较</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2" w:lineRule="auto"/>
              <w:ind w:left="22" w:right="1"/>
              <w:jc w:val="left"/>
              <w:rPr>
                <w:rFonts w:ascii="宋体" w:hAnsi="宋体" w:cs="宋体" w:eastAsia="宋体" w:hint="default"/>
                <w:sz w:val="18"/>
                <w:szCs w:val="18"/>
              </w:rPr>
            </w:pPr>
            <w:r>
              <w:rPr>
                <w:rFonts w:ascii="宋体" w:hAnsi="宋体" w:cs="宋体" w:eastAsia="宋体" w:hint="default"/>
                <w:sz w:val="18"/>
                <w:szCs w:val="18"/>
              </w:rPr>
              <w:t>本 月 </w:t>
            </w:r>
            <w:r>
              <w:rPr>
                <w:rFonts w:ascii="Times New Roman" w:hAnsi="Times New Roman" w:cs="Times New Roman" w:eastAsia="Times New Roman" w:hint="default"/>
                <w:sz w:val="18"/>
                <w:szCs w:val="18"/>
              </w:rPr>
              <w:t>1 </w:t>
            </w:r>
            <w:r>
              <w:rPr>
                <w:rFonts w:ascii="宋体" w:hAnsi="宋体" w:cs="宋体" w:eastAsia="宋体" w:hint="default"/>
                <w:sz w:val="18"/>
                <w:szCs w:val="18"/>
              </w:rPr>
              <w:t>政</w:t>
            </w:r>
            <w:r>
              <w:rPr>
                <w:rFonts w:ascii="宋体" w:hAnsi="宋体" w:cs="宋体" w:eastAsia="宋体" w:hint="default"/>
                <w:spacing w:val="-46"/>
                <w:sz w:val="18"/>
                <w:szCs w:val="18"/>
              </w:rPr>
              <w:t> </w:t>
            </w:r>
            <w:r>
              <w:rPr>
                <w:rFonts w:ascii="宋体" w:hAnsi="宋体" w:cs="宋体" w:eastAsia="宋体" w:hint="default"/>
                <w:sz w:val="18"/>
                <w:szCs w:val="18"/>
              </w:rPr>
              <w:t>定</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公司经董事会会议批准，自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300" w:lineRule="auto" w:before="61"/>
              <w:ind w:left="202" w:right="22" w:firstLine="178"/>
              <w:jc w:val="left"/>
              <w:rPr>
                <w:rFonts w:ascii="宋体" w:hAnsi="宋体" w:cs="宋体" w:eastAsia="宋体" w:hint="default"/>
                <w:sz w:val="18"/>
                <w:szCs w:val="18"/>
              </w:rPr>
            </w:pPr>
            <w:r>
              <w:rPr>
                <w:rFonts w:ascii="宋体" w:hAnsi="宋体" w:cs="宋体" w:eastAsia="宋体" w:hint="default"/>
                <w:sz w:val="18"/>
                <w:szCs w:val="18"/>
              </w:rPr>
              <w:t>日采用《企业会计准则第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pacing w:val="-10"/>
                <w:sz w:val="18"/>
                <w:szCs w:val="18"/>
              </w:rPr>
              <w:t>府补助》（财会〔</w:t>
            </w:r>
            <w:r>
              <w:rPr>
                <w:rFonts w:ascii="Times New Roman" w:hAnsi="Times New Roman" w:cs="Times New Roman" w:eastAsia="Times New Roman" w:hint="default"/>
                <w:spacing w:val="-10"/>
                <w:sz w:val="18"/>
                <w:szCs w:val="18"/>
              </w:rPr>
              <w:t>2017</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15</w:t>
            </w:r>
            <w:r>
              <w:rPr>
                <w:rFonts w:ascii="Times New Roman" w:hAnsi="Times New Roman" w:cs="Times New Roman" w:eastAsia="Times New Roman" w:hint="default"/>
                <w:spacing w:val="16"/>
                <w:sz w:val="18"/>
                <w:szCs w:val="18"/>
              </w:rPr>
              <w:t> </w:t>
            </w:r>
            <w:r>
              <w:rPr>
                <w:rFonts w:ascii="宋体" w:hAnsi="宋体" w:cs="宋体" w:eastAsia="宋体" w:hint="default"/>
                <w:spacing w:val="-4"/>
                <w:sz w:val="18"/>
                <w:szCs w:val="18"/>
              </w:rPr>
              <w:t>号）相关规</w:t>
            </w:r>
          </w:p>
          <w:p>
            <w:pPr>
              <w:pStyle w:val="TableParagraph"/>
              <w:spacing w:line="240" w:lineRule="auto" w:before="14"/>
              <w:ind w:left="202" w:right="0"/>
              <w:jc w:val="left"/>
              <w:rPr>
                <w:rFonts w:ascii="宋体" w:hAnsi="宋体" w:cs="宋体" w:eastAsia="宋体" w:hint="default"/>
                <w:sz w:val="18"/>
                <w:szCs w:val="18"/>
              </w:rPr>
            </w:pPr>
            <w:r>
              <w:rPr>
                <w:rFonts w:ascii="宋体" w:hAnsi="宋体" w:cs="宋体" w:eastAsia="宋体" w:hint="default"/>
                <w:sz w:val="18"/>
                <w:szCs w:val="18"/>
              </w:rPr>
              <w:t>，采用未来适用法处理。</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19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财政部于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年度发布《财政部关于 修订印发一般企业财务报表格式的通 </w:t>
            </w:r>
            <w:r>
              <w:rPr>
                <w:rFonts w:ascii="宋体" w:hAnsi="宋体" w:cs="宋体" w:eastAsia="宋体" w:hint="default"/>
                <w:spacing w:val="-5"/>
                <w:w w:val="100"/>
                <w:sz w:val="18"/>
                <w:szCs w:val="18"/>
              </w:rPr>
              <w:t>知》，在利润表中新增</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资产处置收益</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项</w:t>
            </w:r>
            <w:r>
              <w:rPr>
                <w:rFonts w:ascii="宋体" w:hAnsi="宋体" w:cs="宋体" w:eastAsia="宋体" w:hint="default"/>
                <w:spacing w:val="-86"/>
                <w:w w:val="100"/>
                <w:sz w:val="18"/>
                <w:szCs w:val="18"/>
              </w:rPr>
              <w:t> </w:t>
            </w:r>
            <w:r>
              <w:rPr>
                <w:rFonts w:ascii="宋体" w:hAnsi="宋体" w:cs="宋体" w:eastAsia="宋体" w:hint="default"/>
                <w:sz w:val="18"/>
                <w:szCs w:val="18"/>
              </w:rPr>
              <w:t>目，将部分原列示为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营 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的资产处置损益重分类至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 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本公司经董事会会议批准，自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307" w:lineRule="auto" w:before="61"/>
              <w:ind w:left="22" w:right="-3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日采用《企业会计准则第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持有待售的非流动资产、处置组及终止 </w:t>
            </w:r>
            <w:r>
              <w:rPr>
                <w:rFonts w:ascii="宋体" w:hAnsi="宋体" w:cs="宋体" w:eastAsia="宋体" w:hint="default"/>
                <w:spacing w:val="-7"/>
                <w:sz w:val="18"/>
                <w:szCs w:val="18"/>
              </w:rPr>
              <w:t>经营》（财会〔</w:t>
            </w:r>
            <w:r>
              <w:rPr>
                <w:rFonts w:ascii="Times New Roman" w:hAnsi="Times New Roman" w:cs="Times New Roman" w:eastAsia="Times New Roman" w:hint="default"/>
                <w:spacing w:val="-7"/>
                <w:sz w:val="18"/>
                <w:szCs w:val="18"/>
              </w:rPr>
              <w:t>2017</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号）相关规定， 采用未来适用法处理。</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780" w:lineRule="exact"/>
              <w:ind w:right="-51"/>
              <w:jc w:val="left"/>
              <w:rPr>
                <w:rFonts w:ascii="宋体" w:hAnsi="宋体" w:cs="宋体" w:eastAsia="宋体" w:hint="default"/>
                <w:sz w:val="20"/>
                <w:szCs w:val="20"/>
              </w:rPr>
            </w:pPr>
            <w:r>
              <w:rPr>
                <w:rFonts w:ascii="宋体" w:hAnsi="宋体" w:cs="宋体" w:eastAsia="宋体" w:hint="default"/>
                <w:position w:val="-15"/>
                <w:sz w:val="20"/>
                <w:szCs w:val="20"/>
              </w:rPr>
              <w:pict>
                <v:group style="width:159pt;height:39pt;mso-position-horizontal-relative:char;mso-position-vertical-relative:line" coordorigin="0,0" coordsize="3180,780">
                  <v:group style="position:absolute;left:0;top:0;width:3180;height:780" coordorigin="0,0" coordsize="3180,780">
                    <v:shape style="position:absolute;left:0;top:0;width:3180;height:780" coordorigin="0,0" coordsize="3180,780" path="m0,780l3179,780,3179,0,0,0,0,780xe" filled="true" fillcolor="#ffffff" stroked="false">
                      <v:path arrowok="t"/>
                      <v:fill type="solid"/>
                    </v:shape>
                  </v:group>
                </v:group>
              </w:pict>
            </w:r>
            <w:r>
              <w:rPr>
                <w:rFonts w:ascii="宋体" w:hAnsi="宋体" w:cs="宋体" w:eastAsia="宋体" w:hint="default"/>
                <w:position w:val="-15"/>
                <w:sz w:val="20"/>
                <w:szCs w:val="20"/>
              </w:rPr>
            </w:r>
          </w:p>
        </w:tc>
      </w:tr>
      <w:tr>
        <w:trPr>
          <w:trHeight w:val="1964" w:hRule="exact"/>
        </w:trPr>
        <w:tc>
          <w:tcPr>
            <w:tcW w:w="3191" w:type="dxa"/>
            <w:tcBorders>
              <w:top w:val="single" w:sz="4" w:space="0" w:color="000000"/>
              <w:left w:val="single" w:sz="4" w:space="0" w:color="000000"/>
              <w:bottom w:val="single" w:sz="6" w:space="0" w:color="000000"/>
              <w:right w:val="single" w:sz="4" w:space="0" w:color="000000"/>
            </w:tcBorders>
          </w:tcPr>
          <w:p>
            <w:pPr>
              <w:pStyle w:val="TableParagraph"/>
              <w:spacing w:line="304"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财政部于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年度发布《财政部关于 修订印发一般企业财务报表格式的通 </w:t>
            </w:r>
            <w:r>
              <w:rPr>
                <w:rFonts w:ascii="宋体" w:hAnsi="宋体" w:cs="宋体" w:eastAsia="宋体" w:hint="default"/>
                <w:spacing w:val="-5"/>
                <w:w w:val="100"/>
                <w:sz w:val="18"/>
                <w:szCs w:val="18"/>
              </w:rPr>
              <w:t>知》，在利润表中新增</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资产处置收益</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项</w:t>
            </w:r>
            <w:r>
              <w:rPr>
                <w:rFonts w:ascii="宋体" w:hAnsi="宋体" w:cs="宋体" w:eastAsia="宋体" w:hint="default"/>
                <w:spacing w:val="-86"/>
                <w:w w:val="100"/>
                <w:sz w:val="18"/>
                <w:szCs w:val="18"/>
              </w:rPr>
              <w:t> </w:t>
            </w:r>
            <w:r>
              <w:rPr>
                <w:rFonts w:ascii="宋体" w:hAnsi="宋体" w:cs="宋体" w:eastAsia="宋体" w:hint="default"/>
                <w:sz w:val="18"/>
                <w:szCs w:val="18"/>
              </w:rPr>
              <w:t>目，将部分原列示为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营 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的资产处置损益重分类至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 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3190" w:type="dxa"/>
            <w:gridSpan w:val="3"/>
            <w:tcBorders>
              <w:top w:val="single" w:sz="4" w:space="0" w:color="000000"/>
              <w:left w:val="single" w:sz="4" w:space="0" w:color="000000"/>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本公司经董事会会议批准，自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307" w:lineRule="auto" w:before="61"/>
              <w:ind w:left="22" w:right="-3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日采用《企业会计准则第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持有待售的非流动资产、处置组及终止 </w:t>
            </w:r>
            <w:r>
              <w:rPr>
                <w:rFonts w:ascii="宋体" w:hAnsi="宋体" w:cs="宋体" w:eastAsia="宋体" w:hint="default"/>
                <w:spacing w:val="-7"/>
                <w:sz w:val="18"/>
                <w:szCs w:val="18"/>
              </w:rPr>
              <w:t>经营》（财会〔</w:t>
            </w:r>
            <w:r>
              <w:rPr>
                <w:rFonts w:ascii="Times New Roman" w:hAnsi="Times New Roman" w:cs="Times New Roman" w:eastAsia="Times New Roman" w:hint="default"/>
                <w:spacing w:val="-7"/>
                <w:sz w:val="18"/>
                <w:szCs w:val="18"/>
              </w:rPr>
              <w:t>2017</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号）相关规定， 采用未来适用法处理。</w:t>
            </w:r>
          </w:p>
        </w:tc>
        <w:tc>
          <w:tcPr>
            <w:tcW w:w="3189"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780" w:lineRule="exact"/>
              <w:ind w:right="-51"/>
              <w:jc w:val="left"/>
              <w:rPr>
                <w:rFonts w:ascii="宋体" w:hAnsi="宋体" w:cs="宋体" w:eastAsia="宋体" w:hint="default"/>
                <w:sz w:val="20"/>
                <w:szCs w:val="20"/>
              </w:rPr>
            </w:pPr>
            <w:r>
              <w:rPr>
                <w:rFonts w:ascii="宋体" w:hAnsi="宋体" w:cs="宋体" w:eastAsia="宋体" w:hint="default"/>
                <w:position w:val="-15"/>
                <w:sz w:val="20"/>
                <w:szCs w:val="20"/>
              </w:rPr>
              <w:pict>
                <v:group style="width:159pt;height:39pt;mso-position-horizontal-relative:char;mso-position-vertical-relative:line" coordorigin="0,0" coordsize="3180,780">
                  <v:group style="position:absolute;left:0;top:0;width:3180;height:780" coordorigin="0,0" coordsize="3180,780">
                    <v:shape style="position:absolute;left:0;top:0;width:3180;height:780" coordorigin="0,0" coordsize="3180,780" path="m0,780l3179,780,3179,0,0,0,0,780xe" filled="true" fillcolor="#ffffff" stroked="false">
                      <v:path arrowok="t"/>
                      <v:fill type="solid"/>
                    </v:shape>
                  </v:group>
                </v:group>
              </w:pict>
            </w:r>
            <w:r>
              <w:rPr>
                <w:rFonts w:ascii="宋体" w:hAnsi="宋体" w:cs="宋体" w:eastAsia="宋体" w:hint="default"/>
                <w:position w:val="-15"/>
                <w:sz w:val="20"/>
                <w:szCs w:val="20"/>
              </w:rPr>
            </w:r>
          </w:p>
        </w:tc>
      </w:tr>
      <w:tr>
        <w:trPr>
          <w:trHeight w:val="347" w:hRule="exact"/>
        </w:trPr>
        <w:tc>
          <w:tcPr>
            <w:tcW w:w="35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77"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49" w:right="0"/>
              <w:jc w:val="left"/>
              <w:rPr>
                <w:rFonts w:ascii="宋体" w:hAnsi="宋体" w:cs="宋体" w:eastAsia="宋体" w:hint="default"/>
                <w:sz w:val="18"/>
                <w:szCs w:val="18"/>
              </w:rPr>
            </w:pPr>
            <w:r>
              <w:rPr>
                <w:rFonts w:ascii="宋体" w:hAnsi="宋体" w:cs="宋体" w:eastAsia="宋体" w:hint="default"/>
                <w:b/>
                <w:bCs/>
                <w:sz w:val="18"/>
                <w:szCs w:val="18"/>
              </w:rPr>
              <w:t>受影响的报表项目</w:t>
            </w:r>
            <w:r>
              <w:rPr>
                <w:rFonts w:ascii="宋体" w:hAnsi="宋体" w:cs="宋体" w:eastAsia="宋体" w:hint="default"/>
                <w:sz w:val="18"/>
                <w:szCs w:val="18"/>
              </w:rPr>
            </w:r>
          </w:p>
        </w:tc>
        <w:tc>
          <w:tcPr>
            <w:tcW w:w="21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37" w:right="0"/>
              <w:jc w:val="left"/>
              <w:rPr>
                <w:rFonts w:ascii="宋体" w:hAnsi="宋体" w:cs="宋体" w:eastAsia="宋体" w:hint="default"/>
                <w:sz w:val="18"/>
                <w:szCs w:val="18"/>
              </w:rPr>
            </w:pPr>
            <w:r>
              <w:rPr>
                <w:rFonts w:ascii="宋体" w:hAnsi="宋体" w:cs="宋体" w:eastAsia="宋体" w:hint="default"/>
                <w:b/>
                <w:bCs/>
                <w:sz w:val="18"/>
                <w:szCs w:val="18"/>
              </w:rPr>
              <w:t>累积影响额</w:t>
            </w:r>
            <w:r>
              <w:rPr>
                <w:rFonts w:ascii="宋体" w:hAnsi="宋体" w:cs="宋体" w:eastAsia="宋体" w:hint="default"/>
                <w:sz w:val="18"/>
                <w:szCs w:val="18"/>
              </w:rPr>
            </w:r>
          </w:p>
        </w:tc>
        <w:tc>
          <w:tcPr>
            <w:tcW w:w="1279" w:type="dxa"/>
            <w:vMerge w:val="restart"/>
            <w:tcBorders>
              <w:top w:val="single" w:sz="4" w:space="0" w:color="000000"/>
              <w:left w:val="single" w:sz="6" w:space="0" w:color="000000"/>
              <w:right w:val="nil" w:sz="6" w:space="0" w:color="auto"/>
            </w:tcBorders>
          </w:tcPr>
          <w:p>
            <w:pPr/>
          </w:p>
        </w:tc>
      </w:tr>
      <w:tr>
        <w:trPr>
          <w:trHeight w:val="347" w:hRule="exact"/>
        </w:trPr>
        <w:tc>
          <w:tcPr>
            <w:tcW w:w="3537" w:type="dxa"/>
            <w:gridSpan w:val="2"/>
            <w:vMerge w:val="restart"/>
            <w:tcBorders>
              <w:top w:val="single" w:sz="6" w:space="0" w:color="000000"/>
              <w:left w:val="single" w:sz="6" w:space="0" w:color="000000"/>
              <w:right w:val="single" w:sz="6" w:space="0" w:color="000000"/>
            </w:tcBorders>
          </w:tcPr>
          <w:p>
            <w:pPr>
              <w:pStyle w:val="TableParagraph"/>
              <w:spacing w:line="319" w:lineRule="auto" w:before="21"/>
              <w:ind w:left="2" w:right="-17"/>
              <w:jc w:val="left"/>
              <w:rPr>
                <w:rFonts w:ascii="宋体" w:hAnsi="宋体" w:cs="宋体" w:eastAsia="宋体" w:hint="default"/>
                <w:sz w:val="18"/>
                <w:szCs w:val="18"/>
              </w:rPr>
            </w:pPr>
            <w:r>
              <w:rPr>
                <w:rFonts w:ascii="宋体" w:hAnsi="宋体" w:cs="宋体" w:eastAsia="宋体" w:hint="default"/>
                <w:sz w:val="18"/>
                <w:szCs w:val="18"/>
              </w:rPr>
              <w:t>与本公司日常活动相关的政府补助</w:t>
            </w:r>
            <w:r>
              <w:rPr>
                <w:rFonts w:ascii="宋体" w:hAnsi="宋体" w:cs="宋体" w:eastAsia="宋体" w:hint="default"/>
                <w:spacing w:val="-85"/>
                <w:sz w:val="18"/>
                <w:szCs w:val="18"/>
              </w:rPr>
              <w:t>，</w:t>
            </w:r>
            <w:r>
              <w:rPr>
                <w:rFonts w:ascii="宋体" w:hAnsi="宋体" w:cs="宋体" w:eastAsia="宋体" w:hint="default"/>
                <w:sz w:val="18"/>
                <w:szCs w:val="18"/>
              </w:rPr>
              <w:t>计入其他</w:t>
            </w:r>
            <w:r>
              <w:rPr>
                <w:rFonts w:ascii="宋体" w:hAnsi="宋体" w:cs="宋体" w:eastAsia="宋体" w:hint="default"/>
                <w:sz w:val="18"/>
                <w:szCs w:val="18"/>
              </w:rPr>
              <w:t> 收益</w:t>
            </w:r>
            <w:r>
              <w:rPr>
                <w:rFonts w:ascii="宋体" w:hAnsi="宋体" w:cs="宋体" w:eastAsia="宋体" w:hint="default"/>
                <w:spacing w:val="-87"/>
                <w:sz w:val="18"/>
                <w:szCs w:val="18"/>
              </w:rPr>
              <w:t>，</w:t>
            </w:r>
            <w:r>
              <w:rPr>
                <w:rFonts w:ascii="宋体" w:hAnsi="宋体" w:cs="宋体" w:eastAsia="宋体" w:hint="default"/>
                <w:sz w:val="18"/>
                <w:szCs w:val="18"/>
              </w:rPr>
              <w:t>不在计</w:t>
            </w:r>
            <w:r>
              <w:rPr>
                <w:rFonts w:ascii="宋体" w:hAnsi="宋体" w:cs="宋体" w:eastAsia="宋体" w:hint="default"/>
                <w:spacing w:val="-2"/>
                <w:sz w:val="18"/>
                <w:szCs w:val="18"/>
              </w:rPr>
              <w:t>入</w:t>
            </w:r>
            <w:r>
              <w:rPr>
                <w:rFonts w:ascii="宋体" w:hAnsi="宋体" w:cs="宋体" w:eastAsia="宋体" w:hint="default"/>
                <w:sz w:val="18"/>
                <w:szCs w:val="18"/>
              </w:rPr>
              <w:t>营业外支出</w:t>
            </w:r>
            <w:r>
              <w:rPr>
                <w:rFonts w:ascii="宋体" w:hAnsi="宋体" w:cs="宋体" w:eastAsia="宋体" w:hint="default"/>
                <w:spacing w:val="-87"/>
                <w:sz w:val="18"/>
                <w:szCs w:val="18"/>
              </w:rPr>
              <w:t>。</w:t>
            </w:r>
            <w:r>
              <w:rPr>
                <w:rFonts w:ascii="宋体" w:hAnsi="宋体" w:cs="宋体" w:eastAsia="宋体" w:hint="default"/>
                <w:spacing w:val="-2"/>
                <w:sz w:val="18"/>
                <w:szCs w:val="18"/>
              </w:rPr>
              <w:t>比</w:t>
            </w:r>
            <w:r>
              <w:rPr>
                <w:rFonts w:ascii="宋体" w:hAnsi="宋体" w:cs="宋体" w:eastAsia="宋体" w:hint="default"/>
                <w:sz w:val="18"/>
                <w:szCs w:val="18"/>
              </w:rPr>
              <w:t>较数据不影响</w:t>
            </w:r>
            <w:r>
              <w:rPr>
                <w:rFonts w:ascii="宋体" w:hAnsi="宋体" w:cs="宋体" w:eastAsia="宋体" w:hint="default"/>
                <w:spacing w:val="-68"/>
                <w:sz w:val="18"/>
                <w:szCs w:val="18"/>
              </w:rPr>
              <w:t>。</w:t>
            </w:r>
            <w:r>
              <w:rPr>
                <w:rFonts w:ascii="宋体" w:hAnsi="宋体" w:cs="宋体" w:eastAsia="宋体" w:hint="default"/>
                <w:sz w:val="18"/>
                <w:szCs w:val="18"/>
              </w:rPr>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42" w:right="0"/>
              <w:jc w:val="left"/>
              <w:rPr>
                <w:rFonts w:ascii="Times New Roman" w:hAnsi="Times New Roman" w:cs="Times New Roman" w:eastAsia="Times New Roman" w:hint="default"/>
                <w:sz w:val="18"/>
                <w:szCs w:val="18"/>
              </w:rPr>
            </w:pPr>
            <w:r>
              <w:rPr>
                <w:rFonts w:ascii="Times New Roman"/>
                <w:sz w:val="18"/>
              </w:rPr>
              <w:t>15,864,204.97</w:t>
            </w:r>
          </w:p>
        </w:tc>
        <w:tc>
          <w:tcPr>
            <w:tcW w:w="1279" w:type="dxa"/>
            <w:vMerge/>
            <w:tcBorders>
              <w:left w:val="single" w:sz="6" w:space="0" w:color="000000"/>
              <w:right w:val="nil" w:sz="6" w:space="0" w:color="auto"/>
            </w:tcBorders>
          </w:tcPr>
          <w:p>
            <w:pPr/>
          </w:p>
        </w:tc>
      </w:tr>
      <w:tr>
        <w:trPr>
          <w:trHeight w:val="347" w:hRule="exact"/>
        </w:trPr>
        <w:tc>
          <w:tcPr>
            <w:tcW w:w="3537" w:type="dxa"/>
            <w:gridSpan w:val="2"/>
            <w:vMerge/>
            <w:tcBorders>
              <w:left w:val="single" w:sz="6" w:space="0" w:color="000000"/>
              <w:bottom w:val="single" w:sz="6" w:space="0" w:color="000000"/>
              <w:right w:val="single" w:sz="6" w:space="0" w:color="000000"/>
            </w:tcBorders>
          </w:tcPr>
          <w:p>
            <w:pP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1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82" w:right="0"/>
              <w:jc w:val="left"/>
              <w:rPr>
                <w:rFonts w:ascii="Times New Roman" w:hAnsi="Times New Roman" w:cs="Times New Roman" w:eastAsia="Times New Roman" w:hint="default"/>
                <w:sz w:val="18"/>
                <w:szCs w:val="18"/>
              </w:rPr>
            </w:pPr>
            <w:r>
              <w:rPr>
                <w:rFonts w:ascii="Times New Roman"/>
                <w:sz w:val="18"/>
              </w:rPr>
              <w:t>-15,864,204.97</w:t>
            </w:r>
          </w:p>
        </w:tc>
        <w:tc>
          <w:tcPr>
            <w:tcW w:w="1279" w:type="dxa"/>
            <w:vMerge/>
            <w:tcBorders>
              <w:left w:val="single" w:sz="6" w:space="0" w:color="000000"/>
              <w:right w:val="nil" w:sz="6" w:space="0" w:color="auto"/>
            </w:tcBorders>
          </w:tcPr>
          <w:p>
            <w:pPr/>
          </w:p>
        </w:tc>
      </w:tr>
      <w:tr>
        <w:trPr>
          <w:trHeight w:val="347" w:hRule="exact"/>
        </w:trPr>
        <w:tc>
          <w:tcPr>
            <w:tcW w:w="3537" w:type="dxa"/>
            <w:gridSpan w:val="2"/>
            <w:vMerge w:val="restart"/>
            <w:tcBorders>
              <w:top w:val="single" w:sz="6" w:space="0" w:color="000000"/>
              <w:left w:val="single" w:sz="6" w:space="0" w:color="000000"/>
              <w:right w:val="single" w:sz="6" w:space="0" w:color="000000"/>
            </w:tcBorders>
          </w:tcPr>
          <w:p>
            <w:pPr>
              <w:pStyle w:val="TableParagraph"/>
              <w:spacing w:line="300" w:lineRule="auto" w:before="21"/>
              <w:ind w:left="2" w:right="37"/>
              <w:jc w:val="left"/>
              <w:rPr>
                <w:rFonts w:ascii="宋体" w:hAnsi="宋体" w:cs="宋体" w:eastAsia="宋体" w:hint="default"/>
                <w:sz w:val="18"/>
                <w:szCs w:val="18"/>
              </w:rPr>
            </w:pPr>
            <w:r>
              <w:rPr>
                <w:rFonts w:ascii="宋体" w:hAnsi="宋体" w:cs="宋体" w:eastAsia="宋体" w:hint="default"/>
                <w:sz w:val="18"/>
                <w:szCs w:val="18"/>
              </w:rPr>
              <w:t>在利润表中分别列示</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 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。比较数据相应调整。</w:t>
            </w: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持续经营净利润</w:t>
            </w:r>
          </w:p>
        </w:tc>
        <w:tc>
          <w:tcPr>
            <w:tcW w:w="21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42" w:right="0"/>
              <w:jc w:val="left"/>
              <w:rPr>
                <w:rFonts w:ascii="Times New Roman" w:hAnsi="Times New Roman" w:cs="Times New Roman" w:eastAsia="Times New Roman" w:hint="default"/>
                <w:sz w:val="18"/>
                <w:szCs w:val="18"/>
              </w:rPr>
            </w:pPr>
            <w:r>
              <w:rPr>
                <w:rFonts w:ascii="Times New Roman"/>
                <w:sz w:val="18"/>
              </w:rPr>
              <w:t>48,170,943.50</w:t>
            </w:r>
          </w:p>
        </w:tc>
        <w:tc>
          <w:tcPr>
            <w:tcW w:w="1279" w:type="dxa"/>
            <w:vMerge/>
            <w:tcBorders>
              <w:left w:val="single" w:sz="6" w:space="0" w:color="000000"/>
              <w:right w:val="nil" w:sz="6" w:space="0" w:color="auto"/>
            </w:tcBorders>
          </w:tcPr>
          <w:p>
            <w:pPr/>
          </w:p>
        </w:tc>
      </w:tr>
      <w:tr>
        <w:trPr>
          <w:trHeight w:val="348" w:hRule="exact"/>
        </w:trPr>
        <w:tc>
          <w:tcPr>
            <w:tcW w:w="3537" w:type="dxa"/>
            <w:gridSpan w:val="2"/>
            <w:vMerge/>
            <w:tcBorders>
              <w:left w:val="single" w:sz="6" w:space="0" w:color="000000"/>
              <w:bottom w:val="single" w:sz="6" w:space="0" w:color="000000"/>
              <w:right w:val="single" w:sz="6" w:space="0" w:color="000000"/>
            </w:tcBorders>
          </w:tcPr>
          <w:p>
            <w:pPr/>
          </w:p>
        </w:tc>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终止经营净利润</w:t>
            </w:r>
          </w:p>
        </w:tc>
        <w:tc>
          <w:tcPr>
            <w:tcW w:w="21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不影响</w:t>
            </w:r>
          </w:p>
        </w:tc>
        <w:tc>
          <w:tcPr>
            <w:tcW w:w="1279" w:type="dxa"/>
            <w:vMerge/>
            <w:tcBorders>
              <w:left w:val="single" w:sz="6" w:space="0" w:color="000000"/>
              <w:bottom w:val="nil" w:sz="6" w:space="0" w:color="auto"/>
              <w:right w:val="nil" w:sz="6" w:space="0" w:color="auto"/>
            </w:tcBorders>
          </w:tcPr>
          <w:p>
            <w:pPr/>
          </w:p>
        </w:tc>
      </w:tr>
    </w:tbl>
    <w:p>
      <w:pPr>
        <w:spacing w:after="0"/>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重要会计估计变更" w:id="212"/>
      <w:bookmarkEnd w:id="21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税项" w:id="213"/>
      <w:bookmarkEnd w:id="213"/>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14"/>
      <w:bookmarkEnd w:id="21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提供广告服务取得的计费销售额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left="113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藏黑马信息技术服务有限公司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税收优惠" w:id="215"/>
      <w:bookmarkEnd w:id="21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554" w:right="0"/>
        <w:jc w:val="left"/>
      </w:pPr>
      <w:r>
        <w:rPr>
          <w:rFonts w:ascii="Times New Roman" w:hAnsi="Times New Roman" w:cs="Times New Roman" w:eastAsia="Times New Roman" w:hint="default"/>
        </w:rPr>
        <w:t>1</w:t>
      </w:r>
      <w:r>
        <w:rPr/>
        <w:t>、根据《财政部、国家税务总局、科技部关于完善研究开发费用税前加计扣除政策的通知》（财税</w:t>
      </w:r>
    </w:p>
    <w:p>
      <w:pPr>
        <w:pStyle w:val="Heading4"/>
        <w:spacing w:line="256" w:lineRule="auto" w:before="21"/>
        <w:ind w:left="1134" w:right="1134"/>
        <w:jc w:val="both"/>
      </w:pPr>
      <w:r>
        <w:rPr/>
        <w:t>〔</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119</w:t>
      </w:r>
      <w:r>
        <w:rPr/>
        <w:t>号），企业开展研发活动中实际发生的研发费用，未形成无形资产计入当期损益的，在按规</w:t>
      </w:r>
      <w:r>
        <w:rPr>
          <w:spacing w:val="-37"/>
        </w:rPr>
        <w:t> </w:t>
      </w:r>
      <w:r>
        <w:rPr>
          <w:spacing w:val="-37"/>
        </w:rPr>
      </w:r>
      <w:r>
        <w:rPr/>
        <w:t>定据实扣除的基础上，按照本年度实际发生额的</w:t>
      </w:r>
      <w:r>
        <w:rPr>
          <w:rFonts w:ascii="Times New Roman" w:hAnsi="Times New Roman" w:cs="Times New Roman" w:eastAsia="Times New Roman" w:hint="default"/>
        </w:rPr>
        <w:t>50%</w:t>
      </w:r>
      <w:r>
        <w:rPr/>
        <w:t>，从本年度应纳税所得额中扣除；形成无形资产的，</w:t>
      </w:r>
      <w:r>
        <w:rPr>
          <w:spacing w:val="-97"/>
        </w:rPr>
        <w:t> </w:t>
      </w:r>
      <w:r>
        <w:rPr>
          <w:spacing w:val="-97"/>
        </w:rPr>
      </w:r>
      <w:r>
        <w:rPr/>
        <w:t>按照无形资产成本的</w:t>
      </w:r>
      <w:r>
        <w:rPr>
          <w:rFonts w:ascii="Times New Roman" w:hAnsi="Times New Roman" w:cs="Times New Roman" w:eastAsia="Times New Roman" w:hint="default"/>
        </w:rPr>
        <w:t>150%</w:t>
      </w:r>
      <w:r>
        <w:rPr/>
        <w:t>在税前摊销。</w:t>
      </w:r>
    </w:p>
    <w:p>
      <w:pPr>
        <w:pStyle w:val="Heading4"/>
        <w:spacing w:line="273" w:lineRule="auto" w:before="125"/>
        <w:ind w:right="0" w:firstLine="420"/>
        <w:jc w:val="left"/>
      </w:pPr>
      <w:r>
        <w:rPr>
          <w:spacing w:val="-1"/>
        </w:rPr>
        <w:t>本期本公司母公司创业黑马（北京）科技股份有限公司、子公司北京创业未来传媒技术有限公司发生</w:t>
      </w:r>
      <w:r>
        <w:rPr/>
        <w:t> 的研发费用，享受上述优惠政策，进行研发费用加计扣除。</w:t>
      </w:r>
    </w:p>
    <w:p>
      <w:pPr>
        <w:pStyle w:val="Heading4"/>
        <w:spacing w:line="256" w:lineRule="auto" w:before="127"/>
        <w:ind w:right="1130" w:firstLine="210"/>
        <w:jc w:val="both"/>
      </w:pPr>
      <w:r>
        <w:rPr>
          <w:rFonts w:ascii="Times New Roman" w:hAnsi="Times New Roman" w:cs="Times New Roman" w:eastAsia="Times New Roman" w:hint="default"/>
          <w:spacing w:val="-2"/>
        </w:rPr>
        <w:t>2</w:t>
      </w:r>
      <w:r>
        <w:rPr>
          <w:spacing w:val="-2"/>
        </w:rPr>
        <w:t>、根据《西藏自治区人民政府关于印发西藏自治区企业所得税政策实施办法的通知》（藏政发</w:t>
      </w:r>
      <w:r>
        <w:rPr>
          <w:rFonts w:ascii="Times New Roman" w:hAnsi="Times New Roman" w:cs="Times New Roman" w:eastAsia="Times New Roman" w:hint="default"/>
          <w:spacing w:val="-2"/>
        </w:rPr>
        <w:t>[2014]51</w:t>
      </w:r>
      <w:r>
        <w:rPr>
          <w:rFonts w:ascii="Times New Roman" w:hAnsi="Times New Roman" w:cs="Times New Roman" w:eastAsia="Times New Roman" w:hint="default"/>
        </w:rPr>
        <w:t> </w:t>
      </w:r>
      <w:r>
        <w:rPr>
          <w:spacing w:val="-4"/>
        </w:rPr>
        <w:t>号），西藏自治区的企业统一执行西部大开发战略中企业所得税</w:t>
      </w:r>
      <w:r>
        <w:rPr>
          <w:rFonts w:ascii="Times New Roman" w:hAnsi="Times New Roman" w:cs="Times New Roman" w:eastAsia="Times New Roman" w:hint="default"/>
          <w:spacing w:val="-4"/>
        </w:rPr>
        <w:t>15%</w:t>
      </w:r>
      <w:r>
        <w:rPr>
          <w:spacing w:val="-4"/>
        </w:rPr>
        <w:t>的税率。同时自</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日起至</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43"/>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日止，暂免征收西藏区企业应缴纳的企业所得税中属于地方分享的部分。</w:t>
      </w:r>
    </w:p>
    <w:p>
      <w:pPr>
        <w:pStyle w:val="Heading4"/>
        <w:spacing w:line="240" w:lineRule="auto" w:before="125"/>
        <w:ind w:left="0" w:right="1130"/>
        <w:jc w:val="right"/>
      </w:pPr>
      <w:r>
        <w:rPr/>
        <w:t>本期本公司全资子公司西藏黑马信息技术服务有限公司所得税享受上述优惠政策，适用的所得税率为</w:t>
      </w:r>
    </w:p>
    <w:p>
      <w:pPr>
        <w:spacing w:line="487" w:lineRule="auto" w:before="37"/>
        <w:ind w:left="1133" w:right="76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w:t>
      </w:r>
      <w:r>
        <w:rPr>
          <w:rFonts w:ascii="宋体" w:hAnsi="宋体" w:cs="宋体" w:eastAsia="宋体" w:hint="default"/>
          <w:w w:val="99"/>
          <w:sz w:val="21"/>
          <w:szCs w:val="21"/>
        </w:rPr>
        <w:t> </w:t>
      </w:r>
      <w:bookmarkStart w:name="七、合并财务报表项目注释" w:id="216"/>
      <w:bookmarkEnd w:id="216"/>
      <w:r>
        <w:rPr>
          <w:rFonts w:ascii="宋体" w:hAnsi="宋体" w:cs="宋体" w:eastAsia="宋体" w:hint="default"/>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bookmarkStart w:name="1、货币资金" w:id="217"/>
      <w:bookmarkEnd w:id="217"/>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9"/>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27,214.92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267,022,640.22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226,990,666.32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267,067,107.24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227,017,881.24</w:t>
            </w:r>
          </w:p>
        </w:tc>
      </w:tr>
    </w:tbl>
    <w:p>
      <w:pPr>
        <w:pStyle w:val="BodyText"/>
        <w:spacing w:line="240" w:lineRule="auto" w:before="51"/>
        <w:ind w:left="1134" w:right="0"/>
        <w:jc w:val="left"/>
      </w:pPr>
      <w:r>
        <w:rPr/>
        <w:t>其他说明</w:t>
      </w:r>
    </w:p>
    <w:p>
      <w:pPr>
        <w:pStyle w:val="Heading4"/>
        <w:spacing w:line="376" w:lineRule="auto" w:before="90"/>
        <w:ind w:left="1554" w:right="5502"/>
        <w:jc w:val="left"/>
      </w:pPr>
      <w:r>
        <w:rPr/>
        <w:t>期末不存在抵押、质押、冻结等对使用有限制款项。 期末不存放在境外的款项。</w:t>
      </w:r>
    </w:p>
    <w:p>
      <w:pPr>
        <w:spacing w:line="240" w:lineRule="auto" w:before="9"/>
        <w:rPr>
          <w:rFonts w:ascii="宋体" w:hAnsi="宋体" w:cs="宋体" w:eastAsia="宋体" w:hint="default"/>
          <w:sz w:val="16"/>
          <w:szCs w:val="16"/>
        </w:rPr>
      </w:pPr>
    </w:p>
    <w:p>
      <w:pPr>
        <w:pStyle w:val="Heading3"/>
        <w:spacing w:line="240" w:lineRule="auto"/>
        <w:ind w:left="1134" w:right="0"/>
        <w:jc w:val="left"/>
        <w:rPr>
          <w:b w:val="0"/>
          <w:bCs w:val="0"/>
        </w:rPr>
      </w:pPr>
      <w:bookmarkStart w:name="2、应收票据" w:id="218"/>
      <w:bookmarkEnd w:id="218"/>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票据分类列示" w:id="219"/>
      <w:bookmarkEnd w:id="219"/>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228,508.50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228,508.50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应收账款" w:id="220"/>
      <w:bookmarkEnd w:id="220"/>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账款分类披露" w:id="221"/>
      <w:bookmarkEnd w:id="22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50,126,5</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82.08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4,079,96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46,046,62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17,813,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681.49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2,304,657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15,509,024.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50,226,5</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82.08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4,179,96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2.02</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46,046,62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17,913,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681.49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2,404,657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15,509,024.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7177"/>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37,364,003.09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6,514,052.49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130,281.05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43,878,055.58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130,281.05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3,284,065.04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985,219.51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2,964,461.46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2,964,461.46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50,126,582.08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4,079,962.02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left="1134" w:right="0"/>
        <w:jc w:val="left"/>
      </w:pPr>
      <w:r>
        <w:rPr/>
        <w:t>确定该组合依据的说明： </w:t>
      </w:r>
      <w:r>
        <w:rPr>
          <w:spacing w:val="-2"/>
        </w:rPr>
        <w:t>按信用风险组合计提坏账准备的应收款项的确定依据、坏账准备计提方法：ⅰ．信用风险特征组合的确定依据本公司对单项</w:t>
      </w:r>
      <w:r>
        <w:rPr>
          <w:spacing w:val="-67"/>
        </w:rPr>
        <w:t> </w:t>
      </w:r>
      <w:r>
        <w:rPr>
          <w:spacing w:val="-67"/>
        </w:rPr>
      </w:r>
      <w:r>
        <w:rPr>
          <w:spacing w:val="-2"/>
        </w:rPr>
        <w:t>金额不重大以及金额重大但单项测试未发生减值的应收款项，按信用风险特征的相似性和相关性对金融资产进行分组。这些</w:t>
      </w:r>
    </w:p>
    <w:p>
      <w:pPr>
        <w:pStyle w:val="BodyText"/>
        <w:spacing w:line="316" w:lineRule="auto" w:before="2"/>
        <w:ind w:left="1134" w:right="1032"/>
        <w:jc w:val="left"/>
      </w:pPr>
      <w:r>
        <w:rPr/>
        <w:t>信用风险通常反映债务人按照该等资产的合同条款偿还所有到期金额的能力，并且与被检查资产的未来现金流量测算相关。 </w:t>
      </w:r>
      <w:r>
        <w:rPr>
          <w:spacing w:val="-2"/>
        </w:rPr>
        <w:t>ⅱ．根据信用风险特征组合确定的坏账准备计提方法按组合方式实施减值测试时，坏账准备金额系根据应收款项组合结构及</w:t>
      </w:r>
      <w:r>
        <w:rPr>
          <w:spacing w:val="-64"/>
        </w:rPr>
        <w:t> </w:t>
      </w:r>
      <w:r>
        <w:rPr>
          <w:spacing w:val="-64"/>
        </w:rPr>
      </w:r>
      <w:r>
        <w:rPr>
          <w:spacing w:val="-2"/>
        </w:rPr>
        <w:t>类似信用风险特征（债务人根据合同条款偿还欠款的能力）按历史损失经验及目前经济状况与预计应收款项组合中已经存在</w:t>
      </w:r>
      <w:r>
        <w:rPr>
          <w:spacing w:val="-64"/>
        </w:rPr>
        <w:t> </w:t>
      </w:r>
      <w:r>
        <w:rPr>
          <w:spacing w:val="-64"/>
        </w:rPr>
      </w:r>
      <w:r>
        <w:rPr/>
        <w:t>的损失评估确定。</w:t>
      </w:r>
    </w:p>
    <w:p>
      <w:pPr>
        <w:pStyle w:val="BodyText"/>
        <w:spacing w:line="240" w:lineRule="auto" w:before="59"/>
        <w:ind w:left="1134" w:right="0"/>
        <w:jc w:val="left"/>
      </w:pPr>
      <w:r>
        <w:rPr/>
        <w:t>组合中，采用余额百分比法计提坏账准备的应收账款：</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10"/>
        <w:rPr>
          <w:rFonts w:ascii="宋体" w:hAnsi="宋体" w:cs="宋体" w:eastAsia="宋体" w:hint="default"/>
          <w:sz w:val="20"/>
          <w:szCs w:val="20"/>
        </w:rPr>
      </w:pPr>
    </w:p>
    <w:p>
      <w:pPr>
        <w:pStyle w:val="Heading3"/>
        <w:spacing w:line="240" w:lineRule="auto"/>
        <w:ind w:left="1134" w:right="0"/>
        <w:jc w:val="left"/>
        <w:rPr>
          <w:b w:val="0"/>
          <w:bCs w:val="0"/>
        </w:rPr>
      </w:pPr>
      <w:bookmarkStart w:name="（2）本期计提、收回或转回的坏账准备情况" w:id="222"/>
      <w:bookmarkEnd w:id="22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0" w:lineRule="auto" w:before="44"/>
        <w:ind w:right="-12"/>
        <w:jc w:val="left"/>
      </w:pPr>
      <w:r>
        <w:rPr/>
        <w:t>本期计提坏账准备金额</w:t>
      </w:r>
      <w:r>
        <w:rPr>
          <w:spacing w:val="-47"/>
        </w:rPr>
        <w:t> </w:t>
      </w:r>
      <w:r>
        <w:rPr>
          <w:rFonts w:ascii="Times New Roman" w:hAnsi="Times New Roman" w:cs="Times New Roman" w:eastAsia="Times New Roman" w:hint="default"/>
        </w:rPr>
        <w:t>1,775,304.55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按欠款方归集的期末余额前五名的应收账款情况" w:id="223"/>
      <w:bookmarkEnd w:id="223"/>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tbl>
      <w:tblPr>
        <w:tblW w:w="0" w:type="auto"/>
        <w:jc w:val="left"/>
        <w:tblInd w:w="1149" w:type="dxa"/>
        <w:tblLayout w:type="fixed"/>
        <w:tblCellMar>
          <w:top w:w="0" w:type="dxa"/>
          <w:left w:w="0" w:type="dxa"/>
          <w:bottom w:w="0" w:type="dxa"/>
          <w:right w:w="0" w:type="dxa"/>
        </w:tblCellMar>
        <w:tblLook w:val="01E0"/>
      </w:tblPr>
      <w:tblGrid>
        <w:gridCol w:w="3612"/>
        <w:gridCol w:w="904"/>
        <w:gridCol w:w="1045"/>
        <w:gridCol w:w="1092"/>
        <w:gridCol w:w="414"/>
        <w:gridCol w:w="1343"/>
      </w:tblGrid>
      <w:tr>
        <w:trPr>
          <w:trHeight w:val="348" w:hRule="exact"/>
        </w:trPr>
        <w:tc>
          <w:tcPr>
            <w:tcW w:w="3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19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0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5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47" w:hRule="exact"/>
        </w:trPr>
        <w:tc>
          <w:tcPr>
            <w:tcW w:w="3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19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86" w:right="0"/>
              <w:jc w:val="left"/>
              <w:rPr>
                <w:rFonts w:ascii="Times New Roman" w:hAnsi="Times New Roman" w:cs="Times New Roman" w:eastAsia="Times New Roman" w:hint="default"/>
                <w:sz w:val="18"/>
                <w:szCs w:val="18"/>
              </w:rPr>
            </w:pPr>
            <w:r>
              <w:rPr>
                <w:rFonts w:ascii="Times New Roman"/>
                <w:sz w:val="18"/>
              </w:rPr>
              <w:t>3,000,000.00</w:t>
            </w:r>
          </w:p>
        </w:tc>
        <w:tc>
          <w:tcPr>
            <w:tcW w:w="15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5.97</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0.00</w:t>
            </w:r>
          </w:p>
        </w:tc>
      </w:tr>
      <w:tr>
        <w:trPr>
          <w:trHeight w:val="347" w:hRule="exact"/>
        </w:trPr>
        <w:tc>
          <w:tcPr>
            <w:tcW w:w="3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19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86" w:right="0"/>
              <w:jc w:val="left"/>
              <w:rPr>
                <w:rFonts w:ascii="Times New Roman" w:hAnsi="Times New Roman" w:cs="Times New Roman" w:eastAsia="Times New Roman" w:hint="default"/>
                <w:sz w:val="18"/>
                <w:szCs w:val="18"/>
              </w:rPr>
            </w:pPr>
            <w:r>
              <w:rPr>
                <w:rFonts w:ascii="Times New Roman"/>
                <w:sz w:val="18"/>
              </w:rPr>
              <w:t>2,771,000.00</w:t>
            </w:r>
          </w:p>
        </w:tc>
        <w:tc>
          <w:tcPr>
            <w:tcW w:w="15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5.52</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r>
      <w:tr>
        <w:trPr>
          <w:trHeight w:val="347" w:hRule="exact"/>
        </w:trPr>
        <w:tc>
          <w:tcPr>
            <w:tcW w:w="3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3</w:t>
            </w:r>
          </w:p>
        </w:tc>
        <w:tc>
          <w:tcPr>
            <w:tcW w:w="19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86" w:right="0"/>
              <w:jc w:val="left"/>
              <w:rPr>
                <w:rFonts w:ascii="Times New Roman" w:hAnsi="Times New Roman" w:cs="Times New Roman" w:eastAsia="Times New Roman" w:hint="default"/>
                <w:sz w:val="18"/>
                <w:szCs w:val="18"/>
              </w:rPr>
            </w:pPr>
            <w:r>
              <w:rPr>
                <w:rFonts w:ascii="Times New Roman"/>
                <w:sz w:val="18"/>
              </w:rPr>
              <w:t>2,505,000.00</w:t>
            </w:r>
          </w:p>
        </w:tc>
        <w:tc>
          <w:tcPr>
            <w:tcW w:w="15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4.99</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r>
      <w:tr>
        <w:trPr>
          <w:trHeight w:val="347" w:hRule="exact"/>
        </w:trPr>
        <w:tc>
          <w:tcPr>
            <w:tcW w:w="3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4</w:t>
            </w:r>
          </w:p>
        </w:tc>
        <w:tc>
          <w:tcPr>
            <w:tcW w:w="19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86" w:right="0"/>
              <w:jc w:val="left"/>
              <w:rPr>
                <w:rFonts w:ascii="Times New Roman" w:hAnsi="Times New Roman" w:cs="Times New Roman" w:eastAsia="Times New Roman" w:hint="default"/>
                <w:sz w:val="18"/>
                <w:szCs w:val="18"/>
              </w:rPr>
            </w:pPr>
            <w:r>
              <w:rPr>
                <w:rFonts w:ascii="Times New Roman"/>
                <w:sz w:val="18"/>
              </w:rPr>
              <w:t>2,000,000.00</w:t>
            </w:r>
          </w:p>
        </w:tc>
        <w:tc>
          <w:tcPr>
            <w:tcW w:w="15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3.98</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20,000.00</w:t>
            </w:r>
          </w:p>
        </w:tc>
      </w:tr>
      <w:tr>
        <w:trPr>
          <w:trHeight w:val="347" w:hRule="exact"/>
        </w:trPr>
        <w:tc>
          <w:tcPr>
            <w:tcW w:w="3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5</w:t>
            </w:r>
          </w:p>
        </w:tc>
        <w:tc>
          <w:tcPr>
            <w:tcW w:w="19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86" w:right="0"/>
              <w:jc w:val="left"/>
              <w:rPr>
                <w:rFonts w:ascii="Times New Roman" w:hAnsi="Times New Roman" w:cs="Times New Roman" w:eastAsia="Times New Roman" w:hint="default"/>
                <w:sz w:val="18"/>
                <w:szCs w:val="18"/>
              </w:rPr>
            </w:pPr>
            <w:r>
              <w:rPr>
                <w:rFonts w:ascii="Times New Roman"/>
                <w:sz w:val="18"/>
              </w:rPr>
              <w:t>2,000,000.00</w:t>
            </w:r>
          </w:p>
        </w:tc>
        <w:tc>
          <w:tcPr>
            <w:tcW w:w="15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3.98</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r>
      <w:tr>
        <w:trPr>
          <w:trHeight w:val="304" w:hRule="exact"/>
        </w:trPr>
        <w:tc>
          <w:tcPr>
            <w:tcW w:w="3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904" w:type="dxa"/>
            <w:tcBorders>
              <w:top w:val="single" w:sz="6" w:space="0" w:color="000000"/>
              <w:left w:val="single" w:sz="6" w:space="0" w:color="000000"/>
              <w:bottom w:val="single" w:sz="6" w:space="0" w:color="000000"/>
              <w:right w:val="nil" w:sz="6" w:space="0" w:color="auto"/>
            </w:tcBorders>
          </w:tcPr>
          <w:p>
            <w:pPr/>
          </w:p>
        </w:tc>
        <w:tc>
          <w:tcPr>
            <w:tcW w:w="1045" w:type="dxa"/>
            <w:tcBorders>
              <w:top w:val="single" w:sz="6" w:space="0" w:color="000000"/>
              <w:left w:val="nil" w:sz="6" w:space="0" w:color="auto"/>
              <w:bottom w:val="single" w:sz="40"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12,276,000.00</w:t>
            </w:r>
          </w:p>
        </w:tc>
        <w:tc>
          <w:tcPr>
            <w:tcW w:w="1092" w:type="dxa"/>
            <w:tcBorders>
              <w:top w:val="single" w:sz="6" w:space="0" w:color="000000"/>
              <w:left w:val="single" w:sz="6" w:space="0" w:color="000000"/>
              <w:bottom w:val="single" w:sz="6" w:space="0" w:color="000000"/>
              <w:right w:val="nil" w:sz="6" w:space="0" w:color="auto"/>
            </w:tcBorders>
          </w:tcPr>
          <w:p>
            <w:pPr/>
          </w:p>
        </w:tc>
        <w:tc>
          <w:tcPr>
            <w:tcW w:w="414" w:type="dxa"/>
            <w:tcBorders>
              <w:top w:val="single" w:sz="6" w:space="0" w:color="000000"/>
              <w:left w:val="nil" w:sz="6" w:space="0" w:color="auto"/>
              <w:bottom w:val="single" w:sz="40"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24.44</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预付款项" w:id="224"/>
      <w:bookmarkEnd w:id="224"/>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25"/>
      <w:bookmarkEnd w:id="22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2,276,457.16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99.11%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752,643.62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2,296,807.16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752,643.62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1134"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不适用。</w:t>
      </w:r>
    </w:p>
    <w:p>
      <w:pPr>
        <w:spacing w:line="240" w:lineRule="auto" w:before="4"/>
        <w:rPr>
          <w:rFonts w:ascii="宋体" w:hAnsi="宋体" w:cs="宋体" w:eastAsia="宋体" w:hint="default"/>
          <w:sz w:val="21"/>
          <w:szCs w:val="21"/>
        </w:rPr>
      </w:pPr>
    </w:p>
    <w:p>
      <w:pPr>
        <w:pStyle w:val="Heading3"/>
        <w:spacing w:line="240" w:lineRule="auto"/>
        <w:ind w:left="1134" w:right="0"/>
        <w:jc w:val="left"/>
        <w:rPr>
          <w:b w:val="0"/>
          <w:bCs w:val="0"/>
        </w:rPr>
      </w:pPr>
      <w:bookmarkStart w:name="（2）按预付对象归集的期末余额前五名的预付款情况" w:id="226"/>
      <w:bookmarkEnd w:id="22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49" w:type="dxa"/>
        <w:tblLayout w:type="fixed"/>
        <w:tblCellMar>
          <w:top w:w="0" w:type="dxa"/>
          <w:left w:w="0" w:type="dxa"/>
          <w:bottom w:w="0" w:type="dxa"/>
          <w:right w:w="0" w:type="dxa"/>
        </w:tblCellMar>
        <w:tblLook w:val="01E0"/>
      </w:tblPr>
      <w:tblGrid>
        <w:gridCol w:w="3810"/>
        <w:gridCol w:w="2036"/>
        <w:gridCol w:w="2038"/>
        <w:gridCol w:w="1361"/>
      </w:tblGrid>
      <w:tr>
        <w:trPr>
          <w:trHeight w:val="347" w:hRule="exact"/>
        </w:trPr>
        <w:tc>
          <w:tcPr>
            <w:tcW w:w="3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714"/>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49"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7" w:hRule="exact"/>
        </w:trPr>
        <w:tc>
          <w:tcPr>
            <w:tcW w:w="3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1</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采购款</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478,498.00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20.83</w:t>
            </w:r>
          </w:p>
        </w:tc>
      </w:tr>
      <w:tr>
        <w:trPr>
          <w:trHeight w:val="347" w:hRule="exact"/>
        </w:trPr>
        <w:tc>
          <w:tcPr>
            <w:tcW w:w="3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2</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路演中心房租</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257,357.37</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11.21</w:t>
            </w:r>
          </w:p>
        </w:tc>
      </w:tr>
      <w:tr>
        <w:trPr>
          <w:trHeight w:val="347" w:hRule="exact"/>
        </w:trPr>
        <w:tc>
          <w:tcPr>
            <w:tcW w:w="3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3</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咨询服务费</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247,641.49</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10.78</w:t>
            </w:r>
          </w:p>
        </w:tc>
      </w:tr>
      <w:tr>
        <w:trPr>
          <w:trHeight w:val="347" w:hRule="exact"/>
        </w:trPr>
        <w:tc>
          <w:tcPr>
            <w:tcW w:w="3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4</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房租</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188,077.71</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8.19</w:t>
            </w:r>
          </w:p>
        </w:tc>
      </w:tr>
      <w:tr>
        <w:trPr>
          <w:trHeight w:val="348" w:hRule="exact"/>
        </w:trPr>
        <w:tc>
          <w:tcPr>
            <w:tcW w:w="3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5</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法律服务费</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157,232.69</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6.85</w:t>
            </w:r>
          </w:p>
        </w:tc>
      </w:tr>
      <w:tr>
        <w:trPr>
          <w:trHeight w:val="347" w:hRule="exact"/>
        </w:trPr>
        <w:tc>
          <w:tcPr>
            <w:tcW w:w="3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71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036"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1,328,807.26</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57.86</w:t>
            </w:r>
          </w:p>
        </w:tc>
      </w:tr>
    </w:tbl>
    <w:p>
      <w:pPr>
        <w:spacing w:line="240" w:lineRule="auto" w:before="5"/>
        <w:rPr>
          <w:rFonts w:ascii="宋体" w:hAnsi="宋体" w:cs="宋体" w:eastAsia="宋体" w:hint="default"/>
          <w:b/>
          <w:bCs/>
          <w:sz w:val="24"/>
          <w:szCs w:val="24"/>
        </w:rPr>
      </w:pPr>
    </w:p>
    <w:p>
      <w:pPr>
        <w:pStyle w:val="BodyText"/>
        <w:spacing w:line="357" w:lineRule="auto" w:before="44"/>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5、其他应收款" w:id="227"/>
      <w:bookmarkEnd w:id="227"/>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其他应收款分类披露" w:id="228"/>
      <w:bookmarkEnd w:id="22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11,741.6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11,741.68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196,424</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6" w:right="0"/>
              <w:jc w:val="left"/>
              <w:rPr>
                <w:rFonts w:ascii="Times New Roman" w:hAnsi="Times New Roman" w:cs="Times New Roman" w:eastAsia="Times New Roman" w:hint="default"/>
                <w:sz w:val="18"/>
                <w:szCs w:val="18"/>
              </w:rPr>
            </w:pPr>
            <w:r>
              <w:rPr>
                <w:rFonts w:ascii="Times New Roman"/>
                <w:sz w:val="18"/>
              </w:rPr>
              <w:t>100.05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196,324.38</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60"/>
              <w:jc w:val="left"/>
              <w:rPr>
                <w:rFonts w:ascii="宋体" w:hAnsi="宋体" w:cs="宋体" w:eastAsia="宋体" w:hint="default"/>
                <w:sz w:val="18"/>
                <w:szCs w:val="18"/>
              </w:rPr>
            </w:pPr>
            <w:r>
              <w:rPr>
                <w:rFonts w:ascii="宋体" w:hAnsi="宋体" w:cs="宋体" w:eastAsia="宋体" w:hint="default"/>
                <w:sz w:val="18"/>
                <w:szCs w:val="18"/>
              </w:rPr>
              <w:t>单项金额不重大但 单独计提坏账准备</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7" w:right="0"/>
              <w:jc w:val="left"/>
              <w:rPr>
                <w:rFonts w:ascii="Times New Roman" w:hAnsi="Times New Roman" w:cs="Times New Roman" w:eastAsia="Times New Roman" w:hint="default"/>
                <w:sz w:val="18"/>
                <w:szCs w:val="18"/>
              </w:rPr>
            </w:pPr>
            <w:r>
              <w:rPr>
                <w:rFonts w:ascii="Times New Roman"/>
                <w:sz w:val="18"/>
              </w:rPr>
              <w:t>2,490,07</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1.61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99.53%</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2,490,071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1,449,2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91.05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88.06%</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1,449,291.0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2,501,81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2,501,813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1,645,7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15.48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6" w:right="0"/>
              <w:jc w:val="left"/>
              <w:rPr>
                <w:rFonts w:ascii="Times New Roman" w:hAnsi="Times New Roman" w:cs="Times New Roman" w:eastAsia="Times New Roman" w:hint="default"/>
                <w:sz w:val="18"/>
                <w:szCs w:val="18"/>
              </w:rPr>
            </w:pPr>
            <w:r>
              <w:rPr>
                <w:rFonts w:ascii="Times New Roman"/>
                <w:sz w:val="18"/>
              </w:rPr>
              <w:t>100.05</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1,645,615.4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11,741.68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11,741.68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left="1134" w:right="0"/>
        <w:jc w:val="left"/>
      </w:pPr>
      <w:r>
        <w:rPr/>
        <w:t>确定该组合依据的说明： </w:t>
      </w:r>
      <w:r>
        <w:rPr>
          <w:spacing w:val="-2"/>
        </w:rPr>
        <w:t>按信用风险组合计提坏账准备的应收款项的确定依据、坏账准备计提方法：ⅰ．信用风险特征组合的确定依据本公司对单项</w:t>
      </w:r>
      <w:r>
        <w:rPr>
          <w:spacing w:val="-66"/>
        </w:rPr>
        <w:t> </w:t>
      </w:r>
      <w:r>
        <w:rPr>
          <w:spacing w:val="-66"/>
        </w:rPr>
      </w:r>
      <w:r>
        <w:rPr>
          <w:spacing w:val="-2"/>
        </w:rPr>
        <w:t>金额不重大以及金额重大但单项测试未发生减值的应收款项，按信用风险特征的相似性和相关性对金融资产进行分组。这些</w:t>
      </w:r>
    </w:p>
    <w:p>
      <w:pPr>
        <w:pStyle w:val="BodyText"/>
        <w:spacing w:line="319" w:lineRule="auto" w:before="2"/>
        <w:ind w:left="1134" w:right="1032"/>
        <w:jc w:val="left"/>
      </w:pPr>
      <w:r>
        <w:rPr/>
        <w:t>信用风险通常反映债务人按照该等资产的合同条款偿还所有到期金额的能力，并且与被检查资产的未来现金流量测算相关。 </w:t>
      </w:r>
      <w:r>
        <w:rPr>
          <w:spacing w:val="-2"/>
        </w:rPr>
        <w:t>ⅱ．根据信用风险特征组合确定的坏账准备计提方法按组合方式实施减值测试时，坏账准备金额系根据应收款项组合结构及</w:t>
      </w:r>
      <w:r>
        <w:rPr>
          <w:spacing w:val="-64"/>
        </w:rPr>
        <w:t> </w:t>
      </w:r>
      <w:r>
        <w:rPr>
          <w:spacing w:val="-64"/>
        </w:rPr>
      </w:r>
      <w:r>
        <w:rPr>
          <w:spacing w:val="-2"/>
        </w:rPr>
        <w:t>类似信用风险特征（债务人根据合同条款偿还欠款的能力）按历史损失经验及目前经济状况与预计应收款项组合中已经存在</w:t>
      </w:r>
      <w:r>
        <w:rPr>
          <w:spacing w:val="-64"/>
        </w:rPr>
        <w:t> </w:t>
      </w:r>
      <w:r>
        <w:rPr>
          <w:spacing w:val="-64"/>
        </w:rPr>
      </w:r>
      <w:r>
        <w:rPr/>
        <w:t>的损失评估确定。</w:t>
      </w:r>
    </w:p>
    <w:p>
      <w:pPr>
        <w:pStyle w:val="BodyText"/>
        <w:spacing w:line="240" w:lineRule="auto" w:before="58"/>
        <w:ind w:left="1134" w:right="0"/>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29"/>
      <w:bookmarkEnd w:id="22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40" w:lineRule="auto" w:before="44"/>
        <w:ind w:right="-14"/>
        <w:jc w:val="left"/>
      </w:pPr>
      <w:r>
        <w:rPr/>
        <w:t>本期计提坏账准备金额</w:t>
      </w:r>
      <w:r>
        <w:rPr>
          <w:rFonts w:ascii="Times New Roman" w:hAnsi="Times New Roman" w:cs="Times New Roman" w:eastAsia="Times New Roman" w:hint="default"/>
        </w:rPr>
        <w:t>-100.05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6999" w:space="1831"/>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其他应收款按款项性质分类情况" w:id="230"/>
      <w:bookmarkEnd w:id="230"/>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2,231,966.95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1,449,291.05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9,160.50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269,846.34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187,263.93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2,501,813.29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1,645,715.48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按欠款方归集的期末余额前五名的其他应收款情况" w:id="231"/>
      <w:bookmarkEnd w:id="231"/>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33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9"/>
              <w:jc w:val="left"/>
              <w:rPr>
                <w:rFonts w:ascii="宋体" w:hAnsi="宋体" w:cs="宋体" w:eastAsia="宋体" w:hint="default"/>
                <w:sz w:val="18"/>
                <w:szCs w:val="18"/>
              </w:rPr>
            </w:pPr>
            <w:r>
              <w:rPr>
                <w:rFonts w:ascii="宋体" w:hAnsi="宋体" w:cs="宋体" w:eastAsia="宋体" w:hint="default"/>
                <w:sz w:val="18"/>
                <w:szCs w:val="18"/>
              </w:rPr>
              <w:t>北京方亚海泰科技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1,075,721.16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pacing w:val="-7"/>
                <w:sz w:val="18"/>
                <w:szCs w:val="18"/>
              </w:rPr>
              <w:t>个月以内（含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 </w:t>
            </w:r>
            <w:r>
              <w:rPr>
                <w:rFonts w:ascii="宋体" w:hAnsi="宋体" w:cs="宋体" w:eastAsia="宋体" w:hint="default"/>
                <w:spacing w:val="-36"/>
                <w:sz w:val="18"/>
                <w:szCs w:val="18"/>
              </w:rPr>
              <w:t>月）、</w:t>
            </w:r>
            <w:r>
              <w:rPr>
                <w:rFonts w:ascii="Times New Roman" w:hAnsi="Times New Roman" w:cs="Times New Roman" w:eastAsia="Times New Roman" w:hint="default"/>
                <w:spacing w:val="-36"/>
                <w:sz w:val="18"/>
                <w:szCs w:val="18"/>
              </w:rPr>
              <w:t>6</w:t>
            </w:r>
            <w:r>
              <w:rPr>
                <w:rFonts w:ascii="Times New Roman" w:hAnsi="Times New Roman" w:cs="Times New Roman" w:eastAsia="Times New Roman" w:hint="default"/>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302" w:lineRule="auto" w:before="13"/>
              <w:ind w:left="22" w:right="119"/>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个月）、</w:t>
            </w:r>
            <w:r>
              <w:rPr>
                <w:rFonts w:ascii="Times New Roman" w:hAnsi="Times New Roman" w:cs="Times New Roman" w:eastAsia="Times New Roman" w:hint="default"/>
                <w:spacing w:val="-15"/>
                <w:sz w:val="18"/>
                <w:szCs w:val="18"/>
              </w:rPr>
              <w:t>24</w:t>
            </w:r>
            <w:r>
              <w:rPr>
                <w:rFonts w:ascii="Times New Roman" w:hAnsi="Times New Roman" w:cs="Times New Roman" w:eastAsia="Times New Roman" w:hint="default"/>
                <w:sz w:val="18"/>
                <w:szCs w:val="18"/>
              </w:rPr>
              <w:t> </w:t>
            </w:r>
            <w:r>
              <w:rPr>
                <w:rFonts w:ascii="宋体" w:hAnsi="宋体" w:cs="宋体" w:eastAsia="宋体" w:hint="default"/>
                <w:sz w:val="18"/>
                <w:szCs w:val="18"/>
              </w:rPr>
              <w:t>个月以上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北京海淀置业集团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195,690.04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个月（含</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广东羊城晚报创意 园投资管理有限公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pacing w:val="-7"/>
                <w:sz w:val="18"/>
                <w:szCs w:val="18"/>
              </w:rPr>
              <w:t>个月以内（含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 </w:t>
            </w:r>
            <w:r>
              <w:rPr>
                <w:rFonts w:ascii="宋体" w:hAnsi="宋体" w:cs="宋体" w:eastAsia="宋体" w:hint="default"/>
                <w:spacing w:val="-18"/>
                <w:sz w:val="18"/>
                <w:szCs w:val="18"/>
              </w:rPr>
              <w:t>月）、</w:t>
            </w:r>
            <w:r>
              <w:rPr>
                <w:rFonts w:ascii="Times New Roman" w:hAnsi="Times New Roman" w:cs="Times New Roman" w:eastAsia="Times New Roman" w:hint="default"/>
                <w:spacing w:val="-18"/>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武汉光谷创客街区 管理有限公司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保证金押金、其他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185,280.05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pacing w:val="-7"/>
                <w:sz w:val="18"/>
                <w:szCs w:val="18"/>
              </w:rPr>
              <w:t>个月以内（含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 </w:t>
            </w:r>
            <w:r>
              <w:rPr>
                <w:rFonts w:ascii="宋体" w:hAnsi="宋体" w:cs="宋体" w:eastAsia="宋体" w:hint="default"/>
                <w:spacing w:val="-18"/>
                <w:sz w:val="18"/>
                <w:szCs w:val="18"/>
              </w:rPr>
              <w:t>月）、</w:t>
            </w:r>
            <w:r>
              <w:rPr>
                <w:rFonts w:ascii="Times New Roman" w:hAnsi="Times New Roman" w:cs="Times New Roman" w:eastAsia="Times New Roman" w:hint="default"/>
                <w:spacing w:val="-18"/>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苏州工业园区科技 发展有限公司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139,483.60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个月（含</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1,791,424.85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71.61%</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存货" w:id="232"/>
      <w:bookmarkEnd w:id="232"/>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left="1134" w:right="0"/>
        <w:jc w:val="left"/>
        <w:rPr>
          <w:b w:val="0"/>
          <w:bCs w:val="0"/>
        </w:rPr>
      </w:pPr>
      <w:bookmarkStart w:name="（1）存货分类" w:id="233"/>
      <w:bookmarkEnd w:id="23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40" w:lineRule="auto" w:before="51"/>
        <w:ind w:left="113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175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存货跌价准备" w:id="234"/>
      <w:bookmarkEnd w:id="23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存货期末余额含有借款费用资本化金额的说明" w:id="235"/>
      <w:bookmarkEnd w:id="235"/>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4）期末建造合同形成的已完工未结算资产情况" w:id="236"/>
      <w:bookmarkEnd w:id="236"/>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7、其他流动资产" w:id="237"/>
      <w:bookmarkEnd w:id="237"/>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570,022.22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预缴的税款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366,969.72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366,655.62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215,384.61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上市中介费</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2,688,679.23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131,152,376.55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3,055,334.85</w:t>
            </w:r>
          </w:p>
        </w:tc>
      </w:tr>
    </w:tbl>
    <w:p>
      <w:pPr>
        <w:pStyle w:val="BodyText"/>
        <w:spacing w:line="240" w:lineRule="auto" w:before="51"/>
        <w:ind w:left="1134" w:right="0"/>
        <w:jc w:val="left"/>
      </w:pPr>
      <w:r>
        <w:rPr/>
        <w:t>其他说明：</w:t>
      </w:r>
    </w:p>
    <w:p>
      <w:pPr>
        <w:pStyle w:val="Heading4"/>
        <w:spacing w:line="273" w:lineRule="auto" w:before="89"/>
        <w:ind w:right="1116"/>
        <w:jc w:val="left"/>
      </w:pPr>
      <w:r>
        <w:rPr>
          <w:spacing w:val="-1"/>
        </w:rPr>
        <w:t>期初余额上市中介费为首次上市发行新股过程中发生的发行中介费，新股发行后，上述费用已冲减资本公</w:t>
      </w:r>
      <w:r>
        <w:rPr>
          <w:spacing w:val="-81"/>
        </w:rPr>
        <w:t> </w:t>
      </w:r>
      <w:r>
        <w:rPr>
          <w:spacing w:val="-81"/>
        </w:rPr>
      </w:r>
      <w:r>
        <w:rPr/>
        <w:t>积。</w:t>
      </w:r>
    </w:p>
    <w:p>
      <w:pPr>
        <w:spacing w:line="240" w:lineRule="auto" w:before="8"/>
        <w:rPr>
          <w:rFonts w:ascii="宋体" w:hAnsi="宋体" w:cs="宋体" w:eastAsia="宋体" w:hint="default"/>
          <w:sz w:val="23"/>
          <w:szCs w:val="23"/>
        </w:rPr>
      </w:pPr>
    </w:p>
    <w:p>
      <w:pPr>
        <w:pStyle w:val="Heading3"/>
        <w:spacing w:line="240" w:lineRule="auto"/>
        <w:ind w:left="1134" w:right="0"/>
        <w:jc w:val="left"/>
        <w:rPr>
          <w:b w:val="0"/>
          <w:bCs w:val="0"/>
        </w:rPr>
      </w:pPr>
      <w:bookmarkStart w:name="8、长期股权投资" w:id="238"/>
      <w:bookmarkEnd w:id="238"/>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北京科创 空间投资 发展有限</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4,140,551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4,144,107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34" w:right="0"/>
              <w:jc w:val="left"/>
              <w:rPr>
                <w:rFonts w:ascii="Times New Roman" w:hAnsi="Times New Roman" w:cs="Times New Roman" w:eastAsia="Times New Roman" w:hint="default"/>
                <w:sz w:val="18"/>
                <w:szCs w:val="18"/>
              </w:rPr>
            </w:pPr>
            <w:r>
              <w:rPr>
                <w:rFonts w:ascii="Times New Roman"/>
                <w:sz w:val="18"/>
              </w:rPr>
              <w:t>3,556.58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4,140,551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4,144,107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3,556.58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4,140,551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4,144,107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3,556.58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pStyle w:val="BodyText"/>
        <w:spacing w:line="300" w:lineRule="auto" w:before="116"/>
        <w:ind w:left="1134" w:right="0"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日，本公司将持股</w:t>
      </w:r>
      <w:r>
        <w:rPr>
          <w:rFonts w:ascii="Times New Roman" w:hAnsi="Times New Roman" w:cs="Times New Roman" w:eastAsia="Times New Roman" w:hint="default"/>
        </w:rPr>
        <w:t>15%</w:t>
      </w:r>
      <w:r>
        <w:rPr/>
        <w:t>的联营公司北京科创空间投资发展有限公司全部股份作价</w:t>
      </w:r>
      <w:r>
        <w:rPr>
          <w:rFonts w:ascii="Times New Roman" w:hAnsi="Times New Roman" w:cs="Times New Roman" w:eastAsia="Times New Roman" w:hint="default"/>
        </w:rPr>
        <w:t>450.00</w:t>
      </w:r>
      <w:r>
        <w:rPr/>
        <w:t>万元，转让至北京 </w:t>
      </w:r>
      <w:r>
        <w:rPr>
          <w:spacing w:val="-2"/>
        </w:rPr>
        <w:t>市盈润积基金管理中心（有限合伙），减少长期股权投资</w:t>
      </w:r>
      <w:r>
        <w:rPr>
          <w:rFonts w:ascii="Times New Roman" w:hAnsi="Times New Roman" w:cs="Times New Roman" w:eastAsia="Times New Roman" w:hint="default"/>
          <w:spacing w:val="-2"/>
        </w:rPr>
        <w:t>4,144,107.76</w:t>
      </w:r>
      <w:r>
        <w:rPr>
          <w:spacing w:val="-2"/>
        </w:rPr>
        <w:t>元，溢价</w:t>
      </w:r>
      <w:r>
        <w:rPr>
          <w:rFonts w:ascii="Times New Roman" w:hAnsi="Times New Roman" w:cs="Times New Roman" w:eastAsia="Times New Roman" w:hint="default"/>
          <w:spacing w:val="-2"/>
        </w:rPr>
        <w:t>355,892.24</w:t>
      </w:r>
      <w:r>
        <w:rPr>
          <w:spacing w:val="-2"/>
        </w:rPr>
        <w:t>元计入投资收益。</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9、固定资产" w:id="239"/>
      <w:bookmarkEnd w:id="239"/>
      <w:r>
        <w:rPr>
          <w:b w:val="0"/>
          <w:bCs w:val="0"/>
        </w:rPr>
      </w:r>
      <w:r>
        <w:rPr>
          <w:rFonts w:ascii="Times New Roman" w:hAnsi="Times New Roman" w:cs="Times New Roman" w:eastAsia="Times New Roman" w:hint="default"/>
        </w:rPr>
        <w:t>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40"/>
      <w:bookmarkEnd w:id="24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1,002,388.01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2,355,086.11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1,723,296.26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5,080,770.38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2,066,769.02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285,995.00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2,352,764.02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2,066,769.02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285,995.00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2,352,764.02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2</w:t>
            </w:r>
            <w:r>
              <w:rPr>
                <w:rFonts w:ascii="宋体" w:hAnsi="宋体" w:cs="宋体" w:eastAsia="宋体" w:hint="default"/>
                <w:spacing w:val="-2"/>
                <w:w w:val="95"/>
                <w:sz w:val="18"/>
                <w:szCs w:val="18"/>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3</w:t>
            </w:r>
            <w:r>
              <w:rPr>
                <w:rFonts w:ascii="宋体" w:hAnsi="宋体" w:cs="宋体" w:eastAsia="宋体" w:hint="default"/>
                <w:spacing w:val="-2"/>
                <w:w w:val="95"/>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274,432.33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274,432.33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274,432.33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274,432.33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1,002,388.01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4,147,422.80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2,009,291.26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7,159,102.07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502,481.19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1,372,426.94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566,131.24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2,441,039.37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122,189.64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1,075,147.01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221,975.41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1,419,312.06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122,189.64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1,075,147.01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221,975.41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1,419,312.06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262,124.42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262,124.42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262,124.42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262,124.42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624,670.83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2,185,449.53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788,106.65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3,598,227.01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377,717.18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1,961,973.27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1,221,184.61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3,560,875.06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499,906.82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982,659.17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1,157,165.02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2,639,731.01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0、无形资产" w:id="241"/>
      <w:bookmarkEnd w:id="241"/>
      <w:r>
        <w:rPr>
          <w:b w:val="0"/>
          <w:bCs w:val="0"/>
        </w:rPr>
      </w:r>
      <w:r>
        <w:rPr>
          <w:rFonts w:ascii="Times New Roman" w:hAnsi="Times New Roman" w:cs="Times New Roman" w:eastAsia="Times New Roman" w:hint="default"/>
        </w:rPr>
        <w:t>10</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无形资产情况" w:id="242"/>
      <w:bookmarkEnd w:id="24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1,214,881.08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1,214,881.08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1,685,451.97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1,685,451.97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1,685,451.97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1,685,451.97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2,900,333.05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2,900,333.05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280,809.01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280,809.01</w:t>
            </w:r>
          </w:p>
        </w:tc>
      </w:tr>
      <w:tr>
        <w:trPr>
          <w:trHeight w:val="715"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505,647.39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505,647.39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505,647.39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505,647.39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786,456.40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786,456.40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2,113,876.65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2,113,876.65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934,072.07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934,072.07</w:t>
            </w:r>
          </w:p>
        </w:tc>
      </w:tr>
    </w:tbl>
    <w:p>
      <w:pPr>
        <w:pStyle w:val="BodyText"/>
        <w:spacing w:line="240" w:lineRule="auto" w:before="51"/>
        <w:ind w:left="113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1、长期待摊费用" w:id="243"/>
      <w:bookmarkEnd w:id="243"/>
      <w:r>
        <w:rPr>
          <w:b w:val="0"/>
          <w:bCs w:val="0"/>
        </w:rPr>
      </w:r>
      <w:r>
        <w:rPr>
          <w:rFonts w:ascii="Times New Roman" w:hAnsi="Times New Roman" w:cs="Times New Roman" w:eastAsia="Times New Roman" w:hint="default"/>
        </w:rPr>
        <w:t>11</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租车费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43,931.73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43,931.73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空调改造安装</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151,932.43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27,130.80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124,801.63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2,823,654.56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4,691,048.50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2,676,537.87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4,838,165.19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2,867,586.29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4,842,980.93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2,747,600.40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4,962,966.82</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2、递延所得税资产/递延所得税负债" w:id="244"/>
      <w:bookmarkEnd w:id="244"/>
      <w:r>
        <w:rPr>
          <w:b w:val="0"/>
          <w:bCs w:val="0"/>
        </w:rPr>
      </w:r>
      <w:r>
        <w:rPr>
          <w:rFonts w:ascii="Times New Roman" w:hAnsi="Times New Roman" w:cs="Times New Roman" w:eastAsia="Times New Roman" w:hint="default"/>
        </w:rPr>
        <w:t>12</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45"/>
      <w:bookmarkEnd w:id="24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1,600,362.56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400,090.64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529,996.00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132,499.00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1,600,362.56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400,090.64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529,996.00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132,499.00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未确认递延所得税资产明细" w:id="246"/>
      <w:bookmarkEnd w:id="246"/>
      <w:r>
        <w:rPr>
          <w:b w:val="0"/>
          <w:bCs w:val="0"/>
        </w:rPr>
      </w:r>
      <w:r>
        <w:rPr/>
        <w:t>（</w:t>
      </w:r>
      <w:r>
        <w:rPr>
          <w:rFonts w:ascii="Times New Roman" w:hAnsi="Times New Roman" w:cs="Times New Roman" w:eastAsia="Times New Roman" w:hint="default"/>
        </w:rPr>
        <w:t>2</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1,113,590.25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468,690.38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797,086.11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528,644.39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1,910,676.36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997,334.77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未确认递延所得税资产的可抵扣亏损将于以下年度到期" w:id="247"/>
      <w:bookmarkEnd w:id="247"/>
      <w:r>
        <w:rPr>
          <w:b w:val="0"/>
          <w:bCs w:val="0"/>
        </w:rPr>
      </w:r>
      <w:r>
        <w:rPr/>
        <w:t>（</w:t>
      </w:r>
      <w:r>
        <w:rPr>
          <w:rFonts w:ascii="Times New Roman" w:hAnsi="Times New Roman" w:cs="Times New Roman" w:eastAsia="Times New Roman" w:hint="default"/>
        </w:rPr>
        <w:t>3</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1,952,129.26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2,114,577.54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1,236,215.19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3,188,344.45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2,114,577.54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3、其他非流动资产" w:id="248"/>
      <w:bookmarkEnd w:id="248"/>
      <w:r>
        <w:rPr>
          <w:b w:val="0"/>
          <w:bCs w:val="0"/>
        </w:rPr>
      </w:r>
      <w:r>
        <w:rPr>
          <w:rFonts w:ascii="Times New Roman" w:hAnsi="Times New Roman" w:cs="Times New Roman" w:eastAsia="Times New Roman" w:hint="default"/>
        </w:rPr>
        <w:t>13</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未完工装修工程款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2,207,661.32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2,207,661.32</w:t>
            </w:r>
          </w:p>
        </w:tc>
      </w:tr>
    </w:tbl>
    <w:p>
      <w:pPr>
        <w:pStyle w:val="BodyText"/>
        <w:spacing w:line="240" w:lineRule="auto" w:before="51"/>
        <w:ind w:left="1134" w:right="0"/>
        <w:jc w:val="left"/>
      </w:pPr>
      <w:r>
        <w:rPr/>
        <w:t>其他说明：</w:t>
      </w:r>
    </w:p>
    <w:p>
      <w:pPr>
        <w:pStyle w:val="Heading4"/>
        <w:spacing w:line="240" w:lineRule="auto" w:before="90"/>
        <w:ind w:left="1554" w:right="0"/>
        <w:jc w:val="left"/>
      </w:pPr>
      <w:r>
        <w:rPr/>
        <w:t>注：装修工程款于</w:t>
      </w:r>
      <w:r>
        <w:rPr>
          <w:rFonts w:ascii="Times New Roman" w:hAnsi="Times New Roman" w:cs="Times New Roman" w:eastAsia="Times New Roman" w:hint="default"/>
        </w:rPr>
        <w:t>2017</w:t>
      </w:r>
      <w:r>
        <w:rPr/>
        <w:t>年全部完工转入长期待摊费用。</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4、应付账款" w:id="249"/>
      <w:bookmarkEnd w:id="249"/>
      <w:r>
        <w:rPr>
          <w:b w:val="0"/>
          <w:bCs w:val="0"/>
        </w:rPr>
      </w:r>
      <w:r>
        <w:rPr>
          <w:rFonts w:ascii="Times New Roman" w:hAnsi="Times New Roman" w:cs="Times New Roman" w:eastAsia="Times New Roman" w:hint="default"/>
        </w:rPr>
        <w:t>14</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账款列示" w:id="250"/>
      <w:bookmarkEnd w:id="250"/>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应付服务款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5,855,381.63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5,835,989.52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5,855,381.63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5,835,989.52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5、预收款项" w:id="251"/>
      <w:bookmarkEnd w:id="251"/>
      <w:r>
        <w:rPr>
          <w:b w:val="0"/>
          <w:bCs w:val="0"/>
        </w:rPr>
      </w:r>
      <w:r>
        <w:rPr>
          <w:rFonts w:ascii="Times New Roman" w:hAnsi="Times New Roman" w:cs="Times New Roman" w:eastAsia="Times New Roman" w:hint="default"/>
        </w:rPr>
        <w:t>15</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预收款项列示" w:id="252"/>
      <w:bookmarkEnd w:id="25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会员服务费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925,550.65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2,319,053.64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公关服务费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880,409.01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4,294,338.77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创业辅导培训费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42,034,223.60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36,325,279.06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工位租赁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183,399.88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44,023,583.14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42,938,671.47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6、应付职工薪酬" w:id="253"/>
      <w:bookmarkEnd w:id="253"/>
      <w:r>
        <w:rPr>
          <w:b w:val="0"/>
          <w:bCs w:val="0"/>
        </w:rPr>
      </w:r>
      <w:r>
        <w:rPr>
          <w:rFonts w:ascii="Times New Roman" w:hAnsi="Times New Roman" w:cs="Times New Roman" w:eastAsia="Times New Roman" w:hint="default"/>
        </w:rPr>
        <w:t>16</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职工薪酬列示" w:id="254"/>
      <w:bookmarkEnd w:id="25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12,408,625.36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64,213,793.10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60,850,973.60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15,771,444.86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150,083.51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2,035,667.00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2,014,365.03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171,385.48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12,558,708.87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66,529,460.10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63,145,338.63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15,942,830.34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短期薪酬列示" w:id="255"/>
      <w:bookmarkEnd w:id="25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5" w:right="0"/>
              <w:jc w:val="left"/>
              <w:rPr>
                <w:rFonts w:ascii="Times New Roman" w:hAnsi="Times New Roman" w:cs="Times New Roman" w:eastAsia="Times New Roman" w:hint="default"/>
                <w:sz w:val="18"/>
                <w:szCs w:val="18"/>
              </w:rPr>
            </w:pPr>
            <w:r>
              <w:rPr>
                <w:rFonts w:ascii="Times New Roman"/>
                <w:sz w:val="18"/>
              </w:rPr>
              <w:t>11,906,617.32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58,263,882.59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54,541,807.68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15,628,692.23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2,347,972.51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2,347,972.51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110,621.70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1,668,195.19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1,650,121.48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128,695.41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94,550.13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1,284,268.59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1,261,758.18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117,060.54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20,337.12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26,166.19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2,719.75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7,522.75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103,433.61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102,041.24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8,915.12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商业保险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260,155.87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260,155.87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1,059,784.58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1,059,784.58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391,386.34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873,958.23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1,251,287.35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14,057.22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12,408,625.36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64,213,793.10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60,850,973.60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15,771,444.86</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设定提存计划列示" w:id="256"/>
      <w:bookmarkEnd w:id="25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144,010.21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1,956,718.73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1,930,962.34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169,766.60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78,948.27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83,402.69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1,618.88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150,083.51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2,035,667.00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2,014,365.03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171,385.48</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7、应交税费" w:id="257"/>
      <w:bookmarkEnd w:id="257"/>
      <w:r>
        <w:rPr>
          <w:b w:val="0"/>
          <w:bCs w:val="0"/>
        </w:rPr>
      </w:r>
      <w:r>
        <w:rPr>
          <w:rFonts w:ascii="Times New Roman" w:hAnsi="Times New Roman" w:cs="Times New Roman" w:eastAsia="Times New Roman" w:hint="default"/>
        </w:rPr>
        <w:t>17</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3,255,263.09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1,905,068.98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6,471,795.83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12,037,543.70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1,010,513.78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1,036,577.82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73,104.83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62,706.70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51,705.20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44,790.52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302,680.20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22,004.83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11,165,062.93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15,108,692.55</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8、其他应付款" w:id="258"/>
      <w:bookmarkEnd w:id="258"/>
      <w:r>
        <w:rPr>
          <w:b w:val="0"/>
          <w:bCs w:val="0"/>
        </w:rPr>
      </w:r>
      <w:r>
        <w:rPr>
          <w:rFonts w:ascii="Times New Roman" w:hAnsi="Times New Roman" w:cs="Times New Roman" w:eastAsia="Times New Roman" w:hint="default"/>
        </w:rPr>
        <w:t>18</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按款项性质列示其他应付款" w:id="259"/>
      <w:bookmarkEnd w:id="259"/>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员工垫付款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325,139.81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148,338.18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212,901.20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150,546.20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776,592.00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421,834.08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374,183.87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959,875.09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1,449,660.25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9、递延收益" w:id="260"/>
      <w:bookmarkEnd w:id="260"/>
      <w:r>
        <w:rPr>
          <w:b w:val="0"/>
          <w:bCs w:val="0"/>
        </w:rPr>
      </w:r>
      <w:r>
        <w:rPr>
          <w:rFonts w:ascii="Times New Roman" w:hAnsi="Times New Roman" w:cs="Times New Roman" w:eastAsia="Times New Roman" w:hint="default"/>
        </w:rPr>
        <w:t>19</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3,775,676.80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275,042.00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1,478,589.57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2,572,129.23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3,775,676.80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275,042.00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1,478,589.57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2,572,129.23</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南京路演中 心装修补助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1,129,298.24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275,042.00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339,694.39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1,064,645.85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成都路演中 心装修补助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1,381,711.92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675,466.65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706,245.27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成都路演中 心设备采购 款补助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416,666.64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316,666.64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武汉众创空 间装修补助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848,000.00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363,428.53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484,571.47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3,775,676.80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275,042.00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1,478,589.57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2,572,129.23</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0、股本" w:id="261"/>
      <w:bookmarkEnd w:id="261"/>
      <w:r>
        <w:rPr>
          <w:b w:val="0"/>
          <w:bCs w:val="0"/>
        </w:rPr>
      </w:r>
      <w:r>
        <w:rPr>
          <w:rFonts w:ascii="Times New Roman" w:hAnsi="Times New Roman" w:cs="Times New Roman" w:eastAsia="Times New Roman" w:hint="default"/>
        </w:rPr>
        <w:t>20</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51,000,000.00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17,000,000.00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17,000,000.00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68,000,000.00</w:t>
            </w:r>
          </w:p>
        </w:tc>
      </w:tr>
    </w:tbl>
    <w:p>
      <w:pPr>
        <w:pStyle w:val="BodyText"/>
        <w:spacing w:line="240" w:lineRule="auto" w:before="51"/>
        <w:ind w:left="1134" w:right="0"/>
        <w:jc w:val="left"/>
      </w:pPr>
      <w:r>
        <w:rPr/>
        <w:t>其他说明：无</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1、资本公积" w:id="262"/>
      <w:bookmarkEnd w:id="262"/>
      <w:r>
        <w:rPr>
          <w:b w:val="0"/>
          <w:bCs w:val="0"/>
        </w:rPr>
      </w:r>
      <w:r>
        <w:rPr>
          <w:rFonts w:ascii="Times New Roman" w:hAnsi="Times New Roman" w:cs="Times New Roman" w:eastAsia="Times New Roman" w:hint="default"/>
        </w:rPr>
        <w:t>21</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72,889,434.31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135,903,401.78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208,792,836.09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7,516,640.46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7,516,640.46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80,406,074.77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135,903,401.78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216,309,476.55</w:t>
            </w:r>
          </w:p>
        </w:tc>
      </w:tr>
    </w:tbl>
    <w:p>
      <w:pPr>
        <w:pStyle w:val="BodyText"/>
        <w:spacing w:line="357" w:lineRule="auto" w:before="51"/>
        <w:ind w:left="1554" w:right="0" w:hanging="420"/>
        <w:jc w:val="left"/>
      </w:pPr>
      <w:r>
        <w:rPr/>
        <w:t>其他说明，包括本期增减变动情况、变动原因说明： 注</w:t>
      </w:r>
      <w:r>
        <w:rPr>
          <w:rFonts w:ascii="Times New Roman" w:hAnsi="Times New Roman" w:cs="Times New Roman" w:eastAsia="Times New Roman" w:hint="default"/>
        </w:rPr>
        <w:t>1</w:t>
      </w:r>
      <w:r>
        <w:rPr/>
        <w:t>：本公司</w:t>
      </w:r>
      <w:r>
        <w:rPr>
          <w:rFonts w:ascii="Times New Roman" w:hAnsi="Times New Roman" w:cs="Times New Roman" w:eastAsia="Times New Roman" w:hint="default"/>
        </w:rPr>
        <w:t>2017</w:t>
      </w:r>
      <w:r>
        <w:rPr/>
        <w:t>年向社会公开发售的人民币普通股股票每股面值人民币</w:t>
      </w:r>
      <w:r>
        <w:rPr>
          <w:rFonts w:ascii="Times New Roman" w:hAnsi="Times New Roman" w:cs="Times New Roman" w:eastAsia="Times New Roman" w:hint="default"/>
        </w:rPr>
        <w:t>1.00</w:t>
      </w:r>
      <w:r>
        <w:rPr/>
        <w:t>元，发行数量</w:t>
      </w:r>
      <w:r>
        <w:rPr>
          <w:rFonts w:ascii="Times New Roman" w:hAnsi="Times New Roman" w:cs="Times New Roman" w:eastAsia="Times New Roman" w:hint="default"/>
        </w:rPr>
        <w:t>1,700.00</w:t>
      </w:r>
      <w:r>
        <w:rPr/>
        <w:t>万股，发行价格每</w:t>
      </w:r>
    </w:p>
    <w:p>
      <w:pPr>
        <w:pStyle w:val="BodyText"/>
        <w:spacing w:line="214" w:lineRule="exact"/>
        <w:ind w:left="1134" w:right="0"/>
        <w:jc w:val="left"/>
      </w:pPr>
      <w:r>
        <w:rPr/>
        <w:t>股人民币</w:t>
      </w:r>
      <w:r>
        <w:rPr>
          <w:rFonts w:ascii="Times New Roman" w:hAnsi="Times New Roman" w:cs="Times New Roman" w:eastAsia="Times New Roman" w:hint="default"/>
        </w:rPr>
        <w:t>10.75</w:t>
      </w:r>
      <w:r>
        <w:rPr/>
        <w:t>元，募集资金总额人民币</w:t>
      </w:r>
      <w:r>
        <w:rPr>
          <w:rFonts w:ascii="Times New Roman" w:hAnsi="Times New Roman" w:cs="Times New Roman" w:eastAsia="Times New Roman" w:hint="default"/>
        </w:rPr>
        <w:t>182,750,000.00</w:t>
      </w:r>
      <w:r>
        <w:rPr/>
        <w:t>元，募集资金总额扣除贵公司为本次股票发行发生的不含税发行费用</w:t>
      </w:r>
    </w:p>
    <w:p>
      <w:pPr>
        <w:pStyle w:val="BodyText"/>
        <w:spacing w:line="240" w:lineRule="auto" w:before="63"/>
        <w:ind w:left="1134" w:right="0"/>
        <w:jc w:val="left"/>
      </w:pPr>
      <w:r>
        <w:rPr/>
        <w:t>人民币</w:t>
      </w:r>
      <w:r>
        <w:rPr>
          <w:rFonts w:ascii="Times New Roman" w:hAnsi="Times New Roman" w:cs="Times New Roman" w:eastAsia="Times New Roman" w:hint="default"/>
        </w:rPr>
        <w:t>31,018,400.00</w:t>
      </w:r>
      <w:r>
        <w:rPr/>
        <w:t>元，募集资金净额人民币</w:t>
      </w:r>
      <w:r>
        <w:rPr>
          <w:rFonts w:ascii="Times New Roman" w:hAnsi="Times New Roman" w:cs="Times New Roman" w:eastAsia="Times New Roman" w:hint="default"/>
        </w:rPr>
        <w:t>151,731,600.00</w:t>
      </w:r>
      <w:r>
        <w:rPr/>
        <w:t>元，其中增加股本人民币</w:t>
      </w:r>
      <w:r>
        <w:rPr>
          <w:rFonts w:ascii="Times New Roman" w:hAnsi="Times New Roman" w:cs="Times New Roman" w:eastAsia="Times New Roman" w:hint="default"/>
        </w:rPr>
        <w:t>17,000,000.00</w:t>
      </w:r>
      <w:r>
        <w:rPr/>
        <w:t>元，增加资本公积人民币</w:t>
      </w:r>
    </w:p>
    <w:p>
      <w:pPr>
        <w:pStyle w:val="BodyText"/>
        <w:spacing w:line="240" w:lineRule="auto" w:before="63"/>
        <w:ind w:left="1134" w:right="0"/>
        <w:jc w:val="left"/>
      </w:pPr>
      <w:r>
        <w:rPr>
          <w:rFonts w:ascii="Times New Roman" w:hAnsi="Times New Roman" w:cs="Times New Roman" w:eastAsia="Times New Roman" w:hint="default"/>
        </w:rPr>
        <w:t>134,731,600.00</w:t>
      </w:r>
      <w:r>
        <w:rPr/>
        <w:t>元。</w:t>
      </w:r>
    </w:p>
    <w:p>
      <w:pPr>
        <w:spacing w:line="240" w:lineRule="auto" w:before="13"/>
        <w:rPr>
          <w:rFonts w:ascii="宋体" w:hAnsi="宋体" w:cs="宋体" w:eastAsia="宋体" w:hint="default"/>
          <w:sz w:val="13"/>
          <w:szCs w:val="13"/>
        </w:rPr>
      </w:pPr>
    </w:p>
    <w:p>
      <w:pPr>
        <w:pStyle w:val="BodyText"/>
        <w:spacing w:line="300" w:lineRule="auto"/>
        <w:ind w:left="1134" w:right="0" w:firstLine="420"/>
        <w:jc w:val="left"/>
      </w:pP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月，上海连尚网络科技有限公司投资本公司子公司北京创闻天下科技有限公司</w:t>
      </w:r>
      <w:r>
        <w:rPr>
          <w:rFonts w:ascii="Times New Roman" w:hAnsi="Times New Roman" w:cs="Times New Roman" w:eastAsia="Times New Roman" w:hint="default"/>
        </w:rPr>
        <w:t>2,500,000.00</w:t>
      </w:r>
      <w:r>
        <w:rPr/>
        <w:t>元，形成资 本溢价</w:t>
      </w:r>
      <w:r>
        <w:rPr>
          <w:rFonts w:ascii="Times New Roman" w:hAnsi="Times New Roman" w:cs="Times New Roman" w:eastAsia="Times New Roman" w:hint="default"/>
        </w:rPr>
        <w:t>1,171,801.78</w:t>
      </w:r>
      <w:r>
        <w:rPr/>
        <w:t>元。</w:t>
      </w:r>
    </w:p>
    <w:p>
      <w:pPr>
        <w:spacing w:line="240" w:lineRule="auto" w:before="1"/>
        <w:rPr>
          <w:rFonts w:ascii="宋体" w:hAnsi="宋体" w:cs="宋体" w:eastAsia="宋体" w:hint="default"/>
          <w:sz w:val="22"/>
          <w:szCs w:val="22"/>
        </w:rPr>
      </w:pPr>
    </w:p>
    <w:p>
      <w:pPr>
        <w:pStyle w:val="Heading3"/>
        <w:spacing w:line="240" w:lineRule="auto"/>
        <w:ind w:left="1134" w:right="0"/>
        <w:jc w:val="left"/>
        <w:rPr>
          <w:b w:val="0"/>
          <w:bCs w:val="0"/>
        </w:rPr>
      </w:pPr>
      <w:bookmarkStart w:name="22、盈余公积" w:id="263"/>
      <w:bookmarkEnd w:id="263"/>
      <w:r>
        <w:rPr>
          <w:b w:val="0"/>
          <w:bCs w:val="0"/>
        </w:rPr>
      </w:r>
      <w:r>
        <w:rPr>
          <w:rFonts w:ascii="Times New Roman" w:hAnsi="Times New Roman" w:cs="Times New Roman" w:eastAsia="Times New Roman" w:hint="default"/>
        </w:rPr>
        <w:t>22</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2,917,528.37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2,160,249.19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5,077,777.56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2,917,528.37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2,160,249.19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5,077,777.56</w:t>
            </w:r>
          </w:p>
        </w:tc>
      </w:tr>
    </w:tbl>
    <w:p>
      <w:pPr>
        <w:pStyle w:val="BodyText"/>
        <w:spacing w:line="357" w:lineRule="auto" w:before="51"/>
        <w:ind w:right="4411"/>
        <w:jc w:val="left"/>
      </w:pPr>
      <w:r>
        <w:rPr/>
        <w:t>盈余公积说明，包括本期增减变动情况、变动原因说明： 法定盈余公积增加系本公司根据公司章程规定按母公司实现净利润的</w:t>
      </w:r>
      <w:r>
        <w:rPr>
          <w:spacing w:val="-18"/>
        </w:rPr>
        <w:t> </w:t>
      </w:r>
      <w:r>
        <w:rPr>
          <w:rFonts w:ascii="Times New Roman" w:hAnsi="Times New Roman" w:cs="Times New Roman" w:eastAsia="Times New Roman" w:hint="default"/>
        </w:rPr>
        <w:t>10%</w:t>
      </w:r>
      <w:r>
        <w:rPr/>
        <w:t>计提。</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23、未分配利润" w:id="264"/>
      <w:bookmarkEnd w:id="264"/>
      <w:r>
        <w:rPr>
          <w:b w:val="0"/>
          <w:bCs w:val="0"/>
        </w:rPr>
      </w:r>
      <w:r>
        <w:rPr>
          <w:rFonts w:ascii="Times New Roman" w:hAnsi="Times New Roman" w:cs="Times New Roman" w:eastAsia="Times New Roman" w:hint="default"/>
        </w:rPr>
        <w:t>23</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41,903,038.29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4,282,582.68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41,903,038.29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4,282,582.68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47,172,804.89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40,537,983.98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2,160,249.19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2,917,528.37</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86,915,593.99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41,903,038.29</w:t>
            </w:r>
          </w:p>
        </w:tc>
      </w:tr>
    </w:tbl>
    <w:p>
      <w:pPr>
        <w:pStyle w:val="BodyText"/>
        <w:spacing w:line="240" w:lineRule="auto" w:before="51"/>
        <w:ind w:left="1134" w:right="0"/>
        <w:jc w:val="left"/>
      </w:pPr>
      <w:r>
        <w:rPr/>
        <w:t>调整期初未分配利润明细：</w:t>
      </w:r>
    </w:p>
    <w:p>
      <w:pPr>
        <w:pStyle w:val="BodyText"/>
        <w:spacing w:line="240" w:lineRule="auto" w:before="116"/>
        <w:ind w:left="113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4"/>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4、营业收入和营业成本" w:id="265"/>
      <w:bookmarkEnd w:id="265"/>
      <w:r>
        <w:rPr>
          <w:b w:val="0"/>
          <w:bCs w:val="0"/>
        </w:rPr>
      </w:r>
      <w:r>
        <w:rPr>
          <w:rFonts w:ascii="Times New Roman" w:hAnsi="Times New Roman" w:cs="Times New Roman" w:eastAsia="Times New Roman" w:hint="default"/>
        </w:rPr>
        <w:t>24</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181,607,237.01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62,998,909.31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182,237,471.84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70,073,348.90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2,934,573.93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4,452,349.94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1,969,750.40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1,918,301.09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184,541,810.94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67,451,259.25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184,207,222.24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71,991,649.99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5、税金及附加" w:id="266"/>
      <w:bookmarkEnd w:id="266"/>
      <w:r>
        <w:rPr>
          <w:b w:val="0"/>
          <w:bCs w:val="0"/>
        </w:rPr>
      </w:r>
      <w:r>
        <w:rPr>
          <w:rFonts w:ascii="Times New Roman" w:hAnsi="Times New Roman" w:cs="Times New Roman" w:eastAsia="Times New Roman" w:hint="default"/>
        </w:rPr>
        <w:t>25</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334,813.52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478,916.60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142,403.25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204,572.61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109,596.76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12,822.30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1,069,283.04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94,827.92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137,706.49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420,535.29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157,077.12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1,102,176.74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2,060,378.16</w:t>
            </w:r>
          </w:p>
        </w:tc>
      </w:tr>
    </w:tbl>
    <w:p>
      <w:pPr>
        <w:pStyle w:val="BodyText"/>
        <w:spacing w:line="240" w:lineRule="auto" w:before="51"/>
        <w:ind w:left="113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6、销售费用" w:id="267"/>
      <w:bookmarkEnd w:id="267"/>
      <w:r>
        <w:rPr>
          <w:b w:val="0"/>
          <w:bCs w:val="0"/>
        </w:rPr>
      </w:r>
      <w:r>
        <w:rPr>
          <w:rFonts w:ascii="Times New Roman" w:hAnsi="Times New Roman" w:cs="Times New Roman" w:eastAsia="Times New Roman" w:hint="default"/>
        </w:rPr>
        <w:t>26</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工资及奖金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17,654,458.16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14,869,647.77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2,214,954.84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2,057,424.60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广告宣传制作费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2,132,527.13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1,070,357.02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社保及公积金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1,425,336.43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1,165,870.80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714,532.32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488,114.11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504,486.02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697,342.46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841,070.82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988,644.30</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25,487,365.72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21,337,401.06</w:t>
            </w:r>
          </w:p>
        </w:tc>
      </w:tr>
    </w:tbl>
    <w:p>
      <w:pPr>
        <w:pStyle w:val="BodyText"/>
        <w:spacing w:line="240" w:lineRule="auto" w:before="51"/>
        <w:ind w:left="1134" w:right="0"/>
        <w:jc w:val="left"/>
      </w:pPr>
      <w:r>
        <w:rPr/>
        <w:t>其他说明：无</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7、管理费用" w:id="268"/>
      <w:bookmarkEnd w:id="268"/>
      <w:r>
        <w:rPr>
          <w:b w:val="0"/>
          <w:bCs w:val="0"/>
        </w:rPr>
      </w:r>
      <w:r>
        <w:rPr>
          <w:rFonts w:ascii="Times New Roman" w:hAnsi="Times New Roman" w:cs="Times New Roman" w:eastAsia="Times New Roman" w:hint="default"/>
        </w:rPr>
        <w:t>27</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17,048,822.13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23,743,968.91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9,075,591.48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695,216.97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5,219,575.45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7,117,358.41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5,383,591.47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4,650,309.43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3,258,456.64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2,778,214.65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2,427,009.24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1,924,403.08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1,750,578.69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1,342,295.81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989,743.93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910,790.19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329,490.72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598,473.70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987,740.27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1,131,421.00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47,189,009.19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44,174,042.98</w:t>
            </w:r>
          </w:p>
        </w:tc>
      </w:tr>
    </w:tbl>
    <w:p>
      <w:pPr>
        <w:pStyle w:val="BodyText"/>
        <w:spacing w:line="240" w:lineRule="auto" w:before="51"/>
        <w:ind w:left="1134" w:right="0"/>
        <w:jc w:val="left"/>
      </w:pPr>
      <w:r>
        <w:rPr/>
        <w:t>其他说明：无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8、财务费用" w:id="269"/>
      <w:bookmarkEnd w:id="269"/>
      <w:r>
        <w:rPr>
          <w:b w:val="0"/>
          <w:bCs w:val="0"/>
        </w:rPr>
      </w:r>
      <w:r>
        <w:rPr>
          <w:rFonts w:ascii="Times New Roman" w:hAnsi="Times New Roman" w:cs="Times New Roman" w:eastAsia="Times New Roman" w:hint="default"/>
        </w:rPr>
        <w:t>28</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-3,107,738.91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-1,626,185.18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55,591.84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137,825.39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-3,052,147.07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-1,488,359.79</w:t>
            </w:r>
          </w:p>
        </w:tc>
      </w:tr>
    </w:tbl>
    <w:p>
      <w:pPr>
        <w:pStyle w:val="BodyText"/>
        <w:spacing w:line="240" w:lineRule="auto" w:before="51"/>
        <w:ind w:left="1134" w:right="0"/>
        <w:jc w:val="left"/>
      </w:pPr>
      <w:r>
        <w:rPr/>
        <w:t>其他说明：无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9、资产减值损失" w:id="270"/>
      <w:bookmarkEnd w:id="270"/>
      <w:r>
        <w:rPr>
          <w:b w:val="0"/>
          <w:bCs w:val="0"/>
        </w:rPr>
      </w:r>
      <w:r>
        <w:rPr>
          <w:rFonts w:ascii="Times New Roman" w:hAnsi="Times New Roman" w:cs="Times New Roman" w:eastAsia="Times New Roman" w:hint="default"/>
        </w:rPr>
        <w:t>29</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1,775,204.50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812,933.23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1,775,204.50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812,933.23</w:t>
            </w:r>
          </w:p>
        </w:tc>
      </w:tr>
    </w:tbl>
    <w:p>
      <w:pPr>
        <w:pStyle w:val="BodyText"/>
        <w:spacing w:line="240" w:lineRule="auto" w:before="51"/>
        <w:ind w:left="113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0、投资收益" w:id="271"/>
      <w:bookmarkEnd w:id="271"/>
      <w:r>
        <w:rPr>
          <w:b w:val="0"/>
          <w:bCs w:val="0"/>
        </w:rPr>
      </w:r>
      <w:r>
        <w:rPr>
          <w:rFonts w:ascii="Times New Roman" w:hAnsi="Times New Roman" w:cs="Times New Roman" w:eastAsia="Times New Roman" w:hint="default"/>
        </w:rPr>
        <w:t>30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3,556.58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-359,448.82</w:t>
            </w:r>
            <w:r>
              <w:rPr>
                <w:rFonts w:ascii="Times New Roman"/>
                <w:sz w:val="18"/>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355,892.24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52,306.20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结构性存款收益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2,449,421.91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225,616.43</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2,808,870.73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-81,526.19</w:t>
            </w:r>
            <w:r>
              <w:rPr>
                <w:rFonts w:ascii="Times New Roman"/>
                <w:sz w:val="18"/>
              </w:rPr>
            </w:r>
          </w:p>
        </w:tc>
      </w:tr>
    </w:tbl>
    <w:p>
      <w:pPr>
        <w:pStyle w:val="BodyText"/>
        <w:spacing w:line="240" w:lineRule="auto" w:before="51"/>
        <w:ind w:left="113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1、其他收益" w:id="272"/>
      <w:bookmarkEnd w:id="272"/>
      <w:r>
        <w:rPr>
          <w:b w:val="0"/>
          <w:bCs w:val="0"/>
        </w:rPr>
      </w:r>
      <w:r>
        <w:rPr>
          <w:rFonts w:ascii="Times New Roman" w:hAnsi="Times New Roman" w:cs="Times New Roman" w:eastAsia="Times New Roman" w:hint="default"/>
        </w:rPr>
        <w:t>31</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15,864,204.97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2、营业外收入" w:id="273"/>
      <w:bookmarkEnd w:id="273"/>
      <w:r>
        <w:rPr>
          <w:b w:val="0"/>
          <w:bCs w:val="0"/>
        </w:rPr>
      </w:r>
      <w:r>
        <w:rPr>
          <w:rFonts w:ascii="Times New Roman" w:hAnsi="Times New Roman" w:cs="Times New Roman" w:eastAsia="Times New Roman" w:hint="default"/>
        </w:rPr>
        <w:t>32</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13,994,755.16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871.64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53,280.42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871.64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871.64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14,048,035.58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871.64</w:t>
            </w:r>
          </w:p>
        </w:tc>
      </w:tr>
    </w:tbl>
    <w:p>
      <w:pPr>
        <w:pStyle w:val="BodyText"/>
        <w:spacing w:line="240" w:lineRule="auto" w:before="51"/>
        <w:ind w:left="1134" w:right="0"/>
        <w:jc w:val="left"/>
      </w:pPr>
      <w:r>
        <w:rPr/>
        <w:t>计入当期损益的政府补助：</w:t>
      </w:r>
    </w:p>
    <w:p>
      <w:pPr>
        <w:pStyle w:val="BodyText"/>
        <w:spacing w:line="240" w:lineRule="auto" w:before="117"/>
        <w:ind w:left="0" w:right="1130"/>
        <w:jc w:val="right"/>
      </w:pPr>
      <w:r>
        <w:rPr/>
        <w:pict>
          <v:group style="position:absolute;margin-left:163.339996pt;margin-top:59.021713pt;width:52.7pt;height:31.2pt;mso-position-horizontal-relative:page;mso-position-vertical-relative:paragraph;z-index:-910408" coordorigin="3267,1180" coordsize="1054,624">
            <v:shape style="position:absolute;left:3267;top:1180;width:1054;height:624" coordorigin="3267,1180" coordsize="1054,624" path="m3267,1804l4320,1804,4320,1180,3267,1180,3267,1804xe" filled="true" fillcolor="#ffffff" stroked="false">
              <v:path arrowok="t"/>
              <v:fill type="solid"/>
            </v:shape>
            <w10:wrap type="none"/>
          </v:group>
        </w:pict>
      </w: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创业家南京 黑马全球路 演中心建设 装修补助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7"/>
              <w:jc w:val="both"/>
              <w:rPr>
                <w:rFonts w:ascii="宋体" w:hAnsi="宋体" w:cs="宋体" w:eastAsia="宋体" w:hint="default"/>
                <w:sz w:val="18"/>
                <w:szCs w:val="18"/>
              </w:rPr>
            </w:pPr>
            <w:r>
              <w:rPr>
                <w:rFonts w:ascii="宋体" w:hAnsi="宋体" w:cs="宋体" w:eastAsia="宋体" w:hint="default"/>
                <w:sz w:val="18"/>
                <w:szCs w:val="18"/>
              </w:rPr>
              <w:t>中国（南京 软件谷管理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330,526.32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中关村现代 服务业中小 企业创业孵 化试点专项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年度海 淀区人才发 展专项资金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年海淀 区创新创业 交流活动专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年度创 新创业服务 机构建设促 进专项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北京市科学 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创业家成都 黑马全球路 演中心建设 房租补助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成都市金牛 区对外开放 领导小组办 公室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1,371,434.40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创业家成都 黑马全球路 演中心装修 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成都市金牛 区对外开放 领导小组办 公室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234,861.08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创业家成都 路演中心设 备采购款补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成都市金牛 区对外开放 领导小组办 公室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83,333.36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成都市金牛 区创业苗圃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成都市金牛 区经济科技 和知识技术 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成都市创新 创业载体资 助项目资金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成都市科学 技术局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广州市天河 区财政局孵 化器专项资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广州市天河 区科技工业 和信息化局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天河区科技 专项服务资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广州市天河 区科技工业 和信息化局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 工业与信息 化发展专项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广州市天河 区科技工业 和信息化局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年度北 京市科技服 务业促进专 项补助资金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北京市科学 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中国（南京） 软件谷管理 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年众创空间 奖励补贴收</w:t>
            </w:r>
          </w:p>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65pt;height:31.2pt;mso-position-horizontal-relative:char;mso-position-vertical-relative:line" coordorigin="0,0" coordsize="1053,624">
                  <v:group style="position:absolute;left:0;top:0;width:1053;height:624" coordorigin="0,0" coordsize="1053,624">
                    <v:shape style="position:absolute;left:0;top:0;width:1053;height:624" coordorigin="0,0" coordsize="1053,624" path="m0,624l1052,624,1052,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319"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南京市科学 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武汉东湖新 技术开发区 管理委员会 财政局开展 创业活动补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东湖高新区 管委会产业 发展和科技 创新局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武汉东湖新 技术开发区 管理委员会 财政局运营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东湖高新区 管委会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13,994,755.1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营业外支出" w:id="274"/>
      <w:bookmarkEnd w:id="274"/>
      <w:r>
        <w:rPr>
          <w:b w:val="0"/>
          <w:bCs w:val="0"/>
        </w:rPr>
      </w:r>
      <w:r>
        <w:rPr>
          <w:rFonts w:ascii="Times New Roman" w:hAnsi="Times New Roman" w:cs="Times New Roman" w:eastAsia="Times New Roman" w:hint="default"/>
        </w:rPr>
        <w:t>33</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26,159.71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1,474.69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26,159.71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1,474.69</w:t>
            </w:r>
          </w:p>
        </w:tc>
      </w:tr>
    </w:tbl>
    <w:p>
      <w:pPr>
        <w:pStyle w:val="BodyText"/>
        <w:spacing w:line="240" w:lineRule="auto" w:before="51"/>
        <w:ind w:left="113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4、所得税费用" w:id="275"/>
      <w:bookmarkEnd w:id="275"/>
      <w:r>
        <w:rPr>
          <w:b w:val="0"/>
          <w:bCs w:val="0"/>
        </w:rPr>
      </w:r>
      <w:r>
        <w:rPr>
          <w:rFonts w:ascii="Times New Roman" w:hAnsi="Times New Roman" w:cs="Times New Roman" w:eastAsia="Times New Roman" w:hint="default"/>
        </w:rPr>
        <w:t>34</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所得税费用表" w:id="276"/>
      <w:bookmarkEnd w:id="276"/>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15,358,063.40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16,707,849.19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-267,591.64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-59,738.47</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15,090,471.76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16,648,110.72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会计利润与所得税费用调整过程" w:id="277"/>
      <w:bookmarkEnd w:id="277"/>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63,261,415.26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15,815,353.82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-872,852.13</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-369,647.39</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1,125,016.37</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444,958.19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-1,052,357.10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15,090,471.76</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5、现金流量表项目" w:id="278"/>
      <w:bookmarkEnd w:id="278"/>
      <w:r>
        <w:rPr>
          <w:b w:val="0"/>
          <w:bCs w:val="0"/>
        </w:rPr>
      </w:r>
      <w:r>
        <w:rPr>
          <w:rFonts w:ascii="Times New Roman" w:hAnsi="Times New Roman" w:cs="Times New Roman" w:eastAsia="Times New Roman" w:hint="default"/>
        </w:rPr>
        <w:t>35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279"/>
      <w:bookmarkEnd w:id="27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14,660,657.40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16,310,607.40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314,435.93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3,107,738.91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1,626,185.18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526,879.00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427,954.63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243,225.92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51,865.20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18,538,501.23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18,731,048.34</w:t>
            </w:r>
          </w:p>
        </w:tc>
      </w:tr>
    </w:tbl>
    <w:p>
      <w:pPr>
        <w:pStyle w:val="BodyText"/>
        <w:spacing w:line="240" w:lineRule="auto" w:before="51"/>
        <w:ind w:left="1134" w:right="0"/>
        <w:jc w:val="left"/>
      </w:pPr>
      <w:r>
        <w:rPr/>
        <w:t>收到的其他与经营活动有关的现金说明：无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280"/>
      <w:bookmarkEnd w:id="28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6,596,514.63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5,654,599.42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1,178,210.70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4,390,379.81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4,162,809.43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3,557,250.65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3,047,168.53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1,988,841.19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697,342.46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2,206,394.45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2,121,736.67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2,635,319.61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4,284,065.30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制作费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343,685.94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548,596.02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822,588.15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704,646.32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771,614.80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189,702.50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2,427,009.24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2,205,644.02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3,776,268.45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29,123,453.19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25,186,935.10</w:t>
            </w:r>
          </w:p>
        </w:tc>
      </w:tr>
    </w:tbl>
    <w:p>
      <w:pPr>
        <w:pStyle w:val="BodyText"/>
        <w:spacing w:line="240" w:lineRule="auto" w:before="51"/>
        <w:ind w:left="1134" w:right="0"/>
        <w:jc w:val="left"/>
      </w:pPr>
      <w:r>
        <w:rPr/>
        <w:t>支付的其他与经营活动有关的现金说明：无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收到的其他与投资活动有关的现金" w:id="281"/>
      <w:bookmarkEnd w:id="28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赎回结构性存款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bl>
    <w:p>
      <w:pPr>
        <w:pStyle w:val="BodyText"/>
        <w:spacing w:line="240" w:lineRule="auto" w:before="51"/>
        <w:ind w:left="1134" w:right="0"/>
        <w:jc w:val="left"/>
      </w:pPr>
      <w:r>
        <w:rPr/>
        <w:t>收到的其他与投资活动有关的现金说明：无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282"/>
      <w:bookmarkEnd w:id="28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处置子公司</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532,345.23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582.48999pt;width:151.25pt;height:20.7pt;mso-position-horizontal-relative:page;mso-position-vertical-relative:page;z-index:-910360" coordorigin="4467,11650" coordsize="3025,414">
            <v:group style="position:absolute;left:4478;top:11661;width:2;height:392" coordorigin="4478,11661" coordsize="2,392">
              <v:shape style="position:absolute;left:4478;top:11661;width:2;height:392" coordorigin="4478,11661" coordsize="0,392" path="m4478,11661l4478,12052e" filled="false" stroked="true" strokeweight="1.140pt" strokecolor="#ffffff">
                <v:path arrowok="t"/>
              </v:shape>
            </v:group>
            <v:group style="position:absolute;left:4490;top:11661;width:3002;height:392" coordorigin="4490,11661" coordsize="3002,392">
              <v:shape style="position:absolute;left:4490;top:11661;width:3002;height:392" coordorigin="4490,11661" coordsize="3002,392" path="m4490,12052l7491,12052,7491,11661,4490,11661,4490,12052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购买结构性存款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50,532,345.23</w:t>
            </w:r>
          </w:p>
        </w:tc>
      </w:tr>
    </w:tbl>
    <w:p>
      <w:pPr>
        <w:pStyle w:val="BodyText"/>
        <w:spacing w:line="240" w:lineRule="auto" w:before="51"/>
        <w:ind w:left="1134" w:right="0"/>
        <w:jc w:val="left"/>
      </w:pPr>
      <w:r>
        <w:rPr/>
        <w:t>支付的其他与投资活动有关的现金说明：无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支付的其他与筹资活动有关的现金" w:id="283"/>
      <w:bookmarkEnd w:id="283"/>
      <w:r>
        <w:rPr>
          <w:b w:val="0"/>
          <w:bCs w:val="0"/>
        </w:rPr>
      </w: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7,768,044.77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收购少数股东款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7,768,044.77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2,967,000.00</w:t>
            </w:r>
          </w:p>
        </w:tc>
      </w:tr>
    </w:tbl>
    <w:p>
      <w:pPr>
        <w:pStyle w:val="BodyText"/>
        <w:spacing w:line="240" w:lineRule="auto" w:before="51"/>
        <w:ind w:left="1134" w:right="0"/>
        <w:jc w:val="left"/>
      </w:pPr>
      <w:r>
        <w:rPr/>
        <w:t>支付的其他与筹资活动有关的现金说明：无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6、现金流量表补充资料" w:id="284"/>
      <w:bookmarkEnd w:id="284"/>
      <w:r>
        <w:rPr>
          <w:b w:val="0"/>
          <w:bCs w:val="0"/>
        </w:rPr>
      </w:r>
      <w:r>
        <w:rPr>
          <w:rFonts w:ascii="Times New Roman" w:hAnsi="Times New Roman" w:cs="Times New Roman" w:eastAsia="Times New Roman" w:hint="default"/>
        </w:rPr>
        <w:t>36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285"/>
      <w:bookmarkEnd w:id="28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1122"/>
        <w:gridCol w:w="1947"/>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48,170,943.50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42,611,415.57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1,775,204.50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812,933.23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1,419,312.06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1,079,100.59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505,647.39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238,571.48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2,747,600.40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2,128,102.90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-512.56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-43,234.04</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-2,808,870.73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81,526.19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048" w:right="0"/>
              <w:jc w:val="left"/>
              <w:rPr>
                <w:rFonts w:ascii="Times New Roman" w:hAnsi="Times New Roman" w:cs="Times New Roman" w:eastAsia="Times New Roman" w:hint="default"/>
                <w:sz w:val="18"/>
                <w:szCs w:val="18"/>
              </w:rPr>
            </w:pPr>
            <w:r>
              <w:rPr>
                <w:rFonts w:ascii="Times New Roman"/>
                <w:sz w:val="18"/>
              </w:rPr>
              <w:t>-267,591.64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-59,738.47</w:t>
            </w:r>
            <w:r>
              <w:rPr>
                <w:rFonts w:ascii="Times New Roman"/>
                <w:sz w:val="18"/>
              </w:rPr>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-37,454,609.62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-647,670.00</w:t>
            </w:r>
            <w:r>
              <w:rPr>
                <w:rFonts w:ascii="Times New Roman"/>
                <w:sz w:val="18"/>
              </w:rPr>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-112,397.55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-4,633,329.67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1,131,421.00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13,974,725.75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42,699,098.78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267,067,107.24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227,017,881.24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227,017,881.24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192,354,440.29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40,049,226.00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34,663,440.95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现金和现金等价物的构成" w:id="286"/>
      <w:bookmarkEnd w:id="286"/>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267,067,107.24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227,017,881.24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9,667.02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27,214.92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267,022,640.22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226,990,666.32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267,067,107.24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227,017,881.24</w:t>
            </w:r>
          </w:p>
        </w:tc>
      </w:tr>
    </w:tbl>
    <w:p>
      <w:pPr>
        <w:pStyle w:val="BodyText"/>
        <w:spacing w:line="240" w:lineRule="auto" w:before="51"/>
        <w:ind w:left="1134" w:right="0"/>
        <w:jc w:val="left"/>
      </w:pPr>
      <w:r>
        <w:rPr/>
        <w:t>其他说明：无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八、合并范围的变更" w:id="287"/>
      <w:bookmarkEnd w:id="287"/>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原因的合并范围变动" w:id="288"/>
      <w:bookmarkEnd w:id="288"/>
      <w:r>
        <w:rPr>
          <w:b w:val="0"/>
          <w:bCs w:val="0"/>
        </w:rPr>
      </w:r>
      <w:r>
        <w:rPr>
          <w:rFonts w:ascii="Times New Roman" w:hAnsi="Times New Roman" w:cs="Times New Roman" w:eastAsia="Times New Roman" w:hint="default"/>
        </w:rPr>
        <w:t>1</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line="240" w:lineRule="auto" w:before="13"/>
        <w:rPr>
          <w:rFonts w:ascii="宋体" w:hAnsi="宋体" w:cs="宋体" w:eastAsia="宋体" w:hint="default"/>
          <w:sz w:val="7"/>
          <w:szCs w:val="7"/>
        </w:rPr>
      </w:pPr>
    </w:p>
    <w:tbl>
      <w:tblPr>
        <w:tblW w:w="0" w:type="auto"/>
        <w:jc w:val="left"/>
        <w:tblInd w:w="1131" w:type="dxa"/>
        <w:tblLayout w:type="fixed"/>
        <w:tblCellMar>
          <w:top w:w="0" w:type="dxa"/>
          <w:left w:w="0" w:type="dxa"/>
          <w:bottom w:w="0" w:type="dxa"/>
          <w:right w:w="0" w:type="dxa"/>
        </w:tblCellMar>
        <w:tblLook w:val="01E0"/>
      </w:tblPr>
      <w:tblGrid>
        <w:gridCol w:w="3119"/>
        <w:gridCol w:w="1560"/>
        <w:gridCol w:w="1176"/>
        <w:gridCol w:w="1518"/>
        <w:gridCol w:w="1536"/>
      </w:tblGrid>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注册时间</w:t>
            </w:r>
            <w:r>
              <w:rPr>
                <w:rFonts w:ascii="宋体" w:hAnsi="宋体" w:cs="宋体" w:eastAsia="宋体" w:hint="default"/>
                <w:sz w:val="18"/>
                <w:szCs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西藏黑马信息技术服务有限公司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2017-01-05</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西藏</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南昌致新信息技术服务有限公司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2017-03-07</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南昌</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嘉兴致新投资管理有限公司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2017-11-28</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北京创闻天下科技有限公司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2017-06-30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51.20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合肥创润信息技术有限责任公司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2017-09-13</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镇江创启科技服务有限公司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2017-11-23</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镇江</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武汉经际信息科技有限公司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2017-11-14</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沈阳创润信息科技有限公司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2017-12-29</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黑马致通（嘉兴）投资管理有限公司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2017-12-28</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黑马致坤（嘉兴）投资管理有限公司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2017-12-20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黑马致科（嘉兴）投资管理有限公司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2017-12-20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bl>
    <w:p>
      <w:pPr>
        <w:spacing w:line="240" w:lineRule="auto" w:before="2"/>
        <w:rPr>
          <w:rFonts w:ascii="宋体" w:hAnsi="宋体" w:cs="宋体" w:eastAsia="宋体" w:hint="default"/>
          <w:sz w:val="29"/>
          <w:szCs w:val="29"/>
        </w:rPr>
      </w:pPr>
    </w:p>
    <w:p>
      <w:pPr>
        <w:pStyle w:val="Heading4"/>
        <w:spacing w:line="273" w:lineRule="auto" w:before="35"/>
        <w:ind w:left="1134" w:right="1110" w:firstLine="420"/>
        <w:jc w:val="both"/>
      </w:pPr>
      <w:r>
        <w:rPr>
          <w:spacing w:val="-1"/>
        </w:rPr>
        <w:t>注：合肥创润信息技术有限责任公司、镇江创启科技服务有限公司、武汉经际信息科技有限公司、沈</w:t>
      </w:r>
      <w:r>
        <w:rPr/>
        <w:t> 阳创润信息科技有限公司、黑马致通（嘉兴）投资管理有限公司、黑马致坤（嘉兴）投资管理有限公司、 黑马致科（嘉兴）投资管理有限公司因成立时间较短，本期尚无业务发生。</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九、在其他主体中的权益" w:id="289"/>
      <w:bookmarkEnd w:id="289"/>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290"/>
      <w:bookmarkEnd w:id="290"/>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291"/>
      <w:bookmarkEnd w:id="29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北京创业未来传 媒技术有限公司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传媒技术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北京佳沃世纪企 业管理咨询有限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管理咨询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南京创业未来信 息科技有限公司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广州创润信息科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信息科技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北京创富未来科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信息科技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北京爱代言科技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青岛黑马创业服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成都创业未来信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北京黑马创投科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北京奇点小伙伴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西藏黑马信息技 术服务有限公司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信息传输、软件 和信息技术服务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南昌致新信息技 术服务有限公司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信息传输、软件 和信息技术服务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嘉兴致新投资管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租赁和商务服务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北京创闻天下科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科学研究和技术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51"/>
        <w:ind w:left="1134" w:right="0"/>
        <w:jc w:val="left"/>
      </w:pPr>
      <w:r>
        <w:rPr/>
        <w:t>在子公司的持股比例不同于表决权比例的说明：不适用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right="2293"/>
        <w:jc w:val="left"/>
      </w:pPr>
      <w:r>
        <w:rPr/>
        <w:t>持有半数或以下表决权但仍控制被投资单位、以及持有半数以上表决权但不控制被投资单位的依据：不适用 对于纳入合并范围的重要的结构化主体，控制的依据：不适用</w:t>
      </w:r>
    </w:p>
    <w:p>
      <w:pPr>
        <w:pStyle w:val="BodyText"/>
        <w:spacing w:line="357" w:lineRule="auto" w:before="29"/>
        <w:ind w:right="7153"/>
        <w:jc w:val="left"/>
      </w:pPr>
      <w:r>
        <w:rPr/>
        <w:t>确定公司是代理人还是委托人的依据：不适用 其他说明：无</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2）重要的非全资子公司" w:id="292"/>
      <w:bookmarkEnd w:id="29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北京创富未来科技有限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904,945.24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1,158,565.40</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南京创业未来信息技术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414,898.93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1,132,364.78</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北京创闻天下科技有限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-55,692.52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1,272,505.70</w:t>
            </w:r>
          </w:p>
        </w:tc>
      </w:tr>
    </w:tbl>
    <w:p>
      <w:pPr>
        <w:pStyle w:val="BodyText"/>
        <w:spacing w:line="360" w:lineRule="auto" w:before="51"/>
        <w:ind w:left="1134" w:right="5892"/>
        <w:jc w:val="left"/>
      </w:pPr>
      <w:r>
        <w:rPr/>
        <w:t>子公司少数股东的持股比例不同于表决权比例的说明：不适用 其他说明：无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重要非全资子公司的主要财务信息" w:id="293"/>
      <w:bookmarkEnd w:id="29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北京创 富未来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3,132,86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3,145,85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781,440.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781,440.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7,830,89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9.70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7,830,89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2,654,97</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8.02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2,654,97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8.02</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南京创 业未来 信息技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4,703,25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1,167,60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5,870,86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1,405,72</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0.48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1,064,64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2,470,36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2,206,05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1,620,13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5.42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3,826,18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542,339.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1,129,29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1,671,63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7.37</w:t>
            </w:r>
          </w:p>
        </w:tc>
      </w:tr>
      <w:tr>
        <w:trPr>
          <w:trHeight w:val="134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北京创 闻天下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4,442,72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6.65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4,442,72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1,457,42</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8.09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1,457,42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8.09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4253"/>
        <w:gridCol w:w="4244"/>
      </w:tblGrid>
      <w:tr>
        <w:trPr>
          <w:trHeight w:val="40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71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北京创富未 来科技有限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5,097,766.98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1,846,827.03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1,846,827.03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2,020,867.05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9,461,312.75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5,175,921.68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5,175,921.68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3,998,530.48</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南京创业未 来信息技术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2,501,998.63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1,245,942.72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1,245,942.72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2,312,576.53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2,095,527.02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377,553.26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377,553.26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-363,947.28</w:t>
            </w:r>
            <w:r>
              <w:rPr>
                <w:rFonts w:ascii="Times New Roman"/>
                <w:sz w:val="18"/>
              </w:rPr>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北京创闻天 下科技有限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6,870,145.64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-154,701.44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-154,701.44</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-1,468,273.35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both"/>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4）使用企业集团资产和清偿企业集团债务的重大限制" w:id="294"/>
      <w:bookmarkEnd w:id="294"/>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0"/>
        <w:rPr>
          <w:rFonts w:ascii="宋体" w:hAnsi="宋体" w:cs="宋体" w:eastAsia="宋体" w:hint="default"/>
          <w:sz w:val="26"/>
          <w:szCs w:val="26"/>
        </w:rPr>
      </w:pPr>
    </w:p>
    <w:p>
      <w:pPr>
        <w:pStyle w:val="Heading3"/>
        <w:spacing w:line="240" w:lineRule="auto"/>
        <w:ind w:left="1134" w:right="0"/>
        <w:jc w:val="both"/>
        <w:rPr>
          <w:b w:val="0"/>
          <w:bCs w:val="0"/>
        </w:rPr>
      </w:pPr>
      <w:bookmarkStart w:name="（5）向纳入合并财务报表范围的结构化主体提供的财务支持或其他支持" w:id="295"/>
      <w:bookmarkEnd w:id="295"/>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9672"/>
        <w:jc w:val="left"/>
      </w:pPr>
      <w:r>
        <w:rPr/>
        <w:t>无 其他说明：无</w:t>
      </w:r>
    </w:p>
    <w:p>
      <w:pPr>
        <w:spacing w:line="240" w:lineRule="auto" w:before="0"/>
        <w:rPr>
          <w:rFonts w:ascii="宋体" w:hAnsi="宋体" w:cs="宋体" w:eastAsia="宋体" w:hint="default"/>
          <w:sz w:val="20"/>
          <w:szCs w:val="20"/>
        </w:rPr>
      </w:pPr>
    </w:p>
    <w:p>
      <w:pPr>
        <w:pStyle w:val="Heading3"/>
        <w:spacing w:line="240" w:lineRule="auto"/>
        <w:ind w:right="0"/>
        <w:jc w:val="both"/>
        <w:rPr>
          <w:b w:val="0"/>
          <w:bCs w:val="0"/>
        </w:rPr>
      </w:pPr>
      <w:bookmarkStart w:name="2、在子公司的所有者权益份额发生变化且仍控制子公司的交易" w:id="296"/>
      <w:bookmarkEnd w:id="296"/>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both"/>
        <w:rPr>
          <w:b w:val="0"/>
          <w:bCs w:val="0"/>
        </w:rPr>
      </w:pPr>
      <w:bookmarkStart w:name="（1）在子公司所有者权益份额发生变化的情况说明" w:id="297"/>
      <w:bookmarkEnd w:id="297"/>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Heading4"/>
        <w:spacing w:line="256" w:lineRule="auto"/>
        <w:ind w:right="1131"/>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月底，上海连尚网络科技有限公司投资本公司非全资子公司北京创闻天下科技有限公司，投资金</w:t>
      </w:r>
      <w:r>
        <w:rPr>
          <w:spacing w:val="-80"/>
        </w:rPr>
        <w:t> </w:t>
      </w:r>
      <w:r>
        <w:rPr>
          <w:spacing w:val="-80"/>
        </w:rPr>
      </w:r>
      <w:r>
        <w:rPr>
          <w:spacing w:val="-2"/>
        </w:rPr>
        <w:t>额人民币</w:t>
      </w:r>
      <w:r>
        <w:rPr>
          <w:rFonts w:ascii="Times New Roman" w:hAnsi="Times New Roman" w:cs="Times New Roman" w:eastAsia="Times New Roman" w:hint="default"/>
          <w:spacing w:val="-2"/>
        </w:rPr>
        <w:t>250</w:t>
      </w:r>
      <w:r>
        <w:rPr>
          <w:spacing w:val="-2"/>
        </w:rPr>
        <w:t>万元，持股比例</w:t>
      </w:r>
      <w:r>
        <w:rPr>
          <w:rFonts w:ascii="Times New Roman" w:hAnsi="Times New Roman" w:cs="Times New Roman" w:eastAsia="Times New Roman" w:hint="default"/>
          <w:spacing w:val="-2"/>
        </w:rPr>
        <w:t>20%</w:t>
      </w: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日，上海连尚网络科技有限公司入资后，本公司持有</w:t>
      </w:r>
      <w:r>
        <w:rPr>
          <w:spacing w:val="-98"/>
        </w:rPr>
        <w:t> </w:t>
      </w:r>
      <w:r>
        <w:rPr>
          <w:spacing w:val="-98"/>
        </w:rPr>
      </w:r>
      <w:r>
        <w:rPr/>
        <w:t>北京创闻天下科技有限公司股权由</w:t>
      </w:r>
      <w:r>
        <w:rPr>
          <w:rFonts w:ascii="Times New Roman" w:hAnsi="Times New Roman" w:cs="Times New Roman" w:eastAsia="Times New Roman" w:hint="default"/>
        </w:rPr>
        <w:t>64%</w:t>
      </w:r>
      <w:r>
        <w:rPr/>
        <w:t>减少至</w:t>
      </w:r>
      <w:r>
        <w:rPr>
          <w:rFonts w:ascii="Times New Roman" w:hAnsi="Times New Roman" w:cs="Times New Roman" w:eastAsia="Times New Roman" w:hint="default"/>
        </w:rPr>
        <w:t>51.2%</w:t>
      </w:r>
      <w:r>
        <w:rPr/>
        <w:t>。</w:t>
      </w:r>
    </w:p>
    <w:p>
      <w:pPr>
        <w:spacing w:line="240" w:lineRule="auto" w:before="5"/>
        <w:rPr>
          <w:rFonts w:ascii="宋体" w:hAnsi="宋体" w:cs="宋体" w:eastAsia="宋体" w:hint="default"/>
          <w:sz w:val="23"/>
          <w:szCs w:val="23"/>
        </w:rPr>
      </w:pPr>
    </w:p>
    <w:p>
      <w:pPr>
        <w:pStyle w:val="Heading3"/>
        <w:spacing w:line="240" w:lineRule="auto"/>
        <w:ind w:right="0"/>
        <w:jc w:val="both"/>
        <w:rPr>
          <w:b w:val="0"/>
          <w:bCs w:val="0"/>
        </w:rPr>
      </w:pPr>
      <w:bookmarkStart w:name="3、在合营安排或联营企业中的权益" w:id="298"/>
      <w:bookmarkEnd w:id="298"/>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不重要的合营企业和联营企业的汇总财务信息" w:id="299"/>
      <w:bookmarkEnd w:id="299"/>
      <w:r>
        <w:rPr>
          <w:b w:val="0"/>
          <w:bCs w:val="0"/>
        </w:rPr>
      </w: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13"/>
        <w:gridCol w:w="3059"/>
        <w:gridCol w:w="3175"/>
      </w:tblGrid>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13" w:space="0" w:color="D2D2D2"/>
              <w:bottom w:val="single" w:sz="4" w:space="0" w:color="000000"/>
              <w:right w:val="single" w:sz="4" w:space="0" w:color="000000"/>
            </w:tcBorders>
          </w:tcPr>
          <w:p>
            <w:pPr/>
          </w:p>
        </w:tc>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4,140,551.18</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-359,448.82</w:t>
            </w:r>
            <w:r>
              <w:rPr>
                <w:rFonts w:ascii="Times New Roman"/>
                <w:sz w:val="18"/>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-359,448.82</w:t>
            </w:r>
            <w:r>
              <w:rPr>
                <w:rFonts w:ascii="Times New Roman"/>
                <w:sz w:val="18"/>
              </w:rPr>
            </w:r>
          </w:p>
        </w:tc>
      </w:tr>
    </w:tbl>
    <w:p>
      <w:pPr>
        <w:pStyle w:val="BodyText"/>
        <w:spacing w:line="240" w:lineRule="auto" w:before="51"/>
        <w:ind w:left="1134" w:right="0"/>
        <w:jc w:val="left"/>
      </w:pPr>
      <w:r>
        <w:rPr/>
        <w:t>其他说明</w:t>
      </w:r>
    </w:p>
    <w:p>
      <w:pPr>
        <w:pStyle w:val="BodyText"/>
        <w:spacing w:line="300" w:lineRule="auto" w:before="116"/>
        <w:ind w:left="1134" w:right="1197"/>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日，本公司将持股</w:t>
      </w:r>
      <w:r>
        <w:rPr>
          <w:rFonts w:ascii="Times New Roman" w:hAnsi="Times New Roman" w:cs="Times New Roman" w:eastAsia="Times New Roman" w:hint="default"/>
        </w:rPr>
        <w:t>15%</w:t>
      </w:r>
      <w:r>
        <w:rPr/>
        <w:t>的联营公司北京科创空间投资发展有限公司全部股份作价</w:t>
      </w:r>
      <w:r>
        <w:rPr>
          <w:rFonts w:ascii="Times New Roman" w:hAnsi="Times New Roman" w:cs="Times New Roman" w:eastAsia="Times New Roman" w:hint="default"/>
        </w:rPr>
        <w:t>450.00</w:t>
      </w:r>
      <w:r>
        <w:rPr/>
        <w:t>万元，转让至北京市盈 </w:t>
      </w:r>
      <w:r>
        <w:rPr>
          <w:spacing w:val="-2"/>
        </w:rPr>
        <w:t>润积基金管理中心（有限合伙），减少长期股权投资</w:t>
      </w:r>
      <w:r>
        <w:rPr>
          <w:rFonts w:ascii="Times New Roman" w:hAnsi="Times New Roman" w:cs="Times New Roman" w:eastAsia="Times New Roman" w:hint="default"/>
          <w:spacing w:val="-2"/>
        </w:rPr>
        <w:t>4,144,107.76</w:t>
      </w:r>
      <w:r>
        <w:rPr>
          <w:spacing w:val="-2"/>
        </w:rPr>
        <w:t>元，溢价</w:t>
      </w:r>
      <w:r>
        <w:rPr>
          <w:rFonts w:ascii="Times New Roman" w:hAnsi="Times New Roman" w:cs="Times New Roman" w:eastAsia="Times New Roman" w:hint="default"/>
          <w:spacing w:val="-2"/>
        </w:rPr>
        <w:t>355,892.24</w:t>
      </w:r>
      <w:r>
        <w:rPr>
          <w:spacing w:val="-2"/>
        </w:rPr>
        <w:t>元计入投资收益。</w:t>
      </w:r>
    </w:p>
    <w:p>
      <w:pPr>
        <w:spacing w:line="240" w:lineRule="auto" w:before="4"/>
        <w:rPr>
          <w:rFonts w:ascii="宋体" w:hAnsi="宋体" w:cs="宋体" w:eastAsia="宋体" w:hint="default"/>
          <w:sz w:val="20"/>
          <w:szCs w:val="20"/>
        </w:rPr>
      </w:pPr>
    </w:p>
    <w:p>
      <w:pPr>
        <w:pStyle w:val="Heading2"/>
        <w:spacing w:line="240" w:lineRule="auto"/>
        <w:ind w:left="1134" w:right="0"/>
        <w:jc w:val="left"/>
        <w:rPr>
          <w:b w:val="0"/>
          <w:bCs w:val="0"/>
        </w:rPr>
      </w:pPr>
      <w:bookmarkStart w:name="十、与金融工具相关的风险" w:id="300"/>
      <w:bookmarkEnd w:id="300"/>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left="1134" w:right="1131" w:firstLine="420"/>
        <w:jc w:val="both"/>
      </w:pPr>
      <w:r>
        <w:rPr>
          <w:spacing w:val="-1"/>
        </w:rPr>
        <w:t>本公司在经营活动中面临各种金融风险，主要包括信用风险、市场风险和流动性风险。公司董事会全</w:t>
      </w:r>
      <w:r>
        <w:rPr/>
        <w:t> </w:t>
      </w:r>
      <w:r>
        <w:rPr>
          <w:spacing w:val="-1"/>
        </w:rPr>
        <w:t>面负责风险管理目标和政策的确定，并对风险管理目标和政策承担最终责任。本公司管理层负责设计和实</w:t>
      </w:r>
      <w:r>
        <w:rPr>
          <w:spacing w:val="-81"/>
        </w:rPr>
        <w:t> </w:t>
      </w:r>
      <w:r>
        <w:rPr>
          <w:spacing w:val="-81"/>
        </w:rPr>
      </w:r>
      <w:r>
        <w:rPr>
          <w:spacing w:val="-1"/>
        </w:rPr>
        <w:t>施能确保风险管理目标和政策得以有效执行的程序。本公司风险管理的总体目标是在保证公司必要竞争力</w:t>
      </w:r>
      <w:r>
        <w:rPr>
          <w:spacing w:val="-81"/>
        </w:rPr>
        <w:t> </w:t>
      </w:r>
      <w:r>
        <w:rPr>
          <w:spacing w:val="-81"/>
        </w:rPr>
      </w:r>
      <w:r>
        <w:rPr/>
        <w:t>和应变力的情况下，制定尽可能降低金融工具风险的风险管理政策。具体内容如下：</w:t>
      </w:r>
    </w:p>
    <w:p>
      <w:pPr>
        <w:pStyle w:val="Heading4"/>
        <w:spacing w:line="357" w:lineRule="auto" w:before="127"/>
        <w:ind w:left="1554"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信用风险</w:t>
      </w:r>
      <w:r>
        <w:rPr>
          <w:w w:val="99"/>
        </w:rPr>
        <w:t> </w:t>
      </w:r>
      <w:r>
        <w:rPr>
          <w:spacing w:val="-1"/>
        </w:rPr>
        <w:t>信用风险是指金融工具的一方不能履行义务，造成另一方发生财务损失的风险。本公司信用风险主要</w:t>
      </w:r>
    </w:p>
    <w:p>
      <w:pPr>
        <w:pStyle w:val="Heading4"/>
        <w:spacing w:line="209" w:lineRule="exact"/>
        <w:ind w:left="1134" w:right="0"/>
        <w:jc w:val="left"/>
      </w:pPr>
      <w:r>
        <w:rPr/>
        <w:t>产生于银行存款、应收账款和其他应收款等。</w:t>
      </w:r>
    </w:p>
    <w:p>
      <w:pPr>
        <w:pStyle w:val="Heading4"/>
        <w:spacing w:line="273" w:lineRule="auto" w:before="157"/>
        <w:ind w:left="1134" w:right="1131" w:firstLine="420"/>
        <w:jc w:val="both"/>
      </w:pPr>
      <w:r>
        <w:rPr>
          <w:spacing w:val="-1"/>
        </w:rPr>
        <w:t>本公司银行存款主要存放于国有银行、大中型上市银行，在正常经济环境下，本公司认为其不存在重</w:t>
      </w:r>
      <w:r>
        <w:rPr/>
        <w:t> 大的信用风险，不会产生因对方单位违约而导致的任何重大损失。</w:t>
      </w:r>
    </w:p>
    <w:p>
      <w:pPr>
        <w:pStyle w:val="Heading4"/>
        <w:spacing w:line="273" w:lineRule="auto" w:before="127"/>
        <w:ind w:right="1110" w:firstLine="420"/>
        <w:jc w:val="both"/>
      </w:pPr>
      <w:r>
        <w:rPr/>
        <w:t>本公司应收账款主要来源于公关服务大客户及创业辅导培训学员客户信用等级高，故信用风险较低。 </w:t>
      </w:r>
      <w:r>
        <w:rPr>
          <w:spacing w:val="-1"/>
        </w:rPr>
        <w:t>同时本公司对定期采用信用方式交易的客户进行信用评估。根据信用评估结果，本公司选择与经认可的且</w:t>
      </w:r>
      <w:r>
        <w:rPr>
          <w:spacing w:val="-81"/>
        </w:rPr>
        <w:t> </w:t>
      </w:r>
      <w:r>
        <w:rPr>
          <w:spacing w:val="-81"/>
        </w:rPr>
      </w:r>
      <w:r>
        <w:rPr>
          <w:spacing w:val="-1"/>
        </w:rPr>
        <w:t>信用良好的客户进行交易，并对其应收款项余额进行监控，对于信用记录不良的客户，本公司会采用书面</w:t>
      </w:r>
      <w:r>
        <w:rPr>
          <w:spacing w:val="-82"/>
        </w:rPr>
        <w:t> </w:t>
      </w:r>
      <w:r>
        <w:rPr>
          <w:spacing w:val="-82"/>
        </w:rPr>
      </w:r>
      <w:r>
        <w:rPr/>
        <w:t>催款、缩短信用期或取消信用期等方式，以确保本公司的整体信用风险在可控的范围内。</w:t>
      </w:r>
    </w:p>
    <w:p>
      <w:pPr>
        <w:pStyle w:val="Heading4"/>
        <w:spacing w:line="273" w:lineRule="auto" w:before="127"/>
        <w:ind w:right="1131" w:firstLine="420"/>
        <w:jc w:val="both"/>
      </w:pPr>
      <w:r>
        <w:rPr>
          <w:spacing w:val="-1"/>
        </w:rPr>
        <w:t>对于其他应收款信用风险，公司主要通过备用金管理、定期检查清收管理，确保公司其他应收款余额</w:t>
      </w:r>
      <w:r>
        <w:rPr/>
        <w:t> 和信用风险控制在合理范围。</w:t>
      </w:r>
    </w:p>
    <w:p>
      <w:pPr>
        <w:pStyle w:val="Heading4"/>
        <w:spacing w:line="357" w:lineRule="auto" w:before="127"/>
        <w:ind w:left="1553" w:right="1011"/>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市场风险</w:t>
      </w:r>
      <w:r>
        <w:rPr>
          <w:w w:val="99"/>
        </w:rPr>
        <w:t> </w:t>
      </w:r>
      <w:r>
        <w:rPr/>
        <w:t>金融工具的市场风险，是指金融工具的公允价值或未来现金流量因市场价格变动而发生波动</w:t>
      </w:r>
      <w:r>
        <w:rPr>
          <w:spacing w:val="-23"/>
        </w:rPr>
        <w:t> </w:t>
      </w:r>
      <w:r>
        <w:rPr/>
        <w:t>的风险，</w:t>
      </w:r>
    </w:p>
    <w:p>
      <w:pPr>
        <w:pStyle w:val="Heading4"/>
        <w:spacing w:line="209" w:lineRule="exact"/>
        <w:ind w:right="0"/>
        <w:jc w:val="left"/>
      </w:pPr>
      <w:r>
        <w:rPr/>
        <w:t>包括利率风险、外汇风险和其他价格风险。</w:t>
      </w:r>
    </w:p>
    <w:p>
      <w:pPr>
        <w:pStyle w:val="Heading4"/>
        <w:spacing w:line="357" w:lineRule="auto" w:before="157"/>
        <w:ind w:left="1553" w:right="1116"/>
        <w:jc w:val="left"/>
      </w:pPr>
      <w:r>
        <w:rPr>
          <w:rFonts w:ascii="Times New Roman" w:hAnsi="Times New Roman" w:cs="Times New Roman" w:eastAsia="Times New Roman" w:hint="default"/>
        </w:rPr>
        <w:t>1</w:t>
      </w:r>
      <w:r>
        <w:rPr/>
        <w:t>、利率风险 </w:t>
      </w:r>
      <w:r>
        <w:rPr>
          <w:spacing w:val="-1"/>
        </w:rPr>
        <w:t>利率风险，是指金融工具的公允价值或未来现金流量因市场利率变动而发生波动的风险。本公司无借</w:t>
      </w:r>
    </w:p>
    <w:p>
      <w:pPr>
        <w:pStyle w:val="Heading4"/>
        <w:spacing w:line="209" w:lineRule="exact"/>
        <w:ind w:right="0"/>
        <w:jc w:val="left"/>
      </w:pPr>
      <w:r>
        <w:rPr/>
        <w:t>款项目，因此利率变动不会对本公司造成风险。</w:t>
      </w:r>
    </w:p>
    <w:p>
      <w:pPr>
        <w:pStyle w:val="Heading4"/>
        <w:spacing w:line="357" w:lineRule="auto" w:before="157"/>
        <w:ind w:left="1553" w:right="1116"/>
        <w:jc w:val="left"/>
      </w:pPr>
      <w:r>
        <w:rPr>
          <w:rFonts w:ascii="Times New Roman" w:hAnsi="Times New Roman" w:cs="Times New Roman" w:eastAsia="Times New Roman" w:hint="default"/>
        </w:rPr>
        <w:t>2</w:t>
      </w:r>
      <w:r>
        <w:rPr/>
        <w:t>、外汇风险 外汇风险，是指金融工具的公允价值或未来现金流量因外汇汇率变动而发生波动的风险。</w:t>
      </w:r>
      <w:r>
        <w:rPr>
          <w:spacing w:val="68"/>
        </w:rPr>
        <w:t> </w:t>
      </w:r>
      <w:r>
        <w:rPr/>
        <w:t>本公司无</w:t>
      </w:r>
    </w:p>
    <w:p>
      <w:pPr>
        <w:pStyle w:val="Heading4"/>
        <w:spacing w:line="209" w:lineRule="exact"/>
        <w:ind w:right="0"/>
        <w:jc w:val="left"/>
      </w:pPr>
      <w:r>
        <w:rPr/>
        <w:t>外汇项目，因此外汇变动不会对本公司造成风险。</w:t>
      </w:r>
    </w:p>
    <w:p>
      <w:pPr>
        <w:pStyle w:val="Heading4"/>
        <w:spacing w:line="357" w:lineRule="auto" w:before="157"/>
        <w:ind w:left="1554"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流动性风险</w:t>
      </w:r>
      <w:r>
        <w:rPr>
          <w:w w:val="99"/>
        </w:rPr>
        <w:t> </w:t>
      </w:r>
      <w:r>
        <w:rPr>
          <w:spacing w:val="-1"/>
        </w:rPr>
        <w:t>流动性风险，是指企业在履行与金融负债有关的义务时遇到资金短缺的风险，其可能源于无法尽快以</w:t>
      </w:r>
    </w:p>
    <w:p>
      <w:pPr>
        <w:pStyle w:val="Heading4"/>
        <w:spacing w:line="209" w:lineRule="exact"/>
        <w:ind w:left="1134" w:right="0"/>
        <w:jc w:val="left"/>
      </w:pPr>
      <w:r>
        <w:rPr/>
        <w:t>公允价值售出金融资产；或者源于对方无法偿还其合同债务；或者源于提前到期的债务；或者源于无法产</w:t>
      </w:r>
    </w:p>
    <w:p>
      <w:pPr>
        <w:pStyle w:val="Heading4"/>
        <w:spacing w:line="240" w:lineRule="auto" w:before="37"/>
        <w:ind w:left="1134" w:right="0"/>
        <w:jc w:val="left"/>
      </w:pPr>
      <w:r>
        <w:rPr/>
        <w:t>生预期的现金流量。</w:t>
      </w:r>
    </w:p>
    <w:p>
      <w:pPr>
        <w:spacing w:line="240" w:lineRule="auto" w:before="2"/>
        <w:rPr>
          <w:rFonts w:ascii="宋体" w:hAnsi="宋体" w:cs="宋体" w:eastAsia="宋体" w:hint="default"/>
          <w:sz w:val="21"/>
          <w:szCs w:val="21"/>
        </w:rPr>
      </w:pPr>
    </w:p>
    <w:p>
      <w:pPr>
        <w:pStyle w:val="Heading4"/>
        <w:spacing w:line="273" w:lineRule="auto"/>
        <w:ind w:left="1134" w:right="1109" w:firstLine="420"/>
        <w:jc w:val="both"/>
      </w:pPr>
      <w:r>
        <w:rPr>
          <w:spacing w:val="-1"/>
        </w:rPr>
        <w:t>本公司的政策是确保拥有充足的现金偿还到期债务。流动性风险由本公司财务部门管理和控制，综合</w:t>
      </w:r>
      <w:r>
        <w:rPr/>
        <w:t> 运用债权信用管理、争取供应商较长的信用期限和信用额度、扩展融资渠道争取增加银行授信敞口额度，</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pPr>
      <w:r>
        <w:rPr/>
        <w:t>保证本公司在所有合理运营的情况下拥有充足的资金维持日常运营及突发事件，防止发生流动性风险。</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一、关联方及关联交易" w:id="301"/>
      <w:bookmarkEnd w:id="301"/>
      <w:r>
        <w:rPr>
          <w:b w:val="0"/>
          <w:bCs w:val="0"/>
        </w:rPr>
      </w:r>
      <w:r>
        <w:rPr/>
        <w:t>十一、关联方及关联交易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302"/>
      <w:bookmarkEnd w:id="302"/>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51"/>
        <w:ind w:left="1134" w:right="8232"/>
        <w:jc w:val="left"/>
      </w:pPr>
      <w:r>
        <w:rPr/>
        <w:t>本企业的母公司情况的说明：无 本企业最终控制方是牛文文。 其他说明：</w:t>
      </w:r>
    </w:p>
    <w:p>
      <w:pPr>
        <w:pStyle w:val="BodyText"/>
        <w:spacing w:line="300" w:lineRule="auto" w:before="26"/>
        <w:ind w:right="0"/>
        <w:jc w:val="left"/>
      </w:pPr>
      <w:r>
        <w:rPr>
          <w:spacing w:val="-1"/>
        </w:rPr>
        <w:t>本公司实际控制人为自然人股东牛文文，牛文文为公司法定代表人，截至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日，其直接持有公司</w:t>
      </w:r>
      <w:r>
        <w:rPr>
          <w:rFonts w:ascii="Times New Roman" w:hAnsi="Times New Roman" w:cs="Times New Roman" w:eastAsia="Times New Roman" w:hint="default"/>
          <w:spacing w:val="-1"/>
        </w:rPr>
        <w:t>31.40%</w:t>
      </w:r>
      <w:r>
        <w:rPr>
          <w:spacing w:val="-1"/>
        </w:rPr>
        <w:t>的股份，</w:t>
      </w:r>
      <w:r>
        <w:rPr>
          <w:spacing w:val="-40"/>
        </w:rPr>
        <w:t> </w:t>
      </w:r>
      <w:r>
        <w:rPr/>
        <w:t>并通过蓝创文化传媒（天津）合伙企业（有限合伙）间接持有公司</w:t>
      </w:r>
      <w:r>
        <w:rPr>
          <w:rFonts w:ascii="Times New Roman" w:hAnsi="Times New Roman" w:cs="Times New Roman" w:eastAsia="Times New Roman" w:hint="default"/>
        </w:rPr>
        <w:t>5.36%</w:t>
      </w:r>
      <w:r>
        <w:rPr/>
        <w:t>的股份、通过北京创业嘉乐文化传媒交流中心（有 限合伙）间接持有公司</w:t>
      </w:r>
      <w:r>
        <w:rPr>
          <w:rFonts w:ascii="Times New Roman" w:hAnsi="Times New Roman" w:cs="Times New Roman" w:eastAsia="Times New Roman" w:hint="default"/>
        </w:rPr>
        <w:t>3.62%</w:t>
      </w:r>
      <w:r>
        <w:rPr/>
        <w:t>的股份，合计直接持有和间接持有公司</w:t>
      </w:r>
      <w:r>
        <w:rPr>
          <w:rFonts w:ascii="Times New Roman" w:hAnsi="Times New Roman" w:cs="Times New Roman" w:eastAsia="Times New Roman" w:hint="default"/>
        </w:rPr>
        <w:t>40.38%</w:t>
      </w:r>
      <w:r>
        <w:rPr/>
        <w:t>的股份。</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本企业的子公司情况" w:id="303"/>
      <w:bookmarkEnd w:id="303"/>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本企业子公司的情况详见附注九、在其他主体中的权益。</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3、其他关联方情况" w:id="304"/>
      <w:bookmarkEnd w:id="304"/>
      <w:r>
        <w:rPr>
          <w:b w:val="0"/>
          <w:bCs w:val="0"/>
        </w:rPr>
      </w:r>
      <w:r>
        <w:rPr>
          <w:rFonts w:ascii="Times New Roman" w:hAnsi="Times New Roman" w:cs="Times New Roman" w:eastAsia="Times New Roman" w:hint="default"/>
        </w:rPr>
        <w:t>3</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董事长、总经理，为公司控股股东及实际控制人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董事、副总经理、董事会秘书</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北京创业嘉乐文化传媒交流中心（有限合伙）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6.14%</w:t>
            </w:r>
            <w:r>
              <w:rPr>
                <w:rFonts w:ascii="宋体" w:hAnsi="宋体" w:cs="宋体" w:eastAsia="宋体" w:hint="default"/>
                <w:sz w:val="18"/>
                <w:szCs w:val="18"/>
              </w:rPr>
              <w:t>股权的股东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王佳佳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李豪</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韩雪冬</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本公司财务总监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本公司前财务总监</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探路者控股集团股份有限公司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关联自然人盛发强直接或者间接控制的、或担任董事、高级 管理人员的关联法人</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北京黑马拓新创业投资中心（有限合伙）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本公司实际控制人担任该有限合伙企业的执行事务合伙人委 派代表</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北京蓝色光标公关顾问有限公司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过去十二个月关联自然人赵文权直接或者间接控制的、或担 任董事、高级管理人员的关联法人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酒仙网电子商务股份有限公司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本公司前独立董事曹阳担任该公司独立董事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北京酒快到网络科技有限公司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酒仙网电子商务股份有限公司全资子公司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酒仙网电子商务（天津）有限公司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酒仙网电子商务股份有限公司下属子公司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沈阳新维广告有限公司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过去十二个月曾为关联自然人赵文权共同控制的企业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北京微播易科技股份有限公司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本公司前任董事朱海发曾任该公司董事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狮华公关顾问（上海）有限公司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过去十二个月关联自然人赵文权担任董事的企业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北京蓝色光标品牌管理顾问股份有限公司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过去十二个月关联自然人赵文权担任法人的企业</w:t>
            </w:r>
          </w:p>
        </w:tc>
      </w:tr>
    </w:tbl>
    <w:p>
      <w:pPr>
        <w:pStyle w:val="BodyText"/>
        <w:spacing w:line="240" w:lineRule="auto" w:before="51"/>
        <w:ind w:left="113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关联交易情况" w:id="305"/>
      <w:bookmarkEnd w:id="305"/>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购销商品、提供和接受劳务的关联交易" w:id="306"/>
      <w:bookmarkEnd w:id="30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酒仙网电子商务股 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会议用品采购</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52,080.00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探路者控股集团股 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采购旅行社服务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酒仙网电子商务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（天津）有限公司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会议用品采购</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4,248.00</w:t>
            </w:r>
          </w:p>
        </w:tc>
      </w:tr>
      <w:tr>
        <w:trPr>
          <w:trHeight w:val="71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65"/>
              <w:jc w:val="left"/>
              <w:rPr>
                <w:rFonts w:ascii="宋体" w:hAnsi="宋体" w:cs="宋体" w:eastAsia="宋体" w:hint="default"/>
                <w:sz w:val="18"/>
                <w:szCs w:val="18"/>
              </w:rPr>
            </w:pPr>
            <w:r>
              <w:rPr>
                <w:rFonts w:ascii="宋体" w:hAnsi="宋体" w:cs="宋体" w:eastAsia="宋体" w:hint="default"/>
                <w:sz w:val="18"/>
                <w:szCs w:val="18"/>
              </w:rPr>
              <w:t>狮华公关顾问（上 海）有限公司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宣传推广</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118,892.18</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北京黑马拓新创业投资中心</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管理服务费</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645,000.00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探路者控股集团股份有限公司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公关业务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660,377.36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1,005,169.80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北京酒快到网络科技有限公司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公关业务</w:t>
            </w:r>
            <w:r>
              <w:rPr>
                <w:rFonts w:ascii="Times New Roman" w:hAnsi="Times New Roman" w:cs="Times New Roman" w:eastAsia="Times New Roman" w:hint="default"/>
                <w:sz w:val="18"/>
                <w:szCs w:val="18"/>
              </w:rPr>
              <w:t>/</w:t>
            </w:r>
            <w:r>
              <w:rPr>
                <w:rFonts w:ascii="宋体" w:hAnsi="宋体" w:cs="宋体" w:eastAsia="宋体" w:hint="default"/>
                <w:sz w:val="18"/>
                <w:szCs w:val="18"/>
              </w:rPr>
              <w:t>创业辅导培训</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112,830.18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北京微播易科技股份有限公司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公关业务</w:t>
            </w:r>
            <w:r>
              <w:rPr>
                <w:rFonts w:ascii="Times New Roman" w:hAnsi="Times New Roman" w:cs="Times New Roman" w:eastAsia="Times New Roman" w:hint="default"/>
                <w:sz w:val="18"/>
                <w:szCs w:val="18"/>
              </w:rPr>
              <w:t>/</w:t>
            </w:r>
            <w:r>
              <w:rPr>
                <w:rFonts w:ascii="宋体" w:hAnsi="宋体" w:cs="宋体" w:eastAsia="宋体" w:hint="default"/>
                <w:sz w:val="18"/>
                <w:szCs w:val="18"/>
              </w:rPr>
              <w:t>创业辅导培训</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64,150.93</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沈阳新维广告有限公司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创业辅导培训</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31,446.53</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酒仙网电子商务股份有限公司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公关业务</w:t>
            </w:r>
            <w:r>
              <w:rPr>
                <w:rFonts w:ascii="Times New Roman" w:hAnsi="Times New Roman" w:cs="Times New Roman" w:eastAsia="Times New Roman" w:hint="default"/>
                <w:sz w:val="18"/>
                <w:szCs w:val="18"/>
              </w:rPr>
              <w:t>/</w:t>
            </w:r>
            <w:r>
              <w:rPr>
                <w:rFonts w:ascii="宋体" w:hAnsi="宋体" w:cs="宋体" w:eastAsia="宋体" w:hint="default"/>
                <w:sz w:val="18"/>
                <w:szCs w:val="18"/>
              </w:rPr>
              <w:t>创业辅导培训</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49,056.60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北京蓝色光标公关顾问有限公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公关业务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47,169.81</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北京蓝色光标品牌管理顾问股 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公关业务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4,716.98</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购销商品、提供和接受劳务的关联交易说明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关联方资产转让、债务重组情况" w:id="307"/>
      <w:bookmarkEnd w:id="307"/>
      <w:r>
        <w:rPr>
          <w:b w:val="0"/>
          <w:bCs w:val="0"/>
        </w:rPr>
      </w:r>
      <w:r>
        <w:rPr/>
        <w:t>（</w:t>
      </w:r>
      <w:r>
        <w:rPr>
          <w:rFonts w:ascii="Times New Roman" w:hAnsi="Times New Roman" w:cs="Times New Roman" w:eastAsia="Times New Roman" w:hint="default"/>
        </w:rPr>
        <w:t>2</w:t>
      </w:r>
      <w:r>
        <w:rPr/>
        <w:t>）关联方资产转让、债务重组情况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转让北京世纪创展投资管理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1,672,200.00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关键管理人员报酬" w:id="308"/>
      <w:bookmarkEnd w:id="308"/>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5,409,805.32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4,056,795.28</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二、承诺及或有事项" w:id="309"/>
      <w:bookmarkEnd w:id="309"/>
      <w:r>
        <w:rPr>
          <w:b w:val="0"/>
          <w:bCs w:val="0"/>
        </w:rPr>
      </w:r>
      <w:r>
        <w:rPr/>
        <w:t>十二、承诺及或有事项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310"/>
      <w:bookmarkEnd w:id="310"/>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6252"/>
        <w:jc w:val="left"/>
      </w:pPr>
      <w:r>
        <w:rPr/>
        <w:t>资产负债表日存在的重要承诺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日，公司无需要披露的重要承诺事项。</w:t>
      </w:r>
    </w:p>
    <w:p>
      <w:pPr>
        <w:spacing w:line="240" w:lineRule="auto" w:before="5"/>
        <w:rPr>
          <w:rFonts w:ascii="宋体" w:hAnsi="宋体" w:cs="宋体" w:eastAsia="宋体" w:hint="default"/>
          <w:sz w:val="18"/>
          <w:szCs w:val="18"/>
        </w:rPr>
      </w:pPr>
    </w:p>
    <w:p>
      <w:pPr>
        <w:pStyle w:val="Heading3"/>
        <w:spacing w:line="240" w:lineRule="auto"/>
        <w:ind w:left="1134" w:right="0"/>
        <w:jc w:val="left"/>
        <w:rPr>
          <w:b w:val="0"/>
          <w:bCs w:val="0"/>
        </w:rPr>
      </w:pPr>
      <w:bookmarkStart w:name="2、或有事项" w:id="311"/>
      <w:bookmarkEnd w:id="31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公司没有需要披露的重要或有事项，也应予以说明" w:id="312"/>
      <w:bookmarkEnd w:id="312"/>
      <w:r>
        <w:rPr>
          <w:b w:val="0"/>
          <w:bCs w:val="0"/>
        </w:rPr>
      </w:r>
      <w:r>
        <w:rPr/>
        <w:t>（</w:t>
      </w:r>
      <w:r>
        <w:rPr>
          <w:rFonts w:ascii="Times New Roman" w:hAnsi="Times New Roman" w:cs="Times New Roman" w:eastAsia="Times New Roman" w:hint="default"/>
        </w:rPr>
        <w:t>1</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三、资产负债表日后事项" w:id="313"/>
      <w:bookmarkEnd w:id="313"/>
      <w:r>
        <w:rPr>
          <w:b w:val="0"/>
          <w:bCs w:val="0"/>
        </w:rPr>
      </w:r>
      <w:r>
        <w:rPr/>
        <w:t>十三、资产负债表日后事项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利润分配情况" w:id="314"/>
      <w:bookmarkEnd w:id="314"/>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6,800,000.00</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四、母公司财务报表主要项目注释" w:id="315"/>
      <w:bookmarkEnd w:id="315"/>
      <w:r>
        <w:rPr>
          <w:b w:val="0"/>
          <w:bCs w:val="0"/>
        </w:rPr>
      </w:r>
      <w:r>
        <w:rPr/>
        <w:t>十四、母公司财务报表主要项目注释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316"/>
      <w:bookmarkEnd w:id="316"/>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317"/>
      <w:bookmarkEnd w:id="31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161"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23" w:type="dxa"/>
            <w:vMerge/>
            <w:tcBorders>
              <w:left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15,507,0</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67.96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1,548,40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2.56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9.99%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13,958,66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5.40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11,039,</w:t>
            </w:r>
          </w:p>
          <w:p>
            <w:pPr>
              <w:pStyle w:val="TableParagraph"/>
              <w:spacing w:line="240" w:lineRule="auto" w:before="106"/>
              <w:ind w:left="131" w:right="0"/>
              <w:jc w:val="left"/>
              <w:rPr>
                <w:rFonts w:ascii="Times New Roman" w:hAnsi="Times New Roman" w:cs="Times New Roman" w:eastAsia="Times New Roman" w:hint="default"/>
                <w:sz w:val="18"/>
                <w:szCs w:val="18"/>
              </w:rPr>
            </w:pPr>
            <w:r>
              <w:rPr>
                <w:rFonts w:ascii="Times New Roman"/>
                <w:sz w:val="18"/>
              </w:rPr>
              <w:t>211.49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529,996.0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10,509,215.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49</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15,507,0</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67.96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1,548,40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2.56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9.99%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13,958,66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5.40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11,039,</w:t>
            </w:r>
          </w:p>
          <w:p>
            <w:pPr>
              <w:pStyle w:val="TableParagraph"/>
              <w:spacing w:line="240" w:lineRule="auto" w:before="106"/>
              <w:ind w:left="131" w:right="0"/>
              <w:jc w:val="left"/>
              <w:rPr>
                <w:rFonts w:ascii="Times New Roman" w:hAnsi="Times New Roman" w:cs="Times New Roman" w:eastAsia="Times New Roman" w:hint="default"/>
                <w:sz w:val="18"/>
                <w:szCs w:val="18"/>
              </w:rPr>
            </w:pPr>
            <w:r>
              <w:rPr>
                <w:rFonts w:ascii="Times New Roman"/>
                <w:sz w:val="18"/>
              </w:rPr>
              <w:t>211.49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529,996.0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4.80%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10,509,215.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10,036,183.67</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2,106,652.58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42,133.05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12,142,836.25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42,133.05</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2,654,231.71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796,269.51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15,507,067.96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1,548,402.56</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left="1134" w:right="0"/>
        <w:jc w:val="left"/>
      </w:pPr>
      <w:r>
        <w:rPr/>
        <w:t>确定该组合依据的说明： </w:t>
      </w:r>
      <w:r>
        <w:rPr>
          <w:spacing w:val="-2"/>
        </w:rPr>
        <w:t>按信用风险组合计提坏账准备的应收款项的确定依据、坏账准备计提方法：ⅰ．信用风险特征组合的确定依据本公司对单项</w:t>
      </w:r>
      <w:r>
        <w:rPr>
          <w:spacing w:val="-66"/>
        </w:rPr>
        <w:t> </w:t>
      </w:r>
      <w:r>
        <w:rPr>
          <w:spacing w:val="-66"/>
        </w:rPr>
      </w:r>
      <w:r>
        <w:rPr>
          <w:spacing w:val="-2"/>
        </w:rPr>
        <w:t>金额不重大以及金额重大但单项测试未发生减值的应收款项，按信用风险特征的相似性和相关性对金融资产进行分组。这些</w:t>
      </w:r>
    </w:p>
    <w:p>
      <w:pPr>
        <w:pStyle w:val="BodyText"/>
        <w:spacing w:line="316" w:lineRule="auto" w:before="2"/>
        <w:ind w:left="1134" w:right="1032"/>
        <w:jc w:val="left"/>
      </w:pPr>
      <w:r>
        <w:rPr/>
        <w:t>信用风险通常反映债务人按照该等资产的合同条款偿还所有到期金额的能力，并且与被检查资产的未来现金流量测算相关。 </w:t>
      </w:r>
      <w:r>
        <w:rPr>
          <w:spacing w:val="-2"/>
        </w:rPr>
        <w:t>ⅱ．根据信用风险特征组合确定的坏账准备计提方法按组合方式实施减值测试时，坏账准备金额系根据应收款项组合结构及</w:t>
      </w:r>
      <w:r>
        <w:rPr>
          <w:spacing w:val="-64"/>
        </w:rPr>
        <w:t> </w:t>
      </w:r>
      <w:r>
        <w:rPr>
          <w:spacing w:val="-64"/>
        </w:rPr>
      </w:r>
      <w:r>
        <w:rPr>
          <w:spacing w:val="-2"/>
        </w:rPr>
        <w:t>类似信用风险特征（债务人根据合同条款偿还欠款的能力）按历史损失经验及目前经济状况与预计应收款项组合中已经存在</w:t>
      </w:r>
      <w:r>
        <w:rPr>
          <w:spacing w:val="-64"/>
        </w:rPr>
        <w:t> </w:t>
      </w:r>
      <w:r>
        <w:rPr>
          <w:spacing w:val="-64"/>
        </w:rPr>
      </w:r>
      <w:r>
        <w:rPr/>
        <w:t>的损失评估确定。</w:t>
      </w:r>
    </w:p>
    <w:p>
      <w:pPr>
        <w:pStyle w:val="BodyText"/>
        <w:spacing w:line="240" w:lineRule="auto" w:before="59"/>
        <w:ind w:left="1134" w:right="0"/>
        <w:jc w:val="left"/>
      </w:pPr>
      <w:r>
        <w:rPr/>
        <w:t>组合中，采用余额百分比法计提坏账准备的应收账款：</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9"/>
        <w:rPr>
          <w:rFonts w:ascii="宋体" w:hAnsi="宋体" w:cs="宋体" w:eastAsia="宋体" w:hint="default"/>
          <w:sz w:val="20"/>
          <w:szCs w:val="20"/>
        </w:rPr>
      </w:pPr>
    </w:p>
    <w:p>
      <w:pPr>
        <w:pStyle w:val="Heading3"/>
        <w:spacing w:line="240" w:lineRule="auto"/>
        <w:ind w:left="1134" w:right="0"/>
        <w:jc w:val="left"/>
        <w:rPr>
          <w:b w:val="0"/>
          <w:bCs w:val="0"/>
        </w:rPr>
      </w:pPr>
      <w:bookmarkStart w:name="（2）本期计提、收回或转回的坏账准备情况" w:id="318"/>
      <w:bookmarkEnd w:id="31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1,018,406.56</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按欠款方归集的期末余额前五名的应收账款情况" w:id="319"/>
      <w:bookmarkEnd w:id="319"/>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49" w:type="dxa"/>
        <w:tblLayout w:type="fixed"/>
        <w:tblCellMar>
          <w:top w:w="0" w:type="dxa"/>
          <w:left w:w="0" w:type="dxa"/>
          <w:bottom w:w="0" w:type="dxa"/>
          <w:right w:w="0" w:type="dxa"/>
        </w:tblCellMar>
        <w:tblLook w:val="01E0"/>
      </w:tblPr>
      <w:tblGrid>
        <w:gridCol w:w="2691"/>
        <w:gridCol w:w="368"/>
        <w:gridCol w:w="954"/>
        <w:gridCol w:w="672"/>
        <w:gridCol w:w="414"/>
        <w:gridCol w:w="492"/>
        <w:gridCol w:w="730"/>
      </w:tblGrid>
      <w:tr>
        <w:trPr>
          <w:trHeight w:val="347"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13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0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4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47"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13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1" w:right="0"/>
              <w:jc w:val="left"/>
              <w:rPr>
                <w:rFonts w:ascii="Times New Roman" w:hAnsi="Times New Roman" w:cs="Times New Roman" w:eastAsia="Times New Roman" w:hint="default"/>
                <w:sz w:val="18"/>
                <w:szCs w:val="18"/>
              </w:rPr>
            </w:pPr>
            <w:r>
              <w:rPr>
                <w:rFonts w:ascii="Times New Roman"/>
                <w:sz w:val="18"/>
              </w:rPr>
              <w:t>2,505,000.00</w:t>
            </w:r>
          </w:p>
        </w:tc>
        <w:tc>
          <w:tcPr>
            <w:tcW w:w="10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4" w:right="0"/>
              <w:jc w:val="left"/>
              <w:rPr>
                <w:rFonts w:ascii="Times New Roman" w:hAnsi="Times New Roman" w:cs="Times New Roman" w:eastAsia="Times New Roman" w:hint="default"/>
                <w:sz w:val="18"/>
                <w:szCs w:val="18"/>
              </w:rPr>
            </w:pPr>
            <w:r>
              <w:rPr>
                <w:rFonts w:ascii="Times New Roman"/>
                <w:sz w:val="18"/>
              </w:rPr>
              <w:t>16.15</w:t>
            </w:r>
          </w:p>
        </w:tc>
        <w:tc>
          <w:tcPr>
            <w:tcW w:w="1222" w:type="dxa"/>
            <w:gridSpan w:val="2"/>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13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1" w:right="0"/>
              <w:jc w:val="left"/>
              <w:rPr>
                <w:rFonts w:ascii="Times New Roman" w:hAnsi="Times New Roman" w:cs="Times New Roman" w:eastAsia="Times New Roman" w:hint="default"/>
                <w:sz w:val="18"/>
                <w:szCs w:val="18"/>
              </w:rPr>
            </w:pPr>
            <w:r>
              <w:rPr>
                <w:rFonts w:ascii="Times New Roman"/>
                <w:sz w:val="18"/>
              </w:rPr>
              <w:t>1,332,000.00</w:t>
            </w:r>
          </w:p>
        </w:tc>
        <w:tc>
          <w:tcPr>
            <w:tcW w:w="10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8.59</w:t>
            </w:r>
          </w:p>
        </w:tc>
        <w:tc>
          <w:tcPr>
            <w:tcW w:w="1222" w:type="dxa"/>
            <w:gridSpan w:val="2"/>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3</w:t>
            </w:r>
          </w:p>
        </w:tc>
        <w:tc>
          <w:tcPr>
            <w:tcW w:w="13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95" w:right="0"/>
              <w:jc w:val="left"/>
              <w:rPr>
                <w:rFonts w:ascii="Times New Roman" w:hAnsi="Times New Roman" w:cs="Times New Roman" w:eastAsia="Times New Roman" w:hint="default"/>
                <w:sz w:val="18"/>
                <w:szCs w:val="18"/>
              </w:rPr>
            </w:pPr>
            <w:r>
              <w:rPr>
                <w:rFonts w:ascii="Times New Roman"/>
                <w:sz w:val="18"/>
              </w:rPr>
              <w:t>933,333.32</w:t>
            </w:r>
          </w:p>
        </w:tc>
        <w:tc>
          <w:tcPr>
            <w:tcW w:w="10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6.02</w:t>
            </w:r>
          </w:p>
        </w:tc>
        <w:tc>
          <w:tcPr>
            <w:tcW w:w="1222" w:type="dxa"/>
            <w:gridSpan w:val="2"/>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4</w:t>
            </w:r>
          </w:p>
        </w:tc>
        <w:tc>
          <w:tcPr>
            <w:tcW w:w="13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95" w:right="0"/>
              <w:jc w:val="left"/>
              <w:rPr>
                <w:rFonts w:ascii="Times New Roman" w:hAnsi="Times New Roman" w:cs="Times New Roman" w:eastAsia="Times New Roman" w:hint="default"/>
                <w:sz w:val="18"/>
                <w:szCs w:val="18"/>
              </w:rPr>
            </w:pPr>
            <w:r>
              <w:rPr>
                <w:rFonts w:ascii="Times New Roman"/>
                <w:sz w:val="18"/>
              </w:rPr>
              <w:t>902,000.00</w:t>
            </w:r>
          </w:p>
        </w:tc>
        <w:tc>
          <w:tcPr>
            <w:tcW w:w="10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5.82</w:t>
            </w:r>
          </w:p>
        </w:tc>
        <w:tc>
          <w:tcPr>
            <w:tcW w:w="12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74" w:right="0"/>
              <w:jc w:val="left"/>
              <w:rPr>
                <w:rFonts w:ascii="Times New Roman" w:hAnsi="Times New Roman" w:cs="Times New Roman" w:eastAsia="Times New Roman" w:hint="default"/>
                <w:sz w:val="18"/>
                <w:szCs w:val="18"/>
              </w:rPr>
            </w:pPr>
            <w:r>
              <w:rPr>
                <w:rFonts w:ascii="Times New Roman"/>
                <w:sz w:val="18"/>
              </w:rPr>
              <w:t>2,680.00</w:t>
            </w:r>
          </w:p>
        </w:tc>
      </w:tr>
      <w:tr>
        <w:trPr>
          <w:trHeight w:val="347"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5</w:t>
            </w:r>
          </w:p>
        </w:tc>
        <w:tc>
          <w:tcPr>
            <w:tcW w:w="13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95" w:right="0"/>
              <w:jc w:val="left"/>
              <w:rPr>
                <w:rFonts w:ascii="Times New Roman" w:hAnsi="Times New Roman" w:cs="Times New Roman" w:eastAsia="Times New Roman" w:hint="default"/>
                <w:sz w:val="18"/>
                <w:szCs w:val="18"/>
              </w:rPr>
            </w:pPr>
            <w:r>
              <w:rPr>
                <w:rFonts w:ascii="Times New Roman"/>
                <w:sz w:val="18"/>
              </w:rPr>
              <w:t>745,000.00</w:t>
            </w:r>
          </w:p>
        </w:tc>
        <w:tc>
          <w:tcPr>
            <w:tcW w:w="10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4.80</w:t>
            </w:r>
          </w:p>
        </w:tc>
        <w:tc>
          <w:tcPr>
            <w:tcW w:w="12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84" w:right="0"/>
              <w:jc w:val="left"/>
              <w:rPr>
                <w:rFonts w:ascii="Times New Roman" w:hAnsi="Times New Roman" w:cs="Times New Roman" w:eastAsia="Times New Roman" w:hint="default"/>
                <w:sz w:val="18"/>
                <w:szCs w:val="18"/>
              </w:rPr>
            </w:pPr>
            <w:r>
              <w:rPr>
                <w:rFonts w:ascii="Times New Roman"/>
                <w:sz w:val="18"/>
              </w:rPr>
              <w:t>14,900.00</w:t>
            </w:r>
          </w:p>
        </w:tc>
      </w:tr>
      <w:tr>
        <w:trPr>
          <w:trHeight w:val="304"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368" w:type="dxa"/>
            <w:tcBorders>
              <w:top w:val="single" w:sz="6" w:space="0" w:color="000000"/>
              <w:left w:val="single" w:sz="6" w:space="0" w:color="000000"/>
              <w:bottom w:val="single" w:sz="6" w:space="0" w:color="000000"/>
              <w:right w:val="nil" w:sz="6" w:space="0" w:color="auto"/>
            </w:tcBorders>
          </w:tcPr>
          <w:p>
            <w:pPr/>
          </w:p>
        </w:tc>
        <w:tc>
          <w:tcPr>
            <w:tcW w:w="954" w:type="dxa"/>
            <w:tcBorders>
              <w:top w:val="single" w:sz="6" w:space="0" w:color="000000"/>
              <w:left w:val="nil" w:sz="6" w:space="0" w:color="auto"/>
              <w:bottom w:val="single" w:sz="40"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6,417,333.32</w:t>
            </w:r>
          </w:p>
        </w:tc>
        <w:tc>
          <w:tcPr>
            <w:tcW w:w="672" w:type="dxa"/>
            <w:tcBorders>
              <w:top w:val="single" w:sz="6" w:space="0" w:color="000000"/>
              <w:left w:val="single" w:sz="6" w:space="0" w:color="000000"/>
              <w:bottom w:val="single" w:sz="6" w:space="0" w:color="000000"/>
              <w:right w:val="nil" w:sz="6" w:space="0" w:color="auto"/>
            </w:tcBorders>
          </w:tcPr>
          <w:p>
            <w:pPr/>
          </w:p>
        </w:tc>
        <w:tc>
          <w:tcPr>
            <w:tcW w:w="414" w:type="dxa"/>
            <w:tcBorders>
              <w:top w:val="single" w:sz="6" w:space="0" w:color="000000"/>
              <w:left w:val="nil" w:sz="6" w:space="0" w:color="auto"/>
              <w:bottom w:val="single" w:sz="40"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41.38</w:t>
            </w:r>
          </w:p>
        </w:tc>
        <w:tc>
          <w:tcPr>
            <w:tcW w:w="492" w:type="dxa"/>
            <w:tcBorders>
              <w:top w:val="single" w:sz="6" w:space="0" w:color="000000"/>
              <w:left w:val="single" w:sz="6" w:space="0" w:color="000000"/>
              <w:bottom w:val="single" w:sz="6" w:space="0" w:color="000000"/>
              <w:right w:val="nil" w:sz="6" w:space="0" w:color="auto"/>
            </w:tcBorders>
          </w:tcPr>
          <w:p>
            <w:pPr/>
          </w:p>
        </w:tc>
        <w:tc>
          <w:tcPr>
            <w:tcW w:w="730" w:type="dxa"/>
            <w:tcBorders>
              <w:top w:val="single" w:sz="6" w:space="0" w:color="000000"/>
              <w:left w:val="nil" w:sz="6" w:space="0" w:color="auto"/>
              <w:bottom w:val="single" w:sz="40"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17,580.00</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其他应收款" w:id="320"/>
      <w:bookmarkEnd w:id="32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其他应收款分类披露" w:id="321"/>
      <w:bookmarkEnd w:id="32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2,541,61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48.76%</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2,541,610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4,110,9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17.64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70.62%</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4,110,917.6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168,355</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168,355.27</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2,670,39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51.24%</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2,670,399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1,542,0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79.92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26.49%</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1,542,079.9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5,212,01</w:t>
            </w:r>
          </w:p>
          <w:p>
            <w:pPr>
              <w:pStyle w:val="TableParagraph"/>
              <w:spacing w:line="240" w:lineRule="auto" w:before="105"/>
              <w:ind w:left="420" w:right="0"/>
              <w:jc w:val="left"/>
              <w:rPr>
                <w:rFonts w:ascii="Times New Roman" w:hAnsi="Times New Roman" w:cs="Times New Roman" w:eastAsia="Times New Roman" w:hint="default"/>
                <w:sz w:val="18"/>
                <w:szCs w:val="18"/>
              </w:rPr>
            </w:pPr>
            <w:r>
              <w:rPr>
                <w:rFonts w:ascii="Times New Roman"/>
                <w:sz w:val="18"/>
              </w:rPr>
              <w:t>0.01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5,212,010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5,821,3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52.83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5,821,352.8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240" w:lineRule="auto" w:before="116"/>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广州创润信息科技有限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2,541,610.26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关联方不计提</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2,541,610.26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组合中，按账龄分析法计提坏账准备的其他应收款：</w:t>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38" w:lineRule="auto" w:before="43"/>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322"/>
      <w:bookmarkEnd w:id="32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0" w:lineRule="auto" w:before="44"/>
        <w:ind w:right="-16"/>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6804" w:space="2025"/>
            <w:col w:w="3081"/>
          </w:cols>
        </w:sectPr>
      </w:pPr>
    </w:p>
    <w:p>
      <w:pPr>
        <w:spacing w:line="240" w:lineRule="auto" w:before="0"/>
        <w:rPr>
          <w:rFonts w:ascii="宋体" w:hAnsi="宋体" w:cs="宋体" w:eastAsia="宋体" w:hint="default"/>
          <w:sz w:val="8"/>
          <w:szCs w:val="8"/>
        </w:rPr>
      </w:pPr>
      <w:r>
        <w:rPr/>
        <w:pict>
          <v:group style="position:absolute;margin-left:375.100006pt;margin-top:682.419983pt;width:78pt;height:19.650pt;mso-position-horizontal-relative:page;mso-position-vertical-relative:page;z-index:-910336" coordorigin="7502,13648" coordsize="1560,393">
            <v:shape style="position:absolute;left:7502;top:13648;width:1560;height:393" coordorigin="7502,13648" coordsize="1560,393" path="m7502,14041l9061,14041,9061,13648,7502,13648,7502,14041xe" filled="true" fillcolor="#ffffff" stroked="false">
              <v:path arrowok="t"/>
              <v:fill type="solid"/>
            </v:shape>
            <w10:wrap type="none"/>
          </v:group>
        </w:pict>
      </w:r>
      <w:r>
        <w:rPr/>
        <w:pict>
          <v:group style="position:absolute;margin-left:375.100006pt;margin-top:718.139954pt;width:78pt;height:19.650pt;mso-position-horizontal-relative:page;mso-position-vertical-relative:page;z-index:-910312" coordorigin="7502,14363" coordsize="1560,393">
            <v:shape style="position:absolute;left:7502;top:14363;width:1560;height:393" coordorigin="7502,14363" coordsize="1560,393" path="m7502,14755l9061,14755,9061,14363,7502,14363,7502,14755xe" filled="true" fillcolor="#ffffff" stroked="false">
              <v:path arrowok="t"/>
              <v:fill type="solid"/>
            </v:shape>
            <w10:wrap type="none"/>
          </v:group>
        </w:pict>
      </w:r>
      <w:r>
        <w:rPr/>
        <w:pict>
          <v:group style="position:absolute;margin-left:375.100006pt;margin-top:746.039978pt;width:78pt;height:19.650pt;mso-position-horizontal-relative:page;mso-position-vertical-relative:page;z-index:-910288" coordorigin="7502,14921" coordsize="1560,393">
            <v:shape style="position:absolute;left:7502;top:14921;width:1560;height:393" coordorigin="7502,14921" coordsize="1560,393" path="m7502,15313l9061,15313,9061,14921,7502,14921,7502,15313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其他应收款按款项性质分类情况" w:id="323"/>
      <w:bookmarkEnd w:id="323"/>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4,000,669.32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5,068,850.64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1,049,182.33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584,146.92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162,158.36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168,355.27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5,212,010.01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5,821,352.83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按欠款方归集的期末余额前五名的其他应收款情况" w:id="324"/>
      <w:bookmarkEnd w:id="324"/>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547"/>
        <w:gridCol w:w="1068"/>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650"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9"/>
              <w:jc w:val="left"/>
              <w:rPr>
                <w:rFonts w:ascii="宋体" w:hAnsi="宋体" w:cs="宋体" w:eastAsia="宋体" w:hint="default"/>
                <w:sz w:val="18"/>
                <w:szCs w:val="18"/>
              </w:rPr>
            </w:pPr>
            <w:r>
              <w:rPr>
                <w:rFonts w:ascii="宋体" w:hAnsi="宋体" w:cs="宋体" w:eastAsia="宋体" w:hint="default"/>
                <w:sz w:val="18"/>
                <w:szCs w:val="18"/>
              </w:rPr>
              <w:t>广州创润信息科技有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2,541,610.26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8"/>
              <w:jc w:val="both"/>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 </w:t>
            </w:r>
            <w:r>
              <w:rPr>
                <w:rFonts w:ascii="宋体" w:hAnsi="宋体" w:cs="宋体" w:eastAsia="宋体" w:hint="default"/>
                <w:spacing w:val="-23"/>
                <w:sz w:val="18"/>
                <w:szCs w:val="18"/>
              </w:rPr>
              <w:t>月）、</w:t>
            </w:r>
            <w:r>
              <w:rPr>
                <w:rFonts w:ascii="Times New Roman" w:hAnsi="Times New Roman" w:cs="Times New Roman" w:eastAsia="Times New Roman" w:hint="default"/>
                <w:spacing w:val="-23"/>
                <w:sz w:val="18"/>
                <w:szCs w:val="18"/>
              </w:rPr>
              <w:t>6</w:t>
            </w:r>
            <w:r>
              <w:rPr>
                <w:rFonts w:ascii="Times New Roman" w:hAnsi="Times New Roman" w:cs="Times New Roman" w:eastAsia="Times New Roman" w:hint="default"/>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23"/>
                <w:sz w:val="18"/>
                <w:szCs w:val="18"/>
              </w:rPr>
              <w:t>个月）、</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r>
              <w:rPr>
                <w:rFonts w:ascii="宋体" w:hAnsi="宋体" w:cs="宋体" w:eastAsia="宋体" w:hint="default"/>
                <w:spacing w:val="-90"/>
                <w:sz w:val="18"/>
                <w:szCs w:val="18"/>
              </w:rPr>
              <w:t>月</w:t>
            </w:r>
            <w:r>
              <w:rPr>
                <w:rFonts w:ascii="宋体" w:hAnsi="宋体" w:cs="宋体" w:eastAsia="宋体" w:hint="default"/>
                <w:sz w:val="18"/>
                <w:szCs w:val="18"/>
              </w:rPr>
              <w:t>（含</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27" w:right="0"/>
              <w:jc w:val="left"/>
              <w:rPr>
                <w:rFonts w:ascii="Times New Roman" w:hAnsi="Times New Roman" w:cs="Times New Roman" w:eastAsia="Times New Roman" w:hint="default"/>
                <w:sz w:val="18"/>
                <w:szCs w:val="18"/>
              </w:rPr>
            </w:pPr>
            <w:r>
              <w:rPr>
                <w:rFonts w:ascii="Times New Roman"/>
                <w:sz w:val="18"/>
              </w:rPr>
              <w:t>48.76%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9"/>
              <w:jc w:val="left"/>
              <w:rPr>
                <w:rFonts w:ascii="宋体" w:hAnsi="宋体" w:cs="宋体" w:eastAsia="宋体" w:hint="default"/>
                <w:sz w:val="18"/>
                <w:szCs w:val="18"/>
              </w:rPr>
            </w:pPr>
            <w:r>
              <w:rPr>
                <w:rFonts w:ascii="宋体" w:hAnsi="宋体" w:cs="宋体" w:eastAsia="宋体" w:hint="default"/>
                <w:sz w:val="18"/>
                <w:szCs w:val="18"/>
              </w:rPr>
              <w:t>北京方亚海泰科技有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房租保证金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865,542.75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个月（含</w:t>
            </w:r>
          </w:p>
          <w:p>
            <w:pPr>
              <w:pStyle w:val="TableParagraph"/>
              <w:spacing w:line="302" w:lineRule="auto" w:before="63"/>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pacing w:val="-15"/>
                <w:sz w:val="18"/>
                <w:szCs w:val="18"/>
              </w:rPr>
              <w:t>个月）、</w:t>
            </w:r>
            <w:r>
              <w:rPr>
                <w:rFonts w:ascii="Times New Roman" w:hAnsi="Times New Roman" w:cs="Times New Roman" w:eastAsia="Times New Roman" w:hint="default"/>
                <w:spacing w:val="-15"/>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以上</w:t>
            </w:r>
          </w:p>
        </w:tc>
        <w:tc>
          <w:tcPr>
            <w:tcW w:w="1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7" w:right="0"/>
              <w:jc w:val="left"/>
              <w:rPr>
                <w:rFonts w:ascii="Times New Roman" w:hAnsi="Times New Roman" w:cs="Times New Roman" w:eastAsia="Times New Roman" w:hint="default"/>
                <w:sz w:val="18"/>
                <w:szCs w:val="18"/>
              </w:rPr>
            </w:pPr>
            <w:r>
              <w:rPr>
                <w:rFonts w:ascii="Times New Roman"/>
                <w:sz w:val="18"/>
              </w:rPr>
              <w:t>16.61%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南京创业未来信息科 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703,214.07</w:t>
            </w:r>
          </w:p>
        </w:tc>
        <w:tc>
          <w:tcPr>
            <w:tcW w:w="1553"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2"/>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w:t>
            </w:r>
            <w:r>
              <w:rPr>
                <w:rFonts w:ascii="宋体" w:hAnsi="宋体" w:cs="宋体" w:eastAsia="宋体" w:hint="default"/>
                <w:spacing w:val="-90"/>
                <w:sz w:val="18"/>
                <w:szCs w:val="18"/>
              </w:rPr>
              <w:t>月</w:t>
            </w:r>
            <w:r>
              <w:rPr>
                <w:rFonts w:ascii="宋体" w:hAnsi="宋体" w:cs="宋体" w:eastAsia="宋体" w:hint="default"/>
                <w:sz w:val="18"/>
                <w:szCs w:val="18"/>
              </w:rPr>
              <w:t>（含</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个月</w:t>
            </w:r>
          </w:p>
        </w:tc>
        <w:tc>
          <w:tcPr>
            <w:tcW w:w="547"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北京创闻天下科技有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510,359.17</w:t>
            </w:r>
          </w:p>
        </w:tc>
        <w:tc>
          <w:tcPr>
            <w:tcW w:w="1553"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2"/>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w:t>
            </w:r>
            <w:r>
              <w:rPr>
                <w:rFonts w:ascii="宋体" w:hAnsi="宋体" w:cs="宋体" w:eastAsia="宋体" w:hint="default"/>
                <w:spacing w:val="-90"/>
                <w:sz w:val="18"/>
                <w:szCs w:val="18"/>
              </w:rPr>
              <w:t>月</w:t>
            </w:r>
            <w:r>
              <w:rPr>
                <w:rFonts w:ascii="宋体" w:hAnsi="宋体" w:cs="宋体" w:eastAsia="宋体" w:hint="default"/>
                <w:sz w:val="18"/>
                <w:szCs w:val="18"/>
              </w:rPr>
              <w:t>（含</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个月</w:t>
            </w:r>
          </w:p>
        </w:tc>
        <w:tc>
          <w:tcPr>
            <w:tcW w:w="547"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
              <w:jc w:val="center"/>
              <w:rPr>
                <w:rFonts w:ascii="宋体" w:hAnsi="宋体" w:cs="宋体" w:eastAsia="宋体" w:hint="default"/>
                <w:sz w:val="18"/>
                <w:szCs w:val="18"/>
              </w:rPr>
            </w:pPr>
            <w:r>
              <w:rPr>
                <w:rFonts w:ascii="宋体" w:hAnsi="宋体" w:cs="宋体" w:eastAsia="宋体" w:hint="default"/>
                <w:sz w:val="18"/>
                <w:szCs w:val="18"/>
              </w:rPr>
              <w:t>西藏黑马信息技术服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208,930.82</w:t>
            </w:r>
          </w:p>
        </w:tc>
        <w:tc>
          <w:tcPr>
            <w:tcW w:w="1553"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right="82"/>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w:t>
            </w:r>
            <w:r>
              <w:rPr>
                <w:rFonts w:ascii="宋体" w:hAnsi="宋体" w:cs="宋体" w:eastAsia="宋体" w:hint="default"/>
                <w:spacing w:val="-90"/>
                <w:sz w:val="18"/>
                <w:szCs w:val="18"/>
              </w:rPr>
              <w:t>月</w:t>
            </w:r>
            <w:r>
              <w:rPr>
                <w:rFonts w:ascii="宋体" w:hAnsi="宋体" w:cs="宋体" w:eastAsia="宋体" w:hint="default"/>
                <w:sz w:val="18"/>
                <w:szCs w:val="18"/>
              </w:rPr>
              <w:t>（含</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个月</w:t>
            </w:r>
          </w:p>
        </w:tc>
        <w:tc>
          <w:tcPr>
            <w:tcW w:w="547"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务有限公司</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4,829,657.07</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7" w:right="0"/>
              <w:jc w:val="left"/>
              <w:rPr>
                <w:rFonts w:ascii="Times New Roman" w:hAnsi="Times New Roman" w:cs="Times New Roman" w:eastAsia="Times New Roman" w:hint="default"/>
                <w:sz w:val="18"/>
                <w:szCs w:val="18"/>
              </w:rPr>
            </w:pPr>
            <w:r>
              <w:rPr>
                <w:rFonts w:ascii="Times New Roman"/>
                <w:sz w:val="18"/>
              </w:rPr>
              <w:t>92.66%</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长期股权投资" w:id="325"/>
      <w:bookmarkEnd w:id="32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39,267,628.66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39,267,628.66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11,842,192.00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11,842,192.00</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4,140,551.18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4,140,551.18</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39,267,628.66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39,267,628.66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15,982,743.18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15,982,743.18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对子公司投资" w:id="326"/>
      <w:bookmarkEnd w:id="32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北京创业未来传 媒技术有限公司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1,208,600.00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13,440,964.85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14,649,564.85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北京佳沃世纪企 业管理咨询有限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1,296,592.00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1,296,592.00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南京创业未来信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667,000.00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667,000.00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广州创润信息科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北京黑马创投科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7,598,300.09</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12,598,300.09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青岛黑马创业服 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716,343.98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1,716,343.98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成都创业未来信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5,029,827.74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6,029,827.74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北京爱代言科技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北京创闻天下科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11,842,192.00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27,425,436.66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39,267,628.66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对联营、合营企业投资" w:id="327"/>
      <w:bookmarkEnd w:id="32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北京科创 空间投资 发展有限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4,140,551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4,144,107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3,556.58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4,140,551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4,144,107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4,140,551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4,144,107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3,556.58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营业收入和营业成本" w:id="328"/>
      <w:bookmarkEnd w:id="32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114,383,877.75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39,906,393.20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146,659,039.60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56,371,767.35</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3,660,785.48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1,487,425.43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39,917.18</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118,044,663.23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41,393,818.63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146,698,956.78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56,371,767.35</w:t>
            </w:r>
          </w:p>
        </w:tc>
      </w:tr>
    </w:tbl>
    <w:p>
      <w:pPr>
        <w:pStyle w:val="BodyText"/>
        <w:spacing w:line="240" w:lineRule="auto" w:before="51"/>
        <w:ind w:left="1134"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投资收益" w:id="329"/>
      <w:bookmarkEnd w:id="32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2,375,748.05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3,556.58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-359,448.82</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355,892.24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1,162,200.00</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8"/>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225,616.43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2,449,421.91</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5,184,618.78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3,368,367.61</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五、补充资料" w:id="330"/>
      <w:bookmarkEnd w:id="330"/>
      <w:r>
        <w:rPr>
          <w:b w:val="0"/>
          <w:bCs w:val="0"/>
        </w:rPr>
      </w:r>
      <w:r>
        <w:rPr/>
        <w:t>十五、补充资料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当期非经常性损益明细表" w:id="331"/>
      <w:bookmarkEnd w:id="33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356,404.80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15,864,204.97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2,449,421.91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2,440.97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4,367,231.27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686,919.86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13,618,321.52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332"/>
      <w:bookmarkEnd w:id="33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0.83</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040" w:right="3041"/>
        <w:jc w:val="center"/>
        <w:rPr>
          <w:b w:val="0"/>
          <w:bCs w:val="0"/>
        </w:rPr>
      </w:pPr>
      <w:bookmarkStart w:name="_TOC_250000" w:id="333"/>
      <w:bookmarkStart w:name="第十二节 备查文件目录" w:id="334"/>
      <w:r>
        <w:rPr>
          <w:b w:val="0"/>
          <w:bCs w:val="0"/>
        </w:rPr>
      </w:r>
      <w:r>
        <w:rPr/>
        <w:t>第十二节</w:t>
      </w:r>
      <w:r>
        <w:rPr>
          <w:spacing w:val="-8"/>
        </w:rPr>
        <w:t> </w:t>
      </w:r>
      <w:r>
        <w:rPr/>
        <w:t>备查文件目录</w:t>
      </w:r>
      <w:bookmarkEnd w:id="333"/>
      <w:r>
        <w:rPr>
          <w:b w:val="0"/>
          <w:bCs w:val="0"/>
        </w:rPr>
      </w:r>
    </w:p>
    <w:p>
      <w:pPr>
        <w:spacing w:line="240" w:lineRule="auto" w:before="8"/>
        <w:rPr>
          <w:rFonts w:ascii="宋体" w:hAnsi="宋体" w:cs="宋体" w:eastAsia="宋体" w:hint="default"/>
          <w:b/>
          <w:bCs/>
          <w:sz w:val="42"/>
          <w:szCs w:val="42"/>
        </w:rPr>
      </w:pPr>
    </w:p>
    <w:p>
      <w:pPr>
        <w:pStyle w:val="BodyText"/>
        <w:spacing w:line="352" w:lineRule="auto"/>
        <w:ind w:right="1393"/>
        <w:jc w:val="left"/>
      </w:pPr>
      <w:r>
        <w:rPr/>
        <w:t>一、载有公司法定代表人牛文文先生签名的公司</w:t>
      </w:r>
      <w:r>
        <w:rPr>
          <w:rFonts w:ascii="Times New Roman" w:hAnsi="Times New Roman" w:cs="Times New Roman" w:eastAsia="Times New Roman" w:hint="default"/>
        </w:rPr>
        <w:t>2017</w:t>
      </w:r>
      <w:r>
        <w:rPr/>
        <w:t>年年度报告文本。 二、载有公司负责人牛文文先生、主管会计工作负责人韩雪冬先生及会计机构负责人潘博女士签名并盖章的财务报表。 三、载有会计师事务所盖章、注册会计师签名并盖章的审计报告原件。 四、报告期内在中国证监会指定网站巨潮资讯网上公开披露过的所有公司文件的正本及公告的原稿。 五、其他相关资料。</w:t>
      </w:r>
    </w:p>
    <w:p>
      <w:pPr>
        <w:pStyle w:val="BodyText"/>
        <w:spacing w:line="240" w:lineRule="auto" w:before="32"/>
        <w:ind w:right="0"/>
        <w:jc w:val="left"/>
      </w:pPr>
      <w:r>
        <w:rPr/>
        <w:t>六、以上备查文件的备置地点：公司证券事务部。</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10888" type="#_x0000_t75" stroked="false">
          <v:imagedata r:id="rId1" o:title=""/>
        </v:shape>
      </w:pict>
    </w:r>
    <w:r>
      <w:rPr/>
      <w:pict>
        <v:shape style="position:absolute;margin-left:533.179993pt;margin-top:795.517944pt;width:6.5pt;height:11pt;mso-position-horizontal-relative:page;mso-position-vertical-relative:page;z-index:-9108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10840" type="#_x0000_t75" stroked="false">
          <v:imagedata r:id="rId1" o:title=""/>
        </v:shape>
      </w:pict>
    </w:r>
    <w:r>
      <w:rPr/>
      <w:pict>
        <v:shape style="position:absolute;margin-left:527.679993pt;margin-top:781.957947pt;width:13pt;height:11pt;mso-position-horizontal-relative:page;mso-position-vertical-relative:page;z-index:-910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10792" type="#_x0000_t75" stroked="false">
          <v:imagedata r:id="rId1" o:title=""/>
        </v:shape>
      </w:pict>
    </w:r>
    <w:r>
      <w:rPr/>
      <w:pict>
        <v:shape style="position:absolute;margin-left:524.179993pt;margin-top:781.957947pt;width:15.5pt;height:11pt;mso-position-horizontal-relative:page;mso-position-vertical-relative:page;z-index:-9107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10744" type="#_x0000_t75" stroked="false">
          <v:imagedata r:id="rId1" o:title=""/>
        </v:shape>
      </w:pict>
    </w:r>
    <w:r>
      <w:rPr/>
      <w:pict>
        <v:shape style="position:absolute;margin-left:523.179993pt;margin-top:781.957947pt;width:17.5pt;height:11pt;mso-position-horizontal-relative:page;mso-position-vertical-relative:page;z-index:-910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160004pt;margin-top:36.325607pt;width:231.55pt;height:11.5pt;mso-position-horizontal-relative:page;mso-position-vertical-relative:page;z-index:-910912" type="#_x0000_t202" filled="false" stroked="false">
          <v:textbox inset="0,0,0,0">
            <w:txbxContent>
              <w:p>
                <w:pPr>
                  <w:pStyle w:val="BodyText"/>
                  <w:spacing w:line="214" w:lineRule="exact"/>
                  <w:ind w:left="20" w:right="0"/>
                  <w:jc w:val="left"/>
                </w:pPr>
                <w:r>
                  <w:rPr/>
                  <w:t>创业黑马（北京）科技股份有限公司</w:t>
                </w:r>
                <w:r>
                  <w:rPr>
                    <w:spacing w:val="-46"/>
                  </w:rPr>
                  <w:t> </w:t>
                </w:r>
                <w:r>
                  <w:rPr>
                    <w:rFonts w:ascii="Times New Roman" w:hAnsi="Times New Roman" w:cs="Times New Roman" w:eastAsia="Times New Roman" w:hint="default"/>
                  </w:rPr>
                  <w:t>2017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3041"/>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b/>
      <w:bCs/>
      <w:sz w:val="21"/>
      <w:szCs w:val="21"/>
    </w:rPr>
  </w:style>
  <w:style w:styleId="Heading4" w:type="paragraph">
    <w:name w:val="Heading 4"/>
    <w:basedOn w:val="Normal"/>
    <w:uiPriority w:val="1"/>
    <w:qFormat/>
    <w:pPr>
      <w:ind w:left="1133"/>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iheima.com/" TargetMode="External"/><Relationship Id="rId10" Type="http://schemas.openxmlformats.org/officeDocument/2006/relationships/hyperlink" Target="mailto:zq@iheima.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hyperlink" Target="http://www.cninfo.com/" TargetMode="External"/><Relationship Id="rId14" Type="http://schemas.openxmlformats.org/officeDocument/2006/relationships/footer" Target="footer3.xml"/><Relationship Id="rId15"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创业黑马（北京）科技股份有限公司</dc:creator>
  <dc:title>创业黑马（北京）科技股份有限公司2017年年度报告全文</dc:title>
  <dcterms:created xsi:type="dcterms:W3CDTF">2020-05-03T01:21:00Z</dcterms:created>
  <dcterms:modified xsi:type="dcterms:W3CDTF">2020-05-03T01:21:00Z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Office Word 2007</vt:lpwstr>
  </property>
  <property fmtid="{D5CDD505-2E9C-101B-9397-08002B2CF9AE}" pid="4" name="LastSaved">
    <vt:filetime>2020-05-02T00:00:00Z</vt:filetime>
  </property>
</Properties>
</file>