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1275" w:lineRule="exact"/>
        <w:ind w:left="38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1405176" cy="8096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5176" cy="809625"/>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创业黑马科技集团股份有限公司</w:t>
      </w:r>
      <w:r>
        <w:rPr>
          <w:rFonts w:ascii="宋体" w:hAnsi="宋体" w:cs="宋体" w:eastAsia="宋体" w:hint="default"/>
          <w:sz w:val="36"/>
          <w:szCs w:val="36"/>
        </w:rPr>
      </w:r>
    </w:p>
    <w:p>
      <w:pPr>
        <w:spacing w:line="240" w:lineRule="auto" w:before="5"/>
        <w:rPr>
          <w:rFonts w:ascii="宋体" w:hAnsi="宋体" w:cs="宋体" w:eastAsia="宋体" w:hint="default"/>
          <w:b/>
          <w:bCs/>
          <w:sz w:val="31"/>
          <w:szCs w:val="31"/>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公司负责人牛文文、主管会计工作负责人张东及会计机构负责人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毛璇声明：保证年度报告中财务报告的真实、准确、完整。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本报告所涉及的经营业绩的预计等前瞻性陈述均属于公司计划性事项，存</w:t>
      </w:r>
      <w:r>
        <w:rPr>
          <w:rFonts w:ascii="宋体" w:hAnsi="宋体" w:cs="宋体" w:eastAsia="宋体" w:hint="default"/>
          <w:spacing w:val="4"/>
          <w:sz w:val="28"/>
          <w:szCs w:val="28"/>
        </w:rPr>
      </w:r>
    </w:p>
    <w:p>
      <w:pPr>
        <w:spacing w:line="350"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在一定的不确定性，不构成公司对投资者的实质性承诺，敬请投资者注意投资</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398" w:lineRule="auto" w:before="0"/>
        <w:ind w:left="153" w:right="1132"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风险。公司年度报告中如有涉及未来计划、规划等预测性陈述，均不构成公司</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对投资者及相关人士的承诺，投资者及相关人士均应当对此保持足够的风险认</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w w:val="95"/>
          <w:sz w:val="28"/>
          <w:szCs w:val="28"/>
        </w:rPr>
        <w:t>识，并且应当理解计划、预测与承诺之间的差异。公司在本报告第四节</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经营情</w:t>
      </w:r>
      <w:r>
        <w:rPr>
          <w:rFonts w:ascii="宋体" w:hAnsi="宋体" w:cs="宋体" w:eastAsia="宋体" w:hint="default"/>
          <w:b/>
          <w:bCs/>
          <w:spacing w:val="11"/>
          <w:w w:val="95"/>
          <w:sz w:val="28"/>
          <w:szCs w:val="28"/>
        </w:rPr>
        <w:t> </w:t>
      </w:r>
      <w:r>
        <w:rPr>
          <w:rFonts w:ascii="宋体" w:hAnsi="宋体" w:cs="宋体" w:eastAsia="宋体" w:hint="default"/>
          <w:b/>
          <w:bCs/>
          <w:spacing w:val="11"/>
          <w:w w:val="95"/>
          <w:sz w:val="28"/>
          <w:szCs w:val="28"/>
        </w:rPr>
      </w:r>
      <w:r>
        <w:rPr>
          <w:rFonts w:ascii="宋体" w:hAnsi="宋体" w:cs="宋体" w:eastAsia="宋体" w:hint="default"/>
          <w:b/>
          <w:bCs/>
          <w:w w:val="95"/>
          <w:sz w:val="28"/>
          <w:szCs w:val="28"/>
        </w:rPr>
        <w:t>况讨论与分析</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中</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公司未来发展的展望</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部分，详细描述了公司经营中可能存在</w:t>
      </w:r>
      <w:r>
        <w:rPr>
          <w:rFonts w:ascii="宋体" w:hAnsi="宋体" w:cs="宋体" w:eastAsia="宋体" w:hint="default"/>
          <w:b/>
          <w:bCs/>
          <w:spacing w:val="9"/>
          <w:w w:val="95"/>
          <w:sz w:val="28"/>
          <w:szCs w:val="28"/>
        </w:rPr>
        <w:t> </w:t>
      </w:r>
      <w:r>
        <w:rPr>
          <w:rFonts w:ascii="宋体" w:hAnsi="宋体" w:cs="宋体" w:eastAsia="宋体" w:hint="default"/>
          <w:b/>
          <w:bCs/>
          <w:spacing w:val="9"/>
          <w:w w:val="95"/>
          <w:sz w:val="28"/>
          <w:szCs w:val="28"/>
        </w:rPr>
      </w:r>
      <w:r>
        <w:rPr>
          <w:rFonts w:ascii="宋体" w:hAnsi="宋体" w:cs="宋体" w:eastAsia="宋体" w:hint="default"/>
          <w:b/>
          <w:bCs/>
          <w:spacing w:val="2"/>
          <w:sz w:val="28"/>
          <w:szCs w:val="28"/>
        </w:rPr>
        <w:t>的风险及应对策略，敬请投资者关注相关内容。</w:t>
      </w:r>
      <w:r>
        <w:rPr>
          <w:rFonts w:ascii="宋体" w:hAnsi="宋体" w:cs="宋体" w:eastAsia="宋体" w:hint="default"/>
          <w:spacing w:val="2"/>
          <w:sz w:val="28"/>
          <w:szCs w:val="28"/>
        </w:rPr>
      </w:r>
    </w:p>
    <w:p>
      <w:pPr>
        <w:spacing w:before="16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95,200,000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4"/>
          <w:w w:val="99"/>
          <w:sz w:val="28"/>
          <w:szCs w:val="28"/>
        </w:rPr>
        <w:t>向全</w:t>
      </w:r>
      <w:r>
        <w:rPr>
          <w:rFonts w:ascii="宋体" w:hAnsi="宋体" w:cs="宋体" w:eastAsia="宋体" w:hint="default"/>
          <w:b/>
          <w:bCs/>
          <w:w w:val="99"/>
          <w:sz w:val="28"/>
          <w:szCs w:val="28"/>
        </w:rPr>
        <w:t>体</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股派</w:t>
      </w:r>
      <w:r>
        <w:rPr>
          <w:rFonts w:ascii="宋体" w:hAnsi="宋体" w:cs="宋体" w:eastAsia="宋体" w:hint="default"/>
          <w:b/>
          <w:bCs/>
          <w:w w:val="99"/>
          <w:sz w:val="28"/>
          <w:szCs w:val="28"/>
        </w:rPr>
        <w:t>发</w:t>
      </w:r>
      <w:r>
        <w:rPr>
          <w:rFonts w:ascii="宋体" w:hAnsi="宋体" w:cs="宋体" w:eastAsia="宋体" w:hint="default"/>
          <w:b/>
          <w:bCs/>
          <w:spacing w:val="4"/>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85</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29"/>
          <w:w w:val="99"/>
          <w:sz w:val="28"/>
          <w:szCs w:val="28"/>
        </w:rPr>
        <w:t>元</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34"/>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4"/>
          <w:w w:val="99"/>
          <w:sz w:val="28"/>
          <w:szCs w:val="28"/>
        </w:rPr>
        <w:t>股</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34"/>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资本</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0" w:right="97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52"/>
          <w:szCs w:val="5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第一节重要提示、目录和释义</w:t>
            </w:r>
            <w:r>
              <w:rPr>
                <w:rFonts w:ascii="宋体" w:hAnsi="宋体" w:cs="宋体" w:eastAsia="宋体" w:hint="default"/>
              </w:rPr>
              <w:tab/>
              <w:t>2</w:t>
            </w:r>
          </w:hyperlink>
        </w:p>
        <w:p>
          <w:pPr>
            <w:pStyle w:val="TOC1"/>
            <w:tabs>
              <w:tab w:pos="9785" w:val="right" w:leader="dot"/>
            </w:tabs>
            <w:spacing w:line="240" w:lineRule="auto" w:before="300"/>
            <w:ind w:right="0"/>
            <w:jc w:val="left"/>
            <w:rPr>
              <w:rFonts w:ascii="宋体" w:hAnsi="宋体" w:cs="宋体" w:eastAsia="宋体" w:hint="default"/>
            </w:rPr>
          </w:pPr>
          <w:hyperlink w:history="true" w:anchor="_bookmark1">
            <w:r>
              <w:rPr/>
              <w:t>第二节公司简介和主要财务指标</w:t>
            </w:r>
            <w:r>
              <w:rPr>
                <w:rFonts w:ascii="宋体" w:hAnsi="宋体" w:cs="宋体" w:eastAsia="宋体" w:hint="default"/>
              </w:rPr>
              <w:tab/>
              <w:t>5</w:t>
            </w:r>
          </w:hyperlink>
        </w:p>
        <w:p>
          <w:pPr>
            <w:pStyle w:val="TOC1"/>
            <w:tabs>
              <w:tab w:pos="9785" w:val="right" w:leader="dot"/>
            </w:tabs>
            <w:spacing w:line="240" w:lineRule="auto"/>
            <w:ind w:right="0"/>
            <w:jc w:val="left"/>
            <w:rPr>
              <w:rFonts w:ascii="宋体" w:hAnsi="宋体" w:cs="宋体" w:eastAsia="宋体" w:hint="default"/>
            </w:rPr>
          </w:pPr>
          <w:hyperlink w:history="true" w:anchor="_bookmark2">
            <w:r>
              <w:rPr/>
              <w:t>第三节公司业务概要</w:t>
            </w:r>
            <w:r>
              <w:rPr>
                <w:rFonts w:ascii="宋体" w:hAnsi="宋体" w:cs="宋体" w:eastAsia="宋体" w:hint="default"/>
              </w:rPr>
              <w:tab/>
              <w:t>9</w:t>
            </w:r>
          </w:hyperlink>
        </w:p>
        <w:p>
          <w:pPr>
            <w:pStyle w:val="TOC1"/>
            <w:tabs>
              <w:tab w:pos="9785" w:val="right" w:leader="dot"/>
            </w:tabs>
            <w:spacing w:line="240" w:lineRule="auto"/>
            <w:ind w:right="0"/>
            <w:jc w:val="left"/>
            <w:rPr>
              <w:rFonts w:ascii="宋体" w:hAnsi="宋体" w:cs="宋体" w:eastAsia="宋体" w:hint="default"/>
            </w:rPr>
          </w:pPr>
          <w:hyperlink w:history="true" w:anchor="_bookmark3">
            <w:r>
              <w:rPr/>
              <w:t>第四节经营情况讨论与分析</w:t>
            </w:r>
            <w:r>
              <w:rPr>
                <w:rFonts w:ascii="宋体" w:hAnsi="宋体" w:cs="宋体" w:eastAsia="宋体" w:hint="default"/>
              </w:rPr>
              <w:tab/>
              <w:t>13</w:t>
            </w:r>
          </w:hyperlink>
        </w:p>
        <w:p>
          <w:pPr>
            <w:pStyle w:val="TOC1"/>
            <w:tabs>
              <w:tab w:pos="9785" w:val="right" w:leader="dot"/>
            </w:tabs>
            <w:spacing w:line="240" w:lineRule="auto" w:before="301"/>
            <w:ind w:right="0"/>
            <w:jc w:val="left"/>
            <w:rPr>
              <w:rFonts w:ascii="宋体" w:hAnsi="宋体" w:cs="宋体" w:eastAsia="宋体" w:hint="default"/>
            </w:rPr>
          </w:pPr>
          <w:hyperlink w:history="true" w:anchor="_bookmark4">
            <w:r>
              <w:rPr/>
              <w:t>第五节重要事项</w:t>
            </w:r>
            <w:r>
              <w:rPr>
                <w:rFonts w:ascii="宋体" w:hAnsi="宋体" w:cs="宋体" w:eastAsia="宋体" w:hint="default"/>
              </w:rPr>
            </w:r>
          </w:hyperlink>
          <w:r>
            <w:rPr>
              <w:rFonts w:ascii="宋体" w:hAnsi="宋体" w:cs="宋体" w:eastAsia="宋体" w:hint="default"/>
            </w:rPr>
            <w:tab/>
            <w:t>31</w:t>
          </w:r>
        </w:p>
        <w:p>
          <w:pPr>
            <w:pStyle w:val="TOC1"/>
            <w:tabs>
              <w:tab w:pos="9785" w:val="right" w:leader="dot"/>
            </w:tabs>
            <w:spacing w:line="240" w:lineRule="auto"/>
            <w:ind w:right="0"/>
            <w:jc w:val="left"/>
            <w:rPr>
              <w:rFonts w:ascii="宋体" w:hAnsi="宋体" w:cs="宋体" w:eastAsia="宋体" w:hint="default"/>
            </w:rPr>
          </w:pPr>
          <w:hyperlink w:history="true" w:anchor="_bookmark5">
            <w:r>
              <w:rPr/>
              <w:t>第六节股份变动及股东情况</w:t>
            </w:r>
            <w:r>
              <w:rPr>
                <w:rFonts w:ascii="宋体" w:hAnsi="宋体" w:cs="宋体" w:eastAsia="宋体" w:hint="default"/>
              </w:rPr>
              <w:tab/>
              <w:t>44</w:t>
            </w:r>
          </w:hyperlink>
        </w:p>
        <w:p>
          <w:pPr>
            <w:pStyle w:val="TOC1"/>
            <w:tabs>
              <w:tab w:pos="9785" w:val="right" w:leader="dot"/>
            </w:tabs>
            <w:spacing w:line="240" w:lineRule="auto"/>
            <w:ind w:right="0"/>
            <w:jc w:val="left"/>
            <w:rPr>
              <w:rFonts w:ascii="宋体" w:hAnsi="宋体" w:cs="宋体" w:eastAsia="宋体" w:hint="default"/>
            </w:rPr>
          </w:pPr>
          <w:hyperlink w:history="true" w:anchor="_bookmark6">
            <w:r>
              <w:rPr/>
              <w:t>第七节优先股相关情况</w:t>
            </w:r>
            <w:r>
              <w:rPr>
                <w:rFonts w:ascii="宋体" w:hAnsi="宋体" w:cs="宋体" w:eastAsia="宋体" w:hint="default"/>
              </w:rPr>
              <w:tab/>
              <w:t>50</w:t>
            </w:r>
          </w:hyperlink>
        </w:p>
        <w:p>
          <w:pPr>
            <w:pStyle w:val="TOC1"/>
            <w:tabs>
              <w:tab w:pos="9785" w:val="right" w:leader="dot"/>
            </w:tabs>
            <w:spacing w:line="240" w:lineRule="auto" w:before="301"/>
            <w:ind w:right="0"/>
            <w:jc w:val="left"/>
            <w:rPr>
              <w:rFonts w:ascii="宋体" w:hAnsi="宋体" w:cs="宋体" w:eastAsia="宋体" w:hint="default"/>
            </w:rPr>
          </w:pPr>
          <w:hyperlink w:history="true" w:anchor="_bookmark7">
            <w:r>
              <w:rPr/>
              <w:t>第八节可转换公司债券相关情况</w:t>
            </w:r>
            <w:r>
              <w:rPr>
                <w:rFonts w:ascii="宋体" w:hAnsi="宋体" w:cs="宋体" w:eastAsia="宋体" w:hint="default"/>
              </w:rPr>
              <w:tab/>
              <w:t>51</w:t>
            </w:r>
          </w:hyperlink>
        </w:p>
        <w:p>
          <w:pPr>
            <w:pStyle w:val="TOC1"/>
            <w:tabs>
              <w:tab w:pos="9785" w:val="right" w:leader="dot"/>
            </w:tabs>
            <w:spacing w:line="240" w:lineRule="auto"/>
            <w:ind w:right="0"/>
            <w:jc w:val="left"/>
            <w:rPr>
              <w:rFonts w:ascii="宋体" w:hAnsi="宋体" w:cs="宋体" w:eastAsia="宋体" w:hint="default"/>
            </w:rPr>
          </w:pPr>
          <w:hyperlink w:history="true" w:anchor="_bookmark8">
            <w:r>
              <w:rPr/>
              <w:t>第九节董事、监事、高级管理人员和员工情况</w:t>
            </w:r>
            <w:r>
              <w:rPr>
                <w:rFonts w:ascii="宋体" w:hAnsi="宋体" w:cs="宋体" w:eastAsia="宋体" w:hint="default"/>
              </w:rPr>
              <w:tab/>
              <w:t>52</w:t>
            </w:r>
          </w:hyperlink>
        </w:p>
        <w:p>
          <w:pPr>
            <w:pStyle w:val="TOC1"/>
            <w:tabs>
              <w:tab w:pos="9785" w:val="right" w:leader="dot"/>
            </w:tabs>
            <w:spacing w:line="240" w:lineRule="auto"/>
            <w:ind w:right="0"/>
            <w:jc w:val="left"/>
            <w:rPr>
              <w:rFonts w:ascii="宋体" w:hAnsi="宋体" w:cs="宋体" w:eastAsia="宋体" w:hint="default"/>
            </w:rPr>
          </w:pPr>
          <w:hyperlink w:history="true" w:anchor="_bookmark9">
            <w:r>
              <w:rPr/>
              <w:t>第十节公司治理</w:t>
            </w:r>
            <w:r>
              <w:rPr>
                <w:rFonts w:ascii="宋体" w:hAnsi="宋体" w:cs="宋体" w:eastAsia="宋体" w:hint="default"/>
              </w:rPr>
              <w:tab/>
              <w:t>60</w:t>
            </w:r>
          </w:hyperlink>
        </w:p>
        <w:p>
          <w:pPr>
            <w:pStyle w:val="TOC1"/>
            <w:tabs>
              <w:tab w:pos="9785" w:val="right" w:leader="dot"/>
            </w:tabs>
            <w:spacing w:line="240" w:lineRule="auto" w:before="300"/>
            <w:ind w:right="0"/>
            <w:jc w:val="left"/>
            <w:rPr>
              <w:rFonts w:ascii="宋体" w:hAnsi="宋体" w:cs="宋体" w:eastAsia="宋体" w:hint="default"/>
            </w:rPr>
          </w:pPr>
          <w:hyperlink w:history="true" w:anchor="_bookmark10">
            <w:r>
              <w:rPr/>
              <w:t>第十一节公司债券相关情况</w:t>
            </w:r>
            <w:r>
              <w:rPr>
                <w:rFonts w:ascii="宋体" w:hAnsi="宋体" w:cs="宋体" w:eastAsia="宋体" w:hint="default"/>
              </w:rPr>
              <w:tab/>
              <w:t>67</w:t>
            </w:r>
          </w:hyperlink>
        </w:p>
        <w:p>
          <w:pPr>
            <w:pStyle w:val="TOC1"/>
            <w:tabs>
              <w:tab w:pos="9785" w:val="right" w:leader="dot"/>
            </w:tabs>
            <w:spacing w:line="240" w:lineRule="auto"/>
            <w:ind w:right="0"/>
            <w:jc w:val="left"/>
            <w:rPr>
              <w:rFonts w:ascii="宋体" w:hAnsi="宋体" w:cs="宋体" w:eastAsia="宋体" w:hint="default"/>
            </w:rPr>
          </w:pPr>
          <w:hyperlink w:history="true" w:anchor="_bookmark11">
            <w:r>
              <w:rPr/>
              <w:t>第十二节财务报告</w:t>
            </w:r>
            <w:r>
              <w:rPr>
                <w:rFonts w:ascii="宋体" w:hAnsi="宋体" w:cs="宋体" w:eastAsia="宋体" w:hint="default"/>
              </w:rPr>
              <w:tab/>
              <w:t>68</w:t>
            </w:r>
          </w:hyperlink>
        </w:p>
        <w:p>
          <w:pPr>
            <w:spacing w:line="200" w:lineRule="exact"/>
            <w:rPr>
              <w:sz w:val="20"/>
              <w:szCs w:val="20"/>
            </w:rPr>
          </w:pPr>
          <w:r>
            <w:fldChar w:fldCharType="end"/>
          </w:r>
        </w:p>
      </w:sdtContent>
    </w:sdt>
    <w:p>
      <w:pPr>
        <w:spacing w:before="96"/>
        <w:ind w:left="0" w:right="988" w:firstLine="0"/>
        <w:jc w:val="center"/>
        <w:rPr>
          <w:rFonts w:ascii="宋体" w:hAnsi="宋体" w:cs="宋体" w:eastAsia="宋体" w:hint="default"/>
          <w:sz w:val="28"/>
          <w:szCs w:val="28"/>
        </w:rPr>
      </w:pPr>
      <w:hyperlink w:history="true" w:anchor="_bookmark12">
        <w:r>
          <w:rPr>
            <w:rFonts w:ascii="宋体" w:hAnsi="宋体" w:cs="宋体" w:eastAsia="宋体" w:hint="default"/>
            <w:sz w:val="28"/>
            <w:szCs w:val="28"/>
          </w:rPr>
          <w:t>第十三节备查文件目录</w:t>
        </w:r>
        <w:r>
          <w:rPr>
            <w:rFonts w:ascii="宋体" w:hAnsi="宋体" w:cs="宋体" w:eastAsia="宋体" w:hint="default"/>
            <w:spacing w:val="-62"/>
            <w:sz w:val="28"/>
            <w:szCs w:val="28"/>
          </w:rPr>
          <w:t> </w:t>
        </w:r>
        <w:r>
          <w:rPr>
            <w:rFonts w:ascii="宋体" w:hAnsi="宋体" w:cs="宋体" w:eastAsia="宋体" w:hint="default"/>
            <w:sz w:val="28"/>
            <w:szCs w:val="28"/>
          </w:rPr>
          <w:t>............................................</w:t>
        </w:r>
        <w:r>
          <w:rPr>
            <w:rFonts w:ascii="宋体" w:hAnsi="宋体" w:cs="宋体" w:eastAsia="宋体" w:hint="default"/>
            <w:spacing w:val="-114"/>
            <w:sz w:val="28"/>
            <w:szCs w:val="28"/>
          </w:rPr>
          <w:t> </w:t>
        </w:r>
        <w:r>
          <w:rPr>
            <w:rFonts w:ascii="宋体" w:hAnsi="宋体" w:cs="宋体" w:eastAsia="宋体" w:hint="default"/>
            <w:sz w:val="28"/>
            <w:szCs w:val="28"/>
          </w:rPr>
          <w:t>175</w:t>
        </w:r>
      </w:hyperlink>
      <w:r>
        <w:rPr>
          <w:rFonts w:ascii="宋体" w:hAnsi="宋体" w:cs="宋体" w:eastAsia="宋体" w:hint="default"/>
          <w:sz w:val="28"/>
          <w:szCs w:val="28"/>
        </w:rPr>
        <w:t>6</w:t>
      </w:r>
    </w:p>
    <w:p>
      <w:pPr>
        <w:spacing w:after="0"/>
        <w:jc w:val="center"/>
        <w:rPr>
          <w:rFonts w:ascii="宋体" w:hAnsi="宋体" w:cs="宋体" w:eastAsia="宋体" w:hint="default"/>
          <w:sz w:val="28"/>
          <w:szCs w:val="28"/>
        </w:rPr>
        <w:sectPr>
          <w:pgSz w:w="11910" w:h="16840"/>
          <w:pgMar w:header="741" w:footer="979" w:top="1060" w:bottom="1160" w:left="980" w:right="0"/>
        </w:sectPr>
      </w:pPr>
    </w:p>
    <w:p>
      <w:pPr>
        <w:spacing w:before="954"/>
        <w:ind w:left="0" w:right="9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14" w:type="dxa"/>
        <w:tblLayout w:type="fixed"/>
        <w:tblCellMar>
          <w:top w:w="0" w:type="dxa"/>
          <w:left w:w="0" w:type="dxa"/>
          <w:bottom w:w="0" w:type="dxa"/>
          <w:right w:w="0" w:type="dxa"/>
        </w:tblCellMar>
        <w:tblLook w:val="01E0"/>
      </w:tblPr>
      <w:tblGrid>
        <w:gridCol w:w="3527"/>
        <w:gridCol w:w="622"/>
        <w:gridCol w:w="5426"/>
      </w:tblGrid>
      <w:tr>
        <w:trPr>
          <w:trHeight w:val="398" w:hRule="exact"/>
        </w:trPr>
        <w:tc>
          <w:tcPr>
            <w:tcW w:w="3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创业黑马、公司、本公司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w:t>
            </w:r>
          </w:p>
        </w:tc>
      </w:tr>
      <w:tr>
        <w:trPr>
          <w:trHeight w:val="399"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中国证券监督管理委员会北京证监局</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399"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人民币元（人民币万元）</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创业黑马科技集团股份有限公司股东大会</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创业黑马科技集团股份有限公司董事会</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创业黑马科技集团股份有限公司监事会</w:t>
            </w:r>
          </w:p>
        </w:tc>
      </w:tr>
      <w:tr>
        <w:trPr>
          <w:trHeight w:val="399"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创业黑马科技集团股份有限公司公司章程</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403"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399" w:hRule="exact"/>
        </w:trPr>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会计师、审计机构</w:t>
            </w:r>
          </w:p>
        </w:tc>
        <w:tc>
          <w:tcPr>
            <w:tcW w:w="6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72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0.710007pt;margin-top:115.175613pt;width:361.6pt;height:19.45pt;mso-position-horizontal-relative:page;mso-position-vertical-relative:paragraph;z-index:-925024" coordorigin="3414,2304" coordsize="7232,389">
            <v:shape style="position:absolute;left:3414;top:2304;width:7232;height:389" coordorigin="3414,2304" coordsize="7232,389" path="m3414,2692l10645,2692,10645,2304,3414,2304,3414,2692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创业黑马</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300688</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创业黑马</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Dark Horse </w:t>
            </w:r>
            <w:r>
              <w:rPr>
                <w:rFonts w:ascii="Times New Roman"/>
                <w:spacing w:val="-4"/>
                <w:sz w:val="18"/>
              </w:rPr>
              <w:t>Technology </w:t>
            </w:r>
            <w:r>
              <w:rPr>
                <w:rFonts w:ascii="Times New Roman"/>
                <w:sz w:val="18"/>
              </w:rPr>
              <w:t>Group </w:t>
            </w:r>
            <w:r>
              <w:rPr>
                <w:rFonts w:ascii="Times New Roman"/>
                <w:spacing w:val="-3"/>
                <w:sz w:val="18"/>
              </w:rPr>
              <w:t>Co.</w:t>
            </w:r>
            <w:r>
              <w:rPr>
                <w:rFonts w:ascii="Times New Roman"/>
                <w:spacing w:val="27"/>
                <w:sz w:val="18"/>
              </w:rPr>
              <w:t> </w:t>
            </w:r>
            <w:r>
              <w:rPr>
                <w:rFonts w:ascii="Times New Roman"/>
                <w:sz w:val="18"/>
              </w:rPr>
              <w:t>Ltd</w:t>
            </w:r>
          </w:p>
        </w:tc>
      </w:tr>
      <w:tr>
        <w:trPr>
          <w:trHeight w:val="398" w:hRule="exact"/>
        </w:trPr>
        <w:tc>
          <w:tcPr>
            <w:tcW w:w="2286"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41"/>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牛文文</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幢一层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027</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100015</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号电通创意广场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100015</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www.iheima.com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zq@iheima.com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69"/>
        <w:gridCol w:w="3201"/>
        <w:gridCol w:w="3193"/>
      </w:tblGrid>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项颉</w:t>
            </w:r>
          </w:p>
        </w:tc>
      </w:tr>
      <w:tr>
        <w:trPr>
          <w:trHeight w:val="163" w:hRule="exact"/>
        </w:trPr>
        <w:tc>
          <w:tcPr>
            <w:tcW w:w="31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10" w:space="0" w:color="D2D2D2"/>
              <w:right w:val="single" w:sz="4" w:space="0" w:color="000000"/>
            </w:tcBorders>
          </w:tcPr>
          <w:p>
            <w:pPr>
              <w:pStyle w:val="TableParagraph"/>
              <w:spacing w:line="304" w:lineRule="auto" w:before="53"/>
              <w:ind w:left="28" w:right="89"/>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号电通创意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c>
          <w:tcPr>
            <w:tcW w:w="3193"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93"/>
              <w:jc w:val="left"/>
              <w:rPr>
                <w:rFonts w:ascii="宋体" w:hAnsi="宋体" w:cs="宋体" w:eastAsia="宋体" w:hint="default"/>
                <w:sz w:val="18"/>
                <w:szCs w:val="18"/>
              </w:rPr>
            </w:pPr>
            <w:r>
              <w:rPr>
                <w:rFonts w:ascii="宋体" w:hAnsi="宋体" w:cs="宋体" w:eastAsia="宋体" w:hint="default"/>
                <w:sz w:val="18"/>
                <w:szCs w:val="18"/>
              </w:rPr>
              <w:t>北京市朝阳区酒仙桥北路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号电通创意</w:t>
            </w:r>
            <w:r>
              <w:rPr>
                <w:rFonts w:ascii="宋体" w:hAnsi="宋体" w:cs="宋体" w:eastAsia="宋体" w:hint="default"/>
                <w:w w:val="101"/>
                <w:sz w:val="18"/>
                <w:szCs w:val="18"/>
              </w:rPr>
              <w:t> </w:t>
            </w:r>
            <w:r>
              <w:rPr>
                <w:rFonts w:ascii="宋体" w:hAnsi="宋体" w:cs="宋体" w:eastAsia="宋体" w:hint="default"/>
                <w:sz w:val="18"/>
                <w:szCs w:val="18"/>
              </w:rPr>
              <w:t>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w:t>
            </w:r>
          </w:p>
        </w:tc>
      </w:tr>
      <w:tr>
        <w:trPr>
          <w:trHeight w:val="394" w:hRule="exact"/>
        </w:trPr>
        <w:tc>
          <w:tcPr>
            <w:tcW w:w="31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010-62691933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010-62691933</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010-62510308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010-62510308</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zq@iheima.com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zq@iheima.com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3995"/>
        <w:gridCol w:w="5575"/>
      </w:tblGrid>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7"/>
                <w:sz w:val="18"/>
                <w:szCs w:val="18"/>
              </w:rPr>
              <w:t> </w:t>
            </w:r>
            <w:hyperlink r:id="rId11">
              <w:r>
                <w:rPr>
                  <w:rFonts w:ascii="Times New Roman" w:hAnsi="Times New Roman" w:cs="Times New Roman" w:eastAsia="Times New Roman" w:hint="default"/>
                  <w:spacing w:val="-3"/>
                  <w:sz w:val="18"/>
                  <w:szCs w:val="18"/>
                </w:rPr>
                <w:t>www.cninfo.com.cn</w:t>
              </w:r>
            </w:hyperlink>
          </w:p>
        </w:tc>
      </w:tr>
      <w:tr>
        <w:trPr>
          <w:trHeight w:val="716"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北京市朝阳区酒仙桥北路</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号电通创意广场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区创业黑马证券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事务部</w:t>
            </w:r>
          </w:p>
        </w:tc>
      </w:tr>
    </w:tbl>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665"/>
        <w:gridCol w:w="6905"/>
      </w:tblGrid>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地址 </w:t>
            </w:r>
            <w:r>
              <w:rPr>
                <w:rFonts w:ascii="宋体" w:hAnsi="宋体" w:cs="宋体" w:eastAsia="宋体" w:hint="default"/>
                <w:spacing w:val="-3"/>
                <w:sz w:val="18"/>
                <w:szCs w:val="18"/>
              </w:rPr>
              <w:t>北京市海淀区车公庄西路 </w:t>
            </w:r>
            <w:r>
              <w:rPr>
                <w:rFonts w:ascii="Times New Roman" w:hAnsi="Times New Roman" w:cs="Times New Roman" w:eastAsia="Times New Roman" w:hint="default"/>
                <w:spacing w:val="-3"/>
                <w:sz w:val="18"/>
                <w:szCs w:val="18"/>
              </w:rPr>
              <w:t>19   </w:t>
            </w:r>
            <w:r>
              <w:rPr>
                <w:rFonts w:ascii="宋体" w:hAnsi="宋体" w:cs="宋体" w:eastAsia="宋体" w:hint="default"/>
                <w:spacing w:val="-3"/>
                <w:sz w:val="18"/>
                <w:szCs w:val="18"/>
              </w:rPr>
              <w:t>号外文文化创意园 </w:t>
            </w:r>
            <w:r>
              <w:rPr>
                <w:rFonts w:ascii="Times New Roman" w:hAnsi="Times New Roman" w:cs="Times New Roman" w:eastAsia="Times New Roman" w:hint="default"/>
                <w:spacing w:val="-3"/>
                <w:sz w:val="18"/>
                <w:szCs w:val="18"/>
              </w:rPr>
              <w:t>12  </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号楼</w:t>
            </w:r>
            <w:r>
              <w:rPr>
                <w:rFonts w:ascii="宋体" w:hAnsi="宋体" w:cs="宋体" w:eastAsia="宋体" w:hint="default"/>
                <w:sz w:val="18"/>
                <w:szCs w:val="18"/>
              </w:rPr>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闫磊、梅亚运</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5"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8" w:right="190"/>
              <w:jc w:val="left"/>
              <w:rPr>
                <w:rFonts w:ascii="宋体" w:hAnsi="宋体" w:cs="宋体" w:eastAsia="宋体" w:hint="default"/>
                <w:sz w:val="18"/>
                <w:szCs w:val="18"/>
              </w:rPr>
            </w:pPr>
            <w:r>
              <w:rPr>
                <w:rFonts w:ascii="宋体" w:hAnsi="宋体" w:cs="宋体" w:eastAsia="宋体" w:hint="default"/>
                <w:spacing w:val="-3"/>
                <w:sz w:val="18"/>
                <w:szCs w:val="18"/>
              </w:rPr>
              <w:t>深圳市福田区益田路江苏大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傅承、吴虹生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日至</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华泰联合证券有限责任公司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90"/>
              <w:jc w:val="left"/>
              <w:rPr>
                <w:rFonts w:ascii="宋体" w:hAnsi="宋体" w:cs="宋体" w:eastAsia="宋体" w:hint="default"/>
                <w:sz w:val="18"/>
                <w:szCs w:val="18"/>
              </w:rPr>
            </w:pPr>
            <w:r>
              <w:rPr>
                <w:rFonts w:ascii="宋体" w:hAnsi="宋体" w:cs="宋体" w:eastAsia="宋体" w:hint="default"/>
                <w:spacing w:val="-3"/>
                <w:sz w:val="18"/>
                <w:szCs w:val="18"/>
              </w:rPr>
              <w:t>深圳市福田中心区中心广场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香港中旅大厦第五层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刘新、丁丁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公司聘请的报告期内履行持续督导职责的财务顾问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line="350" w:lineRule="auto" w:before="115"/>
        <w:ind w:left="153" w:right="8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pacing w:val="-3"/>
          <w:sz w:val="18"/>
          <w:szCs w:val="18"/>
        </w:rPr>
        <w:t>追溯调整或重述原因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其他原因</w:t>
      </w:r>
    </w:p>
    <w:tbl>
      <w:tblPr>
        <w:tblW w:w="0" w:type="auto"/>
        <w:jc w:val="left"/>
        <w:tblInd w:w="126" w:type="dxa"/>
        <w:tblLayout w:type="fixed"/>
        <w:tblCellMar>
          <w:top w:w="0" w:type="dxa"/>
          <w:left w:w="0" w:type="dxa"/>
          <w:bottom w:w="0" w:type="dxa"/>
          <w:right w:w="0" w:type="dxa"/>
        </w:tblCellMar>
        <w:tblLook w:val="01E0"/>
      </w:tblPr>
      <w:tblGrid>
        <w:gridCol w:w="2339"/>
        <w:gridCol w:w="1213"/>
        <w:gridCol w:w="1200"/>
        <w:gridCol w:w="1200"/>
        <w:gridCol w:w="1201"/>
        <w:gridCol w:w="1205"/>
        <w:gridCol w:w="1200"/>
      </w:tblGrid>
      <w:tr>
        <w:trPr>
          <w:trHeight w:val="164" w:hRule="exact"/>
        </w:trPr>
        <w:tc>
          <w:tcPr>
            <w:tcW w:w="233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24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508" w:right="46" w:hanging="452"/>
              <w:jc w:val="left"/>
              <w:rPr>
                <w:rFonts w:ascii="宋体" w:hAnsi="宋体" w:cs="宋体" w:eastAsia="宋体" w:hint="default"/>
                <w:sz w:val="18"/>
                <w:szCs w:val="18"/>
              </w:rPr>
            </w:pPr>
            <w:r>
              <w:rPr>
                <w:rFonts w:ascii="宋体" w:hAnsi="宋体" w:cs="宋体" w:eastAsia="宋体" w:hint="default"/>
                <w:spacing w:val="-2"/>
                <w:sz w:val="18"/>
                <w:szCs w:val="18"/>
              </w:rPr>
              <w:t>本年比上年增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33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24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1"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192" w:hRule="exact"/>
        </w:trPr>
        <w:tc>
          <w:tcPr>
            <w:tcW w:w="233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1" w:type="dxa"/>
            <w:gridSpan w:val="2"/>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33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24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98"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212,760,686.53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334,979,108.00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334,979,108.00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184,541,810.94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184,541,810.94</w:t>
            </w:r>
          </w:p>
        </w:tc>
      </w:tr>
      <w:tr>
        <w:trPr>
          <w:trHeight w:val="716"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2" w:right="149"/>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润（元）</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16,341,562.92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13,444,772.63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13,444,772.63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47,172,804.89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47,172,804.89</w:t>
            </w:r>
          </w:p>
        </w:tc>
      </w:tr>
      <w:tr>
        <w:trPr>
          <w:trHeight w:val="715" w:hRule="exact"/>
        </w:trPr>
        <w:tc>
          <w:tcPr>
            <w:tcW w:w="233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16" w:lineRule="auto" w:before="53"/>
              <w:ind w:left="12" w:right="-34"/>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非经常性损益的净利润（元）</w:t>
            </w:r>
          </w:p>
        </w:tc>
        <w:tc>
          <w:tcPr>
            <w:tcW w:w="121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16,111,366.90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2,710,873.22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2,710,873.22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494.32%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33,554,483.37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33,554,483.37</w:t>
            </w:r>
          </w:p>
        </w:tc>
      </w:tr>
      <w:tr>
        <w:trPr>
          <w:trHeight w:val="716"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14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额（元）</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34,485,729.95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-32,194,680.19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-32,194,680.19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13,974,725.75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13,974,725.75</w:t>
            </w:r>
          </w:p>
        </w:tc>
      </w:tr>
      <w:tr>
        <w:trPr>
          <w:trHeight w:val="398"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18.84%</w:t>
            </w:r>
          </w:p>
        </w:tc>
      </w:tr>
      <w:tr>
        <w:trPr>
          <w:trHeight w:val="158" w:hRule="exact"/>
        </w:trPr>
        <w:tc>
          <w:tcPr>
            <w:tcW w:w="233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240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6" w:right="46" w:hanging="269"/>
              <w:jc w:val="left"/>
              <w:rPr>
                <w:rFonts w:ascii="宋体" w:hAnsi="宋体" w:cs="宋体" w:eastAsia="宋体" w:hint="default"/>
                <w:sz w:val="18"/>
                <w:szCs w:val="18"/>
              </w:rPr>
            </w:pPr>
            <w:r>
              <w:rPr>
                <w:rFonts w:ascii="宋体" w:hAnsi="宋体" w:cs="宋体" w:eastAsia="宋体" w:hint="default"/>
                <w:spacing w:val="-2"/>
                <w:sz w:val="18"/>
                <w:szCs w:val="18"/>
              </w:rPr>
              <w:t>本年末比上年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3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24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201"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192" w:hRule="exact"/>
        </w:trPr>
        <w:tc>
          <w:tcPr>
            <w:tcW w:w="233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401" w:type="dxa"/>
            <w:gridSpan w:val="2"/>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33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240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363"/>
        <w:gridCol w:w="1201"/>
        <w:gridCol w:w="1200"/>
        <w:gridCol w:w="1200"/>
        <w:gridCol w:w="1201"/>
        <w:gridCol w:w="1205"/>
        <w:gridCol w:w="1200"/>
      </w:tblGrid>
      <w:tr>
        <w:trPr>
          <w:trHeight w:val="403" w:hRule="exact"/>
        </w:trPr>
        <w:tc>
          <w:tcPr>
            <w:tcW w:w="2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466,253,892.74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469,066,868.98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469,066,868.98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-0.60%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460,102,533.47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460,102,533.47</w:t>
            </w:r>
          </w:p>
        </w:tc>
      </w:tr>
      <w:tr>
        <w:trPr>
          <w:trHeight w:val="716" w:hRule="exact"/>
        </w:trPr>
        <w:tc>
          <w:tcPr>
            <w:tcW w:w="2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376,223,048.16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382,947,620.73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382,947,620.73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-1.76%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376,302,848.10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376,302,848.10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600"/>
        <w:gridCol w:w="1753"/>
        <w:gridCol w:w="1738"/>
        <w:gridCol w:w="1738"/>
        <w:gridCol w:w="1733"/>
      </w:tblGrid>
      <w:tr>
        <w:trPr>
          <w:trHeight w:val="404"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44,012,402.09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53,683,857.58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45,980,332.43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69,084,094.43</w:t>
            </w:r>
          </w:p>
        </w:tc>
      </w:tr>
      <w:tr>
        <w:trPr>
          <w:trHeight w:val="398"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10,101,853.21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7,237,519.74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1,983,822.90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-2,981,632.93</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5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9,611,618.50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7,139,926.34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1,112,532.98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-1,752,710.92</w:t>
            </w:r>
          </w:p>
        </w:tc>
      </w:tr>
      <w:tr>
        <w:trPr>
          <w:trHeight w:val="404"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8,981,606.66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-5,438,525.82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14,138,800.18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16,803,848.93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21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39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110,144.93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100,358.84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356,404.80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3,737,099.55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12,961,038.32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15,864,204.97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-879,200.00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p>
        </w:tc>
        <w:tc>
          <w:tcPr>
            <w:tcW w:w="1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407,869.90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2,449,421.91</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3299"/>
        <w:gridCol w:w="1518"/>
        <w:gridCol w:w="1522"/>
        <w:gridCol w:w="1522"/>
        <w:gridCol w:w="1709"/>
      </w:tblGrid>
      <w:tr>
        <w:trPr>
          <w:trHeight w:val="192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7"/>
              <w:jc w:val="both"/>
              <w:rPr>
                <w:rFonts w:ascii="宋体" w:hAnsi="宋体" w:cs="宋体" w:eastAsia="宋体" w:hint="default"/>
                <w:sz w:val="18"/>
                <w:szCs w:val="18"/>
              </w:rPr>
            </w:pP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1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-2,542,667.56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-10,854.80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2,440.97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116,020.78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1,895,667.08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4,367,231.27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487,030.02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420,975.87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686,919.86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230,196.02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10,733,899.41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13,618,321.52</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1012"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9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700" w:lineRule="atLeast" w:before="115"/>
        <w:ind w:left="575" w:right="0" w:hanging="423"/>
        <w:jc w:val="left"/>
        <w:rPr>
          <w:rFonts w:ascii="宋体" w:hAnsi="宋体" w:cs="宋体" w:eastAsia="宋体" w:hint="default"/>
          <w:sz w:val="24"/>
          <w:szCs w:val="24"/>
        </w:rPr>
      </w:pPr>
      <w:bookmarkStart w:name="一、报告期内公司从事的主要业务" w:id="17"/>
      <w:bookmarkEnd w:id="17"/>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pacing w:val="-1"/>
          <w:sz w:val="24"/>
          <w:szCs w:val="24"/>
        </w:rPr>
        <w:t>创业黑马是国内领先的产业加速服务平台，是创业培训及创业企业服务行业的头部机构。</w:t>
      </w:r>
    </w:p>
    <w:p>
      <w:pPr>
        <w:pStyle w:val="Heading3"/>
        <w:spacing w:line="360" w:lineRule="auto" w:before="152"/>
        <w:ind w:right="1134"/>
        <w:jc w:val="both"/>
      </w:pPr>
      <w:r>
        <w:rPr/>
        <w:t>公司的服务对象覆盖国内广泛的中小企业和创业创新群体，致力于成为细分领域隐形冠军的</w:t>
      </w:r>
      <w:r>
        <w:rPr>
          <w:spacing w:val="-92"/>
        </w:rPr>
        <w:t> </w:t>
      </w:r>
      <w:r>
        <w:rPr>
          <w:spacing w:val="-92"/>
        </w:rPr>
      </w:r>
      <w:r>
        <w:rPr/>
        <w:t>发现者和加速者。</w:t>
      </w:r>
    </w:p>
    <w:p>
      <w:pPr>
        <w:pStyle w:val="Heading3"/>
        <w:spacing w:line="357" w:lineRule="auto" w:before="31"/>
        <w:ind w:right="1122" w:firstLine="422"/>
        <w:jc w:val="both"/>
      </w:pPr>
      <w:r>
        <w:rPr>
          <w:spacing w:val="2"/>
        </w:rPr>
        <w:t>本公司产业加速服务主要由培训辅导与企业服务构成。面向中小企业及创业创新群体的</w:t>
      </w:r>
      <w:r>
        <w:rPr/>
        <w:t> 发展需求，公司先以培训辅导为切入点，生成中小企业加速发展的解决方案；再通过企业级</w:t>
      </w:r>
      <w:r>
        <w:rPr>
          <w:spacing w:val="-91"/>
        </w:rPr>
        <w:t> </w:t>
      </w:r>
      <w:r>
        <w:rPr>
          <w:spacing w:val="-91"/>
        </w:rPr>
      </w:r>
      <w:r>
        <w:rPr/>
        <w:t>服务提供产业资源与工具服务，强化中小企业发展成长能力。</w:t>
      </w:r>
    </w:p>
    <w:p>
      <w:pPr>
        <w:pStyle w:val="Heading3"/>
        <w:spacing w:line="357" w:lineRule="auto" w:before="38"/>
        <w:ind w:right="1123" w:firstLine="422"/>
        <w:jc w:val="both"/>
      </w:pPr>
      <w:r>
        <w:rPr>
          <w:spacing w:val="2"/>
        </w:rPr>
        <w:t>本公司聚焦中小企业创始人及组织的成长需求，联合知名企业家、投资人、行业专家担</w:t>
      </w:r>
      <w:r>
        <w:rPr/>
        <w:t> 任导师，提供具有实战特色的创业辅导培训。公司根据不同阶段中小企业的发展需求形成了</w:t>
      </w:r>
      <w:r>
        <w:rPr>
          <w:spacing w:val="-90"/>
        </w:rPr>
        <w:t> </w:t>
      </w:r>
      <w:r>
        <w:rPr>
          <w:spacing w:val="-90"/>
        </w:rPr>
      </w:r>
      <w:r>
        <w:rPr/>
        <w:t>体系化的培训辅导产品，通过线上、线下、直播、双师授课等多种形态覆盖全国广大创始人</w:t>
      </w:r>
      <w:r>
        <w:rPr>
          <w:spacing w:val="-89"/>
        </w:rPr>
        <w:t> </w:t>
      </w:r>
      <w:r>
        <w:rPr>
          <w:spacing w:val="-89"/>
        </w:rPr>
      </w:r>
      <w:r>
        <w:rPr/>
        <w:t>群体。</w:t>
      </w:r>
    </w:p>
    <w:p>
      <w:pPr>
        <w:pStyle w:val="Heading3"/>
        <w:spacing w:line="357" w:lineRule="auto" w:before="38"/>
        <w:ind w:right="1122" w:firstLine="422"/>
        <w:jc w:val="both"/>
      </w:pPr>
      <w:r>
        <w:rPr>
          <w:spacing w:val="2"/>
        </w:rPr>
        <w:t>本公司的企业服务业务主要包括企业城市拓展服务及营销服务。公司联合二三线城市打</w:t>
      </w:r>
      <w:r>
        <w:rPr/>
        <w:t> 造各具城市特点的产业孵化体系及资源，并为广大中小企业的区域布局提供城市拓展服务。</w:t>
      </w:r>
      <w:r>
        <w:rPr>
          <w:spacing w:val="-92"/>
        </w:rPr>
        <w:t> </w:t>
      </w:r>
      <w:r>
        <w:rPr>
          <w:spacing w:val="-92"/>
        </w:rPr>
      </w:r>
      <w:r>
        <w:rPr/>
        <w:t>另外，公司利用自有媒体传播能力及线下活动资源，为中小企业提供营销服务。</w:t>
      </w:r>
    </w:p>
    <w:p>
      <w:pPr>
        <w:pStyle w:val="Heading3"/>
        <w:spacing w:line="240" w:lineRule="auto" w:before="34"/>
        <w:ind w:left="575" w:right="0"/>
        <w:jc w:val="left"/>
      </w:pPr>
      <w:r>
        <w:rPr/>
        <w:t>本公司构建起了国内领先的产业加速服务平台化运营模式：</w:t>
      </w:r>
    </w:p>
    <w:p>
      <w:pPr>
        <w:spacing w:line="240" w:lineRule="auto" w:before="9"/>
        <w:rPr>
          <w:rFonts w:ascii="宋体" w:hAnsi="宋体" w:cs="宋体" w:eastAsia="宋体" w:hint="default"/>
          <w:sz w:val="16"/>
          <w:szCs w:val="16"/>
        </w:rPr>
      </w:pPr>
    </w:p>
    <w:p>
      <w:pPr>
        <w:pStyle w:val="Heading3"/>
        <w:spacing w:line="400" w:lineRule="auto"/>
        <w:ind w:left="575" w:right="0"/>
        <w:jc w:val="left"/>
      </w:pPr>
      <w:r>
        <w:rPr>
          <w:rFonts w:ascii="等线" w:hAnsi="等线" w:cs="等线" w:eastAsia="等线" w:hint="default"/>
        </w:rPr>
        <w:t>1</w:t>
      </w:r>
      <w:r>
        <w:rPr/>
        <w:t>、利他机制放大资源供给 </w:t>
      </w:r>
      <w:r>
        <w:rPr>
          <w:spacing w:val="2"/>
        </w:rPr>
        <w:t>导师、服务机构及地方政府等资源方可在公司的平台上获取多重收益和价值。在产业加</w:t>
      </w:r>
    </w:p>
    <w:p>
      <w:pPr>
        <w:pStyle w:val="Heading3"/>
        <w:spacing w:line="381" w:lineRule="auto"/>
        <w:ind w:right="1127"/>
        <w:jc w:val="both"/>
      </w:pPr>
      <w:r>
        <w:rPr/>
        <w:t>速服务平台上，公司为导师、服务机构及地方政府等资源方批量匹配中小企业用户，并与资</w:t>
      </w:r>
      <w:r>
        <w:rPr>
          <w:spacing w:val="-92"/>
        </w:rPr>
        <w:t> </w:t>
      </w:r>
      <w:r>
        <w:rPr>
          <w:spacing w:val="-92"/>
        </w:rPr>
      </w:r>
      <w:r>
        <w:rPr/>
        <w:t>源方分享收益。资源方不仅能获取平台收益还能获得平台提供的衍生业务机会，如导师个人</w:t>
      </w:r>
      <w:r>
        <w:rPr>
          <w:spacing w:val="-89"/>
        </w:rPr>
        <w:t> </w:t>
      </w:r>
      <w:r>
        <w:rPr>
          <w:spacing w:val="-89"/>
        </w:rPr>
      </w:r>
      <w:r>
        <w:rPr>
          <w:rFonts w:ascii="等线" w:hAnsi="等线" w:cs="等线" w:eastAsia="等线" w:hint="default"/>
        </w:rPr>
        <w:t>IP</w:t>
      </w:r>
      <w:r>
        <w:rPr>
          <w:rFonts w:ascii="等线" w:hAnsi="等线" w:cs="等线" w:eastAsia="等线" w:hint="default"/>
          <w:spacing w:val="22"/>
        </w:rPr>
        <w:t> </w:t>
      </w:r>
      <w:r>
        <w:rPr/>
        <w:t>影响力提升、投资机构获取项目、服务机构拓展业务、地方政府升级产业等。在利他机制</w:t>
      </w:r>
    </w:p>
    <w:p>
      <w:pPr>
        <w:pStyle w:val="Heading3"/>
        <w:spacing w:line="403" w:lineRule="auto" w:before="71"/>
        <w:ind w:left="575" w:right="1012" w:hanging="423"/>
        <w:jc w:val="left"/>
      </w:pPr>
      <w:r>
        <w:rPr/>
        <w:t>吸引下，公司的资源体系得到不断放大并形成更具延展性的产品体系。 </w:t>
      </w:r>
      <w:r>
        <w:rPr>
          <w:rFonts w:ascii="等线" w:hAnsi="等线" w:cs="等线" w:eastAsia="等线" w:hint="default"/>
        </w:rPr>
        <w:t>2</w:t>
      </w:r>
      <w:r>
        <w:rPr/>
        <w:t>、普惠服务拓宽市场边际 </w:t>
      </w:r>
      <w:r>
        <w:rPr>
          <w:spacing w:val="2"/>
        </w:rPr>
        <w:t>公司为中小企业提供普惠服务，让更广泛中小企业群体不受发展阶段、规模、区域等限</w:t>
      </w:r>
    </w:p>
    <w:p>
      <w:pPr>
        <w:pStyle w:val="Heading3"/>
        <w:spacing w:line="303" w:lineRule="exact"/>
        <w:ind w:right="0"/>
        <w:jc w:val="left"/>
      </w:pPr>
      <w:r>
        <w:rPr/>
        <w:t>制，享受平台提供的优质服务，助力其成长发展。公司将个性化的服务资源打造成为标准化</w:t>
      </w:r>
    </w:p>
    <w:p>
      <w:pPr>
        <w:spacing w:after="0" w:line="303" w:lineRule="exact"/>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Heading3"/>
        <w:spacing w:line="355" w:lineRule="auto" w:before="26"/>
        <w:ind w:right="1132"/>
        <w:jc w:val="both"/>
      </w:pPr>
      <w:r>
        <w:rPr/>
        <w:t>的产品和服务体系，提升了产品服务供给能力，降低用户获取高价值服务的门槛，普惠中小</w:t>
      </w:r>
      <w:r>
        <w:rPr>
          <w:spacing w:val="-90"/>
        </w:rPr>
        <w:t> </w:t>
      </w:r>
      <w:r>
        <w:rPr>
          <w:spacing w:val="-90"/>
        </w:rPr>
      </w:r>
      <w:r>
        <w:rPr/>
        <w:t>企业。</w:t>
      </w:r>
    </w:p>
    <w:p>
      <w:pPr>
        <w:pStyle w:val="Heading3"/>
        <w:spacing w:line="400" w:lineRule="auto" w:before="104"/>
        <w:ind w:left="575" w:right="0"/>
        <w:jc w:val="left"/>
      </w:pPr>
      <w:r>
        <w:rPr>
          <w:rFonts w:ascii="等线" w:hAnsi="等线" w:cs="等线" w:eastAsia="等线" w:hint="default"/>
        </w:rPr>
        <w:t>3</w:t>
      </w:r>
      <w:r>
        <w:rPr/>
        <w:t>、社群运营增强用户黏性 </w:t>
      </w:r>
      <w:r>
        <w:rPr>
          <w:spacing w:val="2"/>
        </w:rPr>
        <w:t>公司通过社群运营，建立与用户的持续沟通，提升现有用户的满意度及复购率。同时，</w:t>
      </w:r>
    </w:p>
    <w:p>
      <w:pPr>
        <w:pStyle w:val="Heading3"/>
        <w:spacing w:line="381" w:lineRule="auto"/>
        <w:ind w:right="1131"/>
        <w:jc w:val="both"/>
      </w:pPr>
      <w:r>
        <w:rPr/>
        <w:t>社群运营也推进了用户裂变，现有用户不断推荐潜在用户加入社群并购买产品服务。公司已</w:t>
      </w:r>
      <w:r>
        <w:rPr>
          <w:spacing w:val="-92"/>
        </w:rPr>
        <w:t> </w:t>
      </w:r>
      <w:r>
        <w:rPr>
          <w:spacing w:val="-92"/>
        </w:rPr>
      </w:r>
      <w:r>
        <w:rPr/>
        <w:t>形成从线上到线下、从社群运营到城市下沉的独具特色的用户运营体系。公司通过“行业社</w:t>
      </w:r>
      <w:r>
        <w:rPr>
          <w:spacing w:val="-93"/>
        </w:rPr>
        <w:t> </w:t>
      </w:r>
      <w:r>
        <w:rPr>
          <w:spacing w:val="-93"/>
        </w:rPr>
      </w:r>
      <w:r>
        <w:rPr>
          <w:spacing w:val="-10"/>
        </w:rPr>
        <w:t>群”、“城市社群”等多维度多重用户关系的运营，公司链接、触达了数量超过</w:t>
      </w:r>
      <w:r>
        <w:rPr>
          <w:spacing w:val="-53"/>
        </w:rPr>
        <w:t> </w:t>
      </w:r>
      <w:r>
        <w:rPr>
          <w:rFonts w:ascii="等线" w:hAnsi="等线" w:cs="等线" w:eastAsia="等线" w:hint="default"/>
          <w:spacing w:val="1"/>
        </w:rPr>
        <w:t>10</w:t>
      </w:r>
      <w:r>
        <w:rPr>
          <w:rFonts w:ascii="等线" w:hAnsi="等线" w:cs="等线" w:eastAsia="等线" w:hint="default"/>
          <w:spacing w:val="-3"/>
        </w:rPr>
        <w:t> </w:t>
      </w:r>
      <w:r>
        <w:rPr/>
        <w:t>万的创始人</w:t>
      </w:r>
    </w:p>
    <w:p>
      <w:pPr>
        <w:pStyle w:val="Heading3"/>
        <w:spacing w:line="240" w:lineRule="auto" w:before="71"/>
        <w:ind w:right="0"/>
        <w:jc w:val="both"/>
      </w:pPr>
      <w:r>
        <w:rPr/>
        <w:t>群体。</w:t>
      </w:r>
    </w:p>
    <w:p>
      <w:pPr>
        <w:spacing w:line="240" w:lineRule="auto" w:before="9"/>
        <w:rPr>
          <w:rFonts w:ascii="宋体" w:hAnsi="宋体" w:cs="宋体" w:eastAsia="宋体" w:hint="default"/>
          <w:sz w:val="16"/>
          <w:szCs w:val="16"/>
        </w:rPr>
      </w:pPr>
    </w:p>
    <w:p>
      <w:pPr>
        <w:pStyle w:val="Heading3"/>
        <w:spacing w:line="453" w:lineRule="auto"/>
        <w:ind w:left="575" w:right="0"/>
        <w:jc w:val="left"/>
      </w:pPr>
      <w:r>
        <w:rPr>
          <w:rFonts w:ascii="等线" w:hAnsi="等线" w:cs="等线" w:eastAsia="等线" w:hint="default"/>
        </w:rPr>
        <w:t>4</w:t>
      </w:r>
      <w:r>
        <w:rPr/>
        <w:t>、标准流程提升运营效率 </w:t>
      </w:r>
      <w:r>
        <w:rPr>
          <w:spacing w:val="2"/>
        </w:rPr>
        <w:t>公司打造了基于标准化流程的资源开拓体系、教学体系及企业服务体系。公司通过标准</w:t>
      </w:r>
    </w:p>
    <w:p>
      <w:pPr>
        <w:pStyle w:val="Heading3"/>
        <w:spacing w:line="257" w:lineRule="exact"/>
        <w:ind w:right="0"/>
        <w:jc w:val="both"/>
      </w:pPr>
      <w:r>
        <w:rPr/>
        <w:t>化流程体系承载规模化的产品服务，从而降低了业务规模化发展的边际成本。随着资源的不</w:t>
      </w:r>
    </w:p>
    <w:p>
      <w:pPr>
        <w:pStyle w:val="Heading3"/>
        <w:spacing w:line="240" w:lineRule="auto" w:before="146"/>
        <w:ind w:right="0"/>
        <w:jc w:val="both"/>
      </w:pPr>
      <w:r>
        <w:rPr/>
        <w:t>断扩充，用户的不断积累，公司的运营效率也将随之提升。</w:t>
      </w:r>
    </w:p>
    <w:p>
      <w:pPr>
        <w:spacing w:line="240" w:lineRule="auto" w:before="13"/>
        <w:rPr>
          <w:rFonts w:ascii="宋体" w:hAnsi="宋体" w:cs="宋体" w:eastAsia="宋体" w:hint="default"/>
          <w:sz w:val="26"/>
          <w:szCs w:val="26"/>
        </w:rPr>
      </w:pPr>
    </w:p>
    <w:p>
      <w:pPr>
        <w:spacing w:line="5198" w:lineRule="exact"/>
        <w:ind w:left="154"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5985086" cy="330117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985086" cy="3301174"/>
                    </a:xfrm>
                    <a:prstGeom prst="rect">
                      <a:avLst/>
                    </a:prstGeom>
                  </pic:spPr>
                </pic:pic>
              </a:graphicData>
            </a:graphic>
          </wp:inline>
        </w:drawing>
      </w:r>
      <w:r>
        <w:rPr>
          <w:rFonts w:ascii="宋体" w:hAnsi="宋体" w:cs="宋体" w:eastAsia="宋体" w:hint="default"/>
          <w:position w:val="-103"/>
          <w:sz w:val="20"/>
          <w:szCs w:val="20"/>
        </w:rPr>
      </w:r>
    </w:p>
    <w:p>
      <w:pPr>
        <w:spacing w:after="0" w:line="5198" w:lineRule="exact"/>
        <w:rPr>
          <w:rFonts w:ascii="宋体" w:hAnsi="宋体" w:cs="宋体" w:eastAsia="宋体" w:hint="default"/>
          <w:sz w:val="20"/>
          <w:szCs w:val="20"/>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3054"/>
        <w:gridCol w:w="6516"/>
      </w:tblGrid>
      <w:tr>
        <w:trPr>
          <w:trHeight w:val="182"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vMerge w:val="restart"/>
            <w:tcBorders>
              <w:top w:val="single" w:sz="4" w:space="0" w:color="000000"/>
              <w:left w:val="single" w:sz="10" w:space="0" w:color="D2D2D2"/>
              <w:right w:val="single" w:sz="4" w:space="0" w:color="000000"/>
            </w:tcBorders>
          </w:tcPr>
          <w:p>
            <w:pPr>
              <w:pStyle w:val="TableParagraph"/>
              <w:spacing w:line="304" w:lineRule="auto" w:before="53"/>
              <w:ind w:left="16" w:right="12"/>
              <w:jc w:val="left"/>
              <w:rPr>
                <w:rFonts w:ascii="宋体" w:hAnsi="宋体" w:cs="宋体" w:eastAsia="宋体" w:hint="default"/>
                <w:sz w:val="18"/>
                <w:szCs w:val="18"/>
              </w:rPr>
            </w:pPr>
            <w:r>
              <w:rPr>
                <w:rFonts w:ascii="宋体" w:hAnsi="宋体" w:cs="宋体" w:eastAsia="宋体" w:hint="default"/>
                <w:spacing w:val="-5"/>
                <w:w w:val="101"/>
                <w:sz w:val="18"/>
                <w:szCs w:val="18"/>
              </w:rPr>
              <w:t>报告期内，公司参与投资设立北京创新黑马投资管理合伙企业（有限合伙），其中</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公司作为有限合伙人首期出资金额为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40"/>
                <w:sz w:val="18"/>
                <w:szCs w:val="18"/>
              </w:rPr>
              <w:t> </w:t>
            </w:r>
            <w:r>
              <w:rPr>
                <w:rFonts w:ascii="宋体" w:hAnsi="宋体" w:cs="宋体" w:eastAsia="宋体" w:hint="default"/>
                <w:spacing w:val="-7"/>
                <w:sz w:val="18"/>
                <w:szCs w:val="18"/>
              </w:rPr>
              <w:t>万元，子公司北京协同创新黑马投资管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w w:val="101"/>
                <w:sz w:val="18"/>
                <w:szCs w:val="18"/>
              </w:rPr>
              <w:t>理有限公司作为普通合伙人首期出资金额</w:t>
            </w:r>
            <w:r>
              <w:rPr>
                <w:rFonts w:ascii="宋体" w:hAnsi="宋体" w:cs="宋体" w:eastAsia="宋体" w:hint="default"/>
                <w:spacing w:val="4"/>
                <w:w w:val="101"/>
                <w:sz w:val="18"/>
                <w:szCs w:val="18"/>
              </w:rPr>
              <w:t> </w:t>
            </w:r>
            <w:r>
              <w:rPr>
                <w:rFonts w:ascii="Times New Roman" w:hAnsi="Times New Roman" w:cs="Times New Roman" w:eastAsia="Times New Roman" w:hint="default"/>
                <w:w w:val="101"/>
                <w:sz w:val="18"/>
                <w:szCs w:val="18"/>
              </w:rPr>
              <w:t>400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0"/>
                <w:w w:val="101"/>
                <w:sz w:val="18"/>
                <w:szCs w:val="18"/>
              </w:rPr>
              <w:t>万元，合计持有合伙企业</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25%</w:t>
            </w:r>
            <w:r>
              <w:rPr>
                <w:rFonts w:ascii="宋体" w:hAnsi="宋体" w:cs="宋体" w:eastAsia="宋体" w:hint="default"/>
                <w:spacing w:val="-2"/>
                <w:w w:val="101"/>
                <w:sz w:val="18"/>
                <w:szCs w:val="18"/>
              </w:rPr>
              <w:t>合伙份</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额，对合伙企业具有重大影响；出资 </w:t>
            </w:r>
            <w:r>
              <w:rPr>
                <w:rFonts w:ascii="Times New Roman" w:hAnsi="Times New Roman" w:cs="Times New Roman" w:eastAsia="Times New Roman" w:hint="default"/>
                <w:sz w:val="18"/>
                <w:szCs w:val="18"/>
              </w:rPr>
              <w:t>1,000 </w:t>
            </w:r>
            <w:r>
              <w:rPr>
                <w:rFonts w:ascii="宋体" w:hAnsi="宋体" w:cs="宋体" w:eastAsia="宋体" w:hint="default"/>
                <w:spacing w:val="-3"/>
                <w:sz w:val="18"/>
                <w:szCs w:val="18"/>
              </w:rPr>
              <w:t>万元投资广州博鳌纵横网络科技有限公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司，持股比例为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0.22%</w:t>
            </w:r>
            <w:r>
              <w:rPr>
                <w:rFonts w:ascii="宋体" w:hAnsi="宋体" w:cs="宋体" w:eastAsia="宋体" w:hint="default"/>
                <w:sz w:val="18"/>
                <w:szCs w:val="18"/>
              </w:rPr>
              <w:t>。</w:t>
            </w: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10" w:space="0" w:color="D2D2D2"/>
              <w:right w:val="single" w:sz="4" w:space="0" w:color="000000"/>
            </w:tcBorders>
          </w:tcPr>
          <w:p>
            <w:pPr/>
          </w:p>
        </w:tc>
      </w:tr>
      <w:tr>
        <w:trPr>
          <w:trHeight w:val="634"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vMerge/>
            <w:tcBorders>
              <w:left w:val="single" w:sz="10"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pStyle w:val="BodyText"/>
        <w:spacing w:line="570" w:lineRule="atLeast" w:before="11"/>
        <w:ind w:left="575" w:right="0"/>
        <w:jc w:val="left"/>
      </w:pPr>
      <w:r>
        <w:rPr>
          <w:rFonts w:ascii="宋体" w:hAnsi="宋体" w:cs="宋体" w:eastAsia="宋体" w:hint="default"/>
        </w:rPr>
        <w:t>1</w:t>
      </w:r>
      <w:r>
        <w:rPr/>
        <w:t>、平台的利他机制和创业服务生态，可高效聚合优质稀缺资源，普惠中小企业</w:t>
      </w:r>
      <w:r>
        <w:rPr>
          <w:w w:val="100"/>
        </w:rPr>
        <w:t> </w:t>
      </w:r>
      <w:r>
        <w:rPr>
          <w:spacing w:val="-2"/>
        </w:rPr>
        <w:t>公司通过对具有企业加速赋能能力的企业家、投资家以及城市产业资源的聚合，精准匹配中小企业和</w:t>
      </w:r>
    </w:p>
    <w:p>
      <w:pPr>
        <w:pStyle w:val="BodyText"/>
        <w:spacing w:line="240" w:lineRule="auto" w:before="128"/>
        <w:ind w:right="0"/>
        <w:jc w:val="left"/>
      </w:pPr>
      <w:r>
        <w:rPr/>
        <w:t>创业者的成长需求，实现多方共赢。</w:t>
      </w:r>
    </w:p>
    <w:p>
      <w:pPr>
        <w:spacing w:line="240" w:lineRule="auto" w:before="4"/>
        <w:rPr>
          <w:rFonts w:ascii="宋体" w:hAnsi="宋体" w:cs="宋体" w:eastAsia="宋体" w:hint="default"/>
          <w:sz w:val="22"/>
          <w:szCs w:val="22"/>
        </w:rPr>
      </w:pPr>
    </w:p>
    <w:p>
      <w:pPr>
        <w:pStyle w:val="BodyText"/>
        <w:spacing w:line="357" w:lineRule="auto"/>
        <w:ind w:right="1120" w:firstLine="422"/>
        <w:jc w:val="both"/>
      </w:pPr>
      <w:r>
        <w:rPr>
          <w:spacing w:val="-2"/>
        </w:rPr>
        <w:t>平台赋能导师：公司拥有丰富的培训经验和成熟的运营体系，能够保证导师认知价值效用最大化；公</w:t>
      </w:r>
      <w:r>
        <w:rPr>
          <w:w w:val="100"/>
        </w:rPr>
        <w:t> </w:t>
      </w:r>
      <w:r>
        <w:rPr/>
        <w:t>司通过自有媒体的传播能力和在创业群体中的影响力，可以帮助导师建立其 </w:t>
      </w:r>
      <w:r>
        <w:rPr>
          <w:rFonts w:ascii="宋体" w:hAnsi="宋体" w:cs="宋体" w:eastAsia="宋体" w:hint="default"/>
          <w:spacing w:val="-3"/>
        </w:rPr>
        <w:t>IP</w:t>
      </w:r>
      <w:r>
        <w:rPr>
          <w:rFonts w:ascii="宋体" w:hAnsi="宋体" w:cs="宋体" w:eastAsia="宋体" w:hint="default"/>
          <w:spacing w:val="-12"/>
        </w:rPr>
        <w:t> </w:t>
      </w:r>
      <w:r>
        <w:rPr/>
        <w:t>影响力。导师在服务创业</w:t>
      </w:r>
      <w:r>
        <w:rPr>
          <w:w w:val="100"/>
        </w:rPr>
        <w:t> </w:t>
      </w:r>
      <w:r>
        <w:rPr/>
        <w:t>者的过程中，能够得到更多商业合作机会，如投资项目、拓展业务、与地方政府建立合作等。</w:t>
      </w:r>
    </w:p>
    <w:p>
      <w:pPr>
        <w:spacing w:line="240" w:lineRule="auto" w:before="5"/>
        <w:rPr>
          <w:rFonts w:ascii="宋体" w:hAnsi="宋体" w:cs="宋体" w:eastAsia="宋体" w:hint="default"/>
          <w:sz w:val="14"/>
          <w:szCs w:val="14"/>
        </w:rPr>
      </w:pPr>
    </w:p>
    <w:p>
      <w:pPr>
        <w:pStyle w:val="BodyText"/>
        <w:spacing w:line="355" w:lineRule="auto"/>
        <w:ind w:right="1125" w:firstLine="422"/>
        <w:jc w:val="both"/>
      </w:pPr>
      <w:r>
        <w:rPr>
          <w:spacing w:val="-2"/>
        </w:rPr>
        <w:t>普惠中小企业：平台通过对优质导师资源的聚集，对城市产业政策及产业资源的对接，以平台标准化</w:t>
      </w:r>
      <w:r>
        <w:rPr>
          <w:w w:val="100"/>
        </w:rPr>
        <w:t> </w:t>
      </w:r>
      <w:r>
        <w:rPr>
          <w:spacing w:val="-2"/>
        </w:rPr>
        <w:t>产品和服务的设计，让一线创新的商业思想、方法论以及优势产业资源突破行业、规模、区域等限制，普</w:t>
      </w:r>
      <w:r>
        <w:rPr>
          <w:spacing w:val="-38"/>
        </w:rPr>
        <w:t> </w:t>
      </w:r>
      <w:r>
        <w:rPr>
          <w:spacing w:val="-38"/>
        </w:rPr>
      </w:r>
      <w:r>
        <w:rPr/>
        <w:t>惠海量中小企业，助力其成长发展。</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、一站式的服务体系打造，陪伴中小企业全生命周期成长</w:t>
      </w:r>
    </w:p>
    <w:p>
      <w:pPr>
        <w:spacing w:line="240" w:lineRule="auto" w:before="9"/>
        <w:rPr>
          <w:rFonts w:ascii="宋体" w:hAnsi="宋体" w:cs="宋体" w:eastAsia="宋体" w:hint="default"/>
          <w:sz w:val="22"/>
          <w:szCs w:val="22"/>
        </w:rPr>
      </w:pPr>
    </w:p>
    <w:p>
      <w:pPr>
        <w:pStyle w:val="BodyText"/>
        <w:spacing w:line="355" w:lineRule="auto"/>
        <w:ind w:right="1125" w:firstLine="422"/>
        <w:jc w:val="both"/>
      </w:pPr>
      <w:r>
        <w:rPr>
          <w:spacing w:val="-7"/>
        </w:rPr>
        <w:t>公司自成立以来，始终以让创业者不再孤独、发现并培育新一代产业冠军为核心使命。经过多年发展，</w:t>
      </w:r>
      <w:r>
        <w:rPr>
          <w:w w:val="100"/>
        </w:rPr>
        <w:t> </w:t>
      </w:r>
      <w:r>
        <w:rPr>
          <w:spacing w:val="-2"/>
        </w:rPr>
        <w:t>公司已具备成熟的课程研发团队和产品服务团队，能够围绕中小企业及创业群体的需求，提供企业全生命</w:t>
      </w:r>
      <w:r>
        <w:rPr>
          <w:spacing w:val="-33"/>
        </w:rPr>
        <w:t> </w:t>
      </w:r>
      <w:r>
        <w:rPr>
          <w:spacing w:val="-33"/>
        </w:rPr>
      </w:r>
      <w:r>
        <w:rPr/>
        <w:t>周期的成长加速服务。</w:t>
      </w:r>
    </w:p>
    <w:p>
      <w:pPr>
        <w:spacing w:line="240" w:lineRule="auto" w:before="8"/>
        <w:rPr>
          <w:rFonts w:ascii="宋体" w:hAnsi="宋体" w:cs="宋体" w:eastAsia="宋体" w:hint="default"/>
          <w:sz w:val="14"/>
          <w:szCs w:val="14"/>
        </w:rPr>
      </w:pPr>
    </w:p>
    <w:p>
      <w:pPr>
        <w:pStyle w:val="BodyText"/>
        <w:spacing w:line="357" w:lineRule="auto"/>
        <w:ind w:right="1123" w:firstLine="422"/>
        <w:jc w:val="both"/>
      </w:pPr>
      <w:r>
        <w:rPr/>
        <w:t>对外，公司能通过媒体包装将导师的核心要素标签化 </w:t>
      </w:r>
      <w:r>
        <w:rPr>
          <w:rFonts w:ascii="宋体" w:hAnsi="宋体" w:cs="宋体" w:eastAsia="宋体" w:hint="default"/>
        </w:rPr>
        <w:t>IP</w:t>
      </w:r>
      <w:r>
        <w:rPr>
          <w:rFonts w:ascii="宋体" w:hAnsi="宋体" w:cs="宋体" w:eastAsia="宋体" w:hint="default"/>
          <w:spacing w:val="-20"/>
        </w:rPr>
        <w:t> </w:t>
      </w:r>
      <w:r>
        <w:rPr/>
        <w:t>化；对内，能将导师分散的知识系统化课程</w:t>
      </w:r>
      <w:r>
        <w:rPr>
          <w:w w:val="100"/>
        </w:rPr>
        <w:t> </w:t>
      </w:r>
      <w:r>
        <w:rPr>
          <w:spacing w:val="-2"/>
        </w:rPr>
        <w:t>化，保证辅导培训的质量。同时，通过将导师能力和学员需求模型化，进一步提高匹配效率，保证用户在</w:t>
      </w:r>
      <w:r>
        <w:rPr>
          <w:spacing w:val="-38"/>
        </w:rPr>
        <w:t> </w:t>
      </w:r>
      <w:r>
        <w:rPr>
          <w:spacing w:val="-38"/>
        </w:rPr>
      </w:r>
      <w:r>
        <w:rPr/>
        <w:t>培训过程中良好的服务体验。</w:t>
      </w:r>
    </w:p>
    <w:p>
      <w:pPr>
        <w:spacing w:line="240" w:lineRule="auto" w:before="1"/>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3</w:t>
      </w:r>
      <w:r>
        <w:rPr/>
        <w:t>、金字塔用户体系的搭建，形成高黏性的用户关系及稳定增长的流量</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5" w:lineRule="auto" w:before="36"/>
        <w:ind w:right="0" w:firstLine="422"/>
        <w:jc w:val="left"/>
      </w:pPr>
      <w:r>
        <w:rPr>
          <w:spacing w:val="-2"/>
        </w:rPr>
        <w:t>用户获得成本高、交易周期长是中小企业服务及企业培训领域的痛点。相比之下，公司的自有媒体矩</w:t>
      </w:r>
      <w:r>
        <w:rPr>
          <w:w w:val="100"/>
        </w:rPr>
        <w:t> </w:t>
      </w:r>
      <w:r>
        <w:rPr/>
        <w:t>阵具有低成本获取流量的核心优势——结合已深度服务的上万家中小企业付费用户的口碑积累和 “百城</w:t>
      </w:r>
      <w:r>
        <w:rPr>
          <w:spacing w:val="-28"/>
        </w:rPr>
        <w:t> </w:t>
      </w:r>
      <w:r>
        <w:rPr>
          <w:spacing w:val="-28"/>
        </w:rPr>
      </w:r>
      <w:r>
        <w:rPr>
          <w:spacing w:val="-9"/>
          <w:w w:val="100"/>
        </w:rPr>
        <w:t>计划”线下覆盖区域的扩展，公司已形成“从媒体到流量”、“从线上到线下”、“从社群运营到城市下沉”</w:t>
      </w:r>
      <w:r>
        <w:rPr>
          <w:spacing w:val="-78"/>
          <w:w w:val="100"/>
        </w:rPr>
        <w:t> </w:t>
      </w:r>
      <w:r>
        <w:rPr>
          <w:spacing w:val="-78"/>
          <w:w w:val="100"/>
        </w:rPr>
      </w:r>
      <w:r>
        <w:rPr/>
        <w:t>的独具特色的用户及流量体系建设。</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自 </w:t>
      </w:r>
      <w:r>
        <w:rPr>
          <w:rFonts w:ascii="宋体" w:hAnsi="宋体" w:cs="宋体" w:eastAsia="宋体" w:hint="default"/>
        </w:rPr>
        <w:t>2008</w:t>
      </w:r>
      <w:r>
        <w:rPr>
          <w:rFonts w:ascii="宋体" w:hAnsi="宋体" w:cs="宋体" w:eastAsia="宋体" w:hint="default"/>
          <w:spacing w:val="-17"/>
        </w:rPr>
        <w:t> </w:t>
      </w:r>
      <w:r>
        <w:rPr/>
        <w:t>年始，公司即通过自建媒体如微博、微信、头条等平台吸引覆盖了千万量级的泛创业者用户</w:t>
      </w:r>
    </w:p>
    <w:p>
      <w:pPr>
        <w:pStyle w:val="BodyText"/>
        <w:spacing w:line="240" w:lineRule="auto" w:before="133"/>
        <w:ind w:right="0"/>
        <w:jc w:val="left"/>
      </w:pPr>
      <w:r>
        <w:rPr>
          <w:spacing w:val="-4"/>
        </w:rPr>
        <w:t>群体。从 </w:t>
      </w:r>
      <w:r>
        <w:rPr>
          <w:rFonts w:ascii="宋体" w:hAnsi="宋体" w:cs="宋体" w:eastAsia="宋体" w:hint="default"/>
        </w:rPr>
        <w:t>2011</w:t>
      </w:r>
      <w:r>
        <w:rPr>
          <w:rFonts w:ascii="宋体" w:hAnsi="宋体" w:cs="宋体" w:eastAsia="宋体" w:hint="default"/>
          <w:spacing w:val="-15"/>
        </w:rPr>
        <w:t> </w:t>
      </w:r>
      <w:r>
        <w:rPr>
          <w:spacing w:val="-5"/>
        </w:rPr>
        <w:t>年起，通过黑马大赛、黑马会、黑马产业大课、黑马大学、马脑等多种服务手段，通过“行</w:t>
      </w:r>
    </w:p>
    <w:p>
      <w:pPr>
        <w:pStyle w:val="BodyText"/>
        <w:spacing w:line="240" w:lineRule="auto" w:before="133"/>
        <w:ind w:right="0"/>
        <w:jc w:val="left"/>
      </w:pPr>
      <w:r>
        <w:rPr>
          <w:w w:val="100"/>
        </w:rPr>
        <w:t>业社群</w:t>
      </w:r>
      <w:r>
        <w:rPr>
          <w:spacing w:val="-106"/>
          <w:w w:val="100"/>
        </w:rPr>
        <w:t>”、</w:t>
      </w:r>
      <w:r>
        <w:rPr>
          <w:spacing w:val="-5"/>
          <w:w w:val="100"/>
        </w:rPr>
        <w:t>“</w:t>
      </w:r>
      <w:r>
        <w:rPr>
          <w:w w:val="100"/>
        </w:rPr>
        <w:t>城市社</w:t>
      </w:r>
      <w:r>
        <w:rPr>
          <w:spacing w:val="-5"/>
          <w:w w:val="100"/>
        </w:rPr>
        <w:t>群</w:t>
      </w:r>
      <w:r>
        <w:rPr>
          <w:w w:val="100"/>
        </w:rPr>
        <w:t>”等多</w:t>
      </w:r>
      <w:r>
        <w:rPr>
          <w:spacing w:val="-5"/>
          <w:w w:val="100"/>
        </w:rPr>
        <w:t>维</w:t>
      </w:r>
      <w:r>
        <w:rPr>
          <w:w w:val="100"/>
        </w:rPr>
        <w:t>度</w:t>
      </w:r>
      <w:r>
        <w:rPr>
          <w:spacing w:val="1"/>
          <w:w w:val="100"/>
        </w:rPr>
        <w:t>多</w:t>
      </w:r>
      <w:r>
        <w:rPr>
          <w:w w:val="100"/>
        </w:rPr>
        <w:t>重</w:t>
      </w:r>
      <w:r>
        <w:rPr>
          <w:spacing w:val="-5"/>
          <w:w w:val="100"/>
        </w:rPr>
        <w:t>用</w:t>
      </w:r>
      <w:r>
        <w:rPr>
          <w:w w:val="100"/>
        </w:rPr>
        <w:t>户关系</w:t>
      </w:r>
      <w:r>
        <w:rPr>
          <w:spacing w:val="-5"/>
          <w:w w:val="100"/>
        </w:rPr>
        <w:t>的</w:t>
      </w:r>
      <w:r>
        <w:rPr>
          <w:w w:val="100"/>
        </w:rPr>
        <w:t>运</w:t>
      </w:r>
      <w:r>
        <w:rPr>
          <w:spacing w:val="-5"/>
          <w:w w:val="100"/>
        </w:rPr>
        <w:t>营</w:t>
      </w:r>
      <w:r>
        <w:rPr>
          <w:w w:val="100"/>
        </w:rPr>
        <w:t>，公司链</w:t>
      </w:r>
      <w:r>
        <w:rPr>
          <w:spacing w:val="-5"/>
          <w:w w:val="100"/>
        </w:rPr>
        <w:t>接</w:t>
      </w:r>
      <w:r>
        <w:rPr>
          <w:w w:val="100"/>
        </w:rPr>
        <w:t>、触达</w:t>
      </w:r>
      <w:r>
        <w:rPr>
          <w:spacing w:val="-5"/>
          <w:w w:val="100"/>
        </w:rPr>
        <w:t>了</w:t>
      </w:r>
      <w:r>
        <w:rPr>
          <w:w w:val="100"/>
        </w:rPr>
        <w:t>数量</w:t>
      </w:r>
      <w:r>
        <w:rPr>
          <w:spacing w:val="-5"/>
          <w:w w:val="100"/>
        </w:rPr>
        <w:t>超</w:t>
      </w:r>
      <w:r>
        <w:rPr>
          <w:w w:val="100"/>
        </w:rPr>
        <w:t>过</w:t>
      </w:r>
      <w:r>
        <w:rPr>
          <w:spacing w:val="-7"/>
        </w:rPr>
        <w:t> </w:t>
      </w:r>
      <w:r>
        <w:rPr>
          <w:rFonts w:ascii="宋体" w:hAnsi="宋体" w:cs="宋体" w:eastAsia="宋体" w:hint="default"/>
          <w:w w:val="100"/>
        </w:rPr>
        <w:t>10</w:t>
      </w:r>
      <w:r>
        <w:rPr>
          <w:rFonts w:ascii="宋体" w:hAnsi="宋体" w:cs="宋体" w:eastAsia="宋体" w:hint="default"/>
          <w:spacing w:val="-14"/>
        </w:rPr>
        <w:t> </w:t>
      </w:r>
      <w:r>
        <w:rPr>
          <w:w w:val="100"/>
        </w:rPr>
        <w:t>万的创</w:t>
      </w:r>
      <w:r>
        <w:rPr>
          <w:spacing w:val="-5"/>
          <w:w w:val="100"/>
        </w:rPr>
        <w:t>始</w:t>
      </w:r>
      <w:r>
        <w:rPr>
          <w:w w:val="100"/>
        </w:rPr>
        <w:t>人群体。</w:t>
      </w:r>
    </w:p>
    <w:p>
      <w:pPr>
        <w:pStyle w:val="BodyText"/>
        <w:spacing w:line="240" w:lineRule="auto" w:before="133"/>
        <w:ind w:right="0"/>
        <w:jc w:val="left"/>
      </w:pPr>
      <w:r>
        <w:rPr>
          <w:w w:val="100"/>
        </w:rPr>
        <w:t>同时</w:t>
      </w:r>
      <w:r>
        <w:rPr>
          <w:spacing w:val="-5"/>
          <w:w w:val="100"/>
        </w:rPr>
        <w:t>，</w:t>
      </w:r>
      <w:r>
        <w:rPr>
          <w:w w:val="100"/>
        </w:rPr>
        <w:t>公司</w:t>
      </w:r>
      <w:r>
        <w:rPr>
          <w:spacing w:val="-5"/>
          <w:w w:val="100"/>
        </w:rPr>
        <w:t>已</w:t>
      </w:r>
      <w:r>
        <w:rPr>
          <w:w w:val="100"/>
        </w:rPr>
        <w:t>在线下</w:t>
      </w:r>
      <w:r>
        <w:rPr>
          <w:spacing w:val="-5"/>
          <w:w w:val="100"/>
        </w:rPr>
        <w:t>累</w:t>
      </w:r>
      <w:r>
        <w:rPr>
          <w:w w:val="100"/>
        </w:rPr>
        <w:t>计超</w:t>
      </w:r>
      <w:r>
        <w:rPr>
          <w:spacing w:val="-52"/>
        </w:rPr>
        <w:t> </w:t>
      </w:r>
      <w:r>
        <w:rPr>
          <w:rFonts w:ascii="宋体" w:hAnsi="宋体" w:cs="宋体" w:eastAsia="宋体" w:hint="default"/>
          <w:w w:val="100"/>
        </w:rPr>
        <w:t>30</w:t>
      </w:r>
      <w:r>
        <w:rPr>
          <w:rFonts w:ascii="宋体" w:hAnsi="宋体" w:cs="宋体" w:eastAsia="宋体" w:hint="default"/>
          <w:spacing w:val="-57"/>
        </w:rPr>
        <w:t> </w:t>
      </w:r>
      <w:r>
        <w:rPr>
          <w:w w:val="100"/>
        </w:rPr>
        <w:t>个地区</w:t>
      </w:r>
      <w:r>
        <w:rPr>
          <w:spacing w:val="-5"/>
          <w:w w:val="100"/>
        </w:rPr>
        <w:t>建有</w:t>
      </w:r>
      <w:r>
        <w:rPr>
          <w:w w:val="100"/>
        </w:rPr>
        <w:t>“黑</w:t>
      </w:r>
      <w:r>
        <w:rPr>
          <w:spacing w:val="-5"/>
          <w:w w:val="100"/>
        </w:rPr>
        <w:t>马城</w:t>
      </w:r>
      <w:r>
        <w:rPr>
          <w:w w:val="100"/>
        </w:rPr>
        <w:t>市学院</w:t>
      </w:r>
      <w:r>
        <w:rPr>
          <w:spacing w:val="-5"/>
          <w:w w:val="100"/>
        </w:rPr>
        <w:t>”或“</w:t>
      </w:r>
      <w:r>
        <w:rPr>
          <w:w w:val="100"/>
        </w:rPr>
        <w:t>黑马城</w:t>
      </w:r>
      <w:r>
        <w:rPr>
          <w:spacing w:val="-5"/>
          <w:w w:val="100"/>
        </w:rPr>
        <w:t>市</w:t>
      </w:r>
      <w:r>
        <w:rPr>
          <w:w w:val="100"/>
        </w:rPr>
        <w:t>创新中</w:t>
      </w:r>
      <w:r>
        <w:rPr>
          <w:spacing w:val="-5"/>
          <w:w w:val="100"/>
        </w:rPr>
        <w:t>心</w:t>
      </w:r>
      <w:r>
        <w:rPr>
          <w:spacing w:val="-106"/>
          <w:w w:val="100"/>
        </w:rPr>
        <w:t>”</w:t>
      </w:r>
      <w:r>
        <w:rPr>
          <w:spacing w:val="-5"/>
          <w:w w:val="100"/>
        </w:rPr>
        <w:t>，</w:t>
      </w:r>
      <w:r>
        <w:rPr>
          <w:w w:val="100"/>
        </w:rPr>
        <w:t>目</w:t>
      </w:r>
      <w:r>
        <w:rPr>
          <w:spacing w:val="-5"/>
          <w:w w:val="100"/>
        </w:rPr>
        <w:t>前</w:t>
      </w:r>
      <w:r>
        <w:rPr>
          <w:w w:val="100"/>
        </w:rPr>
        <w:t>每个城</w:t>
      </w:r>
      <w:r>
        <w:rPr>
          <w:spacing w:val="-5"/>
          <w:w w:val="100"/>
        </w:rPr>
        <w:t>市能</w:t>
      </w:r>
      <w:r>
        <w:rPr>
          <w:w w:val="100"/>
        </w:rPr>
        <w:t>够</w:t>
      </w:r>
    </w:p>
    <w:p>
      <w:pPr>
        <w:pStyle w:val="BodyText"/>
        <w:spacing w:line="494" w:lineRule="auto" w:before="128"/>
        <w:ind w:left="575" w:right="0" w:hanging="423"/>
        <w:jc w:val="left"/>
      </w:pPr>
      <w:r>
        <w:rPr/>
        <w:t>触达约</w:t>
      </w:r>
      <w:r>
        <w:rPr>
          <w:spacing w:val="-53"/>
        </w:rPr>
        <w:t> </w:t>
      </w:r>
      <w:r>
        <w:rPr>
          <w:rFonts w:ascii="宋体" w:hAnsi="宋体" w:cs="宋体" w:eastAsia="宋体" w:hint="default"/>
        </w:rPr>
        <w:t>500</w:t>
      </w:r>
      <w:r>
        <w:rPr>
          <w:rFonts w:ascii="宋体" w:hAnsi="宋体" w:cs="宋体" w:eastAsia="宋体" w:hint="default"/>
          <w:spacing w:val="-57"/>
        </w:rPr>
        <w:t> </w:t>
      </w:r>
      <w:r>
        <w:rPr/>
        <w:t>至</w:t>
      </w:r>
      <w:r>
        <w:rPr>
          <w:spacing w:val="-53"/>
        </w:rPr>
        <w:t> </w:t>
      </w:r>
      <w:r>
        <w:rPr>
          <w:rFonts w:ascii="宋体" w:hAnsi="宋体" w:cs="宋体" w:eastAsia="宋体" w:hint="default"/>
        </w:rPr>
        <w:t>1,000</w:t>
      </w:r>
      <w:r>
        <w:rPr>
          <w:rFonts w:ascii="宋体" w:hAnsi="宋体" w:cs="宋体" w:eastAsia="宋体" w:hint="default"/>
          <w:spacing w:val="-57"/>
        </w:rPr>
        <w:t> </w:t>
      </w:r>
      <w:r>
        <w:rPr/>
        <w:t>家中小企业。</w:t>
      </w:r>
      <w:r>
        <w:rPr>
          <w:spacing w:val="-94"/>
        </w:rPr>
        <w:t> </w:t>
      </w:r>
      <w:r>
        <w:rPr>
          <w:spacing w:val="-94"/>
        </w:rPr>
      </w:r>
      <w:r>
        <w:rPr>
          <w:rFonts w:ascii="宋体" w:hAnsi="宋体" w:cs="宋体" w:eastAsia="宋体" w:hint="default"/>
        </w:rPr>
        <w:t>4</w:t>
      </w:r>
      <w:r>
        <w:rPr/>
        <w:t>、服务线上化、流程标准化、管理数据化的中台建设，为持续提升运营效率及服务质量提供保障</w:t>
      </w:r>
    </w:p>
    <w:p>
      <w:pPr>
        <w:pStyle w:val="BodyText"/>
        <w:spacing w:line="355" w:lineRule="auto" w:before="74"/>
        <w:ind w:right="1117" w:firstLine="422"/>
        <w:jc w:val="both"/>
      </w:pPr>
      <w:r>
        <w:rPr/>
        <w:t>公司自 </w:t>
      </w:r>
      <w:r>
        <w:rPr>
          <w:rFonts w:ascii="宋体" w:hAnsi="宋体" w:cs="宋体" w:eastAsia="宋体" w:hint="default"/>
        </w:rPr>
        <w:t>2016</w:t>
      </w:r>
      <w:r>
        <w:rPr>
          <w:rFonts w:ascii="宋体" w:hAnsi="宋体" w:cs="宋体" w:eastAsia="宋体" w:hint="default"/>
          <w:spacing w:val="-14"/>
        </w:rPr>
        <w:t> </w:t>
      </w:r>
      <w:r>
        <w:rPr/>
        <w:t>年起即组建了具有知名互联网公司背景的技术团队，开发了在线学习服务产品——学吧</w:t>
      </w:r>
      <w:r>
        <w:rPr>
          <w:w w:val="100"/>
        </w:rPr>
        <w:t> </w:t>
      </w:r>
      <w:r>
        <w:rPr>
          <w:rFonts w:ascii="宋体" w:hAnsi="宋体" w:cs="宋体" w:eastAsia="宋体" w:hint="default"/>
          <w:spacing w:val="-11"/>
        </w:rPr>
        <w:t>APP</w:t>
      </w:r>
      <w:r>
        <w:rPr>
          <w:spacing w:val="-11"/>
        </w:rPr>
        <w:t>，并于</w:t>
      </w:r>
      <w:r>
        <w:rPr>
          <w:spacing w:val="-29"/>
        </w:rPr>
        <w:t> </w:t>
      </w:r>
      <w:r>
        <w:rPr>
          <w:rFonts w:ascii="宋体" w:hAnsi="宋体" w:cs="宋体" w:eastAsia="宋体" w:hint="default"/>
        </w:rPr>
        <w:t>2019</w:t>
      </w:r>
      <w:r>
        <w:rPr>
          <w:rFonts w:ascii="宋体" w:hAnsi="宋体" w:cs="宋体" w:eastAsia="宋体" w:hint="default"/>
          <w:spacing w:val="-36"/>
        </w:rPr>
        <w:t> </w:t>
      </w:r>
      <w:r>
        <w:rPr/>
        <w:t>年将其升级为黑马大学</w:t>
      </w:r>
      <w:r>
        <w:rPr>
          <w:spacing w:val="-29"/>
        </w:rPr>
        <w:t> </w:t>
      </w:r>
      <w:r>
        <w:rPr>
          <w:rFonts w:ascii="宋体" w:hAnsi="宋体" w:cs="宋体" w:eastAsia="宋体" w:hint="default"/>
          <w:spacing w:val="-6"/>
        </w:rPr>
        <w:t>APP</w:t>
      </w:r>
      <w:r>
        <w:rPr>
          <w:spacing w:val="-6"/>
        </w:rPr>
        <w:t>。围绕黑马大学在线学习平台，公司已自主开发了集课程交付、</w:t>
      </w:r>
      <w:r>
        <w:rPr>
          <w:spacing w:val="-97"/>
        </w:rPr>
        <w:t> </w:t>
      </w:r>
      <w:r>
        <w:rPr>
          <w:spacing w:val="-97"/>
        </w:rPr>
      </w:r>
      <w:r>
        <w:rPr/>
        <w:t>用户学习、数据管理于一体的中台运营构架，能够持续提升运营效率，降低业务发展的边际成本。</w:t>
      </w:r>
    </w:p>
    <w:p>
      <w:pPr>
        <w:spacing w:after="0" w:line="355"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575" w:right="0"/>
        <w:jc w:val="left"/>
      </w:pPr>
      <w:r>
        <w:rPr/>
        <w:t>（一）经营情况</w:t>
      </w:r>
    </w:p>
    <w:p>
      <w:pPr>
        <w:spacing w:line="240" w:lineRule="auto" w:before="9"/>
        <w:rPr>
          <w:rFonts w:ascii="宋体" w:hAnsi="宋体" w:cs="宋体" w:eastAsia="宋体" w:hint="default"/>
          <w:sz w:val="22"/>
          <w:szCs w:val="22"/>
        </w:rPr>
      </w:pPr>
    </w:p>
    <w:p>
      <w:pPr>
        <w:pStyle w:val="BodyText"/>
        <w:spacing w:line="355" w:lineRule="auto"/>
        <w:ind w:right="1122" w:firstLine="422"/>
        <w:jc w:val="both"/>
      </w:pPr>
      <w:r>
        <w:rPr/>
        <w:t>公司围绕中小企业及创新创业群体的成长需求搭建产业加速服务平台，</w:t>
      </w:r>
      <w:r>
        <w:rPr>
          <w:spacing w:val="-47"/>
        </w:rPr>
        <w:t> </w:t>
      </w:r>
      <w:r>
        <w:rPr>
          <w:rFonts w:ascii="宋体" w:hAnsi="宋体" w:cs="宋体" w:eastAsia="宋体" w:hint="default"/>
        </w:rPr>
        <w:t>2019</w:t>
      </w:r>
      <w:r>
        <w:rPr>
          <w:rFonts w:ascii="宋体" w:hAnsi="宋体" w:cs="宋体" w:eastAsia="宋体" w:hint="default"/>
          <w:spacing w:val="-43"/>
        </w:rPr>
        <w:t> </w:t>
      </w:r>
      <w:r>
        <w:rPr>
          <w:spacing w:val="-13"/>
        </w:rPr>
        <w:t>年实现稳步推进。以“黑</w:t>
      </w:r>
      <w:r>
        <w:rPr>
          <w:w w:val="100"/>
        </w:rPr>
        <w:t> </w:t>
      </w:r>
      <w:r>
        <w:rPr>
          <w:spacing w:val="-2"/>
        </w:rPr>
        <w:t>马实验室”为代表的平台型辅导培训产品实现规模化运营；以“百城计划”为核心的渠道下沉策略，初见</w:t>
      </w:r>
      <w:r>
        <w:rPr>
          <w:spacing w:val="-38"/>
        </w:rPr>
        <w:t> </w:t>
      </w:r>
      <w:r>
        <w:rPr>
          <w:spacing w:val="-38"/>
        </w:rPr>
      </w:r>
      <w:r>
        <w:rPr>
          <w:spacing w:val="-2"/>
          <w:w w:val="100"/>
        </w:rPr>
        <w:t>成效；基于城市产业政策、产业资源，已形成初具规模的“企业严选服务—城市拓展服务”，该业务核心</w:t>
      </w:r>
      <w:r>
        <w:rPr>
          <w:spacing w:val="-97"/>
          <w:w w:val="100"/>
        </w:rPr>
        <w:t> </w:t>
      </w:r>
      <w:r>
        <w:rPr>
          <w:spacing w:val="-97"/>
          <w:w w:val="100"/>
        </w:rPr>
      </w:r>
      <w:r>
        <w:rPr/>
        <w:t>是建立起城市政府、产业园区与中小企业的桥梁，满足城市政府产业升级的服务需求，受益中小企业。</w:t>
      </w:r>
    </w:p>
    <w:p>
      <w:pPr>
        <w:spacing w:line="240" w:lineRule="auto" w:before="8"/>
        <w:rPr>
          <w:rFonts w:ascii="宋体" w:hAnsi="宋体" w:cs="宋体" w:eastAsia="宋体" w:hint="default"/>
          <w:sz w:val="14"/>
          <w:szCs w:val="14"/>
        </w:rPr>
      </w:pPr>
    </w:p>
    <w:p>
      <w:pPr>
        <w:pStyle w:val="BodyText"/>
        <w:spacing w:line="357" w:lineRule="auto"/>
        <w:ind w:right="1122" w:firstLine="422"/>
        <w:jc w:val="both"/>
      </w:pPr>
      <w:r>
        <w:rPr>
          <w:rFonts w:ascii="宋体" w:hAnsi="宋体" w:cs="宋体" w:eastAsia="宋体" w:hint="default"/>
        </w:rPr>
        <w:t>2019</w:t>
      </w:r>
      <w:r>
        <w:rPr>
          <w:rFonts w:ascii="宋体" w:hAnsi="宋体" w:cs="宋体" w:eastAsia="宋体" w:hint="default"/>
          <w:spacing w:val="-31"/>
        </w:rPr>
        <w:t> </w:t>
      </w:r>
      <w:r>
        <w:rPr/>
        <w:t>年度公司核心主业实现稳步增长。</w:t>
      </w:r>
      <w:r>
        <w:rPr>
          <w:rFonts w:ascii="宋体" w:hAnsi="宋体" w:cs="宋体" w:eastAsia="宋体" w:hint="default"/>
        </w:rPr>
        <w:t>2019</w:t>
      </w:r>
      <w:r>
        <w:rPr>
          <w:rFonts w:ascii="宋体" w:hAnsi="宋体" w:cs="宋体" w:eastAsia="宋体" w:hint="default"/>
          <w:spacing w:val="-36"/>
        </w:rPr>
        <w:t> </w:t>
      </w:r>
      <w:r>
        <w:rPr/>
        <w:t>年公司营业总收入为</w:t>
      </w:r>
      <w:r>
        <w:rPr>
          <w:spacing w:val="-31"/>
        </w:rPr>
        <w:t> </w:t>
      </w:r>
      <w:r>
        <w:rPr>
          <w:rFonts w:ascii="宋体" w:hAnsi="宋体" w:cs="宋体" w:eastAsia="宋体" w:hint="default"/>
        </w:rPr>
        <w:t>21,276.07</w:t>
      </w:r>
      <w:r>
        <w:rPr>
          <w:rFonts w:ascii="宋体" w:hAnsi="宋体" w:cs="宋体" w:eastAsia="宋体" w:hint="default"/>
          <w:spacing w:val="-31"/>
        </w:rPr>
        <w:t> </w:t>
      </w:r>
      <w:r>
        <w:rPr/>
        <w:t>万元，剔除广告投放业</w:t>
      </w:r>
      <w:r>
        <w:rPr>
          <w:w w:val="100"/>
        </w:rPr>
        <w:t> </w:t>
      </w:r>
      <w:r>
        <w:rPr/>
        <w:t>务，公司核心业务收入（注</w:t>
      </w:r>
      <w:r>
        <w:rPr>
          <w:spacing w:val="-32"/>
        </w:rPr>
        <w:t> </w:t>
      </w:r>
      <w:r>
        <w:rPr>
          <w:rFonts w:ascii="宋体" w:hAnsi="宋体" w:cs="宋体" w:eastAsia="宋体" w:hint="default"/>
        </w:rPr>
        <w:t>1</w:t>
      </w:r>
      <w:r>
        <w:rPr/>
        <w:t>）较</w:t>
      </w:r>
      <w:r>
        <w:rPr>
          <w:spacing w:val="-33"/>
        </w:rPr>
        <w:t> </w:t>
      </w:r>
      <w:r>
        <w:rPr>
          <w:rFonts w:ascii="宋体" w:hAnsi="宋体" w:cs="宋体" w:eastAsia="宋体" w:hint="default"/>
        </w:rPr>
        <w:t>2018</w:t>
      </w:r>
      <w:r>
        <w:rPr>
          <w:rFonts w:ascii="宋体" w:hAnsi="宋体" w:cs="宋体" w:eastAsia="宋体" w:hint="default"/>
          <w:spacing w:val="-33"/>
        </w:rPr>
        <w:t> </w:t>
      </w:r>
      <w:r>
        <w:rPr/>
        <w:t>年增长</w:t>
      </w:r>
      <w:r>
        <w:rPr>
          <w:spacing w:val="-33"/>
        </w:rPr>
        <w:t> </w:t>
      </w:r>
      <w:r>
        <w:rPr>
          <w:rFonts w:ascii="宋体" w:hAnsi="宋体" w:cs="宋体" w:eastAsia="宋体" w:hint="default"/>
        </w:rPr>
        <w:t>34.49%</w:t>
      </w:r>
      <w:r>
        <w:rPr/>
        <w:t>。随着公司平台化战略的进一步夯实，产品规模化</w:t>
      </w:r>
      <w:r>
        <w:rPr>
          <w:w w:val="100"/>
        </w:rPr>
        <w:t> </w:t>
      </w:r>
      <w:r>
        <w:rPr/>
        <w:t>的边际效应也开始展现，</w:t>
      </w:r>
      <w:r>
        <w:rPr>
          <w:rFonts w:ascii="宋体" w:hAnsi="宋体" w:cs="宋体" w:eastAsia="宋体" w:hint="default"/>
        </w:rPr>
        <w:t>2019</w:t>
      </w:r>
      <w:r>
        <w:rPr>
          <w:rFonts w:ascii="宋体" w:hAnsi="宋体" w:cs="宋体" w:eastAsia="宋体" w:hint="default"/>
          <w:spacing w:val="-31"/>
        </w:rPr>
        <w:t> </w:t>
      </w:r>
      <w:r>
        <w:rPr/>
        <w:t>年核心业务实现毛利</w:t>
      </w:r>
      <w:r>
        <w:rPr>
          <w:spacing w:val="-30"/>
        </w:rPr>
        <w:t> </w:t>
      </w:r>
      <w:r>
        <w:rPr>
          <w:rFonts w:ascii="宋体" w:hAnsi="宋体" w:cs="宋体" w:eastAsia="宋体" w:hint="default"/>
        </w:rPr>
        <w:t>11,959.53</w:t>
      </w:r>
      <w:r>
        <w:rPr>
          <w:rFonts w:ascii="宋体" w:hAnsi="宋体" w:cs="宋体" w:eastAsia="宋体" w:hint="default"/>
          <w:spacing w:val="-31"/>
        </w:rPr>
        <w:t> </w:t>
      </w:r>
      <w:r>
        <w:rPr/>
        <w:t>万元，较上年增长</w:t>
      </w:r>
      <w:r>
        <w:rPr>
          <w:spacing w:val="-30"/>
        </w:rPr>
        <w:t> </w:t>
      </w:r>
      <w:r>
        <w:rPr>
          <w:rFonts w:ascii="宋体" w:hAnsi="宋体" w:cs="宋体" w:eastAsia="宋体" w:hint="default"/>
        </w:rPr>
        <w:t>50.36%</w:t>
      </w:r>
      <w:r>
        <w:rPr/>
        <w:t>。公司核心业务</w:t>
      </w:r>
      <w:r>
        <w:rPr>
          <w:w w:val="100"/>
        </w:rPr>
        <w:t> </w:t>
      </w:r>
      <w:r>
        <w:rPr/>
        <w:t>实现规模化并带来收益提升，</w:t>
      </w:r>
      <w:r>
        <w:rPr>
          <w:rFonts w:ascii="宋体" w:hAnsi="宋体" w:cs="宋体" w:eastAsia="宋体" w:hint="default"/>
        </w:rPr>
        <w:t>2019</w:t>
      </w:r>
      <w:r>
        <w:rPr>
          <w:rFonts w:ascii="宋体" w:hAnsi="宋体" w:cs="宋体" w:eastAsia="宋体" w:hint="default"/>
          <w:spacing w:val="-43"/>
        </w:rPr>
        <w:t> </w:t>
      </w:r>
      <w:r>
        <w:rPr/>
        <w:t>年实现归属于上市公司股东的净利润</w:t>
      </w:r>
      <w:r>
        <w:rPr>
          <w:spacing w:val="-41"/>
        </w:rPr>
        <w:t> </w:t>
      </w:r>
      <w:r>
        <w:rPr>
          <w:rFonts w:ascii="宋体" w:hAnsi="宋体" w:cs="宋体" w:eastAsia="宋体" w:hint="default"/>
        </w:rPr>
        <w:t>1,634.16</w:t>
      </w:r>
      <w:r>
        <w:rPr>
          <w:rFonts w:ascii="宋体" w:hAnsi="宋体" w:cs="宋体" w:eastAsia="宋体" w:hint="default"/>
          <w:spacing w:val="-42"/>
        </w:rPr>
        <w:t> </w:t>
      </w:r>
      <w:r>
        <w:rPr/>
        <w:t>万元，较上年同期增长</w:t>
      </w:r>
      <w:r>
        <w:rPr>
          <w:w w:val="100"/>
        </w:rPr>
        <w:t> </w:t>
      </w:r>
      <w:r>
        <w:rPr>
          <w:rFonts w:ascii="宋体" w:hAnsi="宋体" w:cs="宋体" w:eastAsia="宋体" w:hint="default"/>
        </w:rPr>
        <w:t>21.55%</w:t>
      </w:r>
      <w:r>
        <w:rPr/>
        <w:t>。</w:t>
      </w:r>
    </w:p>
    <w:p>
      <w:pPr>
        <w:spacing w:line="240" w:lineRule="auto" w:before="5"/>
        <w:rPr>
          <w:rFonts w:ascii="宋体" w:hAnsi="宋体" w:cs="宋体" w:eastAsia="宋体" w:hint="default"/>
          <w:sz w:val="14"/>
          <w:szCs w:val="14"/>
        </w:rPr>
      </w:pPr>
    </w:p>
    <w:p>
      <w:pPr>
        <w:pStyle w:val="BodyText"/>
        <w:spacing w:line="357" w:lineRule="auto"/>
        <w:ind w:right="1122" w:firstLine="422"/>
        <w:jc w:val="both"/>
      </w:pPr>
      <w:r>
        <w:rPr>
          <w:spacing w:val="-7"/>
          <w:w w:val="100"/>
        </w:rPr>
        <w:t>为促进公司平台化核心能力建设，公司持续在技术研发上进行投入，</w:t>
      </w:r>
      <w:r>
        <w:rPr>
          <w:rFonts w:ascii="宋体" w:hAnsi="宋体" w:cs="宋体" w:eastAsia="宋体" w:hint="default"/>
          <w:spacing w:val="-7"/>
          <w:w w:val="100"/>
        </w:rPr>
        <w:t>2019</w:t>
      </w:r>
      <w:r>
        <w:rPr>
          <w:rFonts w:ascii="宋体" w:hAnsi="宋体" w:cs="宋体" w:eastAsia="宋体" w:hint="default"/>
          <w:spacing w:val="-46"/>
          <w:w w:val="100"/>
        </w:rPr>
        <w:t> </w:t>
      </w:r>
      <w:r>
        <w:rPr>
          <w:spacing w:val="-2"/>
          <w:w w:val="100"/>
        </w:rPr>
        <w:t>年研发费用为</w:t>
      </w:r>
      <w:r>
        <w:rPr>
          <w:spacing w:val="-45"/>
          <w:w w:val="100"/>
        </w:rPr>
        <w:t> </w:t>
      </w:r>
      <w:r>
        <w:rPr>
          <w:rFonts w:ascii="宋体" w:hAnsi="宋体" w:cs="宋体" w:eastAsia="宋体" w:hint="default"/>
          <w:spacing w:val="-1"/>
          <w:w w:val="100"/>
        </w:rPr>
        <w:t>890.22</w:t>
      </w:r>
      <w:r>
        <w:rPr>
          <w:rFonts w:ascii="宋体" w:hAnsi="宋体" w:cs="宋体" w:eastAsia="宋体" w:hint="default"/>
          <w:spacing w:val="-46"/>
          <w:w w:val="100"/>
        </w:rPr>
        <w:t> </w:t>
      </w:r>
      <w:r>
        <w:rPr>
          <w:w w:val="100"/>
        </w:rPr>
        <w:t>万元。 </w:t>
      </w:r>
      <w:r>
        <w:rPr>
          <w:spacing w:val="-2"/>
        </w:rPr>
        <w:t>为进一步开拓市场加强在目标用户中的影响力，吸引行业内核心人才，公司持续增加销售费用及管理费用</w:t>
      </w:r>
      <w:r>
        <w:rPr>
          <w:spacing w:val="-33"/>
        </w:rPr>
        <w:t> </w:t>
      </w:r>
      <w:r>
        <w:rPr>
          <w:spacing w:val="-33"/>
        </w:rPr>
      </w:r>
      <w:r>
        <w:rPr>
          <w:spacing w:val="-14"/>
          <w:w w:val="100"/>
        </w:rPr>
        <w:t>的投入。</w:t>
      </w:r>
      <w:r>
        <w:rPr>
          <w:rFonts w:ascii="宋体" w:hAnsi="宋体" w:cs="宋体" w:eastAsia="宋体" w:hint="default"/>
          <w:spacing w:val="-14"/>
          <w:w w:val="100"/>
        </w:rPr>
        <w:t>2019</w:t>
      </w:r>
      <w:r>
        <w:rPr>
          <w:rFonts w:ascii="宋体" w:hAnsi="宋体" w:cs="宋体" w:eastAsia="宋体" w:hint="default"/>
          <w:spacing w:val="-75"/>
          <w:w w:val="100"/>
        </w:rPr>
        <w:t> </w:t>
      </w:r>
      <w:r>
        <w:rPr>
          <w:spacing w:val="-2"/>
          <w:w w:val="100"/>
        </w:rPr>
        <w:t>年销售费用</w:t>
      </w:r>
      <w:r>
        <w:rPr>
          <w:spacing w:val="-75"/>
          <w:w w:val="100"/>
        </w:rPr>
        <w:t> </w:t>
      </w:r>
      <w:r>
        <w:rPr>
          <w:rFonts w:ascii="宋体" w:hAnsi="宋体" w:cs="宋体" w:eastAsia="宋体" w:hint="default"/>
          <w:spacing w:val="-1"/>
          <w:w w:val="100"/>
        </w:rPr>
        <w:t>4,358.07</w:t>
      </w:r>
      <w:r>
        <w:rPr>
          <w:rFonts w:ascii="宋体" w:hAnsi="宋体" w:cs="宋体" w:eastAsia="宋体" w:hint="default"/>
          <w:spacing w:val="-76"/>
          <w:w w:val="100"/>
        </w:rPr>
        <w:t> </w:t>
      </w:r>
      <w:r>
        <w:rPr>
          <w:spacing w:val="-17"/>
          <w:w w:val="100"/>
        </w:rPr>
        <w:t>万元，同比增长</w:t>
      </w:r>
      <w:r>
        <w:rPr>
          <w:spacing w:val="-75"/>
          <w:w w:val="100"/>
        </w:rPr>
        <w:t> </w:t>
      </w:r>
      <w:r>
        <w:rPr>
          <w:rFonts w:ascii="宋体" w:hAnsi="宋体" w:cs="宋体" w:eastAsia="宋体" w:hint="default"/>
          <w:spacing w:val="-15"/>
          <w:w w:val="100"/>
        </w:rPr>
        <w:t>26%</w:t>
      </w:r>
      <w:r>
        <w:rPr>
          <w:spacing w:val="-15"/>
          <w:w w:val="100"/>
        </w:rPr>
        <w:t>；管理费用</w:t>
      </w:r>
      <w:r>
        <w:rPr>
          <w:spacing w:val="-75"/>
          <w:w w:val="100"/>
        </w:rPr>
        <w:t> </w:t>
      </w:r>
      <w:r>
        <w:rPr>
          <w:rFonts w:ascii="宋体" w:hAnsi="宋体" w:cs="宋体" w:eastAsia="宋体" w:hint="default"/>
          <w:spacing w:val="-1"/>
          <w:w w:val="100"/>
        </w:rPr>
        <w:t>4,980.71</w:t>
      </w:r>
      <w:r>
        <w:rPr>
          <w:rFonts w:ascii="宋体" w:hAnsi="宋体" w:cs="宋体" w:eastAsia="宋体" w:hint="default"/>
          <w:spacing w:val="-76"/>
          <w:w w:val="100"/>
        </w:rPr>
        <w:t> </w:t>
      </w:r>
      <w:r>
        <w:rPr>
          <w:spacing w:val="-11"/>
          <w:w w:val="100"/>
        </w:rPr>
        <w:t>万元，同比上年同期增长</w:t>
      </w:r>
      <w:r>
        <w:rPr>
          <w:spacing w:val="-75"/>
          <w:w w:val="100"/>
        </w:rPr>
        <w:t> </w:t>
      </w:r>
      <w:r>
        <w:rPr>
          <w:rFonts w:ascii="宋体" w:hAnsi="宋体" w:cs="宋体" w:eastAsia="宋体" w:hint="default"/>
          <w:spacing w:val="-1"/>
          <w:w w:val="100"/>
        </w:rPr>
        <w:t>7.12%</w:t>
      </w:r>
      <w:r>
        <w:rPr>
          <w:spacing w:val="-1"/>
          <w:w w:val="100"/>
        </w:rPr>
        <w:t>，</w:t>
      </w:r>
      <w:r>
        <w:rPr>
          <w:w w:val="100"/>
        </w:rPr>
        <w:t> </w:t>
      </w:r>
      <w:r>
        <w:rPr>
          <w:rFonts w:ascii="宋体" w:hAnsi="宋体" w:cs="宋体" w:eastAsia="宋体" w:hint="default"/>
        </w:rPr>
        <w:t>2019</w:t>
      </w:r>
      <w:r>
        <w:rPr>
          <w:rFonts w:ascii="宋体" w:hAnsi="宋体" w:cs="宋体" w:eastAsia="宋体" w:hint="default"/>
          <w:spacing w:val="-48"/>
        </w:rPr>
        <w:t> </w:t>
      </w:r>
      <w:r>
        <w:rPr/>
        <w:t>年制定实施了股权激励，完成了期权授予。</w:t>
      </w:r>
    </w:p>
    <w:p>
      <w:pPr>
        <w:spacing w:line="240" w:lineRule="auto" w:before="5"/>
        <w:rPr>
          <w:rFonts w:ascii="宋体" w:hAnsi="宋体" w:cs="宋体" w:eastAsia="宋体" w:hint="default"/>
          <w:sz w:val="14"/>
          <w:szCs w:val="14"/>
        </w:rPr>
      </w:pPr>
    </w:p>
    <w:p>
      <w:pPr>
        <w:pStyle w:val="BodyText"/>
        <w:spacing w:line="355" w:lineRule="auto"/>
        <w:ind w:right="1120" w:firstLine="422"/>
        <w:jc w:val="both"/>
      </w:pPr>
      <w:r>
        <w:rPr/>
        <w:t>注</w:t>
      </w:r>
      <w:r>
        <w:rPr>
          <w:spacing w:val="-18"/>
        </w:rPr>
        <w:t> </w:t>
      </w:r>
      <w:r>
        <w:rPr>
          <w:rFonts w:ascii="宋体" w:hAnsi="宋体" w:cs="宋体" w:eastAsia="宋体" w:hint="default"/>
        </w:rPr>
        <w:t>1</w:t>
      </w:r>
      <w:r>
        <w:rPr/>
        <w:t>：在本报告期内，公司注重于业务毛利率提升，收缩了低毛利的第三方媒体广告业务。公司剔除</w:t>
      </w:r>
      <w:r>
        <w:rPr>
          <w:w w:val="100"/>
        </w:rPr>
        <w:t> </w:t>
      </w:r>
      <w:r>
        <w:rPr/>
        <w:t>广告投放业务的核心业务收入及毛利如下：</w:t>
      </w:r>
    </w:p>
    <w:p>
      <w:pPr>
        <w:spacing w:line="240" w:lineRule="auto" w:before="5"/>
        <w:rPr>
          <w:rFonts w:ascii="宋体" w:hAnsi="宋体" w:cs="宋体" w:eastAsia="宋体" w:hint="default"/>
          <w:sz w:val="18"/>
          <w:szCs w:val="18"/>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311" w:type="dxa"/>
        <w:tblLayout w:type="fixed"/>
        <w:tblCellMar>
          <w:top w:w="0" w:type="dxa"/>
          <w:left w:w="0" w:type="dxa"/>
          <w:bottom w:w="0" w:type="dxa"/>
          <w:right w:w="0" w:type="dxa"/>
        </w:tblCellMar>
        <w:tblLook w:val="01E0"/>
      </w:tblPr>
      <w:tblGrid>
        <w:gridCol w:w="1604"/>
        <w:gridCol w:w="1028"/>
        <w:gridCol w:w="937"/>
        <w:gridCol w:w="1028"/>
        <w:gridCol w:w="974"/>
        <w:gridCol w:w="1028"/>
        <w:gridCol w:w="1023"/>
        <w:gridCol w:w="936"/>
        <w:gridCol w:w="758"/>
      </w:tblGrid>
      <w:tr>
        <w:trPr>
          <w:trHeight w:val="398" w:hRule="exact"/>
        </w:trPr>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3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7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r>
      <w:tr>
        <w:trPr>
          <w:trHeight w:val="398" w:hRule="exact"/>
        </w:trPr>
        <w:tc>
          <w:tcPr>
            <w:tcW w:w="1604" w:type="dxa"/>
            <w:vMerge/>
            <w:tcBorders>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2"/>
              <w:jc w:val="right"/>
              <w:rPr>
                <w:rFonts w:ascii="宋体" w:hAnsi="宋体" w:cs="宋体" w:eastAsia="宋体" w:hint="default"/>
                <w:sz w:val="18"/>
                <w:szCs w:val="18"/>
              </w:rPr>
            </w:pPr>
            <w:r>
              <w:rPr>
                <w:rFonts w:ascii="宋体" w:hAnsi="宋体" w:cs="宋体" w:eastAsia="宋体" w:hint="default"/>
                <w:spacing w:val="-2"/>
                <w:sz w:val="18"/>
                <w:szCs w:val="18"/>
              </w:rPr>
              <w:t>营业收入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hAnsi="宋体" w:cs="宋体" w:eastAsia="宋体" w:hint="default"/>
                <w:spacing w:val="-2"/>
                <w:sz w:val="18"/>
                <w:szCs w:val="18"/>
              </w:rPr>
              <w:t>营业成本</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毛利</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毛利</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pacing w:val="-2"/>
                <w:sz w:val="18"/>
                <w:szCs w:val="18"/>
              </w:rPr>
              <w:t>毛利率</w:t>
            </w:r>
          </w:p>
        </w:tc>
      </w:tr>
      <w:tr>
        <w:trPr>
          <w:trHeight w:val="39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21,276.07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9,463.61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11,812.46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right"/>
              <w:rPr>
                <w:rFonts w:ascii="宋体" w:hAnsi="宋体" w:cs="宋体" w:eastAsia="宋体" w:hint="default"/>
                <w:sz w:val="18"/>
                <w:szCs w:val="18"/>
              </w:rPr>
            </w:pPr>
            <w:r>
              <w:rPr>
                <w:rFonts w:ascii="宋体"/>
                <w:spacing w:val="-1"/>
                <w:sz w:val="18"/>
              </w:rPr>
              <w:t>55.52%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宋体"/>
                <w:sz w:val="18"/>
              </w:rPr>
              <w:t>33,497.91</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sz w:val="18"/>
              </w:rPr>
              <w:t>25,073.97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8,423.94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right"/>
              <w:rPr>
                <w:rFonts w:ascii="宋体" w:hAnsi="宋体" w:cs="宋体" w:eastAsia="宋体" w:hint="default"/>
                <w:sz w:val="18"/>
                <w:szCs w:val="18"/>
              </w:rPr>
            </w:pPr>
            <w:r>
              <w:rPr>
                <w:rFonts w:ascii="宋体"/>
                <w:spacing w:val="-1"/>
                <w:sz w:val="18"/>
              </w:rPr>
              <w:t>25.15%</w:t>
            </w:r>
          </w:p>
        </w:tc>
      </w:tr>
      <w:tr>
        <w:trPr>
          <w:trHeight w:val="39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02" w:right="0"/>
              <w:jc w:val="left"/>
              <w:rPr>
                <w:rFonts w:ascii="宋体" w:hAnsi="宋体" w:cs="宋体" w:eastAsia="宋体" w:hint="default"/>
                <w:sz w:val="18"/>
                <w:szCs w:val="18"/>
              </w:rPr>
            </w:pPr>
            <w:r>
              <w:rPr>
                <w:rFonts w:ascii="宋体" w:hAnsi="宋体" w:cs="宋体" w:eastAsia="宋体" w:hint="default"/>
                <w:sz w:val="18"/>
                <w:szCs w:val="18"/>
              </w:rPr>
              <w:t>减：广告业务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3"/>
              <w:jc w:val="right"/>
              <w:rPr>
                <w:rFonts w:ascii="宋体" w:hAnsi="宋体" w:cs="宋体" w:eastAsia="宋体" w:hint="default"/>
                <w:sz w:val="18"/>
                <w:szCs w:val="18"/>
              </w:rPr>
            </w:pPr>
            <w:r>
              <w:rPr>
                <w:rFonts w:ascii="宋体"/>
                <w:spacing w:val="-1"/>
                <w:sz w:val="18"/>
              </w:rPr>
              <w:t>129.06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4"/>
              <w:jc w:val="right"/>
              <w:rPr>
                <w:rFonts w:ascii="宋体" w:hAnsi="宋体" w:cs="宋体" w:eastAsia="宋体" w:hint="default"/>
                <w:sz w:val="18"/>
                <w:szCs w:val="18"/>
              </w:rPr>
            </w:pPr>
            <w:r>
              <w:rPr>
                <w:rFonts w:ascii="宋体"/>
                <w:spacing w:val="-1"/>
                <w:sz w:val="18"/>
              </w:rPr>
              <w:t>276.14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4"/>
              <w:jc w:val="right"/>
              <w:rPr>
                <w:rFonts w:ascii="宋体" w:hAnsi="宋体" w:cs="宋体" w:eastAsia="宋体" w:hint="default"/>
                <w:sz w:val="18"/>
                <w:szCs w:val="18"/>
              </w:rPr>
            </w:pPr>
            <w:r>
              <w:rPr>
                <w:rFonts w:ascii="宋体"/>
                <w:spacing w:val="-1"/>
                <w:sz w:val="18"/>
              </w:rPr>
              <w:t>-147.08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3"/>
              <w:jc w:val="right"/>
              <w:rPr>
                <w:rFonts w:ascii="宋体" w:hAnsi="宋体" w:cs="宋体" w:eastAsia="宋体" w:hint="default"/>
                <w:sz w:val="18"/>
                <w:szCs w:val="18"/>
              </w:rPr>
            </w:pPr>
            <w:r>
              <w:rPr>
                <w:rFonts w:ascii="宋体"/>
                <w:spacing w:val="-1"/>
                <w:sz w:val="18"/>
              </w:rPr>
              <w:t>-113.96%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6" w:right="0"/>
              <w:jc w:val="left"/>
              <w:rPr>
                <w:rFonts w:ascii="宋体" w:hAnsi="宋体" w:cs="宋体" w:eastAsia="宋体" w:hint="default"/>
                <w:sz w:val="18"/>
                <w:szCs w:val="18"/>
              </w:rPr>
            </w:pPr>
            <w:r>
              <w:rPr>
                <w:rFonts w:ascii="宋体"/>
                <w:sz w:val="18"/>
              </w:rPr>
              <w:t>17,774.56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宋体" w:hAnsi="宋体" w:cs="宋体" w:eastAsia="宋体" w:hint="default"/>
                <w:sz w:val="18"/>
                <w:szCs w:val="18"/>
              </w:rPr>
            </w:pPr>
            <w:r>
              <w:rPr>
                <w:rFonts w:ascii="宋体"/>
                <w:sz w:val="18"/>
              </w:rPr>
              <w:t>17,304.51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4"/>
              <w:jc w:val="right"/>
              <w:rPr>
                <w:rFonts w:ascii="宋体" w:hAnsi="宋体" w:cs="宋体" w:eastAsia="宋体" w:hint="default"/>
                <w:sz w:val="18"/>
                <w:szCs w:val="18"/>
              </w:rPr>
            </w:pPr>
            <w:r>
              <w:rPr>
                <w:rFonts w:ascii="宋体"/>
                <w:spacing w:val="-1"/>
                <w:sz w:val="18"/>
              </w:rPr>
              <w:t>470.05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2.64%</w:t>
            </w:r>
          </w:p>
        </w:tc>
      </w:tr>
      <w:tr>
        <w:trPr>
          <w:trHeight w:val="39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核心业务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21,147.01</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9,187.47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11,959.53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right"/>
              <w:rPr>
                <w:rFonts w:ascii="宋体" w:hAnsi="宋体" w:cs="宋体" w:eastAsia="宋体" w:hint="default"/>
                <w:sz w:val="18"/>
                <w:szCs w:val="18"/>
              </w:rPr>
            </w:pPr>
            <w:r>
              <w:rPr>
                <w:rFonts w:ascii="宋体"/>
                <w:spacing w:val="-1"/>
                <w:sz w:val="18"/>
              </w:rPr>
              <w:t>56.55%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宋体"/>
                <w:sz w:val="18"/>
              </w:rPr>
              <w:t>15,723.35</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center"/>
              <w:rPr>
                <w:rFonts w:ascii="宋体" w:hAnsi="宋体" w:cs="宋体" w:eastAsia="宋体" w:hint="default"/>
                <w:sz w:val="18"/>
                <w:szCs w:val="18"/>
              </w:rPr>
            </w:pPr>
            <w:r>
              <w:rPr>
                <w:rFonts w:ascii="宋体"/>
                <w:sz w:val="18"/>
              </w:rPr>
              <w:t>7,769.46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宋体" w:hAnsi="宋体" w:cs="宋体" w:eastAsia="宋体" w:hint="default"/>
                <w:sz w:val="18"/>
                <w:szCs w:val="18"/>
              </w:rPr>
            </w:pPr>
            <w:r>
              <w:rPr>
                <w:rFonts w:ascii="宋体"/>
                <w:spacing w:val="-1"/>
                <w:sz w:val="18"/>
              </w:rPr>
              <w:t>7,953.89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
              <w:jc w:val="right"/>
              <w:rPr>
                <w:rFonts w:ascii="宋体" w:hAnsi="宋体" w:cs="宋体" w:eastAsia="宋体" w:hint="default"/>
                <w:sz w:val="18"/>
                <w:szCs w:val="18"/>
              </w:rPr>
            </w:pPr>
            <w:r>
              <w:rPr>
                <w:rFonts w:ascii="宋体"/>
                <w:spacing w:val="-1"/>
                <w:sz w:val="18"/>
              </w:rPr>
              <w:t>50.59%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91" w:lineRule="auto" w:before="36"/>
        <w:ind w:left="575" w:right="4612"/>
        <w:jc w:val="left"/>
      </w:pPr>
      <w:r>
        <w:rPr/>
        <w:t>（二）主营业务情况</w:t>
      </w:r>
      <w:r>
        <w:rPr>
          <w:spacing w:val="-100"/>
        </w:rPr>
        <w:t> </w:t>
      </w:r>
      <w:r>
        <w:rPr>
          <w:spacing w:val="-100"/>
        </w:rPr>
      </w:r>
      <w:r>
        <w:rPr>
          <w:rFonts w:ascii="宋体" w:hAnsi="宋体" w:cs="宋体" w:eastAsia="宋体" w:hint="default"/>
          <w:spacing w:val="-2"/>
        </w:rPr>
        <w:t>1</w:t>
      </w:r>
      <w:r>
        <w:rPr>
          <w:spacing w:val="-2"/>
        </w:rPr>
        <w:t>、黑马实验室切入，跑通培训业务平台模型，打开增长空间</w:t>
      </w:r>
    </w:p>
    <w:p>
      <w:pPr>
        <w:spacing w:after="0" w:line="491" w:lineRule="auto"/>
        <w:jc w:val="left"/>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2" w:lineRule="auto" w:before="36"/>
        <w:ind w:right="1012" w:firstLine="422"/>
        <w:jc w:val="left"/>
      </w:pPr>
      <w:r>
        <w:rPr/>
        <w:t>本报告期培训辅导业务收入为</w:t>
      </w:r>
      <w:r>
        <w:rPr>
          <w:spacing w:val="-31"/>
        </w:rPr>
        <w:t> </w:t>
      </w:r>
      <w:r>
        <w:rPr>
          <w:rFonts w:ascii="宋体" w:hAnsi="宋体" w:cs="宋体" w:eastAsia="宋体" w:hint="default"/>
        </w:rPr>
        <w:t>13,908.69</w:t>
      </w:r>
      <w:r>
        <w:rPr>
          <w:rFonts w:ascii="宋体" w:hAnsi="宋体" w:cs="宋体" w:eastAsia="宋体" w:hint="default"/>
          <w:spacing w:val="-32"/>
        </w:rPr>
        <w:t> </w:t>
      </w:r>
      <w:r>
        <w:rPr/>
        <w:t>万元，较上年增长</w:t>
      </w:r>
      <w:r>
        <w:rPr>
          <w:spacing w:val="-32"/>
        </w:rPr>
        <w:t> </w:t>
      </w:r>
      <w:r>
        <w:rPr>
          <w:rFonts w:ascii="宋体" w:hAnsi="宋体" w:cs="宋体" w:eastAsia="宋体" w:hint="default"/>
        </w:rPr>
        <w:t>28.20%</w:t>
      </w:r>
      <w:r>
        <w:rPr/>
        <w:t>，占营业收入比重</w:t>
      </w:r>
      <w:r>
        <w:rPr>
          <w:spacing w:val="-31"/>
        </w:rPr>
        <w:t> </w:t>
      </w:r>
      <w:r>
        <w:rPr>
          <w:rFonts w:ascii="宋体" w:hAnsi="宋体" w:cs="宋体" w:eastAsia="宋体" w:hint="default"/>
        </w:rPr>
        <w:t>65.37%</w:t>
      </w:r>
      <w:r>
        <w:rPr/>
        <w:t>。其中</w:t>
      </w:r>
      <w:r>
        <w:rPr>
          <w:w w:val="100"/>
        </w:rPr>
        <w:t> </w:t>
      </w:r>
      <w:r>
        <w:rPr/>
        <w:t>黑马实验室产品成培训辅导业务的主力产品，该产品实现收入</w:t>
      </w:r>
      <w:r>
        <w:rPr>
          <w:spacing w:val="-43"/>
        </w:rPr>
        <w:t> </w:t>
      </w:r>
      <w:r>
        <w:rPr>
          <w:rFonts w:ascii="宋体" w:hAnsi="宋体" w:cs="宋体" w:eastAsia="宋体" w:hint="default"/>
        </w:rPr>
        <w:t>5,626.89</w:t>
      </w:r>
      <w:r>
        <w:rPr>
          <w:rFonts w:ascii="宋体" w:hAnsi="宋体" w:cs="宋体" w:eastAsia="宋体" w:hint="default"/>
          <w:spacing w:val="-44"/>
        </w:rPr>
        <w:t> </w:t>
      </w:r>
      <w:r>
        <w:rPr/>
        <w:t>万元，较上年同期增长</w:t>
      </w:r>
      <w:r>
        <w:rPr>
          <w:spacing w:val="-44"/>
        </w:rPr>
        <w:t> </w:t>
      </w:r>
      <w:r>
        <w:rPr>
          <w:rFonts w:ascii="宋体" w:hAnsi="宋体" w:cs="宋体" w:eastAsia="宋体" w:hint="default"/>
        </w:rPr>
        <w:t>109.35%</w:t>
      </w:r>
      <w:r>
        <w:rPr/>
        <w:t>。</w:t>
      </w:r>
    </w:p>
    <w:p>
      <w:pPr>
        <w:spacing w:line="240" w:lineRule="auto" w:before="2"/>
        <w:rPr>
          <w:rFonts w:ascii="宋体" w:hAnsi="宋体" w:cs="宋体" w:eastAsia="宋体" w:hint="default"/>
          <w:sz w:val="15"/>
          <w:szCs w:val="15"/>
        </w:rPr>
      </w:pPr>
    </w:p>
    <w:p>
      <w:pPr>
        <w:pStyle w:val="BodyText"/>
        <w:spacing w:line="352" w:lineRule="auto"/>
        <w:ind w:right="1123" w:firstLine="422"/>
        <w:jc w:val="both"/>
      </w:pPr>
      <w:r>
        <w:rPr/>
        <w:t>黑马实验室通过赋能在特定领域有深刻认知的导师，梳理其 </w:t>
      </w:r>
      <w:r>
        <w:rPr>
          <w:rFonts w:ascii="宋体" w:hAnsi="宋体" w:cs="宋体" w:eastAsia="宋体" w:hint="default"/>
          <w:spacing w:val="-3"/>
        </w:rPr>
        <w:t>IP</w:t>
      </w:r>
      <w:r>
        <w:rPr>
          <w:rFonts w:ascii="宋体" w:hAnsi="宋体" w:cs="宋体" w:eastAsia="宋体" w:hint="default"/>
          <w:spacing w:val="-14"/>
        </w:rPr>
        <w:t> </w:t>
      </w:r>
      <w:r>
        <w:rPr/>
        <w:t>化的核心要素；再通过媒体包装将导</w:t>
      </w:r>
      <w:r>
        <w:rPr>
          <w:w w:val="100"/>
        </w:rPr>
        <w:t> </w:t>
      </w:r>
      <w:r>
        <w:rPr/>
        <w:t>师的核心要素完成标签化，最后匹配相应学员，完成培训辅导服务。</w:t>
      </w:r>
    </w:p>
    <w:p>
      <w:pPr>
        <w:spacing w:line="240" w:lineRule="auto" w:before="10"/>
        <w:rPr>
          <w:rFonts w:ascii="宋体" w:hAnsi="宋体" w:cs="宋体" w:eastAsia="宋体" w:hint="default"/>
          <w:sz w:val="14"/>
          <w:szCs w:val="14"/>
        </w:rPr>
      </w:pPr>
    </w:p>
    <w:p>
      <w:pPr>
        <w:pStyle w:val="BodyText"/>
        <w:spacing w:line="357" w:lineRule="auto"/>
        <w:ind w:right="1122" w:firstLine="422"/>
        <w:jc w:val="both"/>
      </w:pPr>
      <w:r>
        <w:rPr>
          <w:spacing w:val="-2"/>
        </w:rPr>
        <w:t>从产品端，提升了导师的供给能力和参与度，丰富了产品品类和服务能力；从用户端，打开了更大的</w:t>
      </w:r>
      <w:r>
        <w:rPr>
          <w:w w:val="100"/>
        </w:rPr>
        <w:t> </w:t>
      </w:r>
      <w:r>
        <w:rPr>
          <w:spacing w:val="-19"/>
          <w:w w:val="100"/>
        </w:rPr>
        <w:t>市场空间，既能满足不同阶段企业的学习成长需求如“创业企业”、“一亿中流”、“独角兽”、“上市公司”，</w:t>
      </w:r>
      <w:r>
        <w:rPr>
          <w:spacing w:val="-79"/>
          <w:w w:val="100"/>
        </w:rPr>
        <w:t> </w:t>
      </w:r>
      <w:r>
        <w:rPr>
          <w:spacing w:val="-79"/>
          <w:w w:val="100"/>
        </w:rPr>
      </w:r>
      <w:r>
        <w:rPr>
          <w:spacing w:val="-2"/>
        </w:rPr>
        <w:t>又可以一站式解决企业的全方面问题。如针对不同阶段不同规模的需求已开设的“嘉御基金卫哲－组织效</w:t>
      </w:r>
      <w:r>
        <w:rPr>
          <w:spacing w:val="-30"/>
        </w:rPr>
        <w:t> </w:t>
      </w:r>
      <w:r>
        <w:rPr>
          <w:spacing w:val="-30"/>
        </w:rPr>
      </w:r>
      <w:r>
        <w:rPr>
          <w:spacing w:val="-15"/>
          <w:w w:val="100"/>
        </w:rPr>
        <w:t>率实验室”、“特劳特战略定位－黑马实验室”、“小罐茶杜国楹—产品倒做实验室”、“达晨财智—产业升级</w:t>
      </w:r>
      <w:r>
        <w:rPr>
          <w:spacing w:val="-79"/>
          <w:w w:val="100"/>
        </w:rPr>
        <w:t> </w:t>
      </w:r>
      <w:r>
        <w:rPr>
          <w:spacing w:val="-79"/>
          <w:w w:val="100"/>
        </w:rPr>
      </w:r>
      <w:r>
        <w:rPr/>
        <w:t>实验室”等。</w:t>
      </w:r>
    </w:p>
    <w:p>
      <w:pPr>
        <w:spacing w:line="240" w:lineRule="auto" w:before="5"/>
        <w:rPr>
          <w:rFonts w:ascii="宋体" w:hAnsi="宋体" w:cs="宋体" w:eastAsia="宋体" w:hint="default"/>
          <w:sz w:val="14"/>
          <w:szCs w:val="14"/>
        </w:rPr>
      </w:pPr>
    </w:p>
    <w:p>
      <w:pPr>
        <w:pStyle w:val="BodyText"/>
        <w:spacing w:line="357" w:lineRule="auto"/>
        <w:ind w:right="1122" w:firstLine="422"/>
        <w:jc w:val="both"/>
      </w:pPr>
      <w:r>
        <w:rPr/>
        <w:t>公司凭借超</w:t>
      </w:r>
      <w:r>
        <w:rPr>
          <w:spacing w:val="-31"/>
        </w:rPr>
        <w:t> </w:t>
      </w:r>
      <w:r>
        <w:rPr>
          <w:rFonts w:ascii="宋体" w:hAnsi="宋体" w:cs="宋体" w:eastAsia="宋体" w:hint="default"/>
        </w:rPr>
        <w:t>600</w:t>
      </w:r>
      <w:r>
        <w:rPr>
          <w:rFonts w:ascii="宋体" w:hAnsi="宋体" w:cs="宋体" w:eastAsia="宋体" w:hint="default"/>
          <w:spacing w:val="-31"/>
        </w:rPr>
        <w:t> </w:t>
      </w:r>
      <w:r>
        <w:rPr/>
        <w:t>位导师的资源积累，将持续通过签约等多种合作形式，联手导师共同打造导师</w:t>
      </w:r>
      <w:r>
        <w:rPr>
          <w:spacing w:val="-28"/>
        </w:rPr>
        <w:t> </w:t>
      </w:r>
      <w:r>
        <w:rPr>
          <w:rFonts w:ascii="宋体" w:hAnsi="宋体" w:cs="宋体" w:eastAsia="宋体" w:hint="default"/>
        </w:rPr>
        <w:t>IP</w:t>
      </w:r>
      <w:r>
        <w:rPr>
          <w:rFonts w:ascii="宋体" w:hAnsi="宋体" w:cs="宋体" w:eastAsia="宋体" w:hint="default"/>
          <w:spacing w:val="-36"/>
        </w:rPr>
        <w:t> </w:t>
      </w:r>
      <w:r>
        <w:rPr/>
        <w:t>化</w:t>
      </w:r>
      <w:r>
        <w:rPr>
          <w:w w:val="100"/>
        </w:rPr>
        <w:t> </w:t>
      </w:r>
      <w:r>
        <w:rPr>
          <w:spacing w:val="-3"/>
        </w:rPr>
        <w:t>产品。本期公司累计签约实验室导师近</w:t>
      </w:r>
      <w:r>
        <w:rPr>
          <w:spacing w:val="-41"/>
        </w:rPr>
        <w:t> </w:t>
      </w:r>
      <w:r>
        <w:rPr>
          <w:rFonts w:ascii="宋体" w:hAnsi="宋体" w:cs="宋体" w:eastAsia="宋体" w:hint="default"/>
        </w:rPr>
        <w:t>100</w:t>
      </w:r>
      <w:r>
        <w:rPr>
          <w:rFonts w:ascii="宋体" w:hAnsi="宋体" w:cs="宋体" w:eastAsia="宋体" w:hint="default"/>
          <w:spacing w:val="-44"/>
        </w:rPr>
        <w:t> </w:t>
      </w:r>
      <w:r>
        <w:rPr>
          <w:spacing w:val="-5"/>
        </w:rPr>
        <w:t>位，其中已经产生</w:t>
      </w:r>
      <w:r>
        <w:rPr>
          <w:spacing w:val="-43"/>
        </w:rPr>
        <w:t> </w:t>
      </w:r>
      <w:r>
        <w:rPr>
          <w:rFonts w:ascii="宋体" w:hAnsi="宋体" w:cs="宋体" w:eastAsia="宋体" w:hint="default"/>
        </w:rPr>
        <w:t>5</w:t>
      </w:r>
      <w:r>
        <w:rPr>
          <w:rFonts w:ascii="宋体" w:hAnsi="宋体" w:cs="宋体" w:eastAsia="宋体" w:hint="default"/>
          <w:spacing w:val="-49"/>
        </w:rPr>
        <w:t> </w:t>
      </w:r>
      <w:r>
        <w:rPr/>
        <w:t>位年营收超五百万的头部导师</w:t>
      </w:r>
      <w:r>
        <w:rPr>
          <w:spacing w:val="-43"/>
        </w:rPr>
        <w:t> </w:t>
      </w:r>
      <w:r>
        <w:rPr>
          <w:rFonts w:ascii="宋体" w:hAnsi="宋体" w:cs="宋体" w:eastAsia="宋体" w:hint="default"/>
          <w:spacing w:val="-5"/>
        </w:rPr>
        <w:t>IP</w:t>
      </w:r>
      <w:r>
        <w:rPr>
          <w:spacing w:val="-5"/>
        </w:rPr>
        <w:t>。未来公</w:t>
      </w:r>
      <w:r>
        <w:rPr>
          <w:spacing w:val="-103"/>
        </w:rPr>
        <w:t> </w:t>
      </w:r>
      <w:r>
        <w:rPr>
          <w:spacing w:val="-103"/>
        </w:rPr>
      </w:r>
      <w:r>
        <w:rPr>
          <w:spacing w:val="-2"/>
        </w:rPr>
        <w:t>司基于各个黑马实验室导师的个人能力和资源，不断丰富内容产品。从培训到服务，从知识传播到书籍出</w:t>
      </w:r>
      <w:r>
        <w:rPr>
          <w:spacing w:val="-33"/>
        </w:rPr>
        <w:t> </w:t>
      </w:r>
      <w:r>
        <w:rPr>
          <w:spacing w:val="-33"/>
        </w:rPr>
      </w:r>
      <w:r>
        <w:rPr/>
        <w:t>版物，持续打造导师</w:t>
      </w:r>
      <w:r>
        <w:rPr>
          <w:spacing w:val="-52"/>
        </w:rPr>
        <w:t> </w:t>
      </w:r>
      <w:r>
        <w:rPr>
          <w:rFonts w:ascii="宋体" w:hAnsi="宋体" w:cs="宋体" w:eastAsia="宋体" w:hint="default"/>
        </w:rPr>
        <w:t>IP</w:t>
      </w:r>
      <w:r>
        <w:rPr>
          <w:rFonts w:ascii="宋体" w:hAnsi="宋体" w:cs="宋体" w:eastAsia="宋体" w:hint="default"/>
          <w:spacing w:val="-47"/>
        </w:rPr>
        <w:t> </w:t>
      </w:r>
      <w:r>
        <w:rPr/>
        <w:t>资产。</w:t>
      </w:r>
    </w:p>
    <w:p>
      <w:pPr>
        <w:spacing w:line="240" w:lineRule="auto" w:before="1"/>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w w:val="100"/>
        </w:rPr>
        <w:t>2</w:t>
      </w:r>
      <w:r>
        <w:rPr>
          <w:w w:val="100"/>
        </w:rPr>
        <w:t>、依托渠</w:t>
      </w:r>
      <w:r>
        <w:rPr>
          <w:spacing w:val="-5"/>
          <w:w w:val="100"/>
        </w:rPr>
        <w:t>道</w:t>
      </w:r>
      <w:r>
        <w:rPr>
          <w:w w:val="100"/>
        </w:rPr>
        <w:t>下沉</w:t>
      </w:r>
      <w:r>
        <w:rPr>
          <w:spacing w:val="-106"/>
          <w:w w:val="100"/>
        </w:rPr>
        <w:t>，</w:t>
      </w:r>
      <w:r>
        <w:rPr>
          <w:spacing w:val="-5"/>
          <w:w w:val="100"/>
        </w:rPr>
        <w:t>“</w:t>
      </w:r>
      <w:r>
        <w:rPr>
          <w:w w:val="100"/>
        </w:rPr>
        <w:t>百城计</w:t>
      </w:r>
      <w:r>
        <w:rPr>
          <w:spacing w:val="-5"/>
          <w:w w:val="100"/>
        </w:rPr>
        <w:t>划</w:t>
      </w:r>
      <w:r>
        <w:rPr>
          <w:w w:val="100"/>
        </w:rPr>
        <w:t>”推动</w:t>
      </w:r>
      <w:r>
        <w:rPr>
          <w:spacing w:val="-5"/>
          <w:w w:val="100"/>
        </w:rPr>
        <w:t>公</w:t>
      </w:r>
      <w:r>
        <w:rPr>
          <w:w w:val="100"/>
        </w:rPr>
        <w:t>司从培</w:t>
      </w:r>
      <w:r>
        <w:rPr>
          <w:spacing w:val="-5"/>
          <w:w w:val="100"/>
        </w:rPr>
        <w:t>训</w:t>
      </w:r>
      <w:r>
        <w:rPr>
          <w:w w:val="100"/>
        </w:rPr>
        <w:t>平</w:t>
      </w:r>
      <w:r>
        <w:rPr>
          <w:spacing w:val="-5"/>
          <w:w w:val="100"/>
        </w:rPr>
        <w:t>台</w:t>
      </w:r>
      <w:r>
        <w:rPr>
          <w:w w:val="100"/>
        </w:rPr>
        <w:t>走向企业</w:t>
      </w:r>
      <w:r>
        <w:rPr>
          <w:spacing w:val="-5"/>
          <w:w w:val="100"/>
        </w:rPr>
        <w:t>服</w:t>
      </w:r>
      <w:r>
        <w:rPr>
          <w:w w:val="100"/>
        </w:rPr>
        <w:t>务平台</w:t>
      </w:r>
    </w:p>
    <w:p>
      <w:pPr>
        <w:spacing w:line="240" w:lineRule="auto" w:before="9"/>
        <w:rPr>
          <w:rFonts w:ascii="宋体" w:hAnsi="宋体" w:cs="宋体" w:eastAsia="宋体" w:hint="default"/>
          <w:sz w:val="22"/>
          <w:szCs w:val="22"/>
        </w:rPr>
      </w:pPr>
    </w:p>
    <w:p>
      <w:pPr>
        <w:pStyle w:val="BodyText"/>
        <w:spacing w:line="355" w:lineRule="auto"/>
        <w:ind w:right="1120" w:firstLine="422"/>
        <w:jc w:val="both"/>
      </w:pPr>
      <w:r>
        <w:rPr/>
        <w:t>自 </w:t>
      </w:r>
      <w:r>
        <w:rPr>
          <w:rFonts w:ascii="宋体" w:hAnsi="宋体" w:cs="宋体" w:eastAsia="宋体" w:hint="default"/>
        </w:rPr>
        <w:t>2017</w:t>
      </w:r>
      <w:r>
        <w:rPr>
          <w:rFonts w:ascii="宋体" w:hAnsi="宋体" w:cs="宋体" w:eastAsia="宋体" w:hint="default"/>
          <w:spacing w:val="-17"/>
        </w:rPr>
        <w:t> </w:t>
      </w:r>
      <w:r>
        <w:rPr/>
        <w:t>年至今，公司以建立下沉渠道、汇聚城市产业资源为核心，展开“百城计划”的实施。通过</w:t>
      </w:r>
      <w:r>
        <w:rPr>
          <w:w w:val="100"/>
        </w:rPr>
        <w:t> </w:t>
      </w:r>
      <w:r>
        <w:rPr>
          <w:spacing w:val="-2"/>
        </w:rPr>
        <w:t>百城计划的渠道下沉，给公司带来深度和产业结合的机会，也带来了大量企业服务的机会。无论是基于产</w:t>
      </w:r>
      <w:r>
        <w:rPr>
          <w:spacing w:val="-33"/>
        </w:rPr>
        <w:t> </w:t>
      </w:r>
      <w:r>
        <w:rPr>
          <w:spacing w:val="-33"/>
        </w:rPr>
      </w:r>
      <w:r>
        <w:rPr>
          <w:spacing w:val="-2"/>
        </w:rPr>
        <w:t>业政策带来的空间优惠、税收政策，还是基于产业理解带来的培训服务，企业服务产业化将会是企业服务</w:t>
      </w:r>
      <w:r>
        <w:rPr>
          <w:spacing w:val="-33"/>
        </w:rPr>
        <w:t> </w:t>
      </w:r>
      <w:r>
        <w:rPr>
          <w:spacing w:val="-33"/>
        </w:rPr>
      </w:r>
      <w:r>
        <w:rPr/>
        <w:t>未来的发展趋势。</w:t>
      </w:r>
    </w:p>
    <w:p>
      <w:pPr>
        <w:spacing w:line="240" w:lineRule="auto" w:before="12"/>
        <w:rPr>
          <w:rFonts w:ascii="宋体" w:hAnsi="宋体" w:cs="宋体" w:eastAsia="宋体" w:hint="default"/>
          <w:sz w:val="14"/>
          <w:szCs w:val="14"/>
        </w:rPr>
      </w:pPr>
    </w:p>
    <w:p>
      <w:pPr>
        <w:pStyle w:val="BodyText"/>
        <w:spacing w:line="357" w:lineRule="auto"/>
        <w:ind w:right="1123" w:firstLine="422"/>
        <w:jc w:val="both"/>
        <w:rPr>
          <w:rFonts w:ascii="宋体" w:hAnsi="宋体" w:cs="宋体" w:eastAsia="宋体" w:hint="default"/>
        </w:rPr>
      </w:pPr>
      <w:r>
        <w:rPr>
          <w:spacing w:val="-3"/>
        </w:rPr>
        <w:t>公司城市服务网络已覆盖全国主要经济区域，与超 </w:t>
      </w:r>
      <w:r>
        <w:rPr>
          <w:rFonts w:ascii="宋体" w:hAnsi="宋体" w:cs="宋体" w:eastAsia="宋体" w:hint="default"/>
          <w:spacing w:val="-3"/>
        </w:rPr>
        <w:t>30</w:t>
      </w:r>
      <w:r>
        <w:rPr>
          <w:rFonts w:ascii="宋体" w:hAnsi="宋体" w:cs="宋体" w:eastAsia="宋体" w:hint="default"/>
          <w:spacing w:val="-39"/>
        </w:rPr>
        <w:t> </w:t>
      </w:r>
      <w:r>
        <w:rPr>
          <w:spacing w:val="-6"/>
        </w:rPr>
        <w:t>个城市形成紧密合作，围绕山东、江苏、福建、</w:t>
      </w:r>
      <w:r>
        <w:rPr>
          <w:w w:val="100"/>
        </w:rPr>
        <w:t> </w:t>
      </w:r>
      <w:r>
        <w:rPr>
          <w:spacing w:val="-2"/>
        </w:rPr>
        <w:t>四川、重庆、上海几大核心区域的服务深耕，并已开始贡献收益。公司通过与各地政府签约，汇聚大量各</w:t>
      </w:r>
      <w:r>
        <w:rPr>
          <w:spacing w:val="-38"/>
        </w:rPr>
        <w:t> </w:t>
      </w:r>
      <w:r>
        <w:rPr>
          <w:spacing w:val="-38"/>
        </w:rPr>
      </w:r>
      <w:r>
        <w:rPr>
          <w:spacing w:val="-11"/>
          <w:w w:val="100"/>
        </w:rPr>
        <w:t>地区政府的产业政策、办公空间及政府订单等资源。围绕“高成长企业”、“独角兽企业”的城市拓展需求，</w:t>
      </w:r>
      <w:r>
        <w:rPr>
          <w:spacing w:val="-73"/>
          <w:w w:val="100"/>
        </w:rPr>
        <w:t> </w:t>
      </w:r>
      <w:r>
        <w:rPr>
          <w:spacing w:val="-73"/>
          <w:w w:val="100"/>
        </w:rPr>
      </w:r>
      <w:r>
        <w:rPr>
          <w:spacing w:val="-3"/>
        </w:rPr>
        <w:t>公司将城市资源整合形成了企业严选服务</w:t>
      </w:r>
      <w:r>
        <w:rPr>
          <w:rFonts w:ascii="宋体" w:hAnsi="宋体" w:cs="宋体" w:eastAsia="宋体" w:hint="default"/>
          <w:spacing w:val="-3"/>
        </w:rPr>
        <w:t>-</w:t>
      </w:r>
      <w:r>
        <w:rPr>
          <w:spacing w:val="-3"/>
        </w:rPr>
        <w:t>城市拓展服务产品。截至本期末，公司运营的空间载体达到近</w:t>
      </w:r>
      <w:r>
        <w:rPr>
          <w:spacing w:val="11"/>
        </w:rPr>
        <w:t> </w:t>
      </w:r>
      <w:r>
        <w:rPr>
          <w:rFonts w:ascii="宋体" w:hAnsi="宋体" w:cs="宋体" w:eastAsia="宋体" w:hint="default"/>
        </w:rPr>
        <w:t>6</w:t>
      </w:r>
    </w:p>
    <w:p>
      <w:pPr>
        <w:pStyle w:val="BodyText"/>
        <w:spacing w:line="240" w:lineRule="auto" w:before="30"/>
        <w:ind w:right="0"/>
        <w:jc w:val="left"/>
      </w:pPr>
      <w:r>
        <w:rPr/>
        <w:t>万平米，较上年末增长超 </w:t>
      </w:r>
      <w:r>
        <w:rPr>
          <w:rFonts w:ascii="宋体" w:hAnsi="宋体" w:cs="宋体" w:eastAsia="宋体" w:hint="default"/>
          <w:spacing w:val="-3"/>
        </w:rPr>
        <w:t>10</w:t>
      </w:r>
      <w:r>
        <w:rPr>
          <w:rFonts w:ascii="宋体" w:hAnsi="宋体" w:cs="宋体" w:eastAsia="宋体" w:hint="default"/>
          <w:spacing w:val="-12"/>
        </w:rPr>
        <w:t> </w:t>
      </w:r>
      <w:r>
        <w:rPr/>
        <w:t>倍。基于公司优质的城市资源和独特的产品服务，城市拓展服务取得突破。</w:t>
      </w:r>
    </w:p>
    <w:p>
      <w:pPr>
        <w:pStyle w:val="BodyText"/>
        <w:spacing w:line="240" w:lineRule="auto" w:before="128"/>
        <w:ind w:right="0"/>
        <w:jc w:val="left"/>
      </w:pPr>
      <w:r>
        <w:rPr>
          <w:rFonts w:ascii="宋体" w:hAnsi="宋体" w:cs="宋体" w:eastAsia="宋体" w:hint="default"/>
        </w:rPr>
        <w:t>2019</w:t>
      </w:r>
      <w:r>
        <w:rPr>
          <w:rFonts w:ascii="宋体" w:hAnsi="宋体" w:cs="宋体" w:eastAsia="宋体" w:hint="default"/>
          <w:spacing w:val="-52"/>
        </w:rPr>
        <w:t> </w:t>
      </w:r>
      <w:r>
        <w:rPr/>
        <w:t>年该业务公司实现收入</w:t>
      </w:r>
      <w:r>
        <w:rPr>
          <w:spacing w:val="-51"/>
        </w:rPr>
        <w:t> </w:t>
      </w:r>
      <w:r>
        <w:rPr>
          <w:rFonts w:ascii="宋体" w:hAnsi="宋体" w:cs="宋体" w:eastAsia="宋体" w:hint="default"/>
        </w:rPr>
        <w:t>3,279.50</w:t>
      </w:r>
      <w:r>
        <w:rPr>
          <w:rFonts w:ascii="宋体" w:hAnsi="宋体" w:cs="宋体" w:eastAsia="宋体" w:hint="default"/>
          <w:spacing w:val="-56"/>
        </w:rPr>
        <w:t> </w:t>
      </w:r>
      <w:r>
        <w:rPr/>
        <w:t>万元，较上年同期增长</w:t>
      </w:r>
      <w:r>
        <w:rPr>
          <w:spacing w:val="-51"/>
        </w:rPr>
        <w:t> </w:t>
      </w:r>
      <w:r>
        <w:rPr>
          <w:rFonts w:ascii="宋体" w:hAnsi="宋体" w:cs="宋体" w:eastAsia="宋体" w:hint="default"/>
        </w:rPr>
        <w:t>660.12%</w:t>
      </w:r>
      <w:r>
        <w:rPr/>
        <w:t>。</w:t>
      </w:r>
    </w:p>
    <w:p>
      <w:pPr>
        <w:spacing w:line="240" w:lineRule="auto" w:before="9"/>
        <w:rPr>
          <w:rFonts w:ascii="宋体" w:hAnsi="宋体" w:cs="宋体" w:eastAsia="宋体" w:hint="default"/>
          <w:sz w:val="22"/>
          <w:szCs w:val="22"/>
        </w:rPr>
      </w:pPr>
    </w:p>
    <w:p>
      <w:pPr>
        <w:pStyle w:val="BodyText"/>
        <w:spacing w:line="352" w:lineRule="auto"/>
        <w:ind w:right="1125" w:firstLine="422"/>
        <w:jc w:val="both"/>
      </w:pPr>
      <w:r>
        <w:rPr>
          <w:spacing w:val="-2"/>
        </w:rPr>
        <w:t>公司依托百城计划，形成对二、三线城市中小企业用户的覆盖及渗透。公司以城市学院为切入点，经</w:t>
      </w:r>
      <w:r>
        <w:rPr>
          <w:w w:val="100"/>
        </w:rPr>
        <w:t> </w:t>
      </w:r>
      <w:r>
        <w:rPr/>
        <w:t>过三年的服务与运营，已累计覆盖近万家中小企业，报告期新增学员近</w:t>
      </w:r>
      <w:r>
        <w:rPr>
          <w:spacing w:val="-51"/>
        </w:rPr>
        <w:t> </w:t>
      </w:r>
      <w:r>
        <w:rPr>
          <w:rFonts w:ascii="宋体" w:hAnsi="宋体" w:cs="宋体" w:eastAsia="宋体" w:hint="default"/>
        </w:rPr>
        <w:t>1,500</w:t>
      </w:r>
      <w:r>
        <w:rPr>
          <w:rFonts w:ascii="宋体" w:hAnsi="宋体" w:cs="宋体" w:eastAsia="宋体" w:hint="default"/>
          <w:spacing w:val="-53"/>
        </w:rPr>
        <w:t> </w:t>
      </w:r>
      <w:r>
        <w:rPr/>
        <w:t>位，年均增速超</w:t>
      </w:r>
      <w:r>
        <w:rPr>
          <w:spacing w:val="-53"/>
        </w:rPr>
        <w:t> </w:t>
      </w:r>
      <w:r>
        <w:rPr>
          <w:rFonts w:ascii="宋体" w:hAnsi="宋体" w:cs="宋体" w:eastAsia="宋体" w:hint="default"/>
        </w:rPr>
        <w:t>38.26%</w:t>
      </w:r>
      <w:r>
        <w:rPr/>
        <w:t>。</w:t>
      </w:r>
    </w:p>
    <w:p>
      <w:pPr>
        <w:spacing w:line="240" w:lineRule="auto" w:before="1"/>
        <w:rPr>
          <w:rFonts w:ascii="宋体" w:hAnsi="宋体" w:cs="宋体" w:eastAsia="宋体" w:hint="default"/>
          <w:sz w:val="15"/>
          <w:szCs w:val="15"/>
        </w:rPr>
      </w:pPr>
    </w:p>
    <w:p>
      <w:pPr>
        <w:pStyle w:val="BodyText"/>
        <w:spacing w:line="355" w:lineRule="auto"/>
        <w:ind w:right="1126" w:firstLine="422"/>
        <w:jc w:val="both"/>
      </w:pPr>
      <w:r>
        <w:rPr/>
        <w:t>此外，报告期内上线的“黑马大学”</w:t>
      </w:r>
      <w:r>
        <w:rPr>
          <w:rFonts w:ascii="宋体" w:hAnsi="宋体" w:cs="宋体" w:eastAsia="宋体" w:hint="default"/>
        </w:rPr>
        <w:t>APP</w:t>
      </w:r>
      <w:r>
        <w:rPr/>
        <w:t>，初步实现学员在线学习，导师在线问诊，一对一、一对多</w:t>
      </w:r>
      <w:r>
        <w:rPr>
          <w:w w:val="100"/>
        </w:rPr>
        <w:t> </w:t>
      </w:r>
      <w:r>
        <w:rPr>
          <w:spacing w:val="-7"/>
        </w:rPr>
        <w:t>的多种授课服务形式。未来公司将持续开发线上平台，聚焦供给端，结合公司储备资源及覆盖的渠道网络，</w:t>
      </w:r>
      <w:r>
        <w:rPr>
          <w:spacing w:val="-6"/>
        </w:rPr>
        <w:t> </w:t>
      </w:r>
      <w:r>
        <w:rPr>
          <w:spacing w:val="-6"/>
        </w:rPr>
      </w:r>
      <w:r>
        <w:rPr/>
        <w:t>升级服务场景，让更广泛的中小企业用户可以不受空间及时间的限制享受服务。</w:t>
      </w:r>
    </w:p>
    <w:p>
      <w:pPr>
        <w:spacing w:after="0" w:line="355" w:lineRule="auto"/>
        <w:jc w:val="both"/>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spacing w:line="544" w:lineRule="auto" w:before="0"/>
        <w:ind w:left="153" w:right="6287"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7"/>
      <w:bookmarkEnd w:id="27"/>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212,760,686.53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334,979,108.00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-36.49%</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212,760,686.53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334,979,108.00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-36.49%</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培训辅导服务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139,086,895.39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108,495,807.21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32.39%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35,730,577.91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219,688,442.75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65.58%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-83.74%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3"/>
                <w:sz w:val="18"/>
                <w:szCs w:val="18"/>
              </w:rPr>
              <w:t>其中：公关业务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34,439,947.77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41,942,848.07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12.52%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广告业务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1,290,630.14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177,745,594.68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53.06%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-99.27%</w:t>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65"/>
              <w:jc w:val="left"/>
              <w:rPr>
                <w:rFonts w:ascii="宋体" w:hAnsi="宋体" w:cs="宋体" w:eastAsia="宋体" w:hint="default"/>
                <w:sz w:val="18"/>
                <w:szCs w:val="18"/>
              </w:rPr>
            </w:pPr>
            <w:r>
              <w:rPr>
                <w:rFonts w:ascii="宋体" w:hAnsi="宋体" w:cs="宋体" w:eastAsia="宋体" w:hint="default"/>
                <w:spacing w:val="-3"/>
                <w:sz w:val="18"/>
                <w:szCs w:val="18"/>
              </w:rPr>
              <w:t>企业严选服务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城市</w:t>
            </w:r>
            <w:r>
              <w:rPr>
                <w:rFonts w:ascii="宋体" w:hAnsi="宋体" w:cs="宋体" w:eastAsia="宋体" w:hint="default"/>
                <w:spacing w:val="-67"/>
                <w:sz w:val="18"/>
                <w:szCs w:val="18"/>
              </w:rPr>
              <w:t> </w:t>
            </w:r>
            <w:r>
              <w:rPr>
                <w:rFonts w:ascii="宋体" w:hAnsi="宋体" w:cs="宋体" w:eastAsia="宋体" w:hint="default"/>
                <w:sz w:val="18"/>
                <w:szCs w:val="18"/>
              </w:rPr>
              <w:t>拓展</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32,795,009.90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4,314,465.42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660.12%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5,148,203.33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2,480,392.62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107.56%</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212,760,686.53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334,979,108.00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421"/>
        <w:gridCol w:w="1316"/>
        <w:gridCol w:w="1364"/>
        <w:gridCol w:w="1368"/>
        <w:gridCol w:w="1368"/>
        <w:gridCol w:w="1364"/>
        <w:gridCol w:w="1373"/>
      </w:tblGrid>
      <w:tr>
        <w:trPr>
          <w:trHeight w:val="715" w:hRule="exact"/>
        </w:trPr>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8" w:right="41"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212,760,686.53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94,636,126.92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30.37%</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培训辅导服务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139,086,895.39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49,661,389.30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421"/>
        <w:gridCol w:w="1316"/>
        <w:gridCol w:w="1364"/>
        <w:gridCol w:w="1368"/>
        <w:gridCol w:w="1368"/>
        <w:gridCol w:w="1364"/>
        <w:gridCol w:w="1373"/>
      </w:tblGrid>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35,730,577.91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24,145,352.10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-88.18%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25.40%</w:t>
            </w:r>
          </w:p>
        </w:tc>
      </w:tr>
      <w:tr>
        <w:trPr>
          <w:trHeight w:val="39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3"/>
                <w:sz w:val="18"/>
                <w:szCs w:val="18"/>
              </w:rPr>
              <w:t>其中：公关业务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34,439,947.77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21,383,968.30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12.32%</w:t>
            </w:r>
          </w:p>
        </w:tc>
      </w:tr>
      <w:tr>
        <w:trPr>
          <w:trHeight w:val="40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hAnsi="宋体" w:cs="宋体" w:eastAsia="宋体" w:hint="default"/>
                <w:spacing w:val="-3"/>
                <w:sz w:val="18"/>
                <w:szCs w:val="18"/>
              </w:rPr>
              <w:t>广告业务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1,290,630.14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2,761,383.80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-99.27%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-98.40%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3"/>
                <w:sz w:val="18"/>
              </w:rPr>
              <w:t>-116.60%</w:t>
            </w:r>
          </w:p>
        </w:tc>
      </w:tr>
      <w:tr>
        <w:trPr>
          <w:trHeight w:val="71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企业严选服务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城</w:t>
            </w:r>
            <w:r>
              <w:rPr>
                <w:rFonts w:ascii="宋体" w:hAnsi="宋体" w:cs="宋体" w:eastAsia="宋体" w:hint="default"/>
                <w:spacing w:val="-71"/>
                <w:sz w:val="18"/>
                <w:szCs w:val="18"/>
              </w:rPr>
              <w:t> </w:t>
            </w:r>
            <w:r>
              <w:rPr>
                <w:rFonts w:ascii="宋体" w:hAnsi="宋体" w:cs="宋体" w:eastAsia="宋体" w:hint="default"/>
                <w:sz w:val="18"/>
                <w:szCs w:val="18"/>
              </w:rPr>
              <w:t>市拓展</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32,795,009.90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17,197,140.77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660.12%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383.19%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30.05%</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212,760,686.53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94,636,126.92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-62.26%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30.37%</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369"/>
        <w:gridCol w:w="1368"/>
        <w:gridCol w:w="1369"/>
        <w:gridCol w:w="1368"/>
        <w:gridCol w:w="1368"/>
        <w:gridCol w:w="1364"/>
        <w:gridCol w:w="1368"/>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1"/>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培训辅导服务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49,661,389.30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39,582,176.80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24,145,352.10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204,254,435.28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-88.18%</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pacing w:val="-3"/>
                <w:sz w:val="18"/>
                <w:szCs w:val="18"/>
              </w:rPr>
              <w:t>其中：公关业务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21,383,968.30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31,209,331.22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4" w:right="0"/>
              <w:jc w:val="left"/>
              <w:rPr>
                <w:rFonts w:ascii="宋体" w:hAnsi="宋体" w:cs="宋体" w:eastAsia="宋体" w:hint="default"/>
                <w:sz w:val="18"/>
                <w:szCs w:val="18"/>
              </w:rPr>
            </w:pPr>
            <w:r>
              <w:rPr>
                <w:rFonts w:ascii="宋体" w:hAnsi="宋体" w:cs="宋体" w:eastAsia="宋体" w:hint="default"/>
                <w:spacing w:val="-3"/>
                <w:sz w:val="18"/>
                <w:szCs w:val="18"/>
              </w:rPr>
              <w:t>广告业务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2,761,383.80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173,045,104.06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69.01%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-98.40%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86"/>
              <w:jc w:val="left"/>
              <w:rPr>
                <w:rFonts w:ascii="宋体" w:hAnsi="宋体" w:cs="宋体" w:eastAsia="宋体" w:hint="default"/>
                <w:sz w:val="18"/>
                <w:szCs w:val="18"/>
              </w:rPr>
            </w:pPr>
            <w:r>
              <w:rPr>
                <w:rFonts w:ascii="宋体" w:hAnsi="宋体" w:cs="宋体" w:eastAsia="宋体" w:hint="default"/>
                <w:spacing w:val="-2"/>
                <w:sz w:val="18"/>
                <w:szCs w:val="18"/>
              </w:rPr>
              <w:t>企业严选服务</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城市拓展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17,197,140.77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3,559,054.17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383.19%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3,632,244.75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3,344,049.99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8.62%</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13"/>
          <w:szCs w:val="13"/>
        </w:rPr>
      </w:pPr>
    </w:p>
    <w:p>
      <w:pPr>
        <w:pStyle w:val="BodyText"/>
        <w:spacing w:line="355" w:lineRule="auto"/>
        <w:ind w:right="1123" w:firstLine="422"/>
        <w:jc w:val="both"/>
      </w:pPr>
      <w:r>
        <w:rPr/>
        <w:t>营销服务业务收入总体下降 </w:t>
      </w:r>
      <w:r>
        <w:rPr>
          <w:rFonts w:ascii="宋体" w:hAnsi="宋体" w:cs="宋体" w:eastAsia="宋体" w:hint="default"/>
        </w:rPr>
        <w:t>83.74%</w:t>
      </w:r>
      <w:r>
        <w:rPr/>
        <w:t>，成本总体下降</w:t>
      </w:r>
      <w:r>
        <w:rPr>
          <w:spacing w:val="-21"/>
        </w:rPr>
        <w:t> </w:t>
      </w:r>
      <w:r>
        <w:rPr>
          <w:rFonts w:ascii="宋体" w:hAnsi="宋体" w:cs="宋体" w:eastAsia="宋体" w:hint="default"/>
        </w:rPr>
        <w:t>88.18%</w:t>
      </w:r>
      <w:r>
        <w:rPr/>
        <w:t>。报告期内公司缩减广告业务，导致广告</w:t>
      </w:r>
      <w:r>
        <w:rPr>
          <w:w w:val="100"/>
        </w:rPr>
        <w:t> </w:t>
      </w:r>
      <w:r>
        <w:rPr/>
        <w:t>业务收入减少</w:t>
      </w:r>
      <w:r>
        <w:rPr>
          <w:spacing w:val="-45"/>
        </w:rPr>
        <w:t> </w:t>
      </w:r>
      <w:r>
        <w:rPr>
          <w:rFonts w:ascii="宋体" w:hAnsi="宋体" w:cs="宋体" w:eastAsia="宋体" w:hint="default"/>
        </w:rPr>
        <w:t>99.27%</w:t>
      </w:r>
      <w:r>
        <w:rPr/>
        <w:t>，成本减少</w:t>
      </w:r>
      <w:r>
        <w:rPr>
          <w:spacing w:val="-45"/>
        </w:rPr>
        <w:t> </w:t>
      </w:r>
      <w:r>
        <w:rPr>
          <w:rFonts w:ascii="宋体" w:hAnsi="宋体" w:cs="宋体" w:eastAsia="宋体" w:hint="default"/>
        </w:rPr>
        <w:t>98.40%</w:t>
      </w:r>
      <w:r>
        <w:rPr/>
        <w:t>。同时，公关业务亦有所减少，公关业务收入减少</w:t>
      </w:r>
      <w:r>
        <w:rPr>
          <w:spacing w:val="-39"/>
        </w:rPr>
        <w:t> </w:t>
      </w:r>
      <w:r>
        <w:rPr>
          <w:rFonts w:ascii="宋体" w:hAnsi="宋体" w:cs="宋体" w:eastAsia="宋体" w:hint="default"/>
        </w:rPr>
        <w:t>17.89%</w:t>
      </w:r>
      <w:r>
        <w:rPr/>
        <w:t>。公司</w:t>
      </w:r>
      <w:r>
        <w:rPr>
          <w:w w:val="100"/>
        </w:rPr>
        <w:t> </w:t>
      </w:r>
      <w:r>
        <w:rPr>
          <w:spacing w:val="-1"/>
        </w:rPr>
        <w:t>提升运营效率，公关成本减少</w:t>
      </w:r>
      <w:r>
        <w:rPr>
          <w:spacing w:val="-11"/>
        </w:rPr>
        <w:t> </w:t>
      </w:r>
      <w:r>
        <w:rPr>
          <w:rFonts w:ascii="宋体" w:hAnsi="宋体" w:cs="宋体" w:eastAsia="宋体" w:hint="default"/>
          <w:spacing w:val="-1"/>
        </w:rPr>
        <w:t>31.48%</w:t>
      </w:r>
      <w:r>
        <w:rPr>
          <w:spacing w:val="-1"/>
        </w:rPr>
        <w:t>，公关业务毛利及毛利率较上年同期增加。</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spacing w:val="-6"/>
        </w:rPr>
        <w:t>报告期内，公司进一步拓展“企业严选服务</w:t>
      </w:r>
      <w:r>
        <w:rPr>
          <w:rFonts w:ascii="宋体" w:hAnsi="宋体" w:cs="宋体" w:eastAsia="宋体" w:hint="default"/>
          <w:spacing w:val="-6"/>
        </w:rPr>
        <w:t>-</w:t>
      </w:r>
      <w:r>
        <w:rPr>
          <w:spacing w:val="-6"/>
        </w:rPr>
        <w:t>城市拓展”业务，收入增加 </w:t>
      </w:r>
      <w:r>
        <w:rPr>
          <w:rFonts w:ascii="宋体" w:hAnsi="宋体" w:cs="宋体" w:eastAsia="宋体" w:hint="default"/>
          <w:spacing w:val="-8"/>
        </w:rPr>
        <w:t>660.12%</w:t>
      </w:r>
      <w:r>
        <w:rPr>
          <w:spacing w:val="-8"/>
        </w:rPr>
        <w:t>，成本增加</w:t>
      </w:r>
      <w:r>
        <w:rPr>
          <w:spacing w:val="-43"/>
        </w:rPr>
        <w:t> </w:t>
      </w:r>
      <w:r>
        <w:rPr>
          <w:rFonts w:ascii="宋体" w:hAnsi="宋体" w:cs="宋体" w:eastAsia="宋体" w:hint="default"/>
        </w:rPr>
        <w:t>383.19%</w:t>
      </w:r>
      <w:r>
        <w:rPr/>
        <w:t>。</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2"/>
          <w:szCs w:val="12"/>
        </w:rPr>
      </w:pPr>
    </w:p>
    <w:p>
      <w:pPr>
        <w:pStyle w:val="BodyText"/>
        <w:spacing w:line="355" w:lineRule="auto"/>
        <w:ind w:right="1122" w:firstLine="422"/>
        <w:jc w:val="both"/>
      </w:pPr>
      <w:r>
        <w:rPr>
          <w:spacing w:val="-2"/>
        </w:rPr>
        <w:t>本期合并报表范围变化主因为增加新设立全资和控股子公司带来的合并报表范围发生变化，具体内容</w:t>
      </w:r>
      <w:r>
        <w:rPr>
          <w:w w:val="100"/>
        </w:rPr>
        <w:t> </w:t>
      </w:r>
      <w:r>
        <w:rPr>
          <w:spacing w:val="-2"/>
        </w:rPr>
        <w:t>详见第五节“重要事项”第七项“与上年度财务报告相比，合并报表范围发生变化的情况说明”所列示内</w:t>
      </w:r>
      <w:r>
        <w:rPr>
          <w:spacing w:val="-31"/>
        </w:rPr>
        <w:t> </w:t>
      </w:r>
      <w:r>
        <w:rPr>
          <w:spacing w:val="-31"/>
        </w:rPr>
      </w:r>
      <w:r>
        <w:rPr/>
        <w:t>容。</w:t>
      </w: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821"/>
        <w:gridCol w:w="4749"/>
      </w:tblGrid>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32,965,637.12</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15.49%</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7"/>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780"/>
        <w:gridCol w:w="3313"/>
        <w:gridCol w:w="2324"/>
        <w:gridCol w:w="3140"/>
      </w:tblGrid>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10,121,892.77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4.76%</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6,603,773.58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w:t>
            </w:r>
          </w:p>
        </w:tc>
      </w:tr>
      <w:tr>
        <w:trPr>
          <w:trHeight w:val="399"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6,291,262.12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2.96%</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5,094,339.63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2.39%</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4,854,369.02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2.28%</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32,965,637.12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15.49%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3" w:lineRule="auto" w:before="115"/>
        <w:ind w:left="153" w:right="8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tbl>
      <w:tblPr>
        <w:tblW w:w="0" w:type="auto"/>
        <w:jc w:val="left"/>
        <w:tblInd w:w="114" w:type="dxa"/>
        <w:tblLayout w:type="fixed"/>
        <w:tblCellMar>
          <w:top w:w="0" w:type="dxa"/>
          <w:left w:w="0" w:type="dxa"/>
          <w:bottom w:w="0" w:type="dxa"/>
          <w:right w:w="0" w:type="dxa"/>
        </w:tblCellMar>
        <w:tblLook w:val="01E0"/>
      </w:tblPr>
      <w:tblGrid>
        <w:gridCol w:w="4965"/>
        <w:gridCol w:w="4605"/>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13,431,314.48</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14.19%</w:t>
            </w:r>
          </w:p>
        </w:tc>
      </w:tr>
      <w:tr>
        <w:trPr>
          <w:trHeight w:val="399"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3,736,464.40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3.95%</w:t>
            </w:r>
          </w:p>
        </w:tc>
      </w:tr>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2,937,497.99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2,358,321.14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2,231,715.20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26"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2,167,315.75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13,431,314.48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916"/>
        <w:gridCol w:w="1638"/>
        <w:gridCol w:w="1637"/>
        <w:gridCol w:w="1464"/>
        <w:gridCol w:w="2915"/>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43,580,692.84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34,586,677.71</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26.00%</w:t>
            </w:r>
          </w:p>
        </w:tc>
        <w:tc>
          <w:tcPr>
            <w:tcW w:w="2915"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4"/>
                <w:sz w:val="18"/>
                <w:szCs w:val="18"/>
              </w:rPr>
              <w:t>系报告期内公司业务规模扩大，销售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人员费用增加所致。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4" w:type="dxa"/>
            <w:vMerge/>
            <w:tcBorders>
              <w:left w:val="single" w:sz="4" w:space="0" w:color="000000"/>
              <w:right w:val="single" w:sz="4" w:space="0" w:color="000000"/>
            </w:tcBorders>
          </w:tcPr>
          <w:p>
            <w:pPr/>
          </w:p>
        </w:tc>
        <w:tc>
          <w:tcPr>
            <w:tcW w:w="2915" w:type="dxa"/>
            <w:vMerge/>
            <w:tcBorders>
              <w:left w:val="single" w:sz="4" w:space="0" w:color="000000"/>
              <w:right w:val="single" w:sz="4" w:space="0" w:color="000000"/>
            </w:tcBorders>
          </w:tcPr>
          <w:p>
            <w:pPr/>
          </w:p>
        </w:tc>
      </w:tr>
      <w:tr>
        <w:trPr>
          <w:trHeight w:val="158"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4" w:type="dxa"/>
            <w:vMerge/>
            <w:tcBorders>
              <w:left w:val="single" w:sz="4" w:space="0" w:color="000000"/>
              <w:bottom w:val="single" w:sz="4" w:space="0" w:color="000000"/>
              <w:right w:val="single" w:sz="4" w:space="0" w:color="000000"/>
            </w:tcBorders>
          </w:tcPr>
          <w:p>
            <w:pPr/>
          </w:p>
        </w:tc>
        <w:tc>
          <w:tcPr>
            <w:tcW w:w="2915" w:type="dxa"/>
            <w:vMerge/>
            <w:tcBorders>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49,807,080.23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46,494,630.36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7.12%</w:t>
            </w:r>
          </w:p>
        </w:tc>
        <w:tc>
          <w:tcPr>
            <w:tcW w:w="2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-2,937,229.67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-3,410,644.49</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13.88%</w:t>
            </w:r>
          </w:p>
        </w:tc>
        <w:tc>
          <w:tcPr>
            <w:tcW w:w="2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8,902,213.72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8,599,135.15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3.52%</w:t>
            </w:r>
          </w:p>
        </w:tc>
        <w:tc>
          <w:tcPr>
            <w:tcW w:w="2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55" w:lineRule="auto"/>
        <w:ind w:right="0" w:firstLine="422"/>
        <w:jc w:val="left"/>
      </w:pPr>
      <w:r>
        <w:rPr>
          <w:spacing w:val="-2"/>
        </w:rPr>
        <w:t>报告期内公司研发项目为：分销系统、全员营销系统、导师管理系统、在线问诊室、马脑在线知识付</w:t>
      </w:r>
      <w:r>
        <w:rPr>
          <w:w w:val="100"/>
        </w:rPr>
        <w:t> </w:t>
      </w:r>
      <w:r>
        <w:rPr/>
        <w:t>费系统、黑马大学班级系统、用户画像分析系统、媒体素材管理系统</w:t>
      </w:r>
    </w:p>
    <w:p>
      <w:pPr>
        <w:spacing w:line="240" w:lineRule="auto" w:before="5"/>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12.65%</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11,931,571.84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13,405,674.25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9,775,591.48</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5.61%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5.30%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3,029,358.12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4,806,539.10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7.16%</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43"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before="3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370"/>
        <w:gridCol w:w="2406"/>
        <w:gridCol w:w="2391"/>
        <w:gridCol w:w="2391"/>
      </w:tblGrid>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230,146,039.01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372,234,741.11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-38.17%</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195,660,309.06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404,429,421.30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-51.62%</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34,485,729.95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-32,194,680.19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584,891,358.48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564,088,670.78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3.69%</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515,657,639.85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645,595,590.02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-20.13%</w:t>
            </w:r>
          </w:p>
        </w:tc>
      </w:tr>
      <w:tr>
        <w:trPr>
          <w:trHeight w:val="71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69,233,718.63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-81,506,919.24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112.10%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19,474,000.00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186.38%</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81"/>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-16,144,000.00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-208.68%</w:t>
            </w:r>
          </w:p>
        </w:tc>
      </w:tr>
      <w:tr>
        <w:trPr>
          <w:trHeight w:val="399"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87,575,448.58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-118,931,599.43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55" w:lineRule="auto"/>
        <w:ind w:right="0" w:firstLine="422"/>
        <w:jc w:val="left"/>
      </w:pPr>
      <w:r>
        <w:rPr>
          <w:spacing w:val="-2"/>
        </w:rPr>
        <w:t>报告期内经营活动产生的现金流量净额增加主要是公司预收款的培训辅导业务增长，以及占用现金流</w:t>
      </w:r>
      <w:r>
        <w:rPr>
          <w:w w:val="100"/>
        </w:rPr>
        <w:t> </w:t>
      </w:r>
      <w:r>
        <w:rPr/>
        <w:t>量较大的广告业务缩减所致。</w:t>
      </w:r>
    </w:p>
    <w:p>
      <w:pPr>
        <w:spacing w:line="240" w:lineRule="auto" w:before="3"/>
        <w:rPr>
          <w:rFonts w:ascii="宋体" w:hAnsi="宋体" w:cs="宋体" w:eastAsia="宋体" w:hint="default"/>
          <w:sz w:val="14"/>
          <w:szCs w:val="14"/>
        </w:rPr>
      </w:pPr>
    </w:p>
    <w:p>
      <w:pPr>
        <w:pStyle w:val="BodyText"/>
        <w:spacing w:line="494" w:lineRule="auto"/>
        <w:ind w:left="575" w:right="0"/>
        <w:jc w:val="left"/>
      </w:pPr>
      <w:r>
        <w:rPr>
          <w:spacing w:val="-2"/>
        </w:rPr>
        <w:t>报告期内投资活动产生的现金流量净额增加主要是本年新增结构性存款净额减少所致。</w:t>
      </w:r>
      <w:r>
        <w:rPr>
          <w:spacing w:val="-29"/>
        </w:rPr>
        <w:t> </w:t>
      </w:r>
      <w:r>
        <w:rPr>
          <w:spacing w:val="-29"/>
        </w:rPr>
      </w:r>
      <w:r>
        <w:rPr>
          <w:spacing w:val="-2"/>
        </w:rPr>
        <w:t>报告期内筹资活动产生的现金流量净额较上年下降主要是公司购买少数股东股权所致。</w:t>
      </w:r>
    </w:p>
    <w:p>
      <w:pPr>
        <w:spacing w:before="12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510"/>
        <w:gridCol w:w="1921"/>
        <w:gridCol w:w="1623"/>
        <w:gridCol w:w="2166"/>
        <w:gridCol w:w="2338"/>
      </w:tblGrid>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58"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-652,965.42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-4.16%</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报告期购买理财产品的收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益及联营公司投资收益。</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1"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58"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163"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68" w:right="0"/>
              <w:jc w:val="left"/>
              <w:rPr>
                <w:rFonts w:ascii="Times New Roman" w:hAnsi="Times New Roman" w:cs="Times New Roman" w:eastAsia="Times New Roman" w:hint="default"/>
                <w:sz w:val="18"/>
                <w:szCs w:val="18"/>
              </w:rPr>
            </w:pPr>
            <w:r>
              <w:rPr>
                <w:rFonts w:ascii="Times New Roman"/>
                <w:sz w:val="18"/>
              </w:rPr>
              <w:t>407,869.90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w:t>
            </w:r>
          </w:p>
        </w:tc>
        <w:tc>
          <w:tcPr>
            <w:tcW w:w="2166" w:type="dxa"/>
            <w:vMerge w:val="restart"/>
            <w:tcBorders>
              <w:top w:val="single" w:sz="4" w:space="0" w:color="000000"/>
              <w:left w:val="single" w:sz="4" w:space="0" w:color="000000"/>
              <w:right w:val="single" w:sz="4" w:space="0" w:color="000000"/>
            </w:tcBorders>
          </w:tcPr>
          <w:p>
            <w:pPr>
              <w:pStyle w:val="TableParagraph"/>
              <w:spacing w:line="321" w:lineRule="auto" w:before="54"/>
              <w:ind w:left="24" w:right="147"/>
              <w:jc w:val="left"/>
              <w:rPr>
                <w:rFonts w:ascii="宋体" w:hAnsi="宋体" w:cs="宋体" w:eastAsia="宋体" w:hint="default"/>
                <w:sz w:val="18"/>
                <w:szCs w:val="18"/>
              </w:rPr>
            </w:pPr>
            <w:r>
              <w:rPr>
                <w:rFonts w:ascii="宋体" w:hAnsi="宋体" w:cs="宋体" w:eastAsia="宋体" w:hint="default"/>
                <w:spacing w:val="-3"/>
                <w:sz w:val="18"/>
                <w:szCs w:val="18"/>
              </w:rPr>
              <w:t>报告期其他非流动金融资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产公允价值变动。</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1" w:type="dxa"/>
            <w:vMerge/>
            <w:tcBorders>
              <w:left w:val="single" w:sz="10"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38" w:type="dxa"/>
            <w:vMerge/>
            <w:tcBorders>
              <w:left w:val="single" w:sz="4" w:space="0" w:color="000000"/>
              <w:right w:val="single" w:sz="4" w:space="0" w:color="000000"/>
            </w:tcBorders>
          </w:tcPr>
          <w:p>
            <w:pPr/>
          </w:p>
        </w:tc>
      </w:tr>
      <w:tr>
        <w:trPr>
          <w:trHeight w:val="158"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10"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68" w:right="0"/>
              <w:jc w:val="left"/>
              <w:rPr>
                <w:rFonts w:ascii="Times New Roman" w:hAnsi="Times New Roman" w:cs="Times New Roman" w:eastAsia="Times New Roman" w:hint="default"/>
                <w:sz w:val="18"/>
                <w:szCs w:val="18"/>
              </w:rPr>
            </w:pPr>
            <w:r>
              <w:rPr>
                <w:rFonts w:ascii="Times New Roman"/>
                <w:sz w:val="18"/>
              </w:rPr>
              <w:t>387,370.12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确认的与日常活动无关的</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522"/>
        <w:gridCol w:w="1921"/>
        <w:gridCol w:w="1623"/>
        <w:gridCol w:w="2166"/>
        <w:gridCol w:w="2338"/>
      </w:tblGrid>
      <w:tr>
        <w:trPr>
          <w:trHeight w:val="36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政府补助等收入。</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2,739,839.91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报告期支付项目违约金及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资产处置损失。</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3,504,227.62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3"/>
                <w:sz w:val="18"/>
                <w:szCs w:val="18"/>
              </w:rPr>
              <w:t>报告期确认与日常活动相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关的政府补助及增值税进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项税加计扣除。</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3,254,138.41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3"/>
                <w:sz w:val="18"/>
                <w:szCs w:val="18"/>
              </w:rPr>
              <w:t>报告期内公司应收账款及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其他应收款相应计提的坏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账准备。</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1" w:space="390"/>
            <w:col w:w="2009"/>
          </w:cols>
        </w:sectPr>
      </w:pP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77"/>
        <w:gridCol w:w="1258"/>
        <w:gridCol w:w="1061"/>
        <w:gridCol w:w="1196"/>
        <w:gridCol w:w="1066"/>
        <w:gridCol w:w="797"/>
        <w:gridCol w:w="2919"/>
      </w:tblGrid>
      <w:tr>
        <w:trPr>
          <w:trHeight w:val="379" w:hRule="exact"/>
        </w:trPr>
        <w:tc>
          <w:tcPr>
            <w:tcW w:w="1277"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15" w:space="0" w:color="FFFFFF"/>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62" w:type="dxa"/>
            <w:gridSpan w:val="2"/>
            <w:tcBorders>
              <w:top w:val="single" w:sz="4" w:space="0" w:color="000000"/>
              <w:left w:val="single" w:sz="4" w:space="0" w:color="000000"/>
              <w:bottom w:val="single" w:sz="15"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797"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5" w:space="0" w:color="FFFFFF"/>
              <w:right w:val="single" w:sz="4" w:space="0" w:color="000000"/>
            </w:tcBorders>
            <w:shd w:val="clear" w:color="auto" w:fill="D2D2D2"/>
          </w:tcPr>
          <w:p>
            <w:pPr/>
          </w:p>
        </w:tc>
      </w:tr>
      <w:tr>
        <w:trPr>
          <w:trHeight w:val="183" w:hRule="exact"/>
        </w:trPr>
        <w:tc>
          <w:tcPr>
            <w:tcW w:w="1277" w:type="dxa"/>
            <w:vMerge w:val="restart"/>
            <w:tcBorders>
              <w:top w:val="single" w:sz="15" w:space="0" w:color="FFFFFF"/>
              <w:left w:val="single" w:sz="4" w:space="0" w:color="000000"/>
              <w:right w:val="single" w:sz="4" w:space="0" w:color="000000"/>
            </w:tcBorders>
            <w:shd w:val="clear" w:color="auto" w:fill="D2D2D2"/>
          </w:tcPr>
          <w:p>
            <w:pPr/>
          </w:p>
        </w:tc>
        <w:tc>
          <w:tcPr>
            <w:tcW w:w="1258" w:type="dxa"/>
            <w:tcBorders>
              <w:top w:val="single" w:sz="15"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5"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5" w:space="0" w:color="FFFFFF"/>
              <w:left w:val="single" w:sz="4" w:space="0" w:color="000000"/>
              <w:bottom w:val="nil" w:sz="6" w:space="0" w:color="auto"/>
              <w:right w:val="single" w:sz="4" w:space="0" w:color="000000"/>
            </w:tcBorders>
            <w:shd w:val="clear" w:color="auto" w:fill="D2D2D2"/>
          </w:tcPr>
          <w:p>
            <w:pPr/>
          </w:p>
        </w:tc>
        <w:tc>
          <w:tcPr>
            <w:tcW w:w="1066" w:type="dxa"/>
            <w:vMerge w:val="restart"/>
            <w:tcBorders>
              <w:top w:val="single" w:sz="15" w:space="0" w:color="FFFFFF"/>
              <w:left w:val="single" w:sz="4" w:space="0" w:color="000000"/>
              <w:right w:val="single" w:sz="4" w:space="0" w:color="000000"/>
            </w:tcBorders>
            <w:shd w:val="clear" w:color="auto" w:fill="D2D2D2"/>
          </w:tcPr>
          <w:p>
            <w:pPr>
              <w:pStyle w:val="TableParagraph"/>
              <w:spacing w:line="316" w:lineRule="auto" w:before="6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797"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15"/>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2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258"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2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235,710,956.39</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50.55%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148,459,320.81</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31.78%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18.77%</w:t>
            </w:r>
          </w:p>
        </w:tc>
        <w:tc>
          <w:tcPr>
            <w:tcW w:w="2919"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主要系本报告期银行结构性存款到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期现金流入所致。</w:t>
            </w:r>
          </w:p>
        </w:tc>
      </w:tr>
      <w:tr>
        <w:trPr>
          <w:trHeight w:val="394"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8"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58"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8"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56,565,520.60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42,646,143.92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主要系本报告期收入增加所致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37,574,325.19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9,966,143.92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主要系本报告期投资创新黑马所致。</w:t>
            </w: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3,547,754.02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3,869,439.32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6,905,965.81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14,164,872.19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主要系本报告期保证金、押金减少所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致。</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8,634,919.94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22,459,379.45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主要系本报告期广告业务预付款减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少所致。</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78,325,387.17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201,011,248.89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主要系本报告期部分结构性存款到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期所致。</w:t>
            </w:r>
          </w:p>
        </w:tc>
      </w:tr>
      <w:tr>
        <w:trPr>
          <w:trHeight w:val="102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pacing w:val="-2"/>
                <w:sz w:val="18"/>
                <w:szCs w:val="18"/>
              </w:rPr>
              <w:t>其他非流动金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融资产</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18,407,869.90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主要系本报告期新增投资及执行新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金融准则，将持有至到期投资中相应</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投资调整至本科目所致。</w:t>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1,779,506.84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3,008,428.82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主要系本报告期研发项目完结，达到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预定可使用状态，转入无形资产所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9,656,965.41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5,057,515.52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主要系本报告期装修完工转入所致。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其他非流动资</w:t>
            </w:r>
          </w:p>
        </w:tc>
        <w:tc>
          <w:tcPr>
            <w:tcW w:w="125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3,801,635.08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主要系本报告期装修完工转入长期</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12" w:type="dxa"/>
        <w:tblLayout w:type="fixed"/>
        <w:tblCellMar>
          <w:top w:w="0" w:type="dxa"/>
          <w:left w:w="0" w:type="dxa"/>
          <w:bottom w:w="0" w:type="dxa"/>
          <w:right w:w="0" w:type="dxa"/>
        </w:tblCellMar>
        <w:tblLook w:val="01E0"/>
      </w:tblPr>
      <w:tblGrid>
        <w:gridCol w:w="1280"/>
        <w:gridCol w:w="1258"/>
        <w:gridCol w:w="1061"/>
        <w:gridCol w:w="1196"/>
        <w:gridCol w:w="1066"/>
        <w:gridCol w:w="797"/>
        <w:gridCol w:w="2919"/>
      </w:tblGrid>
      <w:tr>
        <w:trPr>
          <w:trHeight w:val="360"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待摊费用。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985"/>
        <w:gridCol w:w="1013"/>
        <w:gridCol w:w="1061"/>
        <w:gridCol w:w="1196"/>
        <w:gridCol w:w="932"/>
        <w:gridCol w:w="1196"/>
        <w:gridCol w:w="850"/>
        <w:gridCol w:w="1128"/>
        <w:gridCol w:w="1214"/>
      </w:tblGrid>
      <w:tr>
        <w:trPr>
          <w:trHeight w:val="1025" w:hRule="exact"/>
        </w:trPr>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0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7" w:right="69"/>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52" w:right="46"/>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计公允价值变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91" w:right="94"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6"/>
              <w:jc w:val="right"/>
              <w:rPr>
                <w:rFonts w:ascii="宋体" w:hAnsi="宋体" w:cs="宋体" w:eastAsia="宋体" w:hint="default"/>
                <w:sz w:val="18"/>
                <w:szCs w:val="18"/>
              </w:rPr>
            </w:pPr>
            <w:r>
              <w:rPr>
                <w:rFonts w:ascii="宋体" w:hAnsi="宋体" w:cs="宋体" w:eastAsia="宋体" w:hint="default"/>
                <w:spacing w:val="-2"/>
                <w:sz w:val="18"/>
                <w:szCs w:val="18"/>
              </w:rPr>
              <w:t>本期购买金额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9" w:right="51" w:hanging="178"/>
              <w:jc w:val="left"/>
              <w:rPr>
                <w:rFonts w:ascii="宋体" w:hAnsi="宋体" w:cs="宋体" w:eastAsia="宋体" w:hint="default"/>
                <w:sz w:val="18"/>
                <w:szCs w:val="18"/>
              </w:rPr>
            </w:pPr>
            <w:r>
              <w:rPr>
                <w:rFonts w:ascii="宋体" w:hAnsi="宋体" w:cs="宋体" w:eastAsia="宋体" w:hint="default"/>
                <w:sz w:val="18"/>
                <w:szCs w:val="18"/>
              </w:rPr>
              <w:t>本期出售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9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5" w:hRule="exact"/>
        </w:trPr>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2"/>
                <w:sz w:val="18"/>
                <w:szCs w:val="18"/>
              </w:rPr>
              <w:t>其他非流动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金融资产</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407,869.90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18,407,869.90</w:t>
            </w:r>
          </w:p>
        </w:tc>
      </w:tr>
      <w:tr>
        <w:trPr>
          <w:trHeight w:val="399" w:hRule="exact"/>
        </w:trPr>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407,869.90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18,407,869.90</w:t>
            </w:r>
          </w:p>
        </w:tc>
      </w:tr>
      <w:tr>
        <w:trPr>
          <w:trHeight w:val="403" w:hRule="exact"/>
        </w:trPr>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p>
    <w:p>
      <w:pPr>
        <w:spacing w:line="304" w:lineRule="auto" w:before="115"/>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年出资</w:t>
      </w:r>
      <w:r>
        <w:rPr>
          <w:rFonts w:ascii="Times New Roman" w:hAnsi="Times New Roman" w:cs="Times New Roman" w:eastAsia="Times New Roman" w:hint="default"/>
          <w:spacing w:val="-4"/>
          <w:sz w:val="18"/>
          <w:szCs w:val="18"/>
        </w:rPr>
        <w:t>300</w:t>
      </w:r>
      <w:r>
        <w:rPr>
          <w:rFonts w:ascii="宋体" w:hAnsi="宋体" w:cs="宋体" w:eastAsia="宋体" w:hint="default"/>
          <w:spacing w:val="-4"/>
          <w:sz w:val="18"/>
          <w:szCs w:val="18"/>
        </w:rPr>
        <w:t>万元，认购黑马燎原</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号契约型私募股权投资基金，该基金于本报告期完成基金备案，公司将该笔投资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计入非流动金额资产核算。</w:t>
      </w:r>
    </w:p>
    <w:p>
      <w:pPr>
        <w:spacing w:before="6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报告期内公司主要资产计量属性是否发生重大变化</w:t>
      </w:r>
    </w:p>
    <w:p>
      <w:pPr>
        <w:spacing w:line="542" w:lineRule="auto" w:before="119"/>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bookmarkStart w:name="3、截至报告期末的资产权利受限情况" w:id="43"/>
      <w:bookmarkEnd w:id="43"/>
      <w:r>
        <w:rPr>
          <w:rFonts w:ascii="宋体" w:hAnsi="宋体" w:cs="宋体" w:eastAsia="宋体" w:hint="default"/>
          <w:spacing w:val="-84"/>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2"/>
        <w:spacing w:line="240" w:lineRule="auto" w:before="9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15,658,000.00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155.46%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696"/>
        <w:gridCol w:w="298"/>
        <w:gridCol w:w="283"/>
        <w:gridCol w:w="1133"/>
        <w:gridCol w:w="710"/>
        <w:gridCol w:w="423"/>
        <w:gridCol w:w="2271"/>
        <w:gridCol w:w="428"/>
        <w:gridCol w:w="283"/>
        <w:gridCol w:w="422"/>
        <w:gridCol w:w="1133"/>
        <w:gridCol w:w="288"/>
        <w:gridCol w:w="475"/>
        <w:gridCol w:w="725"/>
      </w:tblGrid>
      <w:tr>
        <w:trPr>
          <w:trHeight w:val="1340"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2"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7" w:right="46"/>
              <w:jc w:val="both"/>
              <w:rPr>
                <w:rFonts w:ascii="宋体" w:hAnsi="宋体" w:cs="宋体" w:eastAsia="宋体" w:hint="default"/>
                <w:sz w:val="18"/>
                <w:szCs w:val="18"/>
              </w:rPr>
            </w:pPr>
            <w:r>
              <w:rPr>
                <w:rFonts w:ascii="宋体" w:hAnsi="宋体" w:cs="宋体" w:eastAsia="宋体" w:hint="default"/>
                <w:sz w:val="18"/>
                <w:szCs w:val="18"/>
              </w:rPr>
              <w:t>主</w:t>
            </w:r>
            <w:r>
              <w:rPr>
                <w:rFonts w:ascii="宋体" w:hAnsi="宋体" w:cs="宋体" w:eastAsia="宋体" w:hint="default"/>
                <w:spacing w:val="-88"/>
                <w:sz w:val="18"/>
                <w:szCs w:val="18"/>
              </w:rPr>
              <w:t> </w:t>
            </w:r>
            <w:r>
              <w:rPr>
                <w:rFonts w:ascii="宋体" w:hAnsi="宋体" w:cs="宋体" w:eastAsia="宋体" w:hint="default"/>
                <w:sz w:val="18"/>
                <w:szCs w:val="18"/>
              </w:rPr>
              <w:t>要</w:t>
            </w:r>
            <w:r>
              <w:rPr>
                <w:rFonts w:ascii="宋体" w:hAnsi="宋体" w:cs="宋体" w:eastAsia="宋体" w:hint="default"/>
                <w:spacing w:val="-88"/>
                <w:sz w:val="18"/>
                <w:szCs w:val="18"/>
              </w:rPr>
              <w:t> </w:t>
            </w:r>
            <w:r>
              <w:rPr>
                <w:rFonts w:ascii="宋体" w:hAnsi="宋体" w:cs="宋体" w:eastAsia="宋体" w:hint="default"/>
                <w:sz w:val="18"/>
                <w:szCs w:val="18"/>
              </w:rPr>
              <w:t>业</w:t>
            </w:r>
            <w:r>
              <w:rPr>
                <w:rFonts w:ascii="宋体" w:hAnsi="宋体" w:cs="宋体" w:eastAsia="宋体" w:hint="default"/>
                <w:spacing w:val="-88"/>
                <w:sz w:val="18"/>
                <w:szCs w:val="18"/>
              </w:rPr>
              <w:t> </w:t>
            </w:r>
            <w:r>
              <w:rPr>
                <w:rFonts w:ascii="宋体" w:hAnsi="宋体" w:cs="宋体" w:eastAsia="宋体" w:hint="default"/>
                <w:sz w:val="18"/>
                <w:szCs w:val="18"/>
              </w:rPr>
              <w:t>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7" w:right="41"/>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59" w:right="74"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9" w:right="23"/>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1"/>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品</w:t>
            </w:r>
            <w:r>
              <w:rPr>
                <w:rFonts w:ascii="宋体" w:hAnsi="宋体" w:cs="宋体" w:eastAsia="宋体" w:hint="default"/>
                <w:spacing w:val="-88"/>
                <w:sz w:val="18"/>
                <w:szCs w:val="18"/>
              </w:rPr>
              <w:t> </w:t>
            </w:r>
            <w:r>
              <w:rPr>
                <w:rFonts w:ascii="宋体" w:hAnsi="宋体" w:cs="宋体" w:eastAsia="宋体" w:hint="default"/>
                <w:sz w:val="18"/>
                <w:szCs w:val="18"/>
              </w:rPr>
              <w:t>类</w:t>
            </w:r>
            <w:r>
              <w:rPr>
                <w:rFonts w:ascii="宋体" w:hAnsi="宋体" w:cs="宋体" w:eastAsia="宋体" w:hint="default"/>
                <w:spacing w:val="-88"/>
                <w:sz w:val="18"/>
                <w:szCs w:val="18"/>
              </w:rPr>
              <w:t> </w:t>
            </w:r>
            <w:r>
              <w:rPr>
                <w:rFonts w:ascii="宋体" w:hAnsi="宋体" w:cs="宋体" w:eastAsia="宋体" w:hint="default"/>
                <w:sz w:val="18"/>
                <w:szCs w:val="18"/>
              </w:rPr>
              <w:t>型</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475" w:right="104" w:hanging="361"/>
              <w:jc w:val="left"/>
              <w:rPr>
                <w:rFonts w:ascii="宋体" w:hAnsi="宋体" w:cs="宋体" w:eastAsia="宋体" w:hint="default"/>
                <w:sz w:val="18"/>
                <w:szCs w:val="18"/>
              </w:rPr>
            </w:pPr>
            <w:r>
              <w:rPr>
                <w:rFonts w:ascii="宋体" w:hAnsi="宋体" w:cs="宋体" w:eastAsia="宋体" w:hint="default"/>
                <w:spacing w:val="-2"/>
                <w:sz w:val="18"/>
                <w:szCs w:val="18"/>
              </w:rPr>
              <w:t>本期投资盈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亏</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 w:right="41"/>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涉</w:t>
            </w:r>
            <w:r>
              <w:rPr>
                <w:rFonts w:ascii="宋体" w:hAnsi="宋体" w:cs="宋体" w:eastAsia="宋体" w:hint="default"/>
                <w:spacing w:val="-88"/>
                <w:sz w:val="18"/>
                <w:szCs w:val="18"/>
              </w:rPr>
              <w:t> </w:t>
            </w:r>
            <w:r>
              <w:rPr>
                <w:rFonts w:ascii="宋体" w:hAnsi="宋体" w:cs="宋体" w:eastAsia="宋体" w:hint="default"/>
                <w:sz w:val="18"/>
                <w:szCs w:val="18"/>
              </w:rPr>
              <w:t>诉</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52" w:right="47"/>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21" w:lineRule="auto" w:before="23"/>
              <w:ind w:left="52" w:right="47"/>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398"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北京创</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投</w:t>
            </w:r>
            <w:r>
              <w:rPr>
                <w:rFonts w:ascii="宋体" w:hAnsi="宋体" w:cs="宋体" w:eastAsia="宋体" w:hint="default"/>
                <w:sz w:val="18"/>
                <w:szCs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w w:val="101"/>
                <w:sz w:val="18"/>
                <w:szCs w:val="18"/>
              </w:rPr>
              <w:t>新</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z w:val="18"/>
              </w:rPr>
              <w:t>30,000,000.00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0" w:right="0"/>
              <w:jc w:val="left"/>
              <w:rPr>
                <w:rFonts w:ascii="Times New Roman" w:hAnsi="Times New Roman" w:cs="Times New Roman" w:eastAsia="Times New Roman" w:hint="default"/>
                <w:sz w:val="18"/>
                <w:szCs w:val="18"/>
              </w:rPr>
            </w:pPr>
            <w:r>
              <w:rPr>
                <w:rFonts w:ascii="Times New Roman"/>
                <w:sz w:val="18"/>
              </w:rPr>
              <w:t>25.00%</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6"/>
              <w:jc w:val="center"/>
              <w:rPr>
                <w:rFonts w:ascii="宋体" w:hAnsi="宋体" w:cs="宋体" w:eastAsia="宋体" w:hint="default"/>
                <w:sz w:val="18"/>
                <w:szCs w:val="18"/>
              </w:rPr>
            </w:pPr>
            <w:r>
              <w:rPr>
                <w:rFonts w:ascii="宋体" w:hAnsi="宋体" w:cs="宋体" w:eastAsia="宋体" w:hint="default"/>
                <w:spacing w:val="-3"/>
                <w:sz w:val="18"/>
                <w:szCs w:val="18"/>
              </w:rPr>
              <w:t>北京市科技创新基金（有限</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w w:val="101"/>
                <w:sz w:val="18"/>
                <w:szCs w:val="18"/>
              </w:rPr>
              <w:t>投</w:t>
            </w:r>
            <w:r>
              <w:rPr>
                <w:rFonts w:ascii="宋体" w:hAnsi="宋体" w:cs="宋体" w:eastAsia="宋体" w:hint="default"/>
                <w:sz w:val="18"/>
                <w:szCs w:val="18"/>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5" w:right="0"/>
              <w:jc w:val="left"/>
              <w:rPr>
                <w:rFonts w:ascii="Times New Roman" w:hAnsi="Times New Roman" w:cs="Times New Roman" w:eastAsia="Times New Roman" w:hint="default"/>
                <w:sz w:val="18"/>
                <w:szCs w:val="18"/>
              </w:rPr>
            </w:pPr>
            <w:r>
              <w:rPr>
                <w:rFonts w:ascii="Times New Roman"/>
                <w:sz w:val="18"/>
              </w:rPr>
              <w:t>-551,228.99</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2019-04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696"/>
        <w:gridCol w:w="298"/>
        <w:gridCol w:w="283"/>
        <w:gridCol w:w="1133"/>
        <w:gridCol w:w="710"/>
        <w:gridCol w:w="423"/>
        <w:gridCol w:w="2271"/>
        <w:gridCol w:w="428"/>
        <w:gridCol w:w="283"/>
        <w:gridCol w:w="422"/>
        <w:gridCol w:w="1133"/>
        <w:gridCol w:w="288"/>
        <w:gridCol w:w="475"/>
        <w:gridCol w:w="725"/>
      </w:tblGrid>
      <w:tr>
        <w:trPr>
          <w:trHeight w:val="2545"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z w:val="18"/>
                <w:szCs w:val="18"/>
              </w:rPr>
              <w:t>新黑马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w w:val="101"/>
                <w:sz w:val="18"/>
                <w:szCs w:val="18"/>
              </w:rPr>
              <w:t>企业（有</w:t>
            </w:r>
            <w:r>
              <w:rPr>
                <w:rFonts w:ascii="宋体" w:hAnsi="宋体" w:cs="宋体" w:eastAsia="宋体" w:hint="default"/>
                <w:w w:val="101"/>
                <w:sz w:val="18"/>
                <w:szCs w:val="18"/>
              </w:rPr>
              <w:t> </w:t>
            </w:r>
            <w:r>
              <w:rPr>
                <w:rFonts w:ascii="宋体" w:hAnsi="宋体" w:cs="宋体" w:eastAsia="宋体" w:hint="default"/>
                <w:sz w:val="18"/>
                <w:szCs w:val="18"/>
              </w:rPr>
              <w:t>限合伙</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80"/>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1"/>
              <w:jc w:val="center"/>
              <w:rPr>
                <w:rFonts w:ascii="宋体" w:hAnsi="宋体" w:cs="宋体" w:eastAsia="宋体" w:hint="default"/>
                <w:sz w:val="18"/>
                <w:szCs w:val="18"/>
              </w:rPr>
            </w:pPr>
            <w:r>
              <w:rPr>
                <w:rFonts w:ascii="宋体" w:hAnsi="宋体" w:cs="宋体" w:eastAsia="宋体" w:hint="default"/>
                <w:w w:val="101"/>
                <w:sz w:val="18"/>
                <w:szCs w:val="18"/>
              </w:rPr>
              <w:t>设</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8" w:right="12"/>
              <w:jc w:val="both"/>
              <w:rPr>
                <w:rFonts w:ascii="宋体" w:hAnsi="宋体" w:cs="宋体" w:eastAsia="宋体" w:hint="default"/>
                <w:sz w:val="18"/>
                <w:szCs w:val="18"/>
              </w:rPr>
            </w:pPr>
            <w:r>
              <w:rPr>
                <w:rFonts w:ascii="宋体" w:hAnsi="宋体" w:cs="宋体" w:eastAsia="宋体" w:hint="default"/>
                <w:spacing w:val="-12"/>
                <w:w w:val="101"/>
                <w:sz w:val="18"/>
                <w:szCs w:val="18"/>
              </w:rPr>
              <w:t>合伙）、创业黑马科技集团股</w:t>
            </w:r>
            <w:r>
              <w:rPr>
                <w:rFonts w:ascii="宋体" w:hAnsi="宋体" w:cs="宋体" w:eastAsia="宋体" w:hint="default"/>
                <w:w w:val="101"/>
                <w:sz w:val="18"/>
                <w:szCs w:val="18"/>
              </w:rPr>
              <w:t> </w:t>
            </w:r>
            <w:r>
              <w:rPr>
                <w:rFonts w:ascii="宋体" w:hAnsi="宋体" w:cs="宋体" w:eastAsia="宋体" w:hint="default"/>
                <w:spacing w:val="-3"/>
                <w:sz w:val="18"/>
                <w:szCs w:val="18"/>
              </w:rPr>
              <w:t>份有限公司、北京实创环保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发展有限公司、洪忠信、杭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州紫金港未来创新投资合伙</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2"/>
                <w:w w:val="101"/>
                <w:sz w:val="18"/>
                <w:szCs w:val="18"/>
              </w:rPr>
              <w:t>企业（有限合伙）、</w:t>
            </w:r>
            <w:r>
              <w:rPr>
                <w:rFonts w:ascii="宋体" w:hAnsi="宋体" w:cs="宋体" w:eastAsia="宋体" w:hint="default"/>
                <w:spacing w:val="-5"/>
                <w:w w:val="101"/>
                <w:sz w:val="18"/>
                <w:szCs w:val="18"/>
              </w:rPr>
              <w:t> </w:t>
            </w:r>
            <w:r>
              <w:rPr>
                <w:rFonts w:ascii="宋体" w:hAnsi="宋体" w:cs="宋体" w:eastAsia="宋体" w:hint="default"/>
                <w:spacing w:val="-2"/>
                <w:w w:val="101"/>
                <w:sz w:val="18"/>
                <w:szCs w:val="18"/>
              </w:rPr>
              <w:t>共青城</w:t>
            </w:r>
            <w:r>
              <w:rPr>
                <w:rFonts w:ascii="宋体" w:hAnsi="宋体" w:cs="宋体" w:eastAsia="宋体" w:hint="default"/>
                <w:w w:val="101"/>
                <w:sz w:val="18"/>
                <w:szCs w:val="18"/>
              </w:rPr>
              <w:t> </w:t>
            </w:r>
            <w:r>
              <w:rPr>
                <w:rFonts w:ascii="宋体" w:hAnsi="宋体" w:cs="宋体" w:eastAsia="宋体" w:hint="default"/>
                <w:spacing w:val="-3"/>
                <w:sz w:val="18"/>
                <w:szCs w:val="18"/>
              </w:rPr>
              <w:t>优富投资管理合伙企业（有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2"/>
                <w:w w:val="101"/>
                <w:sz w:val="18"/>
                <w:szCs w:val="18"/>
              </w:rPr>
              <w:t>限合伙）、深圳市惠友创盈投</w:t>
            </w:r>
            <w:r>
              <w:rPr>
                <w:rFonts w:ascii="宋体" w:hAnsi="宋体" w:cs="宋体" w:eastAsia="宋体" w:hint="default"/>
                <w:w w:val="101"/>
                <w:sz w:val="18"/>
                <w:szCs w:val="18"/>
              </w:rPr>
              <w:t> </w:t>
            </w:r>
            <w:r>
              <w:rPr>
                <w:rFonts w:ascii="宋体" w:hAnsi="宋体" w:cs="宋体" w:eastAsia="宋体" w:hint="default"/>
                <w:spacing w:val="-3"/>
                <w:sz w:val="18"/>
                <w:szCs w:val="18"/>
              </w:rPr>
              <w:t>资管理有限公司</w:t>
            </w:r>
          </w:p>
        </w:tc>
        <w:tc>
          <w:tcPr>
            <w:tcW w:w="428"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65"/>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关于对</w:t>
            </w:r>
            <w:r>
              <w:rPr>
                <w:rFonts w:ascii="宋体" w:hAnsi="宋体" w:cs="宋体" w:eastAsia="宋体" w:hint="default"/>
                <w:w w:val="101"/>
                <w:sz w:val="18"/>
                <w:szCs w:val="18"/>
              </w:rPr>
              <w:t> </w:t>
            </w:r>
            <w:r>
              <w:rPr>
                <w:rFonts w:ascii="宋体" w:hAnsi="宋体" w:cs="宋体" w:eastAsia="宋体" w:hint="default"/>
                <w:sz w:val="18"/>
                <w:szCs w:val="18"/>
              </w:rPr>
              <w:t>外投资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参与设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w:t>
            </w:r>
          </w:p>
        </w:tc>
      </w:tr>
      <w:tr>
        <w:trPr>
          <w:trHeight w:val="404"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30,000,000.00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5" w:right="0"/>
              <w:jc w:val="left"/>
              <w:rPr>
                <w:rFonts w:ascii="Times New Roman" w:hAnsi="Times New Roman" w:cs="Times New Roman" w:eastAsia="Times New Roman" w:hint="default"/>
                <w:sz w:val="18"/>
                <w:szCs w:val="18"/>
              </w:rPr>
            </w:pPr>
            <w:r>
              <w:rPr>
                <w:rFonts w:ascii="Times New Roman"/>
                <w:sz w:val="18"/>
              </w:rPr>
              <w:t>-551,228.99</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group style="position:absolute;margin-left:90.024002pt;margin-top:-111.26033pt;width:14.45pt;height:78.05pt;mso-position-horizontal-relative:page;mso-position-vertical-relative:paragraph;z-index:-925000" coordorigin="1800,-2225" coordsize="289,1561">
            <v:shape style="position:absolute;left:1800;top:-2225;width:289;height:1561" coordorigin="1800,-2225" coordsize="289,1561" path="m1800,-665l2089,-665,2089,-2225,1800,-2225,1800,-665xe" filled="true" fillcolor="#ffffff" stroked="false">
              <v:path arrowok="t"/>
              <v:fill type="solid"/>
            </v:shape>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133"/>
        <w:gridCol w:w="1152"/>
        <w:gridCol w:w="1085"/>
        <w:gridCol w:w="1181"/>
        <w:gridCol w:w="1196"/>
        <w:gridCol w:w="956"/>
        <w:gridCol w:w="812"/>
        <w:gridCol w:w="1100"/>
        <w:gridCol w:w="955"/>
      </w:tblGrid>
      <w:tr>
        <w:trPr>
          <w:trHeight w:val="1025"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01"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91" w:right="80"/>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43" w:right="41"/>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计公允价值变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413" w:right="45" w:hanging="360"/>
              <w:jc w:val="left"/>
              <w:rPr>
                <w:rFonts w:ascii="宋体" w:hAnsi="宋体" w:cs="宋体" w:eastAsia="宋体" w:hint="default"/>
                <w:sz w:val="18"/>
                <w:szCs w:val="18"/>
              </w:rPr>
            </w:pPr>
            <w:r>
              <w:rPr>
                <w:rFonts w:ascii="宋体" w:hAnsi="宋体" w:cs="宋体" w:eastAsia="宋体" w:hint="default"/>
                <w:spacing w:val="-2"/>
                <w:sz w:val="18"/>
                <w:szCs w:val="18"/>
              </w:rPr>
              <w:t>报告期内购入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报告期内售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出金额</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20" w:right="32" w:hanging="178"/>
              <w:jc w:val="left"/>
              <w:rPr>
                <w:rFonts w:ascii="宋体" w:hAnsi="宋体" w:cs="宋体" w:eastAsia="宋体" w:hint="default"/>
                <w:sz w:val="18"/>
                <w:szCs w:val="18"/>
              </w:rPr>
            </w:pPr>
            <w:r>
              <w:rPr>
                <w:rFonts w:ascii="宋体" w:hAnsi="宋体" w:cs="宋体" w:eastAsia="宋体" w:hint="default"/>
                <w:sz w:val="18"/>
                <w:szCs w:val="18"/>
              </w:rPr>
              <w:t>累计投资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15"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18,000,000.00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407,869.90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10,000,000.00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18,407,869.90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18,000,000.00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407,869.90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10,000,000.00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1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left="20" w:right="0"/>
              <w:jc w:val="center"/>
              <w:rPr>
                <w:rFonts w:ascii="Times New Roman" w:hAnsi="Times New Roman" w:cs="Times New Roman" w:eastAsia="Times New Roman" w:hint="default"/>
                <w:sz w:val="18"/>
                <w:szCs w:val="18"/>
              </w:rPr>
            </w:pPr>
            <w:r>
              <w:rPr>
                <w:rFonts w:ascii="Times New Roman"/>
                <w:sz w:val="18"/>
              </w:rPr>
              <w:t>18,407,869.90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864"/>
        <w:gridCol w:w="874"/>
        <w:gridCol w:w="869"/>
        <w:gridCol w:w="869"/>
        <w:gridCol w:w="869"/>
        <w:gridCol w:w="869"/>
        <w:gridCol w:w="874"/>
        <w:gridCol w:w="869"/>
        <w:gridCol w:w="869"/>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49"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2"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用途的募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集资金总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1"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用途及去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公开募集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15,173.16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3,821.99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13,594.43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1,578.74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0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专户存储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1,578.74</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15,173.16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13,594.43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1,578.74</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1,578.74</w:t>
            </w:r>
          </w:p>
        </w:tc>
      </w:tr>
      <w:tr>
        <w:trPr>
          <w:trHeight w:val="398"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943"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97" w:lineRule="auto" w:before="58"/>
              <w:ind w:left="24"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、募集资金基本情况：经中国证券监督管理委员会《关于核准创业黑马（北京）科技股份有限公司首次公开发行股票的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2"/>
                <w:w w:val="101"/>
                <w:sz w:val="18"/>
                <w:szCs w:val="18"/>
              </w:rPr>
              <w:t>批复》（证监许可</w:t>
            </w:r>
            <w:r>
              <w:rPr>
                <w:rFonts w:ascii="Times New Roman" w:hAnsi="Times New Roman" w:cs="Times New Roman" w:eastAsia="Times New Roman" w:hint="default"/>
                <w:spacing w:val="-12"/>
                <w:w w:val="101"/>
                <w:sz w:val="18"/>
                <w:szCs w:val="18"/>
              </w:rPr>
              <w:t>[2017]1312</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7"/>
                <w:w w:val="101"/>
                <w:sz w:val="18"/>
                <w:szCs w:val="18"/>
              </w:rPr>
              <w:t>号）核准，公司</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月于深圳证券交易所向社会公众公开发行人民币普通股</w:t>
            </w:r>
            <w:r>
              <w:rPr>
                <w:rFonts w:ascii="Times New Roman" w:hAnsi="Times New Roman" w:cs="Times New Roman" w:eastAsia="Times New Roman" w:hint="default"/>
                <w:spacing w:val="-3"/>
                <w:w w:val="101"/>
                <w:sz w:val="18"/>
                <w:szCs w:val="18"/>
              </w:rPr>
              <w:t>(A</w:t>
            </w:r>
            <w:r>
              <w:rPr>
                <w:rFonts w:ascii="Times New Roman" w:hAnsi="Times New Roman" w:cs="Times New Roman" w:eastAsia="Times New Roman" w:hint="default"/>
                <w:spacing w:val="-6"/>
                <w:w w:val="101"/>
                <w:sz w:val="18"/>
                <w:szCs w:val="18"/>
              </w:rPr>
              <w:t> </w:t>
            </w:r>
            <w:r>
              <w:rPr>
                <w:rFonts w:ascii="宋体" w:hAnsi="宋体" w:cs="宋体" w:eastAsia="宋体" w:hint="default"/>
                <w:w w:val="101"/>
                <w:sz w:val="18"/>
                <w:szCs w:val="18"/>
              </w:rPr>
              <w:t>股</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9"/>
                <w:w w:val="101"/>
                <w:sz w:val="18"/>
                <w:szCs w:val="18"/>
              </w:rPr>
              <w:t> </w:t>
            </w:r>
            <w:r>
              <w:rPr>
                <w:rFonts w:ascii="Times New Roman" w:hAnsi="Times New Roman" w:cs="Times New Roman" w:eastAsia="Times New Roman" w:hint="default"/>
                <w:spacing w:val="-2"/>
                <w:w w:val="101"/>
                <w:sz w:val="18"/>
                <w:szCs w:val="18"/>
              </w:rPr>
              <w:t>1,700.00</w:t>
            </w:r>
            <w:r>
              <w:rPr>
                <w:rFonts w:ascii="Times New Roman" w:hAnsi="Times New Roman" w:cs="Times New Roman" w:eastAsia="Times New Roman" w:hint="default"/>
                <w:spacing w:val="-2"/>
                <w:sz w:val="18"/>
                <w:szCs w:val="18"/>
              </w:rPr>
            </w:r>
          </w:p>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万股，发行价为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10.75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股，募集资金总额为人民币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18,275.00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万元，扣除承销及保荐费用人民币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2,126.00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万元，余额为</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16,149.00 </w:t>
            </w:r>
            <w:r>
              <w:rPr>
                <w:rFonts w:ascii="宋体" w:hAnsi="宋体" w:cs="宋体" w:eastAsia="宋体" w:hint="default"/>
                <w:spacing w:val="-3"/>
                <w:sz w:val="18"/>
                <w:szCs w:val="18"/>
              </w:rPr>
              <w:t>万元，另外扣除中介机构费和其他发行费用人民币 </w:t>
            </w:r>
            <w:r>
              <w:rPr>
                <w:rFonts w:ascii="Times New Roman" w:hAnsi="Times New Roman" w:cs="Times New Roman" w:eastAsia="Times New Roman" w:hint="default"/>
                <w:sz w:val="18"/>
                <w:szCs w:val="18"/>
              </w:rPr>
              <w:t>975.84 </w:t>
            </w:r>
            <w:r>
              <w:rPr>
                <w:rFonts w:ascii="宋体" w:hAnsi="宋体" w:cs="宋体" w:eastAsia="宋体" w:hint="default"/>
                <w:spacing w:val="-3"/>
                <w:sz w:val="18"/>
                <w:szCs w:val="18"/>
              </w:rPr>
              <w:t>万元，实际募集资金净额为人民币</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15,173.16</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情</w:t>
            </w:r>
            <w:r>
              <w:rPr>
                <w:rFonts w:ascii="宋体" w:hAnsi="宋体" w:cs="宋体" w:eastAsia="宋体" w:hint="default"/>
                <w:w w:val="101"/>
                <w:sz w:val="18"/>
                <w:szCs w:val="18"/>
              </w:rPr>
              <w:t>况</w:t>
            </w:r>
            <w:r>
              <w:rPr>
                <w:rFonts w:ascii="宋体" w:hAnsi="宋体" w:cs="宋体" w:eastAsia="宋体" w:hint="default"/>
                <w:spacing w:val="-5"/>
                <w:w w:val="101"/>
                <w:sz w:val="18"/>
                <w:szCs w:val="18"/>
              </w:rPr>
              <w:t>：</w:t>
            </w:r>
            <w:r>
              <w:rPr>
                <w:rFonts w:ascii="宋体" w:hAnsi="宋体" w:cs="宋体" w:eastAsia="宋体" w:hint="default"/>
                <w:w w:val="101"/>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募投</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累</w:t>
            </w:r>
            <w:r>
              <w:rPr>
                <w:rFonts w:ascii="宋体" w:hAnsi="宋体" w:cs="宋体" w:eastAsia="宋体" w:hint="default"/>
                <w:spacing w:val="-5"/>
                <w:w w:val="101"/>
                <w:sz w:val="18"/>
                <w:szCs w:val="18"/>
              </w:rPr>
              <w:t>计</w:t>
            </w:r>
            <w:r>
              <w:rPr>
                <w:rFonts w:ascii="宋体" w:hAnsi="宋体" w:cs="宋体" w:eastAsia="宋体" w:hint="default"/>
                <w:w w:val="101"/>
                <w:sz w:val="18"/>
                <w:szCs w:val="18"/>
              </w:rPr>
              <w:t>投入</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中</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1</w:t>
            </w:r>
            <w:r>
              <w:rPr>
                <w:rFonts w:ascii="宋体" w:hAnsi="宋体" w:cs="宋体" w:eastAsia="宋体" w:hint="default"/>
                <w:spacing w:val="-5"/>
                <w:w w:val="101"/>
                <w:sz w:val="18"/>
                <w:szCs w:val="18"/>
              </w:rPr>
              <w:t>）</w:t>
            </w:r>
            <w:r>
              <w:rPr>
                <w:rFonts w:ascii="宋体" w:hAnsi="宋体" w:cs="宋体" w:eastAsia="宋体" w:hint="default"/>
                <w:w w:val="101"/>
                <w:sz w:val="18"/>
                <w:szCs w:val="18"/>
              </w:rPr>
              <w:t>黑</w:t>
            </w:r>
            <w:r>
              <w:rPr>
                <w:rFonts w:ascii="宋体" w:hAnsi="宋体" w:cs="宋体" w:eastAsia="宋体" w:hint="default"/>
                <w:spacing w:val="-5"/>
                <w:w w:val="101"/>
                <w:sz w:val="18"/>
                <w:szCs w:val="18"/>
              </w:rPr>
              <w:t>马</w:t>
            </w:r>
            <w:r>
              <w:rPr>
                <w:rFonts w:ascii="宋体" w:hAnsi="宋体" w:cs="宋体" w:eastAsia="宋体" w:hint="default"/>
                <w:w w:val="101"/>
                <w:sz w:val="18"/>
                <w:szCs w:val="18"/>
              </w:rPr>
              <w:t>众</w:t>
            </w:r>
            <w:r>
              <w:rPr>
                <w:rFonts w:ascii="宋体" w:hAnsi="宋体" w:cs="宋体" w:eastAsia="宋体" w:hint="default"/>
                <w:spacing w:val="-5"/>
                <w:w w:val="101"/>
                <w:sz w:val="18"/>
                <w:szCs w:val="18"/>
              </w:rPr>
              <w:t>创</w:t>
            </w:r>
            <w:r>
              <w:rPr>
                <w:rFonts w:ascii="宋体" w:hAnsi="宋体" w:cs="宋体" w:eastAsia="宋体" w:hint="default"/>
                <w:w w:val="101"/>
                <w:sz w:val="18"/>
                <w:szCs w:val="18"/>
              </w:rPr>
              <w:t>空</w:t>
            </w:r>
            <w:r>
              <w:rPr>
                <w:rFonts w:ascii="宋体" w:hAnsi="宋体" w:cs="宋体" w:eastAsia="宋体" w:hint="default"/>
                <w:spacing w:val="-5"/>
                <w:w w:val="101"/>
                <w:sz w:val="18"/>
                <w:szCs w:val="18"/>
              </w:rPr>
              <w:t>间</w:t>
            </w:r>
            <w:r>
              <w:rPr>
                <w:rFonts w:ascii="宋体" w:hAnsi="宋体" w:cs="宋体" w:eastAsia="宋体" w:hint="default"/>
                <w:w w:val="101"/>
                <w:sz w:val="18"/>
                <w:szCs w:val="18"/>
              </w:rPr>
              <w:t>项</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累</w:t>
            </w:r>
            <w:r>
              <w:rPr>
                <w:rFonts w:ascii="宋体" w:hAnsi="宋体" w:cs="宋体" w:eastAsia="宋体" w:hint="default"/>
                <w:w w:val="101"/>
                <w:sz w:val="18"/>
                <w:szCs w:val="18"/>
              </w:rPr>
              <w:t>计</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期</w:t>
            </w:r>
            <w:r>
              <w:rPr>
                <w:rFonts w:ascii="宋体" w:hAnsi="宋体" w:cs="宋体" w:eastAsia="宋体" w:hint="default"/>
                <w:spacing w:val="-5"/>
                <w:w w:val="101"/>
                <w:sz w:val="18"/>
                <w:szCs w:val="18"/>
              </w:rPr>
              <w:t>投入</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总额</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pacing w:val="-5"/>
                <w:w w:val="101"/>
                <w:sz w:val="18"/>
                <w:szCs w:val="18"/>
              </w:rPr>
              <w:t>线</w:t>
            </w:r>
            <w:r>
              <w:rPr>
                <w:rFonts w:ascii="宋体" w:hAnsi="宋体" w:cs="宋体" w:eastAsia="宋体" w:hint="default"/>
                <w:w w:val="101"/>
                <w:sz w:val="18"/>
                <w:szCs w:val="18"/>
              </w:rPr>
              <w:t>上</w:t>
            </w:r>
            <w:r>
              <w:rPr>
                <w:rFonts w:ascii="宋体" w:hAnsi="宋体" w:cs="宋体" w:eastAsia="宋体" w:hint="default"/>
                <w:spacing w:val="-5"/>
                <w:w w:val="101"/>
                <w:sz w:val="18"/>
                <w:szCs w:val="18"/>
              </w:rPr>
              <w:t>业</w:t>
            </w:r>
            <w:r>
              <w:rPr>
                <w:rFonts w:ascii="宋体" w:hAnsi="宋体" w:cs="宋体" w:eastAsia="宋体" w:hint="default"/>
                <w:w w:val="101"/>
                <w:sz w:val="18"/>
                <w:szCs w:val="18"/>
              </w:rPr>
              <w:t>务</w:t>
            </w:r>
            <w:r>
              <w:rPr>
                <w:rFonts w:ascii="宋体" w:hAnsi="宋体" w:cs="宋体" w:eastAsia="宋体" w:hint="default"/>
                <w:spacing w:val="-5"/>
                <w:w w:val="101"/>
                <w:sz w:val="18"/>
                <w:szCs w:val="18"/>
              </w:rPr>
              <w:t>系</w:t>
            </w:r>
            <w:r>
              <w:rPr>
                <w:rFonts w:ascii="宋体" w:hAnsi="宋体" w:cs="宋体" w:eastAsia="宋体" w:hint="default"/>
                <w:w w:val="101"/>
                <w:sz w:val="18"/>
                <w:szCs w:val="18"/>
              </w:rPr>
              <w:t>统</w:t>
            </w:r>
            <w:r>
              <w:rPr>
                <w:rFonts w:ascii="宋体" w:hAnsi="宋体" w:cs="宋体" w:eastAsia="宋体" w:hint="default"/>
                <w:spacing w:val="-5"/>
                <w:w w:val="101"/>
                <w:sz w:val="18"/>
                <w:szCs w:val="18"/>
              </w:rPr>
              <w:t>和</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信</w:t>
            </w:r>
            <w:r>
              <w:rPr>
                <w:rFonts w:ascii="宋体" w:hAnsi="宋体" w:cs="宋体" w:eastAsia="宋体" w:hint="default"/>
                <w:spacing w:val="-5"/>
                <w:w w:val="101"/>
                <w:sz w:val="18"/>
                <w:szCs w:val="18"/>
              </w:rPr>
              <w:t>息系</w:t>
            </w:r>
            <w:r>
              <w:rPr>
                <w:rFonts w:ascii="宋体" w:hAnsi="宋体" w:cs="宋体" w:eastAsia="宋体" w:hint="default"/>
                <w:w w:val="101"/>
                <w:sz w:val="18"/>
                <w:szCs w:val="18"/>
              </w:rPr>
              <w:t>统</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3179.17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万元，其中孳息金额为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日，募集资金账户余额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1,895.81 </w:t>
            </w:r>
            <w:r>
              <w:rPr>
                <w:rFonts w:ascii="宋体" w:hAnsi="宋体" w:cs="宋体" w:eastAsia="宋体" w:hint="default"/>
                <w:spacing w:val="-5"/>
                <w:sz w:val="18"/>
                <w:szCs w:val="18"/>
              </w:rPr>
              <w:t>万元（其中包含募</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专</w:t>
            </w:r>
            <w:r>
              <w:rPr>
                <w:rFonts w:ascii="宋体" w:hAnsi="宋体" w:cs="宋体" w:eastAsia="宋体" w:hint="default"/>
                <w:w w:val="101"/>
                <w:sz w:val="18"/>
                <w:szCs w:val="18"/>
              </w:rPr>
              <w:t>户</w:t>
            </w:r>
            <w:r>
              <w:rPr>
                <w:rFonts w:ascii="宋体" w:hAnsi="宋体" w:cs="宋体" w:eastAsia="宋体" w:hint="default"/>
                <w:spacing w:val="-5"/>
                <w:w w:val="101"/>
                <w:sz w:val="18"/>
                <w:szCs w:val="18"/>
              </w:rPr>
              <w:t>利</w:t>
            </w:r>
            <w:r>
              <w:rPr>
                <w:rFonts w:ascii="宋体" w:hAnsi="宋体" w:cs="宋体" w:eastAsia="宋体" w:hint="default"/>
                <w:w w:val="101"/>
                <w:sz w:val="18"/>
                <w:szCs w:val="18"/>
              </w:rPr>
              <w:t>息</w:t>
            </w:r>
            <w:r>
              <w:rPr>
                <w:rFonts w:ascii="宋体" w:hAnsi="宋体" w:cs="宋体" w:eastAsia="宋体" w:hint="default"/>
                <w:spacing w:val="-5"/>
                <w:w w:val="101"/>
                <w:sz w:val="18"/>
                <w:szCs w:val="18"/>
              </w:rPr>
              <w:t>收</w:t>
            </w:r>
            <w:r>
              <w:rPr>
                <w:rFonts w:ascii="宋体" w:hAnsi="宋体" w:cs="宋体" w:eastAsia="宋体" w:hint="default"/>
                <w:w w:val="101"/>
                <w:sz w:val="18"/>
                <w:szCs w:val="18"/>
              </w:rPr>
              <w:t>入</w:t>
            </w:r>
            <w:r>
              <w:rPr>
                <w:rFonts w:ascii="宋体" w:hAnsi="宋体" w:cs="宋体" w:eastAsia="宋体" w:hint="default"/>
                <w:spacing w:val="-5"/>
                <w:w w:val="101"/>
                <w:sz w:val="18"/>
                <w:szCs w:val="18"/>
              </w:rPr>
              <w:t>扣</w:t>
            </w:r>
            <w:r>
              <w:rPr>
                <w:rFonts w:ascii="宋体" w:hAnsi="宋体" w:cs="宋体" w:eastAsia="宋体" w:hint="default"/>
                <w:w w:val="101"/>
                <w:sz w:val="18"/>
                <w:szCs w:val="18"/>
              </w:rPr>
              <w:t>除</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手</w:t>
            </w:r>
            <w:r>
              <w:rPr>
                <w:rFonts w:ascii="宋体" w:hAnsi="宋体" w:cs="宋体" w:eastAsia="宋体" w:hint="default"/>
                <w:w w:val="101"/>
                <w:sz w:val="18"/>
                <w:szCs w:val="18"/>
              </w:rPr>
              <w:t>续</w:t>
            </w:r>
            <w:r>
              <w:rPr>
                <w:rFonts w:ascii="宋体" w:hAnsi="宋体" w:cs="宋体" w:eastAsia="宋体" w:hint="default"/>
                <w:spacing w:val="-5"/>
                <w:w w:val="101"/>
                <w:sz w:val="18"/>
                <w:szCs w:val="18"/>
              </w:rPr>
              <w:t>费</w:t>
            </w:r>
            <w:r>
              <w:rPr>
                <w:rFonts w:ascii="宋体" w:hAnsi="宋体" w:cs="宋体" w:eastAsia="宋体" w:hint="default"/>
                <w:w w:val="101"/>
                <w:sz w:val="18"/>
                <w:szCs w:val="18"/>
              </w:rPr>
              <w:t>支</w:t>
            </w:r>
            <w:r>
              <w:rPr>
                <w:rFonts w:ascii="宋体" w:hAnsi="宋体" w:cs="宋体" w:eastAsia="宋体" w:hint="default"/>
                <w:spacing w:val="-5"/>
                <w:w w:val="101"/>
                <w:sz w:val="18"/>
                <w:szCs w:val="18"/>
              </w:rPr>
              <w:t>出</w:t>
            </w:r>
            <w:r>
              <w:rPr>
                <w:rFonts w:ascii="宋体" w:hAnsi="宋体" w:cs="宋体" w:eastAsia="宋体" w:hint="default"/>
                <w:w w:val="101"/>
                <w:sz w:val="18"/>
                <w:szCs w:val="18"/>
              </w:rPr>
              <w:t>后</w:t>
            </w:r>
            <w:r>
              <w:rPr>
                <w:rFonts w:ascii="宋体" w:hAnsi="宋体" w:cs="宋体" w:eastAsia="宋体" w:hint="default"/>
                <w:spacing w:val="-5"/>
                <w:w w:val="101"/>
                <w:sz w:val="18"/>
                <w:szCs w:val="18"/>
              </w:rPr>
              <w:t>的</w:t>
            </w:r>
            <w:r>
              <w:rPr>
                <w:rFonts w:ascii="宋体" w:hAnsi="宋体" w:cs="宋体" w:eastAsia="宋体" w:hint="default"/>
                <w:w w:val="101"/>
                <w:sz w:val="18"/>
                <w:szCs w:val="18"/>
              </w:rPr>
              <w:t>净额</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725"/>
        <w:gridCol w:w="725"/>
        <w:gridCol w:w="893"/>
        <w:gridCol w:w="898"/>
        <w:gridCol w:w="730"/>
        <w:gridCol w:w="898"/>
        <w:gridCol w:w="898"/>
        <w:gridCol w:w="725"/>
        <w:gridCol w:w="730"/>
        <w:gridCol w:w="898"/>
        <w:gridCol w:w="725"/>
        <w:gridCol w:w="730"/>
      </w:tblGrid>
      <w:tr>
        <w:trPr>
          <w:trHeight w:val="1647"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4"/>
              <w:jc w:val="center"/>
              <w:rPr>
                <w:rFonts w:ascii="宋体" w:hAnsi="宋体" w:cs="宋体" w:eastAsia="宋体" w:hint="default"/>
                <w:sz w:val="18"/>
                <w:szCs w:val="18"/>
              </w:rPr>
            </w:pPr>
            <w:r>
              <w:rPr>
                <w:rFonts w:ascii="宋体" w:hAnsi="宋体" w:cs="宋体" w:eastAsia="宋体" w:hint="default"/>
                <w:spacing w:val="-2"/>
                <w:sz w:val="18"/>
                <w:szCs w:val="18"/>
              </w:rPr>
              <w:t>承诺投</w:t>
            </w:r>
            <w:r>
              <w:rPr>
                <w:rFonts w:ascii="宋体" w:hAnsi="宋体" w:cs="宋体" w:eastAsia="宋体" w:hint="default"/>
                <w:w w:val="101"/>
                <w:sz w:val="18"/>
                <w:szCs w:val="18"/>
              </w:rPr>
              <w:t> </w:t>
            </w:r>
            <w:r>
              <w:rPr>
                <w:rFonts w:ascii="宋体" w:hAnsi="宋体" w:cs="宋体" w:eastAsia="宋体" w:hint="default"/>
                <w:spacing w:val="-2"/>
                <w:sz w:val="18"/>
                <w:szCs w:val="18"/>
              </w:rPr>
              <w:t>资项目</w:t>
            </w:r>
            <w:r>
              <w:rPr>
                <w:rFonts w:ascii="宋体" w:hAnsi="宋体" w:cs="宋体" w:eastAsia="宋体" w:hint="default"/>
                <w:w w:val="101"/>
                <w:sz w:val="18"/>
                <w:szCs w:val="18"/>
              </w:rPr>
              <w:t> </w:t>
            </w:r>
            <w:r>
              <w:rPr>
                <w:rFonts w:ascii="宋体" w:hAnsi="宋体" w:cs="宋体" w:eastAsia="宋体" w:hint="default"/>
                <w:spacing w:val="-2"/>
                <w:sz w:val="18"/>
                <w:szCs w:val="18"/>
              </w:rPr>
              <w:t>和超募</w:t>
            </w:r>
            <w:r>
              <w:rPr>
                <w:rFonts w:ascii="宋体" w:hAnsi="宋体" w:cs="宋体" w:eastAsia="宋体" w:hint="default"/>
                <w:w w:val="101"/>
                <w:sz w:val="18"/>
                <w:szCs w:val="18"/>
              </w:rPr>
              <w:t> </w:t>
            </w:r>
            <w:r>
              <w:rPr>
                <w:rFonts w:ascii="宋体" w:hAnsi="宋体" w:cs="宋体" w:eastAsia="宋体" w:hint="default"/>
                <w:spacing w:val="-2"/>
                <w:sz w:val="18"/>
                <w:szCs w:val="18"/>
              </w:rPr>
              <w:t>资金投</w:t>
            </w:r>
            <w:r>
              <w:rPr>
                <w:rFonts w:ascii="宋体" w:hAnsi="宋体" w:cs="宋体" w:eastAsia="宋体" w:hint="default"/>
                <w:w w:val="101"/>
                <w:sz w:val="18"/>
                <w:szCs w:val="18"/>
              </w:rPr>
              <w:t> </w:t>
            </w:r>
            <w:r>
              <w:rPr>
                <w:rFonts w:ascii="宋体" w:hAnsi="宋体" w:cs="宋体" w:eastAsia="宋体" w:hint="default"/>
                <w:sz w:val="18"/>
                <w:szCs w:val="18"/>
              </w:rPr>
              <w:t>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7" w:right="50" w:firstLine="34"/>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1" w:right="75"/>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2" w:right="6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1"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81"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79"/>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79"/>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期末累计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黑马众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创空间</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12,005.11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12,005.11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3,821.99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10,415.26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right="12"/>
              <w:jc w:val="righ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1,269.94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1,135.36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52" w:hRule="exact"/>
        </w:trPr>
        <w:tc>
          <w:tcPr>
            <w:tcW w:w="725" w:type="dxa"/>
            <w:tcBorders>
              <w:top w:val="single" w:sz="4" w:space="0" w:color="000000"/>
              <w:left w:val="single" w:sz="4" w:space="0" w:color="000000"/>
              <w:bottom w:val="single" w:sz="8" w:space="0" w:color="D2D2D2"/>
              <w:right w:val="single" w:sz="4" w:space="0" w:color="000000"/>
            </w:tcBorders>
          </w:tcPr>
          <w:p>
            <w:pPr>
              <w:pStyle w:val="TableParagraph"/>
              <w:spacing w:line="319" w:lineRule="auto" w:before="53"/>
              <w:ind w:left="24" w:right="146"/>
              <w:jc w:val="both"/>
              <w:rPr>
                <w:rFonts w:ascii="宋体" w:hAnsi="宋体" w:cs="宋体" w:eastAsia="宋体" w:hint="default"/>
                <w:sz w:val="18"/>
                <w:szCs w:val="18"/>
              </w:rPr>
            </w:pPr>
            <w:r>
              <w:rPr>
                <w:rFonts w:ascii="宋体" w:hAnsi="宋体" w:cs="宋体" w:eastAsia="宋体" w:hint="default"/>
                <w:sz w:val="18"/>
                <w:szCs w:val="18"/>
              </w:rPr>
              <w:t>线上业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3,168.05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3,168.05</w:t>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3,179.17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8"/>
              <w:ind w:right="12"/>
              <w:jc w:val="righ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承诺投</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15,173.16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15,173.16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3,821.99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13,594.43</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1,269.94</w:t>
            </w:r>
          </w:p>
        </w:tc>
        <w:tc>
          <w:tcPr>
            <w:tcW w:w="8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1,135.36</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713"/>
        <w:gridCol w:w="737"/>
        <w:gridCol w:w="893"/>
        <w:gridCol w:w="898"/>
        <w:gridCol w:w="730"/>
        <w:gridCol w:w="898"/>
        <w:gridCol w:w="898"/>
        <w:gridCol w:w="725"/>
        <w:gridCol w:w="730"/>
        <w:gridCol w:w="898"/>
        <w:gridCol w:w="725"/>
        <w:gridCol w:w="730"/>
      </w:tblGrid>
      <w:tr>
        <w:trPr>
          <w:trHeight w:val="677"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34"/>
              <w:jc w:val="left"/>
              <w:rPr>
                <w:rFonts w:ascii="宋体" w:hAnsi="宋体" w:cs="宋体" w:eastAsia="宋体" w:hint="default"/>
                <w:sz w:val="18"/>
                <w:szCs w:val="18"/>
              </w:rPr>
            </w:pPr>
            <w:r>
              <w:rPr>
                <w:rFonts w:ascii="宋体" w:hAnsi="宋体" w:cs="宋体" w:eastAsia="宋体" w:hint="default"/>
                <w:sz w:val="18"/>
                <w:szCs w:val="18"/>
              </w:rPr>
              <w:t>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32" w:right="0"/>
              <w:jc w:val="left"/>
              <w:rPr>
                <w:rFonts w:ascii="Times New Roman" w:hAnsi="Times New Roman" w:cs="Times New Roman" w:eastAsia="Times New Roman" w:hint="default"/>
                <w:sz w:val="18"/>
                <w:szCs w:val="18"/>
              </w:rPr>
            </w:pPr>
            <w:r>
              <w:rPr>
                <w:rFonts w:ascii="Times New Roman"/>
                <w:sz w:val="18"/>
              </w:rPr>
              <w:t>15,173.16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15,173.16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3,821.99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13,594.43</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1,269.94</w:t>
            </w:r>
          </w:p>
        </w:tc>
        <w:tc>
          <w:tcPr>
            <w:tcW w:w="8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35" w:right="0"/>
              <w:jc w:val="left"/>
              <w:rPr>
                <w:rFonts w:ascii="Times New Roman" w:hAnsi="Times New Roman" w:cs="Times New Roman" w:eastAsia="Times New Roman" w:hint="default"/>
                <w:sz w:val="18"/>
                <w:szCs w:val="18"/>
              </w:rPr>
            </w:pPr>
            <w:r>
              <w:rPr>
                <w:rFonts w:ascii="Times New Roman"/>
                <w:sz w:val="18"/>
              </w:rPr>
              <w:t>1,135.36</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2583" w:hRule="exact"/>
        </w:trPr>
        <w:tc>
          <w:tcPr>
            <w:tcW w:w="71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53"/>
              <w:ind w:left="24" w:right="122"/>
              <w:jc w:val="both"/>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度或预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和原因</w:t>
            </w:r>
          </w:p>
          <w:p>
            <w:pPr>
              <w:pStyle w:val="TableParagraph"/>
              <w:spacing w:line="321" w:lineRule="auto" w:before="19"/>
              <w:ind w:left="24" w:right="-58"/>
              <w:jc w:val="left"/>
              <w:rPr>
                <w:rFonts w:ascii="宋体" w:hAnsi="宋体" w:cs="宋体" w:eastAsia="宋体" w:hint="default"/>
                <w:sz w:val="18"/>
                <w:szCs w:val="18"/>
              </w:rPr>
            </w:pPr>
            <w:r>
              <w:rPr>
                <w:rFonts w:ascii="宋体" w:hAnsi="宋体" w:cs="宋体" w:eastAsia="宋体" w:hint="default"/>
                <w:sz w:val="18"/>
                <w:szCs w:val="18"/>
              </w:rPr>
              <w:t>（分具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体项目）</w:t>
            </w:r>
          </w:p>
        </w:tc>
        <w:tc>
          <w:tcPr>
            <w:tcW w:w="8862" w:type="dxa"/>
            <w:gridSpan w:val="11"/>
            <w:tcBorders>
              <w:top w:val="single" w:sz="4" w:space="0" w:color="000000"/>
              <w:left w:val="single" w:sz="23" w:space="0" w:color="FFFFFF"/>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pacing w:val="-3"/>
                <w:sz w:val="18"/>
                <w:szCs w:val="18"/>
              </w:rPr>
              <w:t>募投项目进展情况：</w:t>
            </w:r>
          </w:p>
          <w:p>
            <w:pPr>
              <w:pStyle w:val="TableParagraph"/>
              <w:spacing w:line="240" w:lineRule="auto" w:before="115"/>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pacing w:val="-3"/>
                <w:sz w:val="18"/>
                <w:szCs w:val="18"/>
              </w:rPr>
              <w:t>线上业务系统和管理信息系统：本期投入募集资金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万元，累计投入</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3,179.17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日，项目投入符合计划预期，投入进度已达到</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p>
          <w:p>
            <w:pPr>
              <w:pStyle w:val="TableParagraph"/>
              <w:spacing w:line="307" w:lineRule="auto" w:before="96"/>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、黑马众创空间：本期确认投入募集资金总额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3,821.99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万元，累计投入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10,415.26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日，黑马众创空间截至期末投资进度达到 </w:t>
            </w:r>
            <w:r>
              <w:rPr>
                <w:rFonts w:ascii="Times New Roman" w:hAnsi="Times New Roman" w:cs="Times New Roman" w:eastAsia="Times New Roman" w:hint="default"/>
                <w:spacing w:val="-4"/>
                <w:sz w:val="18"/>
                <w:szCs w:val="18"/>
              </w:rPr>
              <w:t>86.76%</w:t>
            </w:r>
            <w:r>
              <w:rPr>
                <w:rFonts w:ascii="宋体" w:hAnsi="宋体" w:cs="宋体" w:eastAsia="宋体" w:hint="default"/>
                <w:spacing w:val="-4"/>
                <w:sz w:val="18"/>
                <w:szCs w:val="18"/>
              </w:rPr>
              <w:t>。本募投项目未达计划进度主要因为公司出于依照经济发展趋势</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持点及公司业务开拓进展，就募投项目持续建设投入持乐观审慎的判断及管控，募投项目整体投入均有序开展，</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不存在募集资金用途变更及变更募投项目之情形。预计</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日达到预定可使用状态。</w:t>
            </w:r>
          </w:p>
        </w:tc>
      </w:tr>
      <w:tr>
        <w:trPr>
          <w:trHeight w:val="1964" w:hRule="exact"/>
        </w:trPr>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34"/>
              <w:jc w:val="both"/>
              <w:rPr>
                <w:rFonts w:ascii="宋体" w:hAnsi="宋体" w:cs="宋体" w:eastAsia="宋体" w:hint="default"/>
                <w:sz w:val="18"/>
                <w:szCs w:val="18"/>
              </w:rPr>
            </w:pPr>
            <w:r>
              <w:rPr>
                <w:rFonts w:ascii="宋体" w:hAnsi="宋体" w:cs="宋体" w:eastAsia="宋体" w:hint="default"/>
                <w:sz w:val="18"/>
                <w:szCs w:val="18"/>
              </w:rPr>
              <w:t>项目可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行性发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w:t>
            </w:r>
          </w:p>
        </w:tc>
        <w:tc>
          <w:tcPr>
            <w:tcW w:w="886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5"/>
              <w:jc w:val="left"/>
              <w:rPr>
                <w:rFonts w:ascii="宋体" w:hAnsi="宋体" w:cs="宋体" w:eastAsia="宋体" w:hint="default"/>
                <w:sz w:val="18"/>
                <w:szCs w:val="18"/>
              </w:rPr>
            </w:pPr>
            <w:r>
              <w:rPr>
                <w:rFonts w:ascii="宋体" w:hAnsi="宋体" w:cs="宋体" w:eastAsia="宋体" w:hint="default"/>
                <w:sz w:val="18"/>
                <w:szCs w:val="18"/>
              </w:rPr>
              <w:t>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额、用途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进展情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6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13" w:type="dxa"/>
            <w:vMerge/>
            <w:tcBorders>
              <w:left w:val="single" w:sz="4" w:space="0" w:color="000000"/>
              <w:bottom w:val="single" w:sz="4" w:space="0" w:color="000000"/>
              <w:right w:val="single" w:sz="4" w:space="0" w:color="000000"/>
            </w:tcBorders>
            <w:shd w:val="clear" w:color="auto" w:fill="D2D2D2"/>
          </w:tcPr>
          <w:p>
            <w:pPr/>
          </w:p>
        </w:tc>
        <w:tc>
          <w:tcPr>
            <w:tcW w:w="8862" w:type="dxa"/>
            <w:gridSpan w:val="11"/>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34"/>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施地点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6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713" w:type="dxa"/>
            <w:vMerge/>
            <w:tcBorders>
              <w:left w:val="single" w:sz="4" w:space="0" w:color="000000"/>
              <w:right w:val="single" w:sz="4" w:space="0" w:color="000000"/>
            </w:tcBorders>
            <w:shd w:val="clear" w:color="auto" w:fill="D2D2D2"/>
          </w:tcPr>
          <w:p>
            <w:pPr/>
          </w:p>
        </w:tc>
        <w:tc>
          <w:tcPr>
            <w:tcW w:w="8862" w:type="dxa"/>
            <w:gridSpan w:val="11"/>
            <w:tcBorders>
              <w:top w:val="single" w:sz="4" w:space="0" w:color="000000"/>
              <w:left w:val="single" w:sz="10" w:space="0" w:color="D2D2D2"/>
              <w:bottom w:val="single" w:sz="4" w:space="0" w:color="000000"/>
              <w:right w:val="single" w:sz="4" w:space="0" w:color="000000"/>
            </w:tcBorders>
          </w:tcPr>
          <w:p>
            <w:pPr/>
          </w:p>
        </w:tc>
      </w:tr>
      <w:tr>
        <w:trPr>
          <w:trHeight w:val="1162" w:hRule="exact"/>
        </w:trPr>
        <w:tc>
          <w:tcPr>
            <w:tcW w:w="713" w:type="dxa"/>
            <w:vMerge/>
            <w:tcBorders>
              <w:left w:val="single" w:sz="4" w:space="0" w:color="000000"/>
              <w:bottom w:val="single" w:sz="4" w:space="0" w:color="000000"/>
              <w:right w:val="single" w:sz="4" w:space="0" w:color="000000"/>
            </w:tcBorders>
            <w:shd w:val="clear" w:color="auto" w:fill="D2D2D2"/>
          </w:tcPr>
          <w:p>
            <w:pPr/>
          </w:p>
        </w:tc>
        <w:tc>
          <w:tcPr>
            <w:tcW w:w="8862" w:type="dxa"/>
            <w:gridSpan w:val="11"/>
            <w:tcBorders>
              <w:top w:val="single" w:sz="4" w:space="0" w:color="000000"/>
              <w:left w:val="single" w:sz="10" w:space="0" w:color="D2D2D2"/>
              <w:bottom w:val="single" w:sz="4" w:space="0" w:color="000000"/>
              <w:right w:val="single" w:sz="4" w:space="0" w:color="000000"/>
            </w:tcBorders>
          </w:tcPr>
          <w:p>
            <w:pPr/>
          </w:p>
        </w:tc>
      </w:tr>
      <w:tr>
        <w:trPr>
          <w:trHeight w:val="398" w:hRule="exact"/>
        </w:trPr>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34"/>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6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13" w:type="dxa"/>
            <w:vMerge/>
            <w:tcBorders>
              <w:left w:val="single" w:sz="4" w:space="0" w:color="000000"/>
              <w:right w:val="single" w:sz="4" w:space="0" w:color="000000"/>
            </w:tcBorders>
            <w:shd w:val="clear" w:color="auto" w:fill="D2D2D2"/>
          </w:tcPr>
          <w:p>
            <w:pPr/>
          </w:p>
        </w:tc>
        <w:tc>
          <w:tcPr>
            <w:tcW w:w="8862" w:type="dxa"/>
            <w:gridSpan w:val="11"/>
            <w:tcBorders>
              <w:top w:val="single" w:sz="4" w:space="0" w:color="000000"/>
              <w:left w:val="single" w:sz="10" w:space="0" w:color="D2D2D2"/>
              <w:bottom w:val="single" w:sz="4" w:space="0" w:color="000000"/>
              <w:right w:val="single" w:sz="4" w:space="0" w:color="000000"/>
            </w:tcBorders>
          </w:tcPr>
          <w:p>
            <w:pPr/>
          </w:p>
        </w:tc>
      </w:tr>
      <w:tr>
        <w:trPr>
          <w:trHeight w:val="1157" w:hRule="exact"/>
        </w:trPr>
        <w:tc>
          <w:tcPr>
            <w:tcW w:w="713" w:type="dxa"/>
            <w:vMerge/>
            <w:tcBorders>
              <w:left w:val="single" w:sz="4" w:space="0" w:color="000000"/>
              <w:bottom w:val="single" w:sz="4" w:space="0" w:color="000000"/>
              <w:right w:val="single" w:sz="4" w:space="0" w:color="000000"/>
            </w:tcBorders>
            <w:shd w:val="clear" w:color="auto" w:fill="D2D2D2"/>
          </w:tcPr>
          <w:p>
            <w:pPr/>
          </w:p>
        </w:tc>
        <w:tc>
          <w:tcPr>
            <w:tcW w:w="8862" w:type="dxa"/>
            <w:gridSpan w:val="11"/>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34"/>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及置换</w:t>
            </w:r>
          </w:p>
        </w:tc>
        <w:tc>
          <w:tcPr>
            <w:tcW w:w="886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10" w:hRule="exact"/>
        </w:trPr>
        <w:tc>
          <w:tcPr>
            <w:tcW w:w="713" w:type="dxa"/>
            <w:vMerge/>
            <w:tcBorders>
              <w:left w:val="single" w:sz="4" w:space="0" w:color="000000"/>
              <w:bottom w:val="single" w:sz="4" w:space="0" w:color="000000"/>
              <w:right w:val="single" w:sz="4" w:space="0" w:color="000000"/>
            </w:tcBorders>
            <w:shd w:val="clear" w:color="auto" w:fill="D2D2D2"/>
          </w:tcPr>
          <w:p>
            <w:pPr/>
          </w:p>
        </w:tc>
        <w:tc>
          <w:tcPr>
            <w:tcW w:w="8862"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 w:right="-10"/>
              <w:jc w:val="left"/>
              <w:rPr>
                <w:rFonts w:ascii="宋体" w:hAnsi="宋体" w:cs="宋体" w:eastAsia="宋体" w:hint="default"/>
                <w:sz w:val="18"/>
                <w:szCs w:val="18"/>
              </w:rPr>
            </w:pPr>
            <w:r>
              <w:rPr>
                <w:rFonts w:ascii="宋体" w:hAnsi="宋体" w:cs="宋体" w:eastAsia="宋体" w:hint="default"/>
                <w:spacing w:val="-3"/>
                <w:sz w:val="18"/>
                <w:szCs w:val="18"/>
              </w:rPr>
              <w:t>公司募投黑马众创空间项目先期投入 </w:t>
            </w:r>
            <w:r>
              <w:rPr>
                <w:rFonts w:ascii="Times New Roman" w:hAnsi="Times New Roman" w:cs="Times New Roman" w:eastAsia="Times New Roman" w:hint="default"/>
                <w:sz w:val="18"/>
                <w:szCs w:val="18"/>
              </w:rPr>
              <w:t>5,166.08 </w:t>
            </w:r>
            <w:r>
              <w:rPr>
                <w:rFonts w:ascii="宋体" w:hAnsi="宋体" w:cs="宋体" w:eastAsia="宋体" w:hint="default"/>
                <w:spacing w:val="-3"/>
                <w:sz w:val="18"/>
                <w:szCs w:val="18"/>
              </w:rPr>
              <w:t>万元；线上业务系统和管理信息系统项目先期投入 </w:t>
            </w:r>
            <w:r>
              <w:rPr>
                <w:rFonts w:ascii="Times New Roman" w:hAnsi="Times New Roman" w:cs="Times New Roman" w:eastAsia="Times New Roman" w:hint="default"/>
                <w:sz w:val="18"/>
                <w:szCs w:val="18"/>
              </w:rPr>
              <w:t>2,716.05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w:t>
            </w:r>
          </w:p>
          <w:p>
            <w:pPr>
              <w:pStyle w:val="TableParagraph"/>
              <w:spacing w:line="300" w:lineRule="auto" w:before="62"/>
              <w:ind w:left="28" w:right="18"/>
              <w:jc w:val="left"/>
              <w:rPr>
                <w:rFonts w:ascii="宋体" w:hAnsi="宋体" w:cs="宋体" w:eastAsia="宋体" w:hint="default"/>
                <w:sz w:val="18"/>
                <w:szCs w:val="18"/>
              </w:rPr>
            </w:pPr>
            <w:r>
              <w:rPr>
                <w:rFonts w:ascii="宋体" w:hAnsi="宋体" w:cs="宋体" w:eastAsia="宋体" w:hint="default"/>
                <w:sz w:val="18"/>
                <w:szCs w:val="18"/>
              </w:rPr>
              <w:t>合计先期投入 </w:t>
            </w:r>
            <w:r>
              <w:rPr>
                <w:rFonts w:ascii="Times New Roman" w:hAnsi="Times New Roman" w:cs="Times New Roman" w:eastAsia="Times New Roman" w:hint="default"/>
                <w:sz w:val="18"/>
                <w:szCs w:val="18"/>
              </w:rPr>
              <w:t>7,882.13 </w:t>
            </w:r>
            <w:r>
              <w:rPr>
                <w:rFonts w:ascii="宋体" w:hAnsi="宋体" w:cs="宋体" w:eastAsia="宋体" w:hint="default"/>
                <w:spacing w:val="-4"/>
                <w:sz w:val="18"/>
                <w:szCs w:val="18"/>
              </w:rPr>
              <w:t>万元。相关募集资金项目投入情况已经天职国际会计师事务所（特殊普通合伙）审核，并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w w:val="101"/>
                <w:sz w:val="18"/>
                <w:szCs w:val="18"/>
              </w:rPr>
              <w:t>出具《以自筹资金预先投入募集资金投资项目的鉴证报告》（天职业字</w:t>
            </w:r>
            <w:r>
              <w:rPr>
                <w:rFonts w:ascii="Times New Roman" w:hAnsi="Times New Roman" w:cs="Times New Roman" w:eastAsia="Times New Roman" w:hint="default"/>
                <w:spacing w:val="-5"/>
                <w:w w:val="101"/>
                <w:sz w:val="18"/>
                <w:szCs w:val="18"/>
              </w:rPr>
              <w:t>[2017]16189</w:t>
            </w:r>
            <w:r>
              <w:rPr>
                <w:rFonts w:ascii="Times New Roman" w:hAnsi="Times New Roman" w:cs="Times New Roman" w:eastAsia="Times New Roman" w:hint="default"/>
                <w:w w:val="101"/>
                <w:sz w:val="18"/>
                <w:szCs w:val="18"/>
              </w:rPr>
              <w:t> </w:t>
            </w:r>
            <w:r>
              <w:rPr>
                <w:rFonts w:ascii="宋体" w:hAnsi="宋体" w:cs="宋体" w:eastAsia="宋体" w:hint="default"/>
                <w:spacing w:val="-2"/>
                <w:w w:val="101"/>
                <w:sz w:val="18"/>
                <w:szCs w:val="18"/>
              </w:rPr>
              <w:t>号、天职业字</w:t>
            </w:r>
            <w:r>
              <w:rPr>
                <w:rFonts w:ascii="Times New Roman" w:hAnsi="Times New Roman" w:cs="Times New Roman" w:eastAsia="Times New Roman" w:hint="default"/>
                <w:spacing w:val="-2"/>
                <w:w w:val="101"/>
                <w:sz w:val="18"/>
                <w:szCs w:val="18"/>
              </w:rPr>
              <w:t>[2018]1373</w:t>
            </w:r>
            <w:r>
              <w:rPr>
                <w:rFonts w:ascii="Times New Roman" w:hAnsi="Times New Roman" w:cs="Times New Roman" w:eastAsia="Times New Roman" w:hint="default"/>
                <w:spacing w:val="33"/>
                <w:w w:val="101"/>
                <w:sz w:val="18"/>
                <w:szCs w:val="18"/>
              </w:rPr>
              <w:t> </w:t>
            </w:r>
            <w:r>
              <w:rPr>
                <w:rFonts w:ascii="宋体" w:hAnsi="宋体" w:cs="宋体" w:eastAsia="宋体" w:hint="default"/>
                <w:spacing w:val="-5"/>
                <w:w w:val="101"/>
                <w:sz w:val="18"/>
                <w:szCs w:val="18"/>
              </w:rPr>
              <w:t>号、</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725"/>
        <w:gridCol w:w="8850"/>
      </w:tblGrid>
      <w:tr>
        <w:trPr>
          <w:trHeight w:val="672"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885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4" w:right="18"/>
              <w:jc w:val="left"/>
              <w:rPr>
                <w:rFonts w:ascii="宋体" w:hAnsi="宋体" w:cs="宋体" w:eastAsia="宋体" w:hint="default"/>
                <w:sz w:val="18"/>
                <w:szCs w:val="18"/>
              </w:rPr>
            </w:pPr>
            <w:r>
              <w:rPr>
                <w:rFonts w:ascii="宋体" w:hAnsi="宋体" w:cs="宋体" w:eastAsia="宋体" w:hint="default"/>
                <w:spacing w:val="-2"/>
                <w:w w:val="101"/>
                <w:sz w:val="18"/>
                <w:szCs w:val="18"/>
              </w:rPr>
              <w:t>天职业字</w:t>
            </w:r>
            <w:r>
              <w:rPr>
                <w:rFonts w:ascii="Times New Roman" w:hAnsi="Times New Roman" w:cs="Times New Roman" w:eastAsia="Times New Roman" w:hint="default"/>
                <w:spacing w:val="-2"/>
                <w:w w:val="101"/>
                <w:sz w:val="18"/>
                <w:szCs w:val="18"/>
              </w:rPr>
              <w:t>[2018]22756</w:t>
            </w:r>
            <w:r>
              <w:rPr>
                <w:rFonts w:ascii="Times New Roman" w:hAnsi="Times New Roman" w:cs="Times New Roman" w:eastAsia="Times New Roman" w:hint="default"/>
                <w:spacing w:val="29"/>
                <w:w w:val="101"/>
                <w:sz w:val="18"/>
                <w:szCs w:val="18"/>
              </w:rPr>
              <w:t> </w:t>
            </w:r>
            <w:r>
              <w:rPr>
                <w:rFonts w:ascii="宋体" w:hAnsi="宋体" w:cs="宋体" w:eastAsia="宋体" w:hint="default"/>
                <w:spacing w:val="-7"/>
                <w:w w:val="101"/>
                <w:sz w:val="18"/>
                <w:szCs w:val="18"/>
              </w:rPr>
              <w:t>号）。涉及前述募集资金置换事项已分别经公司第一届董事会第十四次会议、第一届董事会</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第十八次会议、第二届董事会第六次会议审议通过。截至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日，上述资金已全部置换转出。</w:t>
            </w:r>
          </w:p>
        </w:tc>
      </w:tr>
      <w:tr>
        <w:trPr>
          <w:trHeight w:val="404" w:hRule="exact"/>
        </w:trPr>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46"/>
              <w:jc w:val="both"/>
              <w:rPr>
                <w:rFonts w:ascii="宋体" w:hAnsi="宋体" w:cs="宋体" w:eastAsia="宋体" w:hint="default"/>
                <w:sz w:val="18"/>
                <w:szCs w:val="18"/>
              </w:rPr>
            </w:pPr>
            <w:r>
              <w:rPr>
                <w:rFonts w:ascii="宋体" w:hAnsi="宋体" w:cs="宋体" w:eastAsia="宋体" w:hint="default"/>
                <w:sz w:val="18"/>
                <w:szCs w:val="18"/>
              </w:rPr>
              <w:t>用闲置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金暂时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5" w:type="dxa"/>
            <w:vMerge/>
            <w:tcBorders>
              <w:left w:val="single" w:sz="4" w:space="0" w:color="000000"/>
              <w:bottom w:val="single" w:sz="4" w:space="0" w:color="000000"/>
              <w:right w:val="single" w:sz="4" w:space="0" w:color="000000"/>
            </w:tcBorders>
            <w:shd w:val="clear" w:color="auto" w:fill="D2D2D2"/>
          </w:tcPr>
          <w:p>
            <w:pPr/>
          </w:p>
        </w:tc>
        <w:tc>
          <w:tcPr>
            <w:tcW w:w="8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4" w:right="146"/>
              <w:jc w:val="both"/>
              <w:rPr>
                <w:rFonts w:ascii="宋体" w:hAnsi="宋体" w:cs="宋体" w:eastAsia="宋体" w:hint="default"/>
                <w:sz w:val="18"/>
                <w:szCs w:val="18"/>
              </w:rPr>
            </w:pP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金结余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及原因</w:t>
            </w:r>
          </w:p>
        </w:tc>
        <w:tc>
          <w:tcPr>
            <w:tcW w:w="8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5" w:type="dxa"/>
            <w:vMerge/>
            <w:tcBorders>
              <w:left w:val="single" w:sz="4" w:space="0" w:color="000000"/>
              <w:bottom w:val="single" w:sz="4" w:space="0" w:color="000000"/>
              <w:right w:val="single" w:sz="4" w:space="0" w:color="000000"/>
            </w:tcBorders>
            <w:shd w:val="clear" w:color="auto" w:fill="D2D2D2"/>
          </w:tcPr>
          <w:p>
            <w:pPr/>
          </w:p>
        </w:tc>
        <w:tc>
          <w:tcPr>
            <w:tcW w:w="885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6"/>
              <w:jc w:val="both"/>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用的募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去向</w:t>
            </w:r>
          </w:p>
        </w:tc>
        <w:tc>
          <w:tcPr>
            <w:tcW w:w="8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尚未使用的募集资金目前存在于公司银行募集资金专户中，将按照募集资金投资项目的建设计划逐步投入。</w:t>
            </w:r>
          </w:p>
        </w:tc>
      </w:tr>
      <w:tr>
        <w:trPr>
          <w:trHeight w:val="2271"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6"/>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的问题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4" w:space="4068"/>
            <w:col w:w="2008"/>
          </w:cols>
        </w:sectPr>
      </w:pP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057"/>
        <w:gridCol w:w="931"/>
        <w:gridCol w:w="850"/>
        <w:gridCol w:w="1133"/>
        <w:gridCol w:w="1133"/>
        <w:gridCol w:w="1138"/>
        <w:gridCol w:w="1133"/>
        <w:gridCol w:w="1133"/>
        <w:gridCol w:w="1061"/>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北京创业未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来传媒技术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传媒技术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25,665,300.00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70,706,920.05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65,587,358.93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22,007,105.64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1,826,302.44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1,681,301.90</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嘉兴致新投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85,000,000.00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34,104,235.67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34,089,137.14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-3,202.40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-3,202.40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天津美业科技有限公司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银川黑马致新科技有限公司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无锡创润信息科技有限公司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创业黑马（莆田）科技有限公司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创业黑马（福州）科技有限公司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黑马加速（重庆）科技有限公司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郑州创润科技有限公司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神木创客黑马科技有限公司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成都天启合创业咨询服务有限公司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湖州致在新企业咨询有限公司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菏泽黑马加速科技发展有限公司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成都黑马加速科技有限公司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鞍山黑马加速企业信息咨询有限公司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合肥黑马加速信息科技有限公司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进一步扩大业务区域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广州创润信息科技有限公司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聚焦主营业务，优化产品结构</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北京爱代言科技有限公司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聚焦主营业务，优化产品结构</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福州黑马海峡创业服务有限公司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聚焦主营业务，优化产品结构</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天津美业科技有限公司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聚焦主营业务，优化产品结构</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厦门黑马蓝图联创企业管理合伙企业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聚焦主营业务，优化产品结构</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
        <w:rPr>
          <w:rFonts w:ascii="宋体" w:hAnsi="宋体" w:cs="宋体" w:eastAsia="宋体" w:hint="default"/>
          <w:sz w:val="23"/>
          <w:szCs w:val="23"/>
        </w:rPr>
      </w:pPr>
    </w:p>
    <w:p>
      <w:pPr>
        <w:pStyle w:val="BodyText"/>
        <w:spacing w:line="240" w:lineRule="auto" w:before="36"/>
        <w:ind w:left="575" w:right="0"/>
        <w:jc w:val="left"/>
      </w:pPr>
      <w:r>
        <w:rPr/>
        <w:t>（</w:t>
      </w:r>
      <w:r>
        <w:rPr>
          <w:rFonts w:ascii="宋体" w:hAnsi="宋体" w:cs="宋体" w:eastAsia="宋体" w:hint="default"/>
        </w:rPr>
        <w:t>1</w:t>
      </w:r>
      <w:r>
        <w:rPr/>
        <w:t>）北京天天不上班信息技术有限责任公司</w:t>
      </w:r>
    </w:p>
    <w:p>
      <w:pPr>
        <w:spacing w:line="240" w:lineRule="auto" w:before="9"/>
        <w:rPr>
          <w:rFonts w:ascii="宋体" w:hAnsi="宋体" w:cs="宋体" w:eastAsia="宋体" w:hint="default"/>
          <w:sz w:val="22"/>
          <w:szCs w:val="22"/>
        </w:rPr>
      </w:pPr>
    </w:p>
    <w:p>
      <w:pPr>
        <w:pStyle w:val="BodyText"/>
        <w:spacing w:line="352" w:lineRule="auto"/>
        <w:ind w:right="1123" w:firstLine="422"/>
        <w:jc w:val="both"/>
      </w:pPr>
      <w:r>
        <w:rPr/>
        <w:t>公司为北京天天不上班信息技术有限责任公司持股</w:t>
      </w:r>
      <w:r>
        <w:rPr>
          <w:spacing w:val="-21"/>
        </w:rPr>
        <w:t> </w:t>
      </w:r>
      <w:r>
        <w:rPr>
          <w:rFonts w:ascii="宋体" w:hAnsi="宋体" w:cs="宋体" w:eastAsia="宋体" w:hint="default"/>
        </w:rPr>
        <w:t>5.00%</w:t>
      </w:r>
      <w:r>
        <w:rPr/>
        <w:t>股东，拥有一席董事席位，其为权益法核算</w:t>
      </w:r>
      <w:r>
        <w:rPr>
          <w:w w:val="100"/>
        </w:rPr>
        <w:t> </w:t>
      </w:r>
      <w:r>
        <w:rPr/>
        <w:t>的参股公司。</w:t>
      </w:r>
    </w:p>
    <w:p>
      <w:pPr>
        <w:spacing w:line="240" w:lineRule="auto" w:before="5"/>
        <w:rPr>
          <w:rFonts w:ascii="宋体" w:hAnsi="宋体" w:cs="宋体" w:eastAsia="宋体" w:hint="default"/>
          <w:sz w:val="14"/>
          <w:szCs w:val="14"/>
        </w:rPr>
      </w:pPr>
    </w:p>
    <w:p>
      <w:pPr>
        <w:pStyle w:val="BodyText"/>
        <w:spacing w:line="240" w:lineRule="auto"/>
        <w:ind w:left="575" w:right="0"/>
        <w:jc w:val="left"/>
      </w:pPr>
      <w:r>
        <w:rPr/>
        <w:t>（</w:t>
      </w:r>
      <w:r>
        <w:rPr>
          <w:rFonts w:ascii="宋体" w:hAnsi="宋体" w:cs="宋体" w:eastAsia="宋体" w:hint="default"/>
        </w:rPr>
        <w:t>2</w:t>
      </w:r>
      <w:r>
        <w:rPr/>
        <w:t>）上海乂渠品牌管理有限公司</w:t>
      </w:r>
    </w:p>
    <w:p>
      <w:pPr>
        <w:spacing w:line="240" w:lineRule="auto" w:before="4"/>
        <w:rPr>
          <w:rFonts w:ascii="宋体" w:hAnsi="宋体" w:cs="宋体" w:eastAsia="宋体" w:hint="default"/>
          <w:sz w:val="22"/>
          <w:szCs w:val="22"/>
        </w:rPr>
      </w:pPr>
    </w:p>
    <w:p>
      <w:pPr>
        <w:pStyle w:val="BodyText"/>
        <w:spacing w:line="240" w:lineRule="auto"/>
        <w:ind w:left="575" w:right="0"/>
        <w:jc w:val="left"/>
      </w:pPr>
      <w:r>
        <w:rPr>
          <w:w w:val="100"/>
        </w:rPr>
        <w:t>公司为上</w:t>
      </w:r>
      <w:r>
        <w:rPr>
          <w:spacing w:val="-5"/>
          <w:w w:val="100"/>
        </w:rPr>
        <w:t>海</w:t>
      </w:r>
      <w:r>
        <w:rPr>
          <w:w w:val="100"/>
        </w:rPr>
        <w:t>乂渠品</w:t>
      </w:r>
      <w:r>
        <w:rPr>
          <w:spacing w:val="-5"/>
          <w:w w:val="100"/>
        </w:rPr>
        <w:t>牌</w:t>
      </w:r>
      <w:r>
        <w:rPr>
          <w:w w:val="100"/>
        </w:rPr>
        <w:t>管理有</w:t>
      </w:r>
      <w:r>
        <w:rPr>
          <w:spacing w:val="-5"/>
          <w:w w:val="100"/>
        </w:rPr>
        <w:t>限</w:t>
      </w:r>
      <w:r>
        <w:rPr>
          <w:w w:val="100"/>
        </w:rPr>
        <w:t>公司持股</w:t>
      </w:r>
      <w:r>
        <w:rPr>
          <w:spacing w:val="-56"/>
        </w:rPr>
        <w:t> </w:t>
      </w:r>
      <w:r>
        <w:rPr>
          <w:rFonts w:ascii="宋体" w:hAnsi="宋体" w:cs="宋体" w:eastAsia="宋体" w:hint="default"/>
          <w:w w:val="100"/>
        </w:rPr>
        <w:t>28.86%</w:t>
      </w:r>
      <w:r>
        <w:rPr>
          <w:spacing w:val="-5"/>
          <w:w w:val="100"/>
        </w:rPr>
        <w:t>股</w:t>
      </w:r>
      <w:r>
        <w:rPr>
          <w:w w:val="100"/>
        </w:rPr>
        <w:t>东</w:t>
      </w:r>
      <w:r>
        <w:rPr>
          <w:spacing w:val="-97"/>
          <w:w w:val="100"/>
        </w:rPr>
        <w:t>，</w:t>
      </w:r>
      <w:r>
        <w:rPr>
          <w:w w:val="100"/>
        </w:rPr>
        <w:t>拥有一席</w:t>
      </w:r>
      <w:r>
        <w:rPr>
          <w:spacing w:val="-5"/>
          <w:w w:val="100"/>
        </w:rPr>
        <w:t>董</w:t>
      </w:r>
      <w:r>
        <w:rPr>
          <w:w w:val="100"/>
        </w:rPr>
        <w:t>事席位</w:t>
      </w:r>
      <w:r>
        <w:rPr>
          <w:spacing w:val="-92"/>
          <w:w w:val="100"/>
        </w:rPr>
        <w:t>，</w:t>
      </w:r>
      <w:r>
        <w:rPr>
          <w:spacing w:val="-5"/>
          <w:w w:val="100"/>
        </w:rPr>
        <w:t>其</w:t>
      </w:r>
      <w:r>
        <w:rPr>
          <w:w w:val="100"/>
        </w:rPr>
        <w:t>为权益</w:t>
      </w:r>
      <w:r>
        <w:rPr>
          <w:spacing w:val="-5"/>
          <w:w w:val="100"/>
        </w:rPr>
        <w:t>法</w:t>
      </w:r>
      <w:r>
        <w:rPr>
          <w:w w:val="100"/>
        </w:rPr>
        <w:t>核算的</w:t>
      </w:r>
      <w:r>
        <w:rPr>
          <w:spacing w:val="-5"/>
          <w:w w:val="100"/>
        </w:rPr>
        <w:t>参</w:t>
      </w:r>
      <w:r>
        <w:rPr>
          <w:w w:val="100"/>
        </w:rPr>
        <w:t>股公司。</w:t>
      </w:r>
    </w:p>
    <w:p>
      <w:pPr>
        <w:spacing w:line="240" w:lineRule="auto" w:before="4"/>
        <w:rPr>
          <w:rFonts w:ascii="宋体" w:hAnsi="宋体" w:cs="宋体" w:eastAsia="宋体" w:hint="default"/>
          <w:sz w:val="22"/>
          <w:szCs w:val="22"/>
        </w:rPr>
      </w:pPr>
    </w:p>
    <w:p>
      <w:pPr>
        <w:pStyle w:val="BodyText"/>
        <w:spacing w:line="240" w:lineRule="auto"/>
        <w:ind w:left="575" w:right="0"/>
        <w:jc w:val="left"/>
      </w:pPr>
      <w:r>
        <w:rPr/>
        <w:t>（</w:t>
      </w:r>
      <w:r>
        <w:rPr>
          <w:rFonts w:ascii="宋体" w:hAnsi="宋体" w:cs="宋体" w:eastAsia="宋体" w:hint="default"/>
        </w:rPr>
        <w:t>3</w:t>
      </w:r>
      <w:r>
        <w:rPr/>
        <w:t>）广州博鳌纵横网络科技有限公司</w:t>
      </w:r>
    </w:p>
    <w:p>
      <w:pPr>
        <w:spacing w:line="240" w:lineRule="auto" w:before="4"/>
        <w:rPr>
          <w:rFonts w:ascii="宋体" w:hAnsi="宋体" w:cs="宋体" w:eastAsia="宋体" w:hint="default"/>
          <w:sz w:val="22"/>
          <w:szCs w:val="22"/>
        </w:rPr>
      </w:pPr>
    </w:p>
    <w:p>
      <w:pPr>
        <w:pStyle w:val="BodyText"/>
        <w:spacing w:line="355" w:lineRule="auto"/>
        <w:ind w:right="1122" w:firstLine="422"/>
        <w:jc w:val="both"/>
      </w:pPr>
      <w:r>
        <w:rPr>
          <w:rFonts w:ascii="宋体" w:hAnsi="宋体" w:cs="宋体" w:eastAsia="宋体" w:hint="default"/>
        </w:rPr>
        <w:t>2019</w:t>
      </w:r>
      <w:r>
        <w:rPr>
          <w:rFonts w:ascii="宋体" w:hAnsi="宋体" w:cs="宋体" w:eastAsia="宋体" w:hint="default"/>
          <w:spacing w:val="-46"/>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月，全资子公司黑马致通（嘉兴）投资管理有限公司以自有资金</w:t>
      </w:r>
      <w:r>
        <w:rPr>
          <w:spacing w:val="-44"/>
        </w:rPr>
        <w:t> </w:t>
      </w:r>
      <w:r>
        <w:rPr>
          <w:rFonts w:ascii="宋体" w:hAnsi="宋体" w:cs="宋体" w:eastAsia="宋体" w:hint="default"/>
        </w:rPr>
        <w:t>1,000.00</w:t>
      </w:r>
      <w:r>
        <w:rPr>
          <w:rFonts w:ascii="宋体" w:hAnsi="宋体" w:cs="宋体" w:eastAsia="宋体" w:hint="default"/>
          <w:spacing w:val="-47"/>
        </w:rPr>
        <w:t> </w:t>
      </w:r>
      <w:r>
        <w:rPr/>
        <w:t>万元，向广州博</w:t>
      </w:r>
      <w:r>
        <w:rPr>
          <w:w w:val="100"/>
        </w:rPr>
        <w:t> </w:t>
      </w:r>
      <w:r>
        <w:rPr/>
        <w:t>鳌纵横网络科技有限公司（以下简称“博鳌纵横”）增资。本次增资完成后公司持有其</w:t>
      </w:r>
      <w:r>
        <w:rPr>
          <w:spacing w:val="-19"/>
        </w:rPr>
        <w:t> </w:t>
      </w:r>
      <w:r>
        <w:rPr>
          <w:rFonts w:ascii="宋体" w:hAnsi="宋体" w:cs="宋体" w:eastAsia="宋体" w:hint="default"/>
        </w:rPr>
        <w:t>0.22%</w:t>
      </w:r>
      <w:r>
        <w:rPr/>
        <w:t>股权。为本</w:t>
      </w:r>
      <w:r>
        <w:rPr>
          <w:w w:val="100"/>
        </w:rPr>
        <w:t> </w:t>
      </w:r>
      <w:r>
        <w:rPr/>
        <w:t>期在非流动金融资产科目核算。</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w:t>
      </w:r>
      <w:r>
        <w:rPr>
          <w:rFonts w:ascii="宋体" w:hAnsi="宋体" w:cs="宋体" w:eastAsia="宋体" w:hint="default"/>
        </w:rPr>
        <w:t>4</w:t>
      </w:r>
      <w:r>
        <w:rPr/>
        <w:t>）北京创新黑马投资管理合伙企业（有限合伙）</w:t>
      </w:r>
    </w:p>
    <w:p>
      <w:pPr>
        <w:spacing w:line="240" w:lineRule="auto" w:before="9"/>
        <w:rPr>
          <w:rFonts w:ascii="宋体" w:hAnsi="宋体" w:cs="宋体" w:eastAsia="宋体" w:hint="default"/>
          <w:sz w:val="22"/>
          <w:szCs w:val="22"/>
        </w:rPr>
      </w:pPr>
    </w:p>
    <w:p>
      <w:pPr>
        <w:pStyle w:val="BodyText"/>
        <w:spacing w:line="357" w:lineRule="auto"/>
        <w:ind w:right="1120" w:firstLine="422"/>
        <w:jc w:val="both"/>
      </w:pPr>
      <w:r>
        <w:rPr>
          <w:rFonts w:ascii="宋体" w:hAnsi="宋体" w:cs="宋体" w:eastAsia="宋体" w:hint="default"/>
        </w:rPr>
        <w:t>2019</w:t>
      </w:r>
      <w:r>
        <w:rPr>
          <w:rFonts w:ascii="宋体" w:hAnsi="宋体" w:cs="宋体" w:eastAsia="宋体" w:hint="default"/>
          <w:spacing w:val="-45"/>
        </w:rPr>
        <w:t> </w:t>
      </w:r>
      <w:r>
        <w:rPr/>
        <w:t>年</w:t>
      </w:r>
      <w:r>
        <w:rPr>
          <w:spacing w:val="-46"/>
        </w:rPr>
        <w:t> </w:t>
      </w:r>
      <w:r>
        <w:rPr>
          <w:rFonts w:ascii="宋体" w:hAnsi="宋体" w:cs="宋体" w:eastAsia="宋体" w:hint="default"/>
        </w:rPr>
        <w:t>6</w:t>
      </w:r>
      <w:r>
        <w:rPr>
          <w:rFonts w:ascii="宋体" w:hAnsi="宋体" w:cs="宋体" w:eastAsia="宋体" w:hint="default"/>
          <w:spacing w:val="-46"/>
        </w:rPr>
        <w:t> </w:t>
      </w:r>
      <w:r>
        <w:rPr/>
        <w:t>月</w:t>
      </w:r>
      <w:r>
        <w:rPr>
          <w:spacing w:val="-46"/>
        </w:rPr>
        <w:t> </w:t>
      </w:r>
      <w:r>
        <w:rPr>
          <w:rFonts w:ascii="宋体" w:hAnsi="宋体" w:cs="宋体" w:eastAsia="宋体" w:hint="default"/>
        </w:rPr>
        <w:t>20</w:t>
      </w:r>
      <w:r>
        <w:rPr>
          <w:rFonts w:ascii="宋体" w:hAnsi="宋体" w:cs="宋体" w:eastAsia="宋体" w:hint="default"/>
          <w:spacing w:val="-46"/>
        </w:rPr>
        <w:t> </w:t>
      </w:r>
      <w:r>
        <w:rPr/>
        <w:t>日，公司第二届董事会第十二次会议审议通过了《关于对外投资参与设立有限合伙企</w:t>
      </w:r>
      <w:r>
        <w:rPr>
          <w:w w:val="100"/>
        </w:rPr>
        <w:t> </w:t>
      </w:r>
      <w:r>
        <w:rPr>
          <w:spacing w:val="-2"/>
          <w:w w:val="100"/>
        </w:rPr>
        <w:t>业的议案》，公司及下属控股子公司北京协同创新黑马投资管理有限公司（以下简称“黑马投资”）参与</w:t>
      </w:r>
      <w:r>
        <w:rPr>
          <w:spacing w:val="-95"/>
          <w:w w:val="100"/>
        </w:rPr>
        <w:t> </w:t>
      </w:r>
      <w:r>
        <w:rPr>
          <w:spacing w:val="-95"/>
          <w:w w:val="100"/>
        </w:rPr>
      </w:r>
      <w:r>
        <w:rPr>
          <w:spacing w:val="-7"/>
          <w:w w:val="100"/>
        </w:rPr>
        <w:t>设立北京创新黑马投资管理合伙企业（有限合伙）（以下简称“创新黑马”），其中公司作为有限合伙人以</w:t>
      </w:r>
      <w:r>
        <w:rPr>
          <w:spacing w:val="-67"/>
          <w:w w:val="100"/>
        </w:rPr>
        <w:t> </w:t>
      </w:r>
      <w:r>
        <w:rPr>
          <w:spacing w:val="-67"/>
          <w:w w:val="100"/>
        </w:rPr>
      </w:r>
      <w:r>
        <w:rPr/>
        <w:t>自有资金出资不超过</w:t>
      </w:r>
      <w:r>
        <w:rPr>
          <w:spacing w:val="-44"/>
        </w:rPr>
        <w:t> </w:t>
      </w:r>
      <w:r>
        <w:rPr>
          <w:rFonts w:ascii="宋体" w:hAnsi="宋体" w:cs="宋体" w:eastAsia="宋体" w:hint="default"/>
        </w:rPr>
        <w:t>6,500.00</w:t>
      </w:r>
      <w:r>
        <w:rPr>
          <w:rFonts w:ascii="宋体" w:hAnsi="宋体" w:cs="宋体" w:eastAsia="宋体" w:hint="default"/>
          <w:spacing w:val="-44"/>
        </w:rPr>
        <w:t> </w:t>
      </w:r>
      <w:r>
        <w:rPr>
          <w:spacing w:val="-3"/>
        </w:rPr>
        <w:t>万元，公司控股子公司黑马投资以自有资金出资不超过</w:t>
      </w:r>
      <w:r>
        <w:rPr>
          <w:spacing w:val="-35"/>
        </w:rPr>
        <w:t> </w:t>
      </w:r>
      <w:r>
        <w:rPr>
          <w:rFonts w:ascii="宋体" w:hAnsi="宋体" w:cs="宋体" w:eastAsia="宋体" w:hint="default"/>
        </w:rPr>
        <w:t>1,000.00</w:t>
      </w:r>
      <w:r>
        <w:rPr>
          <w:rFonts w:ascii="宋体" w:hAnsi="宋体" w:cs="宋体" w:eastAsia="宋体" w:hint="default"/>
          <w:spacing w:val="-38"/>
        </w:rPr>
        <w:t> </w:t>
      </w:r>
      <w:r>
        <w:rPr/>
        <w:t>万元并担</w:t>
      </w:r>
    </w:p>
    <w:p>
      <w:pPr>
        <w:pStyle w:val="BodyText"/>
        <w:spacing w:line="240" w:lineRule="auto" w:before="30"/>
        <w:ind w:right="0"/>
        <w:jc w:val="left"/>
      </w:pPr>
      <w:r>
        <w:rPr/>
        <w:t>任基金管理人。该基金已完成设立并于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5"/>
        </w:rPr>
        <w:t> </w:t>
      </w:r>
      <w:r>
        <w:rPr>
          <w:rFonts w:ascii="宋体" w:hAnsi="宋体" w:cs="宋体" w:eastAsia="宋体" w:hint="default"/>
          <w:spacing w:val="-3"/>
        </w:rPr>
        <w:t>31</w:t>
      </w:r>
      <w:r>
        <w:rPr>
          <w:rFonts w:ascii="宋体" w:hAnsi="宋体" w:cs="宋体" w:eastAsia="宋体" w:hint="default"/>
          <w:spacing w:val="-56"/>
        </w:rPr>
        <w:t> </w:t>
      </w:r>
      <w:r>
        <w:rPr/>
        <w:t>日完成私募投资基金备案。截至本报告期末，公司</w:t>
      </w:r>
    </w:p>
    <w:p>
      <w:pPr>
        <w:pStyle w:val="BodyText"/>
        <w:spacing w:line="352" w:lineRule="auto" w:before="133"/>
        <w:ind w:right="1109"/>
        <w:jc w:val="left"/>
      </w:pPr>
      <w:r>
        <w:rPr/>
        <w:t>及控股子公司黑马投资以自有资金 </w:t>
      </w:r>
      <w:r>
        <w:rPr>
          <w:rFonts w:ascii="宋体" w:hAnsi="宋体" w:cs="宋体" w:eastAsia="宋体" w:hint="default"/>
        </w:rPr>
        <w:t>3,000.00</w:t>
      </w:r>
      <w:r>
        <w:rPr>
          <w:rFonts w:ascii="宋体" w:hAnsi="宋体" w:cs="宋体" w:eastAsia="宋体" w:hint="default"/>
          <w:spacing w:val="-18"/>
        </w:rPr>
        <w:t> </w:t>
      </w:r>
      <w:r>
        <w:rPr/>
        <w:t>万元完成第一期实缴出资。且由于该合伙企业第二期实缴出</w:t>
      </w:r>
      <w:r>
        <w:rPr>
          <w:w w:val="100"/>
        </w:rPr>
        <w:t> </w:t>
      </w:r>
      <w:r>
        <w:rPr/>
        <w:t>资的期限尚未届满，公司及黑马投资尚未进行第二期实缴出资。</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3"/>
          <w:szCs w:val="23"/>
        </w:rPr>
      </w:pPr>
    </w:p>
    <w:p>
      <w:pPr>
        <w:pStyle w:val="BodyText"/>
        <w:spacing w:line="489" w:lineRule="auto"/>
        <w:ind w:left="575" w:right="4612"/>
        <w:jc w:val="left"/>
      </w:pPr>
      <w:r>
        <w:rPr/>
        <w:t>（一）行业格局及趋势</w:t>
      </w:r>
      <w:r>
        <w:rPr>
          <w:w w:val="100"/>
        </w:rPr>
        <w:t> </w:t>
      </w:r>
      <w:r>
        <w:rPr>
          <w:rFonts w:ascii="宋体" w:hAnsi="宋体" w:cs="宋体" w:eastAsia="宋体" w:hint="default"/>
          <w:spacing w:val="-1"/>
        </w:rPr>
        <w:t>1</w:t>
      </w:r>
      <w:r>
        <w:rPr>
          <w:spacing w:val="-1"/>
        </w:rPr>
        <w:t>、国家大力支持中小企业健康创新发展</w:t>
      </w:r>
    </w:p>
    <w:p>
      <w:pPr>
        <w:pStyle w:val="BodyText"/>
        <w:spacing w:line="352" w:lineRule="auto" w:before="78"/>
        <w:ind w:right="1125" w:firstLine="422"/>
        <w:jc w:val="both"/>
      </w:pPr>
      <w:r>
        <w:rPr>
          <w:spacing w:val="-2"/>
        </w:rPr>
        <w:t>国家持续大力支持中小企业健康发展，加大力度帮扶促进中小企业健康成长，优化扩宽中小企业发展</w:t>
      </w:r>
      <w:r>
        <w:rPr>
          <w:w w:val="100"/>
        </w:rPr>
        <w:t> </w:t>
      </w:r>
      <w:r>
        <w:rPr/>
        <w:t>所需的市场环境、营商环境、服务资源与人才供给。</w:t>
      </w:r>
    </w:p>
    <w:p>
      <w:pPr>
        <w:spacing w:line="240" w:lineRule="auto" w:before="1"/>
        <w:rPr>
          <w:rFonts w:ascii="宋体" w:hAnsi="宋体" w:cs="宋体" w:eastAsia="宋体" w:hint="default"/>
          <w:sz w:val="15"/>
          <w:szCs w:val="15"/>
        </w:rPr>
      </w:pPr>
    </w:p>
    <w:p>
      <w:pPr>
        <w:pStyle w:val="BodyText"/>
        <w:spacing w:line="355" w:lineRule="auto"/>
        <w:ind w:right="1125" w:firstLine="422"/>
        <w:jc w:val="both"/>
      </w:pPr>
      <w:r>
        <w:rPr>
          <w:spacing w:val="-2"/>
          <w:w w:val="100"/>
        </w:rPr>
        <w:t>针对营商环境及中小企业融资等问题，国家发布了《关于促进中小企业健康发展的指导意见》，国务</w:t>
      </w:r>
      <w:r>
        <w:rPr>
          <w:w w:val="100"/>
        </w:rPr>
        <w:t> </w:t>
      </w:r>
      <w:r>
        <w:rPr/>
        <w:t>院金融稳定发展委员会第 </w:t>
      </w:r>
      <w:r>
        <w:rPr>
          <w:rFonts w:ascii="宋体" w:hAnsi="宋体" w:cs="宋体" w:eastAsia="宋体" w:hint="default"/>
          <w:spacing w:val="-3"/>
        </w:rPr>
        <w:t>14</w:t>
      </w:r>
      <w:r>
        <w:rPr>
          <w:rFonts w:ascii="宋体" w:hAnsi="宋体" w:cs="宋体" w:eastAsia="宋体" w:hint="default"/>
          <w:spacing w:val="-13"/>
        </w:rPr>
        <w:t> </w:t>
      </w:r>
      <w:r>
        <w:rPr/>
        <w:t>次会议亦强调，金融支持对中小企业发展的重要性，拓宽优质中小企业直接</w:t>
      </w:r>
      <w:r>
        <w:rPr>
          <w:w w:val="100"/>
        </w:rPr>
        <w:t> </w:t>
      </w:r>
      <w:r>
        <w:rPr>
          <w:spacing w:val="-2"/>
        </w:rPr>
        <w:t>融资渠道，切实缓解中小企业融资面临的实际问题。从营造良好发展环境，破解融资难融资贵问题，完善</w:t>
      </w:r>
      <w:r>
        <w:rPr>
          <w:spacing w:val="-33"/>
        </w:rPr>
        <w:t> </w:t>
      </w:r>
      <w:r>
        <w:rPr>
          <w:spacing w:val="-33"/>
        </w:rPr>
      </w:r>
      <w:r>
        <w:rPr/>
        <w:t>财税支持政策，提升创新发展能力。</w:t>
      </w:r>
    </w:p>
    <w:p>
      <w:pPr>
        <w:spacing w:after="0" w:line="355" w:lineRule="auto"/>
        <w:jc w:val="both"/>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5" w:lineRule="auto" w:before="36"/>
        <w:ind w:right="1124" w:firstLine="422"/>
        <w:jc w:val="both"/>
      </w:pPr>
      <w:r>
        <w:rPr>
          <w:w w:val="100"/>
        </w:rPr>
        <w:t>此外</w:t>
      </w:r>
      <w:r>
        <w:rPr>
          <w:spacing w:val="-10"/>
          <w:w w:val="100"/>
        </w:rPr>
        <w:t>，</w:t>
      </w:r>
      <w:r>
        <w:rPr>
          <w:w w:val="100"/>
        </w:rPr>
        <w:t>针对企</w:t>
      </w:r>
      <w:r>
        <w:rPr>
          <w:spacing w:val="-5"/>
          <w:w w:val="100"/>
        </w:rPr>
        <w:t>业</w:t>
      </w:r>
      <w:r>
        <w:rPr>
          <w:w w:val="100"/>
        </w:rPr>
        <w:t>健康发</w:t>
      </w:r>
      <w:r>
        <w:rPr>
          <w:spacing w:val="-5"/>
          <w:w w:val="100"/>
        </w:rPr>
        <w:t>展</w:t>
      </w:r>
      <w:r>
        <w:rPr>
          <w:w w:val="100"/>
        </w:rPr>
        <w:t>所需人</w:t>
      </w:r>
      <w:r>
        <w:rPr>
          <w:spacing w:val="-5"/>
          <w:w w:val="100"/>
        </w:rPr>
        <w:t>才</w:t>
      </w:r>
      <w:r>
        <w:rPr>
          <w:w w:val="100"/>
        </w:rPr>
        <w:t>供给</w:t>
      </w:r>
      <w:r>
        <w:rPr>
          <w:spacing w:val="-116"/>
          <w:w w:val="100"/>
        </w:rPr>
        <w:t>，</w:t>
      </w:r>
      <w:r>
        <w:rPr>
          <w:w w:val="100"/>
        </w:rPr>
        <w:t>《国</w:t>
      </w:r>
      <w:r>
        <w:rPr>
          <w:spacing w:val="-5"/>
          <w:w w:val="100"/>
        </w:rPr>
        <w:t>家</w:t>
      </w:r>
      <w:r>
        <w:rPr>
          <w:w w:val="100"/>
        </w:rPr>
        <w:t>职</w:t>
      </w:r>
      <w:r>
        <w:rPr>
          <w:spacing w:val="-5"/>
          <w:w w:val="100"/>
        </w:rPr>
        <w:t>业</w:t>
      </w:r>
      <w:r>
        <w:rPr>
          <w:w w:val="100"/>
        </w:rPr>
        <w:t>教育改革</w:t>
      </w:r>
      <w:r>
        <w:rPr>
          <w:spacing w:val="-5"/>
          <w:w w:val="100"/>
        </w:rPr>
        <w:t>实</w:t>
      </w:r>
      <w:r>
        <w:rPr>
          <w:w w:val="100"/>
        </w:rPr>
        <w:t>施方案</w:t>
      </w:r>
      <w:r>
        <w:rPr>
          <w:spacing w:val="-116"/>
          <w:w w:val="100"/>
        </w:rPr>
        <w:t>》</w:t>
      </w:r>
      <w:r>
        <w:rPr>
          <w:w w:val="100"/>
        </w:rPr>
        <w:t>《关</w:t>
      </w:r>
      <w:r>
        <w:rPr>
          <w:spacing w:val="-5"/>
          <w:w w:val="100"/>
        </w:rPr>
        <w:t>于</w:t>
      </w:r>
      <w:r>
        <w:rPr>
          <w:w w:val="100"/>
        </w:rPr>
        <w:t>促进</w:t>
      </w:r>
      <w:r>
        <w:rPr>
          <w:spacing w:val="-5"/>
          <w:w w:val="100"/>
        </w:rPr>
        <w:t>在</w:t>
      </w:r>
      <w:r>
        <w:rPr>
          <w:w w:val="100"/>
        </w:rPr>
        <w:t>线教育</w:t>
      </w:r>
      <w:r>
        <w:rPr>
          <w:spacing w:val="-5"/>
          <w:w w:val="100"/>
        </w:rPr>
        <w:t>健</w:t>
      </w:r>
      <w:r>
        <w:rPr>
          <w:w w:val="100"/>
        </w:rPr>
        <w:t>康发展</w:t>
      </w:r>
      <w:r>
        <w:rPr>
          <w:w w:val="100"/>
        </w:rPr>
        <w:t> 的指导意见</w:t>
      </w:r>
      <w:r>
        <w:rPr>
          <w:spacing w:val="-111"/>
          <w:w w:val="100"/>
        </w:rPr>
        <w:t>》</w:t>
      </w:r>
      <w:r>
        <w:rPr>
          <w:w w:val="100"/>
        </w:rPr>
        <w:t>《中国</w:t>
      </w:r>
      <w:r>
        <w:rPr>
          <w:spacing w:val="-5"/>
          <w:w w:val="100"/>
        </w:rPr>
        <w:t>教</w:t>
      </w:r>
      <w:r>
        <w:rPr>
          <w:w w:val="100"/>
        </w:rPr>
        <w:t>育现代化</w:t>
      </w:r>
      <w:r>
        <w:rPr>
          <w:spacing w:val="-23"/>
        </w:rPr>
        <w:t> </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35</w:t>
      </w:r>
      <w:r>
        <w:rPr>
          <w:w w:val="100"/>
        </w:rPr>
        <w:t>》等</w:t>
      </w:r>
      <w:r>
        <w:rPr>
          <w:spacing w:val="-5"/>
          <w:w w:val="100"/>
        </w:rPr>
        <w:t>政</w:t>
      </w:r>
      <w:r>
        <w:rPr>
          <w:w w:val="100"/>
        </w:rPr>
        <w:t>策以及</w:t>
      </w:r>
      <w:r>
        <w:rPr>
          <w:spacing w:val="-5"/>
          <w:w w:val="100"/>
        </w:rPr>
        <w:t>党</w:t>
      </w:r>
      <w:r>
        <w:rPr>
          <w:w w:val="100"/>
        </w:rPr>
        <w:t>的十九届</w:t>
      </w:r>
      <w:r>
        <w:rPr>
          <w:spacing w:val="-5"/>
          <w:w w:val="100"/>
        </w:rPr>
        <w:t>四</w:t>
      </w:r>
      <w:r>
        <w:rPr>
          <w:w w:val="100"/>
        </w:rPr>
        <w:t>中全会</w:t>
      </w:r>
      <w:r>
        <w:rPr>
          <w:spacing w:val="-5"/>
          <w:w w:val="100"/>
        </w:rPr>
        <w:t>提</w:t>
      </w:r>
      <w:r>
        <w:rPr>
          <w:w w:val="100"/>
        </w:rPr>
        <w:t>出“要</w:t>
      </w:r>
      <w:r>
        <w:rPr>
          <w:spacing w:val="-5"/>
          <w:w w:val="100"/>
        </w:rPr>
        <w:t>健</w:t>
      </w:r>
      <w:r>
        <w:rPr>
          <w:w w:val="100"/>
        </w:rPr>
        <w:t>全有利</w:t>
      </w:r>
      <w:r>
        <w:rPr>
          <w:spacing w:val="-5"/>
          <w:w w:val="100"/>
        </w:rPr>
        <w:t>于</w:t>
      </w:r>
      <w:r>
        <w:rPr>
          <w:w w:val="100"/>
        </w:rPr>
        <w:t>更充分</w:t>
      </w:r>
      <w:r>
        <w:rPr>
          <w:spacing w:val="-5"/>
          <w:w w:val="100"/>
        </w:rPr>
        <w:t>更</w:t>
      </w:r>
      <w:r>
        <w:rPr>
          <w:w w:val="100"/>
        </w:rPr>
        <w:t>高质</w:t>
      </w:r>
      <w:r>
        <w:rPr>
          <w:w w:val="100"/>
        </w:rPr>
        <w:t> 量就业的</w:t>
      </w:r>
      <w:r>
        <w:rPr>
          <w:spacing w:val="-5"/>
          <w:w w:val="100"/>
        </w:rPr>
        <w:t>促</w:t>
      </w:r>
      <w:r>
        <w:rPr>
          <w:w w:val="100"/>
        </w:rPr>
        <w:t>进机制</w:t>
      </w:r>
      <w:r>
        <w:rPr>
          <w:spacing w:val="-5"/>
          <w:w w:val="100"/>
        </w:rPr>
        <w:t>，</w:t>
      </w:r>
      <w:r>
        <w:rPr>
          <w:w w:val="100"/>
        </w:rPr>
        <w:t>构建服</w:t>
      </w:r>
      <w:r>
        <w:rPr>
          <w:spacing w:val="-5"/>
          <w:w w:val="100"/>
        </w:rPr>
        <w:t>务</w:t>
      </w:r>
      <w:r>
        <w:rPr>
          <w:w w:val="100"/>
        </w:rPr>
        <w:t>全民终</w:t>
      </w:r>
      <w:r>
        <w:rPr>
          <w:spacing w:val="-5"/>
          <w:w w:val="100"/>
        </w:rPr>
        <w:t>身</w:t>
      </w:r>
      <w:r>
        <w:rPr>
          <w:w w:val="100"/>
        </w:rPr>
        <w:t>学习的</w:t>
      </w:r>
      <w:r>
        <w:rPr>
          <w:spacing w:val="-5"/>
          <w:w w:val="100"/>
        </w:rPr>
        <w:t>教</w:t>
      </w:r>
      <w:r>
        <w:rPr>
          <w:w w:val="100"/>
        </w:rPr>
        <w:t>育</w:t>
      </w:r>
      <w:r>
        <w:rPr>
          <w:spacing w:val="-5"/>
          <w:w w:val="100"/>
        </w:rPr>
        <w:t>体</w:t>
      </w:r>
      <w:r>
        <w:rPr>
          <w:w w:val="100"/>
        </w:rPr>
        <w:t>系</w:t>
      </w:r>
      <w:r>
        <w:rPr>
          <w:spacing w:val="-106"/>
          <w:w w:val="100"/>
        </w:rPr>
        <w:t>”</w:t>
      </w:r>
      <w:r>
        <w:rPr>
          <w:w w:val="100"/>
        </w:rPr>
        <w:t>。</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、在线教育服务前景广阔</w:t>
      </w:r>
    </w:p>
    <w:p>
      <w:pPr>
        <w:spacing w:line="240" w:lineRule="auto" w:before="4"/>
        <w:rPr>
          <w:rFonts w:ascii="宋体" w:hAnsi="宋体" w:cs="宋体" w:eastAsia="宋体" w:hint="default"/>
          <w:sz w:val="22"/>
          <w:szCs w:val="22"/>
        </w:rPr>
      </w:pPr>
    </w:p>
    <w:p>
      <w:pPr>
        <w:pStyle w:val="BodyText"/>
        <w:spacing w:line="357" w:lineRule="auto"/>
        <w:ind w:right="0" w:firstLine="422"/>
        <w:jc w:val="left"/>
      </w:pPr>
      <w:r>
        <w:rPr/>
        <w:t>艾瑞咨询数据显示，从宏观背景来看，我国终身教育产业规模超</w:t>
      </w:r>
      <w:r>
        <w:rPr>
          <w:spacing w:val="-40"/>
        </w:rPr>
        <w:t> </w:t>
      </w:r>
      <w:r>
        <w:rPr>
          <w:rFonts w:ascii="宋体" w:hAnsi="宋体" w:cs="宋体" w:eastAsia="宋体" w:hint="default"/>
        </w:rPr>
        <w:t>824</w:t>
      </w:r>
      <w:r>
        <w:rPr>
          <w:rFonts w:ascii="宋体" w:hAnsi="宋体" w:cs="宋体" w:eastAsia="宋体" w:hint="default"/>
          <w:spacing w:val="-43"/>
        </w:rPr>
        <w:t> </w:t>
      </w:r>
      <w:r>
        <w:rPr/>
        <w:t>亿元，未来预计将保持</w:t>
      </w:r>
      <w:r>
        <w:rPr>
          <w:spacing w:val="-42"/>
        </w:rPr>
        <w:t> </w:t>
      </w:r>
      <w:r>
        <w:rPr>
          <w:rFonts w:ascii="宋体" w:hAnsi="宋体" w:cs="宋体" w:eastAsia="宋体" w:hint="default"/>
        </w:rPr>
        <w:t>16.4%</w:t>
      </w:r>
      <w:r>
        <w:rPr/>
        <w:t>的</w:t>
      </w:r>
      <w:r>
        <w:rPr>
          <w:w w:val="100"/>
        </w:rPr>
        <w:t> </w:t>
      </w:r>
      <w:r>
        <w:rPr/>
        <w:t>复核增长率，</w:t>
      </w:r>
      <w:r>
        <w:rPr>
          <w:rFonts w:ascii="宋体" w:hAnsi="宋体" w:cs="宋体" w:eastAsia="宋体" w:hint="default"/>
        </w:rPr>
        <w:t>2023</w:t>
      </w:r>
      <w:r>
        <w:rPr>
          <w:rFonts w:ascii="宋体" w:hAnsi="宋体" w:cs="宋体" w:eastAsia="宋体" w:hint="default"/>
          <w:spacing w:val="-43"/>
        </w:rPr>
        <w:t> </w:t>
      </w:r>
      <w:r>
        <w:rPr/>
        <w:t>年将达到</w:t>
      </w:r>
      <w:r>
        <w:rPr>
          <w:spacing w:val="-43"/>
        </w:rPr>
        <w:t> </w:t>
      </w:r>
      <w:r>
        <w:rPr>
          <w:rFonts w:ascii="宋体" w:hAnsi="宋体" w:cs="宋体" w:eastAsia="宋体" w:hint="default"/>
        </w:rPr>
        <w:t>1488.8</w:t>
      </w:r>
      <w:r>
        <w:rPr>
          <w:rFonts w:ascii="宋体" w:hAnsi="宋体" w:cs="宋体" w:eastAsia="宋体" w:hint="default"/>
          <w:spacing w:val="-42"/>
        </w:rPr>
        <w:t> </w:t>
      </w:r>
      <w:r>
        <w:rPr/>
        <w:t>亿元。该产业将以线上服务为增长引擎，以线下服务为支柱，形成线</w:t>
      </w:r>
      <w:r>
        <w:rPr>
          <w:w w:val="100"/>
        </w:rPr>
        <w:t> </w:t>
      </w:r>
      <w:r>
        <w:rPr/>
        <w:t>上线下更均衡的收入结构。目前，在线教育服务用户规模的扩展仍处于中早期，潜在用户规模持续扩大。</w:t>
      </w:r>
      <w:r>
        <w:rPr>
          <w:spacing w:val="-28"/>
        </w:rPr>
        <w:t> </w:t>
      </w:r>
      <w:r>
        <w:rPr>
          <w:spacing w:val="-28"/>
        </w:rPr>
      </w:r>
      <w:r>
        <w:rPr/>
        <w:t>未来，能够构建灵活学习场景的在线教育产业将为教育产业增长提供巨大动能。</w:t>
      </w:r>
    </w:p>
    <w:p>
      <w:pPr>
        <w:spacing w:line="240" w:lineRule="auto" w:before="1"/>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3</w:t>
      </w:r>
      <w:r>
        <w:rPr/>
        <w:t>、疫情将助推在线教育与企业服务行业高成长</w:t>
      </w:r>
    </w:p>
    <w:p>
      <w:pPr>
        <w:spacing w:line="240" w:lineRule="auto" w:before="9"/>
        <w:rPr>
          <w:rFonts w:ascii="宋体" w:hAnsi="宋体" w:cs="宋体" w:eastAsia="宋体" w:hint="default"/>
          <w:sz w:val="22"/>
          <w:szCs w:val="22"/>
        </w:rPr>
      </w:pPr>
    </w:p>
    <w:p>
      <w:pPr>
        <w:pStyle w:val="BodyText"/>
        <w:spacing w:line="355" w:lineRule="auto"/>
        <w:ind w:right="1126" w:firstLine="422"/>
        <w:jc w:val="both"/>
      </w:pPr>
      <w:r>
        <w:rPr>
          <w:spacing w:val="-2"/>
        </w:rPr>
        <w:t>一方面，新冠肺炎疫情肆虐，线下教育等行业遭遇重创，大量企业面临转型升级的挑战，产生学习提</w:t>
      </w:r>
      <w:r>
        <w:rPr>
          <w:w w:val="100"/>
        </w:rPr>
        <w:t> </w:t>
      </w:r>
      <w:r>
        <w:rPr>
          <w:spacing w:val="-2"/>
        </w:rPr>
        <w:t>升需求；另一方面，在线办公、在线教育等行业迎来业务的爆发增长，已经提前布局的平台无疑具有先发</w:t>
      </w:r>
      <w:r>
        <w:rPr>
          <w:spacing w:val="-33"/>
        </w:rPr>
        <w:t> </w:t>
      </w:r>
      <w:r>
        <w:rPr>
          <w:spacing w:val="-33"/>
        </w:rPr>
      </w:r>
      <w:r>
        <w:rPr/>
        <w:t>优势。</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（二）公司发展战略及经营计划</w:t>
      </w:r>
    </w:p>
    <w:p>
      <w:pPr>
        <w:spacing w:line="240" w:lineRule="auto" w:before="4"/>
        <w:rPr>
          <w:rFonts w:ascii="宋体" w:hAnsi="宋体" w:cs="宋体" w:eastAsia="宋体" w:hint="default"/>
          <w:sz w:val="22"/>
          <w:szCs w:val="22"/>
        </w:rPr>
      </w:pPr>
    </w:p>
    <w:p>
      <w:pPr>
        <w:pStyle w:val="BodyText"/>
        <w:spacing w:line="355" w:lineRule="auto"/>
        <w:ind w:right="0" w:firstLine="422"/>
        <w:jc w:val="left"/>
      </w:pPr>
      <w:r>
        <w:rPr/>
        <w:t>基于公司核心业务及竞争优势为基础，确定了“产业加速云平台”的发展战略。通过构建可标准化、</w:t>
      </w:r>
      <w:r>
        <w:rPr>
          <w:w w:val="100"/>
        </w:rPr>
        <w:t> </w:t>
      </w:r>
      <w:r>
        <w:rPr>
          <w:spacing w:val="-2"/>
        </w:rPr>
        <w:t>规模化的独特平台服务体系，围绕创业企业和中小企业全生命周期的成长需求，提供全方位在线辅导培训</w:t>
      </w:r>
      <w:r>
        <w:rPr>
          <w:spacing w:val="-31"/>
        </w:rPr>
        <w:t> </w:t>
      </w:r>
      <w:r>
        <w:rPr>
          <w:spacing w:val="-31"/>
        </w:rPr>
      </w:r>
      <w:r>
        <w:rPr/>
        <w:t>和一站式企业严选服务。</w:t>
      </w:r>
    </w:p>
    <w:p>
      <w:pPr>
        <w:spacing w:line="240" w:lineRule="auto" w:before="8"/>
        <w:rPr>
          <w:rFonts w:ascii="宋体" w:hAnsi="宋体" w:cs="宋体" w:eastAsia="宋体" w:hint="default"/>
          <w:sz w:val="14"/>
          <w:szCs w:val="14"/>
        </w:rPr>
      </w:pPr>
    </w:p>
    <w:p>
      <w:pPr>
        <w:pStyle w:val="BodyText"/>
        <w:spacing w:line="355" w:lineRule="auto"/>
        <w:ind w:right="1121" w:firstLine="422"/>
        <w:jc w:val="both"/>
      </w:pPr>
      <w:r>
        <w:rPr>
          <w:spacing w:val="-2"/>
        </w:rPr>
        <w:t>“产业加速服务云平台”的建设，将创业黑马的创业服务有辅导培训从线下延伸到线上实现全链条的</w:t>
      </w:r>
      <w:r>
        <w:rPr>
          <w:w w:val="100"/>
        </w:rPr>
        <w:t> </w:t>
      </w:r>
      <w:r>
        <w:rPr>
          <w:spacing w:val="-2"/>
        </w:rPr>
        <w:t>综合加速服务，用户从创业企业扩展到更大量的中小企业群体。通过批量聚合优质导师、课程体系、知识</w:t>
      </w:r>
      <w:r>
        <w:rPr>
          <w:spacing w:val="-33"/>
        </w:rPr>
        <w:t> </w:t>
      </w:r>
      <w:r>
        <w:rPr>
          <w:spacing w:val="-33"/>
        </w:rPr>
      </w:r>
      <w:r>
        <w:rPr>
          <w:spacing w:val="-2"/>
        </w:rPr>
        <w:t>体系和严选企业服务资源，形成充分的服务供给能力和服务生态；通过在线智能服务系统，可满足海量中</w:t>
      </w:r>
      <w:r>
        <w:rPr>
          <w:spacing w:val="-33"/>
        </w:rPr>
        <w:t> </w:t>
      </w:r>
      <w:r>
        <w:rPr>
          <w:spacing w:val="-33"/>
        </w:rPr>
      </w:r>
      <w:r>
        <w:rPr/>
        <w:t>小企业用户需求的精准匹配；最终实现公司业务可规模化发展的平台效应。</w:t>
      </w:r>
    </w:p>
    <w:p>
      <w:pPr>
        <w:spacing w:line="240" w:lineRule="auto" w:before="3"/>
        <w:rPr>
          <w:rFonts w:ascii="宋体" w:hAnsi="宋体" w:cs="宋体" w:eastAsia="宋体" w:hint="default"/>
          <w:sz w:val="14"/>
          <w:szCs w:val="14"/>
        </w:rPr>
      </w:pPr>
    </w:p>
    <w:p>
      <w:pPr>
        <w:pStyle w:val="BodyText"/>
        <w:spacing w:line="494" w:lineRule="auto"/>
        <w:ind w:left="575" w:right="4612"/>
        <w:jc w:val="left"/>
      </w:pPr>
      <w:r>
        <w:rPr>
          <w:spacing w:val="-2"/>
        </w:rPr>
        <w:t>“产业加速服务云平台”核心为中小企业提供两类服务：</w:t>
      </w:r>
      <w:r>
        <w:rPr>
          <w:spacing w:val="-53"/>
        </w:rPr>
        <w:t> </w:t>
      </w:r>
      <w:r>
        <w:rPr>
          <w:spacing w:val="-53"/>
        </w:rPr>
      </w:r>
      <w:r>
        <w:rPr/>
        <w:t>服务一：在线辅导培训</w:t>
      </w:r>
    </w:p>
    <w:p>
      <w:pPr>
        <w:pStyle w:val="BodyText"/>
        <w:spacing w:line="357" w:lineRule="auto" w:before="69"/>
        <w:ind w:right="1119" w:firstLine="422"/>
        <w:jc w:val="both"/>
      </w:pPr>
      <w:r>
        <w:rPr/>
        <w:t>基于创业黑马 </w:t>
      </w:r>
      <w:r>
        <w:rPr>
          <w:rFonts w:ascii="宋体" w:hAnsi="宋体" w:cs="宋体" w:eastAsia="宋体" w:hint="default"/>
          <w:spacing w:val="-3"/>
        </w:rPr>
        <w:t>10</w:t>
      </w:r>
      <w:r>
        <w:rPr>
          <w:rFonts w:ascii="宋体" w:hAnsi="宋体" w:cs="宋体" w:eastAsia="宋体" w:hint="default"/>
          <w:spacing w:val="-11"/>
        </w:rPr>
        <w:t> </w:t>
      </w:r>
      <w:r>
        <w:rPr/>
        <w:t>年的创业辅导培训经验及资源积累，让最优质、最稀缺的导师资源、商业思想和方</w:t>
      </w:r>
      <w:r>
        <w:rPr>
          <w:w w:val="100"/>
        </w:rPr>
        <w:t> </w:t>
      </w:r>
      <w:r>
        <w:rPr>
          <w:spacing w:val="-2"/>
          <w:w w:val="100"/>
        </w:rPr>
        <w:t>法论，通过在线辅导培训的方式可以服务到国内大量的创业企业和中小企业高管（</w:t>
      </w:r>
      <w:r>
        <w:rPr>
          <w:rFonts w:ascii="宋体" w:hAnsi="宋体" w:cs="宋体" w:eastAsia="宋体" w:hint="default"/>
          <w:spacing w:val="-2"/>
          <w:w w:val="100"/>
        </w:rPr>
        <w:t>2C</w:t>
      </w:r>
      <w:r>
        <w:rPr>
          <w:spacing w:val="-2"/>
          <w:w w:val="100"/>
        </w:rPr>
        <w:t>）及组织（</w:t>
      </w:r>
      <w:r>
        <w:rPr>
          <w:rFonts w:ascii="宋体" w:hAnsi="宋体" w:cs="宋体" w:eastAsia="宋体" w:hint="default"/>
          <w:spacing w:val="-2"/>
          <w:w w:val="100"/>
        </w:rPr>
        <w:t>2B</w:t>
      </w:r>
      <w:r>
        <w:rPr>
          <w:spacing w:val="-2"/>
          <w:w w:val="100"/>
        </w:rPr>
        <w:t>），为</w:t>
      </w:r>
      <w:r>
        <w:rPr>
          <w:spacing w:val="-88"/>
          <w:w w:val="100"/>
        </w:rPr>
        <w:t> </w:t>
      </w:r>
      <w:r>
        <w:rPr>
          <w:spacing w:val="-88"/>
          <w:w w:val="100"/>
        </w:rPr>
      </w:r>
      <w:r>
        <w:rPr/>
        <w:t>中国企业培育出新时代的优秀管理者和创新组织。</w:t>
      </w:r>
    </w:p>
    <w:p>
      <w:pPr>
        <w:spacing w:line="240" w:lineRule="auto" w:before="5"/>
        <w:rPr>
          <w:rFonts w:ascii="宋体" w:hAnsi="宋体" w:cs="宋体" w:eastAsia="宋体" w:hint="default"/>
          <w:sz w:val="14"/>
          <w:szCs w:val="14"/>
        </w:rPr>
      </w:pPr>
    </w:p>
    <w:p>
      <w:pPr>
        <w:pStyle w:val="BodyText"/>
        <w:spacing w:line="357" w:lineRule="auto"/>
        <w:ind w:right="1125" w:firstLine="422"/>
        <w:jc w:val="both"/>
      </w:pPr>
      <w:r>
        <w:rPr/>
        <w:t>在线培训业务，以线上“录播系列课</w:t>
      </w:r>
      <w:r>
        <w:rPr>
          <w:rFonts w:ascii="宋体" w:hAnsi="宋体" w:cs="宋体" w:eastAsia="宋体" w:hint="default"/>
        </w:rPr>
        <w:t>+</w:t>
      </w:r>
      <w:r>
        <w:rPr/>
        <w:t>直播问诊课”为形式教授战略、模式、组织效率、爆款产品、</w:t>
      </w:r>
      <w:r>
        <w:rPr>
          <w:w w:val="100"/>
        </w:rPr>
        <w:t> </w:t>
      </w:r>
      <w:r>
        <w:rPr>
          <w:spacing w:val="-2"/>
        </w:rPr>
        <w:t>创新领导力等课程，使其掌握成为新一代优秀领导者、管理者、创新组织的关键技能。录播课程，将采用</w:t>
      </w:r>
      <w:r>
        <w:rPr>
          <w:spacing w:val="-38"/>
        </w:rPr>
        <w:t> </w:t>
      </w:r>
      <w:r>
        <w:rPr>
          <w:spacing w:val="-38"/>
        </w:rPr>
      </w:r>
      <w:r>
        <w:rPr>
          <w:spacing w:val="-2"/>
        </w:rPr>
        <w:t>先进的技术手段实现用户在线学习更好的体验；直播课程，将学习和答疑结合，满足学员的互动需求和学</w:t>
      </w:r>
      <w:r>
        <w:rPr>
          <w:spacing w:val="-33"/>
        </w:rPr>
        <w:t> </w:t>
      </w:r>
      <w:r>
        <w:rPr>
          <w:spacing w:val="-33"/>
        </w:rPr>
      </w:r>
      <w:r>
        <w:rPr/>
        <w:t>习效果的巩固。</w:t>
      </w:r>
    </w:p>
    <w:p>
      <w:pPr>
        <w:spacing w:after="0" w:line="357" w:lineRule="auto"/>
        <w:jc w:val="both"/>
        <w:sectPr>
          <w:pgSz w:w="11910" w:h="16840"/>
          <w:pgMar w:header="741" w:footer="979" w:top="1060" w:bottom="1160" w:left="980" w:right="0"/>
        </w:sectPr>
      </w:pPr>
    </w:p>
    <w:p>
      <w:pPr>
        <w:spacing w:line="240" w:lineRule="auto" w:before="1"/>
        <w:rPr>
          <w:rFonts w:ascii="宋体" w:hAnsi="宋体" w:cs="宋体" w:eastAsia="宋体" w:hint="default"/>
          <w:sz w:val="23"/>
          <w:szCs w:val="23"/>
        </w:rPr>
      </w:pPr>
    </w:p>
    <w:p>
      <w:pPr>
        <w:pStyle w:val="BodyText"/>
        <w:spacing w:line="240" w:lineRule="auto" w:before="36"/>
        <w:ind w:left="575" w:right="0"/>
        <w:jc w:val="left"/>
      </w:pPr>
      <w:r>
        <w:rPr/>
        <w:t>服务二：在线严选企业服务</w:t>
      </w:r>
    </w:p>
    <w:p>
      <w:pPr>
        <w:spacing w:line="240" w:lineRule="auto" w:before="9"/>
        <w:rPr>
          <w:rFonts w:ascii="宋体" w:hAnsi="宋体" w:cs="宋体" w:eastAsia="宋体" w:hint="default"/>
          <w:sz w:val="22"/>
          <w:szCs w:val="22"/>
        </w:rPr>
      </w:pPr>
    </w:p>
    <w:p>
      <w:pPr>
        <w:pStyle w:val="BodyText"/>
        <w:spacing w:line="355" w:lineRule="auto"/>
        <w:ind w:right="1121" w:firstLine="422"/>
        <w:jc w:val="both"/>
      </w:pPr>
      <w:r>
        <w:rPr>
          <w:spacing w:val="-2"/>
        </w:rPr>
        <w:t>本业务将整合市场现有的优质企业服务资源，基于中小企业的标准化共性需求进行集约型服务资源采</w:t>
      </w:r>
      <w:r>
        <w:rPr>
          <w:w w:val="100"/>
        </w:rPr>
        <w:t> </w:t>
      </w:r>
      <w:r>
        <w:rPr>
          <w:spacing w:val="-2"/>
        </w:rPr>
        <w:t>购，让过去只为大企业提供专业服务的企业级服务头部品牌，释放出专业的服务能力和的服务品质、以较</w:t>
      </w:r>
      <w:r>
        <w:rPr>
          <w:spacing w:val="-33"/>
        </w:rPr>
        <w:t> </w:t>
      </w:r>
      <w:r>
        <w:rPr>
          <w:spacing w:val="-33"/>
        </w:rPr>
      </w:r>
      <w:r>
        <w:rPr/>
        <w:t>优惠的服务价格普惠到中小企业，以此形成有竞争力的价格体系和服务品质。</w:t>
      </w:r>
    </w:p>
    <w:p>
      <w:pPr>
        <w:spacing w:line="240" w:lineRule="auto" w:before="8"/>
        <w:rPr>
          <w:rFonts w:ascii="宋体" w:hAnsi="宋体" w:cs="宋体" w:eastAsia="宋体" w:hint="default"/>
          <w:sz w:val="14"/>
          <w:szCs w:val="14"/>
        </w:rPr>
      </w:pPr>
    </w:p>
    <w:p>
      <w:pPr>
        <w:pStyle w:val="BodyText"/>
        <w:spacing w:line="357" w:lineRule="auto"/>
        <w:ind w:right="1125" w:firstLine="422"/>
        <w:jc w:val="both"/>
      </w:pPr>
      <w:r>
        <w:rPr>
          <w:spacing w:val="-2"/>
        </w:rPr>
        <w:t>总体来看，辅导培训服务和企业严选服务，均是面向一个用户群体提供的不同成长加速服务。通过创</w:t>
      </w:r>
      <w:r>
        <w:rPr>
          <w:w w:val="100"/>
        </w:rPr>
        <w:t> </w:t>
      </w:r>
      <w:r>
        <w:rPr>
          <w:spacing w:val="-2"/>
          <w:w w:val="100"/>
        </w:rPr>
        <w:t>业黑马的“产业加速服务云平台”，在用户获取上两种服务互为入口，在服务上又相互加持用户的服务周</w:t>
      </w:r>
      <w:r>
        <w:rPr>
          <w:spacing w:val="-99"/>
          <w:w w:val="100"/>
        </w:rPr>
        <w:t> </w:t>
      </w:r>
      <w:r>
        <w:rPr>
          <w:spacing w:val="-99"/>
          <w:w w:val="100"/>
        </w:rPr>
      </w:r>
      <w:r>
        <w:rPr/>
        <w:t>期和黏性，彼此促进，交叉增长</w:t>
      </w:r>
    </w:p>
    <w:p>
      <w:pPr>
        <w:spacing w:line="240" w:lineRule="auto" w:before="1"/>
        <w:rPr>
          <w:rFonts w:ascii="宋体" w:hAnsi="宋体" w:cs="宋体" w:eastAsia="宋体" w:hint="default"/>
          <w:sz w:val="14"/>
          <w:szCs w:val="14"/>
        </w:rPr>
      </w:pPr>
    </w:p>
    <w:p>
      <w:pPr>
        <w:pStyle w:val="BodyText"/>
        <w:spacing w:line="494" w:lineRule="auto"/>
        <w:ind w:left="575" w:right="6287"/>
        <w:jc w:val="left"/>
      </w:pPr>
      <w:r>
        <w:rPr>
          <w:spacing w:val="-1"/>
        </w:rPr>
        <w:t>（三）可能面临的风险及应对措施</w:t>
      </w:r>
      <w:r>
        <w:rPr>
          <w:spacing w:val="-88"/>
        </w:rPr>
        <w:t> </w:t>
      </w:r>
      <w:r>
        <w:rPr>
          <w:spacing w:val="-88"/>
        </w:rPr>
      </w:r>
      <w:r>
        <w:rPr>
          <w:rFonts w:ascii="宋体" w:hAnsi="宋体" w:cs="宋体" w:eastAsia="宋体" w:hint="default"/>
        </w:rPr>
        <w:t>1</w:t>
      </w:r>
      <w:r>
        <w:rPr/>
        <w:t>、市场竞争加剧的风险</w:t>
      </w:r>
    </w:p>
    <w:p>
      <w:pPr>
        <w:pStyle w:val="BodyText"/>
        <w:spacing w:line="355" w:lineRule="auto" w:before="69"/>
        <w:ind w:right="1126" w:firstLine="422"/>
        <w:jc w:val="both"/>
      </w:pPr>
      <w:r>
        <w:rPr>
          <w:spacing w:val="-2"/>
        </w:rPr>
        <w:t>创业培训辅导行业是教育培训行业与企业服务行业叠加形成的垂直细分行业，服务群体是国内中小企</w:t>
      </w:r>
      <w:r>
        <w:rPr>
          <w:w w:val="100"/>
        </w:rPr>
        <w:t> </w:t>
      </w:r>
      <w:r>
        <w:rPr>
          <w:spacing w:val="-7"/>
        </w:rPr>
        <w:t>业及企业主。创业培训辅导行业参与者来源广泛，既有各类创新型孵化器、创客空间，也有企业咨询机构，</w:t>
      </w:r>
      <w:r>
        <w:rPr>
          <w:spacing w:val="-12"/>
        </w:rPr>
        <w:t> </w:t>
      </w:r>
      <w:r>
        <w:rPr>
          <w:spacing w:val="-12"/>
        </w:rPr>
      </w:r>
      <w:r>
        <w:rPr>
          <w:spacing w:val="-2"/>
        </w:rPr>
        <w:t>以及众多教育机构等，市场竞争激烈。同时，线上线下的融合服务发展趋势，降低行业门槛，市场竞争进</w:t>
      </w:r>
      <w:r>
        <w:rPr>
          <w:spacing w:val="-38"/>
        </w:rPr>
        <w:t> </w:t>
      </w:r>
      <w:r>
        <w:rPr>
          <w:spacing w:val="-38"/>
        </w:rPr>
      </w:r>
      <w:r>
        <w:rPr/>
        <w:t>一步加剧。</w:t>
      </w:r>
    </w:p>
    <w:p>
      <w:pPr>
        <w:spacing w:line="240" w:lineRule="auto" w:before="8"/>
        <w:rPr>
          <w:rFonts w:ascii="宋体" w:hAnsi="宋体" w:cs="宋体" w:eastAsia="宋体" w:hint="default"/>
          <w:sz w:val="14"/>
          <w:szCs w:val="14"/>
        </w:rPr>
      </w:pPr>
    </w:p>
    <w:p>
      <w:pPr>
        <w:pStyle w:val="BodyText"/>
        <w:spacing w:line="355" w:lineRule="auto"/>
        <w:ind w:right="1125" w:firstLine="422"/>
        <w:jc w:val="both"/>
      </w:pPr>
      <w:r>
        <w:rPr>
          <w:spacing w:val="-2"/>
        </w:rPr>
        <w:t>公司顺应市场发展，依靠自身独有的服务模式，结合长期积累的资源与服务优势，持续建设线上线下</w:t>
      </w:r>
      <w:r>
        <w:rPr>
          <w:w w:val="100"/>
        </w:rPr>
        <w:t> </w:t>
      </w:r>
      <w:r>
        <w:rPr/>
        <w:t>一体化的产业服务平台，强化竞争力，促使公司发展保持领先地位。</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、在线业务开拓风险</w:t>
      </w:r>
    </w:p>
    <w:p>
      <w:pPr>
        <w:spacing w:line="240" w:lineRule="auto" w:before="9"/>
        <w:rPr>
          <w:rFonts w:ascii="宋体" w:hAnsi="宋体" w:cs="宋体" w:eastAsia="宋体" w:hint="default"/>
          <w:sz w:val="22"/>
          <w:szCs w:val="22"/>
        </w:rPr>
      </w:pPr>
    </w:p>
    <w:p>
      <w:pPr>
        <w:pStyle w:val="BodyText"/>
        <w:spacing w:line="355" w:lineRule="auto"/>
        <w:ind w:right="1119" w:firstLine="422"/>
        <w:jc w:val="both"/>
      </w:pPr>
      <w:r>
        <w:rPr/>
        <w:t>未来伴随 </w:t>
      </w:r>
      <w:r>
        <w:rPr>
          <w:rFonts w:ascii="宋体" w:hAnsi="宋体" w:cs="宋体" w:eastAsia="宋体" w:hint="default"/>
        </w:rPr>
        <w:t>5G</w:t>
      </w:r>
      <w:r>
        <w:rPr>
          <w:rFonts w:ascii="宋体" w:hAnsi="宋体" w:cs="宋体" w:eastAsia="宋体" w:hint="default"/>
          <w:spacing w:val="-16"/>
        </w:rPr>
        <w:t> </w:t>
      </w:r>
      <w:r>
        <w:rPr/>
        <w:t>通信技术发展，在线教育行业将自模式、技术、应用等层面发生较大变化，用户习惯与</w:t>
      </w:r>
      <w:r>
        <w:rPr>
          <w:w w:val="100"/>
        </w:rPr>
        <w:t> </w:t>
      </w:r>
      <w:r>
        <w:rPr>
          <w:spacing w:val="-2"/>
        </w:rPr>
        <w:t>需求也将随之改变。公司在线业务建设，将有力助推公司规模化发展，但前期需要一定规模投入，并受市</w:t>
      </w:r>
      <w:r>
        <w:rPr>
          <w:spacing w:val="-33"/>
        </w:rPr>
        <w:t> </w:t>
      </w:r>
      <w:r>
        <w:rPr>
          <w:spacing w:val="-33"/>
        </w:rPr>
      </w:r>
      <w:r>
        <w:rPr>
          <w:spacing w:val="-2"/>
        </w:rPr>
        <w:t>场、管理、团队经验等因素影响，在线业务建设将面临较高的风险。若公司在线业务发展未能达预期，将</w:t>
      </w:r>
      <w:r>
        <w:rPr>
          <w:spacing w:val="-38"/>
        </w:rPr>
        <w:t> </w:t>
      </w:r>
      <w:r>
        <w:rPr>
          <w:spacing w:val="-38"/>
        </w:rPr>
      </w:r>
      <w:r>
        <w:rPr/>
        <w:t>对公司经营业绩造成一定不利影响。</w:t>
      </w:r>
    </w:p>
    <w:p>
      <w:pPr>
        <w:spacing w:line="240" w:lineRule="auto" w:before="13"/>
        <w:rPr>
          <w:rFonts w:ascii="宋体" w:hAnsi="宋体" w:cs="宋体" w:eastAsia="宋体" w:hint="default"/>
          <w:sz w:val="14"/>
          <w:szCs w:val="14"/>
        </w:rPr>
      </w:pPr>
    </w:p>
    <w:p>
      <w:pPr>
        <w:pStyle w:val="BodyText"/>
        <w:spacing w:line="352" w:lineRule="auto"/>
        <w:ind w:right="1120" w:firstLine="422"/>
        <w:jc w:val="both"/>
      </w:pPr>
      <w:r>
        <w:rPr>
          <w:spacing w:val="-2"/>
        </w:rPr>
        <w:t>公司在线业务建设将顺应行业及技术发展趋势，凭借积累的资源与渠道网络，持续强化技术储备，聚</w:t>
      </w:r>
      <w:r>
        <w:rPr>
          <w:w w:val="100"/>
        </w:rPr>
        <w:t> </w:t>
      </w:r>
      <w:r>
        <w:rPr/>
        <w:t>焦用户需求，升级服务产品，并通过平台化运营模式，合理管控在线业务建设，降低业务开拓风险。</w:t>
      </w:r>
    </w:p>
    <w:p>
      <w:pPr>
        <w:spacing w:line="240" w:lineRule="auto" w:before="5"/>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3</w:t>
      </w:r>
      <w:r>
        <w:rPr/>
        <w:t>、持续的研发投入对公司业务影响</w:t>
      </w:r>
    </w:p>
    <w:p>
      <w:pPr>
        <w:spacing w:line="240" w:lineRule="auto" w:before="9"/>
        <w:rPr>
          <w:rFonts w:ascii="宋体" w:hAnsi="宋体" w:cs="宋体" w:eastAsia="宋体" w:hint="default"/>
          <w:sz w:val="22"/>
          <w:szCs w:val="22"/>
        </w:rPr>
      </w:pPr>
    </w:p>
    <w:p>
      <w:pPr>
        <w:pStyle w:val="BodyText"/>
        <w:spacing w:line="352" w:lineRule="auto"/>
        <w:ind w:right="1118" w:firstLine="422"/>
        <w:jc w:val="both"/>
      </w:pPr>
      <w:r>
        <w:rPr/>
        <w:t>近三年，公司研发投入金额年均维持在</w:t>
      </w:r>
      <w:r>
        <w:rPr>
          <w:spacing w:val="-60"/>
        </w:rPr>
        <w:t> </w:t>
      </w:r>
      <w:r>
        <w:rPr>
          <w:rFonts w:ascii="宋体" w:hAnsi="宋体" w:cs="宋体" w:eastAsia="宋体" w:hint="default"/>
        </w:rPr>
        <w:t>1,000</w:t>
      </w:r>
      <w:r>
        <w:rPr>
          <w:rFonts w:ascii="宋体" w:hAnsi="宋体" w:cs="宋体" w:eastAsia="宋体" w:hint="default"/>
          <w:spacing w:val="-60"/>
        </w:rPr>
        <w:t> </w:t>
      </w:r>
      <w:r>
        <w:rPr/>
        <w:t>万元上下。研发投入主要服务于公司培训辅导业务，伴</w:t>
      </w:r>
      <w:r>
        <w:rPr>
          <w:w w:val="100"/>
        </w:rPr>
        <w:t> </w:t>
      </w:r>
      <w:r>
        <w:rPr/>
        <w:t>随业务平台化发展，需要持续投入较大资金，将对公司利润产生一定影响。</w:t>
      </w:r>
    </w:p>
    <w:p>
      <w:pPr>
        <w:spacing w:line="240" w:lineRule="auto" w:before="1"/>
        <w:rPr>
          <w:rFonts w:ascii="宋体" w:hAnsi="宋体" w:cs="宋体" w:eastAsia="宋体" w:hint="default"/>
          <w:sz w:val="15"/>
          <w:szCs w:val="15"/>
        </w:rPr>
      </w:pPr>
    </w:p>
    <w:p>
      <w:pPr>
        <w:pStyle w:val="BodyText"/>
        <w:spacing w:line="352" w:lineRule="auto"/>
        <w:ind w:right="1125" w:firstLine="422"/>
        <w:jc w:val="both"/>
      </w:pPr>
      <w:r>
        <w:rPr>
          <w:spacing w:val="-2"/>
        </w:rPr>
        <w:t>公司将通过合理项目规划，从业务发展需求出发，建设服务功能模块，提升公司研发投入投产使用效</w:t>
      </w:r>
      <w:r>
        <w:rPr>
          <w:w w:val="100"/>
        </w:rPr>
        <w:t> </w:t>
      </w:r>
      <w:r>
        <w:rPr/>
        <w:t>率及效果。</w:t>
      </w:r>
    </w:p>
    <w:p>
      <w:pPr>
        <w:spacing w:line="240" w:lineRule="auto" w:before="5"/>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4</w:t>
      </w:r>
      <w:r>
        <w:rPr/>
        <w:t>、人员管理与人才流失的风险</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5" w:lineRule="auto" w:before="36"/>
        <w:ind w:right="1120" w:firstLine="422"/>
        <w:jc w:val="both"/>
      </w:pPr>
      <w:r>
        <w:rPr>
          <w:spacing w:val="-2"/>
        </w:rPr>
        <w:t>培训辅导行业属于人才密集型智力服务行业，对人才要求度高，专业人才稀缺。然而随着行业发展进</w:t>
      </w:r>
      <w:r>
        <w:rPr>
          <w:w w:val="100"/>
        </w:rPr>
        <w:t> </w:t>
      </w:r>
      <w:r>
        <w:rPr>
          <w:spacing w:val="-2"/>
        </w:rPr>
        <w:t>一步加剧市场竞争，业内各方对人才争夺激烈。如果公司未来无法建立更加人性化的管理机制，拓宽人才</w:t>
      </w:r>
      <w:r>
        <w:rPr>
          <w:spacing w:val="-33"/>
        </w:rPr>
        <w:t> </w:t>
      </w:r>
      <w:r>
        <w:rPr>
          <w:spacing w:val="-33"/>
        </w:rPr>
      </w:r>
      <w:r>
        <w:rPr/>
        <w:t>引入渠道，将导致人才流失，对公司经营造成不利影响。</w:t>
      </w:r>
    </w:p>
    <w:p>
      <w:pPr>
        <w:spacing w:line="240" w:lineRule="auto" w:before="13"/>
        <w:rPr>
          <w:rFonts w:ascii="宋体" w:hAnsi="宋体" w:cs="宋体" w:eastAsia="宋体" w:hint="default"/>
          <w:sz w:val="14"/>
          <w:szCs w:val="14"/>
        </w:rPr>
      </w:pPr>
    </w:p>
    <w:p>
      <w:pPr>
        <w:pStyle w:val="BodyText"/>
        <w:spacing w:line="352" w:lineRule="auto"/>
        <w:ind w:right="1120" w:firstLine="422"/>
        <w:jc w:val="both"/>
      </w:pPr>
      <w:r>
        <w:rPr>
          <w:spacing w:val="-2"/>
        </w:rPr>
        <w:t>公司持续优化合理的人才成长体系与激励机制，推动员工与公司共同成长。同时，公司拥有灵活丰富</w:t>
      </w:r>
      <w:r>
        <w:rPr>
          <w:w w:val="100"/>
        </w:rPr>
        <w:t> </w:t>
      </w:r>
      <w:r>
        <w:rPr/>
        <w:t>的人才引进机制，对优秀人才具有较强吸引力，保障公司组织结构健康稳定成长。</w:t>
      </w:r>
    </w:p>
    <w:p>
      <w:pPr>
        <w:spacing w:line="240" w:lineRule="auto" w:before="10"/>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5</w:t>
      </w:r>
      <w:r>
        <w:rPr/>
        <w:t>、新冠肺炎疫情对公司经营造成不利影响的风险</w:t>
      </w:r>
    </w:p>
    <w:p>
      <w:pPr>
        <w:spacing w:line="240" w:lineRule="auto" w:before="4"/>
        <w:rPr>
          <w:rFonts w:ascii="宋体" w:hAnsi="宋体" w:cs="宋体" w:eastAsia="宋体" w:hint="default"/>
          <w:sz w:val="22"/>
          <w:szCs w:val="22"/>
        </w:rPr>
      </w:pPr>
    </w:p>
    <w:p>
      <w:pPr>
        <w:pStyle w:val="BodyText"/>
        <w:spacing w:line="355" w:lineRule="auto"/>
        <w:ind w:right="1125" w:firstLine="422"/>
        <w:jc w:val="both"/>
      </w:pPr>
      <w:r>
        <w:rPr>
          <w:spacing w:val="-2"/>
        </w:rPr>
        <w:t>受新冠肺炎疫情影响，公司主营业务培训辅导，线下课程交付推迟，对公司收入利润形成重大不利影</w:t>
      </w:r>
      <w:r>
        <w:rPr>
          <w:w w:val="100"/>
        </w:rPr>
        <w:t> </w:t>
      </w:r>
      <w:r>
        <w:rPr>
          <w:spacing w:val="-2"/>
        </w:rPr>
        <w:t>响。若疫情持续未得到广泛控制或消除，公司服务的中小企业，将面临存亡考验。国内庞大规模的中小企</w:t>
      </w:r>
      <w:r>
        <w:rPr>
          <w:spacing w:val="-33"/>
        </w:rPr>
        <w:t> </w:t>
      </w:r>
      <w:r>
        <w:rPr>
          <w:spacing w:val="-33"/>
        </w:rPr>
      </w:r>
      <w:r>
        <w:rPr/>
        <w:t>业，构成公司持续成长源泉。客群基数的快速减少，可能在未来一段期间，直接影响公司业务增长。</w:t>
      </w:r>
    </w:p>
    <w:p>
      <w:pPr>
        <w:spacing w:line="240" w:lineRule="auto" w:before="13"/>
        <w:rPr>
          <w:rFonts w:ascii="宋体" w:hAnsi="宋体" w:cs="宋体" w:eastAsia="宋体" w:hint="default"/>
          <w:sz w:val="14"/>
          <w:szCs w:val="14"/>
        </w:rPr>
      </w:pPr>
    </w:p>
    <w:p>
      <w:pPr>
        <w:pStyle w:val="BodyText"/>
        <w:spacing w:line="355" w:lineRule="auto"/>
        <w:ind w:right="1119" w:firstLine="422"/>
        <w:jc w:val="both"/>
      </w:pPr>
      <w:r>
        <w:rPr>
          <w:spacing w:val="-2"/>
        </w:rPr>
        <w:t>公司采取多种积极措施，减少疫情对公司业务开展带来的直接冲击。一方面，公司联合导师及相关资</w:t>
      </w:r>
      <w:r>
        <w:rPr>
          <w:w w:val="100"/>
        </w:rPr>
        <w:t> </w:t>
      </w:r>
      <w:r>
        <w:rPr>
          <w:spacing w:val="-2"/>
        </w:rPr>
        <w:t>源，向武汉捐钱捐物；另一方面，公司在敏锐意识到疫情对中小企业生存的重大不利影响后，于春节假期</w:t>
      </w:r>
      <w:r>
        <w:rPr>
          <w:spacing w:val="-33"/>
        </w:rPr>
        <w:t> </w:t>
      </w:r>
      <w:r>
        <w:rPr>
          <w:spacing w:val="-33"/>
        </w:rPr>
      </w:r>
      <w:r>
        <w:rPr/>
        <w:t>内迅速行动，联手公司导师及机构，利用全网资源渠道，开启了长达</w:t>
      </w:r>
      <w:r>
        <w:rPr>
          <w:spacing w:val="-60"/>
        </w:rPr>
        <w:t> </w:t>
      </w:r>
      <w:r>
        <w:rPr>
          <w:rFonts w:ascii="宋体" w:hAnsi="宋体" w:cs="宋体" w:eastAsia="宋体" w:hint="default"/>
        </w:rPr>
        <w:t>1</w:t>
      </w:r>
      <w:r>
        <w:rPr>
          <w:rFonts w:ascii="宋体" w:hAnsi="宋体" w:cs="宋体" w:eastAsia="宋体" w:hint="default"/>
          <w:spacing w:val="-62"/>
        </w:rPr>
        <w:t> </w:t>
      </w:r>
      <w:r>
        <w:rPr/>
        <w:t>个月的公益直播课。为疫情下困境</w:t>
      </w:r>
      <w:r>
        <w:rPr>
          <w:w w:val="100"/>
        </w:rPr>
        <w:t> </w:t>
      </w:r>
      <w:r>
        <w:rPr>
          <w:spacing w:val="-2"/>
        </w:rPr>
        <w:t>中的中小企业，及时送上纾困策略与帮扶服务。公司积极响应国家防疫抗疫同时，快速复工复产。通过在</w:t>
      </w:r>
      <w:r>
        <w:rPr>
          <w:spacing w:val="-33"/>
        </w:rPr>
        <w:t> </w:t>
      </w:r>
      <w:r>
        <w:rPr>
          <w:spacing w:val="-33"/>
        </w:rPr>
      </w:r>
      <w:r>
        <w:rPr/>
        <w:t>线办公形式，快速实现了全员在岗，强有力的保障了公司业务开展。</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180"/>
        <w:gridCol w:w="2175"/>
        <w:gridCol w:w="2180"/>
        <w:gridCol w:w="3039"/>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7"/>
                <w:sz w:val="18"/>
                <w:szCs w:val="18"/>
              </w:rPr>
              <w:t> </w:t>
            </w:r>
            <w:hyperlink r:id="rId11">
              <w:r>
                <w:rPr>
                  <w:rFonts w:ascii="Times New Roman" w:hAnsi="Times New Roman" w:cs="Times New Roman" w:eastAsia="Times New Roman" w:hint="default"/>
                  <w:spacing w:val="-3"/>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五节重要事项" w:id="61"/>
      <w:bookmarkEnd w:id="61"/>
      <w:r>
        <w:rPr>
          <w:b w:val="0"/>
          <w:bCs w:val="0"/>
        </w:rPr>
      </w:r>
      <w:bookmarkStart w:name="_bookmark4" w:id="62"/>
      <w:bookmarkEnd w:id="62"/>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355" w:lineRule="auto"/>
        <w:ind w:right="1017" w:firstLine="422"/>
        <w:jc w:val="left"/>
      </w:pPr>
      <w:r>
        <w:rPr>
          <w:spacing w:val="-5"/>
        </w:rPr>
        <w:t>报告期内，公司严格按照相关利润分配政策和审议程序实施利润分配方案，分红标准和分红比例明确、</w:t>
      </w:r>
      <w:r>
        <w:rPr>
          <w:w w:val="100"/>
        </w:rPr>
        <w:t> </w:t>
      </w:r>
      <w:r>
        <w:rPr/>
        <w:t>清晰，相关的决策程序和机制完备；相关议案经由公司董事会、监事会审议后提交股东大会审议，公司独</w:t>
      </w:r>
      <w:r>
        <w:rPr>
          <w:w w:val="100"/>
        </w:rPr>
        <w:t> </w:t>
      </w:r>
      <w:r>
        <w:rPr/>
        <w:t>立董事发表了独立意见；并在分配方案审议通过后的 </w:t>
      </w:r>
      <w:r>
        <w:rPr>
          <w:rFonts w:ascii="宋体" w:hAnsi="宋体" w:cs="宋体" w:eastAsia="宋体" w:hint="default"/>
        </w:rPr>
        <w:t>2</w:t>
      </w:r>
      <w:r>
        <w:rPr>
          <w:rFonts w:ascii="宋体" w:hAnsi="宋体" w:cs="宋体" w:eastAsia="宋体" w:hint="default"/>
          <w:spacing w:val="-31"/>
        </w:rPr>
        <w:t> </w:t>
      </w:r>
      <w:r>
        <w:rPr/>
        <w:t>个月内进行了权益分派，保证了全体股东的利益。</w:t>
      </w:r>
    </w:p>
    <w:p>
      <w:pPr>
        <w:spacing w:line="240" w:lineRule="auto" w:before="8"/>
        <w:rPr>
          <w:rFonts w:ascii="宋体" w:hAnsi="宋体" w:cs="宋体" w:eastAsia="宋体" w:hint="default"/>
          <w:sz w:val="14"/>
          <w:szCs w:val="14"/>
        </w:rPr>
      </w:pPr>
    </w:p>
    <w:p>
      <w:pPr>
        <w:pStyle w:val="BodyText"/>
        <w:spacing w:line="352" w:lineRule="auto"/>
        <w:ind w:right="0" w:firstLine="422"/>
        <w:jc w:val="left"/>
      </w:pPr>
      <w:r>
        <w:rPr/>
        <w:t>经公司</w:t>
      </w:r>
      <w:r>
        <w:rPr>
          <w:spacing w:val="-51"/>
        </w:rPr>
        <w:t> </w:t>
      </w:r>
      <w:r>
        <w:rPr>
          <w:rFonts w:ascii="宋体" w:hAnsi="宋体" w:cs="宋体" w:eastAsia="宋体" w:hint="default"/>
        </w:rPr>
        <w:t>2018</w:t>
      </w:r>
      <w:r>
        <w:rPr>
          <w:rFonts w:ascii="宋体" w:hAnsi="宋体" w:cs="宋体" w:eastAsia="宋体" w:hint="default"/>
          <w:spacing w:val="-56"/>
        </w:rPr>
        <w:t> </w:t>
      </w:r>
      <w:r>
        <w:rPr/>
        <w:t>年年度权益分派方案已分别获</w:t>
      </w:r>
      <w:r>
        <w:rPr>
          <w:spacing w:val="-51"/>
        </w:rPr>
        <w:t> </w:t>
      </w:r>
      <w:r>
        <w:rPr>
          <w:rFonts w:ascii="宋体" w:hAnsi="宋体" w:cs="宋体" w:eastAsia="宋体" w:hint="default"/>
        </w:rPr>
        <w:t>2019</w:t>
      </w:r>
      <w:r>
        <w:rPr>
          <w:rFonts w:ascii="宋体" w:hAnsi="宋体" w:cs="宋体" w:eastAsia="宋体" w:hint="default"/>
          <w:spacing w:val="-56"/>
        </w:rPr>
        <w:t> </w:t>
      </w:r>
      <w:r>
        <w:rPr/>
        <w:t>年</w:t>
      </w:r>
      <w:r>
        <w:rPr>
          <w:spacing w:val="-52"/>
        </w:rPr>
        <w:t> </w:t>
      </w:r>
      <w:r>
        <w:rPr>
          <w:rFonts w:ascii="宋体" w:hAnsi="宋体" w:cs="宋体" w:eastAsia="宋体" w:hint="default"/>
        </w:rPr>
        <w:t>4</w:t>
      </w:r>
      <w:r>
        <w:rPr>
          <w:rFonts w:ascii="宋体" w:hAnsi="宋体" w:cs="宋体" w:eastAsia="宋体" w:hint="default"/>
          <w:spacing w:val="-56"/>
        </w:rPr>
        <w:t> </w:t>
      </w:r>
      <w:r>
        <w:rPr/>
        <w:t>月</w:t>
      </w:r>
      <w:r>
        <w:rPr>
          <w:spacing w:val="-52"/>
        </w:rPr>
        <w:t> </w:t>
      </w:r>
      <w:r>
        <w:rPr>
          <w:rFonts w:ascii="宋体" w:hAnsi="宋体" w:cs="宋体" w:eastAsia="宋体" w:hint="default"/>
        </w:rPr>
        <w:t>25</w:t>
      </w:r>
      <w:r>
        <w:rPr>
          <w:rFonts w:ascii="宋体" w:hAnsi="宋体" w:cs="宋体" w:eastAsia="宋体" w:hint="default"/>
          <w:spacing w:val="-52"/>
        </w:rPr>
        <w:t> </w:t>
      </w:r>
      <w:r>
        <w:rPr>
          <w:spacing w:val="-13"/>
        </w:rPr>
        <w:t>日、</w:t>
      </w:r>
      <w:r>
        <w:rPr>
          <w:rFonts w:ascii="宋体" w:hAnsi="宋体" w:cs="宋体" w:eastAsia="宋体" w:hint="default"/>
          <w:spacing w:val="-13"/>
        </w:rPr>
        <w:t>2019</w:t>
      </w:r>
      <w:r>
        <w:rPr>
          <w:rFonts w:ascii="宋体" w:hAnsi="宋体" w:cs="宋体" w:eastAsia="宋体" w:hint="default"/>
          <w:spacing w:val="-56"/>
        </w:rPr>
        <w:t> </w:t>
      </w:r>
      <w:r>
        <w:rPr/>
        <w:t>年</w:t>
      </w:r>
      <w:r>
        <w:rPr>
          <w:spacing w:val="-52"/>
        </w:rPr>
        <w:t> </w:t>
      </w:r>
      <w:r>
        <w:rPr>
          <w:rFonts w:ascii="宋体" w:hAnsi="宋体" w:cs="宋体" w:eastAsia="宋体" w:hint="default"/>
        </w:rPr>
        <w:t>5</w:t>
      </w:r>
      <w:r>
        <w:rPr>
          <w:rFonts w:ascii="宋体" w:hAnsi="宋体" w:cs="宋体" w:eastAsia="宋体" w:hint="default"/>
          <w:spacing w:val="-52"/>
        </w:rPr>
        <w:t> </w:t>
      </w:r>
      <w:r>
        <w:rPr/>
        <w:t>月</w:t>
      </w:r>
      <w:r>
        <w:rPr>
          <w:spacing w:val="-51"/>
        </w:rPr>
        <w:t> </w:t>
      </w:r>
      <w:r>
        <w:rPr>
          <w:rFonts w:ascii="宋体" w:hAnsi="宋体" w:cs="宋体" w:eastAsia="宋体" w:hint="default"/>
        </w:rPr>
        <w:t>17</w:t>
      </w:r>
      <w:r>
        <w:rPr>
          <w:rFonts w:ascii="宋体" w:hAnsi="宋体" w:cs="宋体" w:eastAsia="宋体" w:hint="default"/>
          <w:spacing w:val="-56"/>
        </w:rPr>
        <w:t> </w:t>
      </w:r>
      <w:r>
        <w:rPr/>
        <w:t>日召开的第二届董事会</w:t>
      </w:r>
      <w:r>
        <w:rPr>
          <w:w w:val="100"/>
        </w:rPr>
        <w:t> </w:t>
      </w:r>
      <w:r>
        <w:rPr/>
        <w:t>第九次会议、</w:t>
      </w:r>
      <w:r>
        <w:rPr>
          <w:rFonts w:ascii="宋体" w:hAnsi="宋体" w:cs="宋体" w:eastAsia="宋体" w:hint="default"/>
        </w:rPr>
        <w:t>2018</w:t>
      </w:r>
      <w:r>
        <w:rPr>
          <w:rFonts w:ascii="宋体" w:hAnsi="宋体" w:cs="宋体" w:eastAsia="宋体" w:hint="default"/>
          <w:spacing w:val="-48"/>
        </w:rPr>
        <w:t> </w:t>
      </w:r>
      <w:r>
        <w:rPr/>
        <w:t>年年度股东大会审议通过分。</w:t>
      </w:r>
    </w:p>
    <w:p>
      <w:pPr>
        <w:spacing w:line="240" w:lineRule="auto" w:before="1"/>
        <w:rPr>
          <w:rFonts w:ascii="宋体" w:hAnsi="宋体" w:cs="宋体" w:eastAsia="宋体" w:hint="default"/>
          <w:sz w:val="15"/>
          <w:szCs w:val="15"/>
        </w:rPr>
      </w:pPr>
    </w:p>
    <w:p>
      <w:pPr>
        <w:pStyle w:val="BodyText"/>
        <w:spacing w:line="240" w:lineRule="auto"/>
        <w:ind w:left="575" w:right="0"/>
        <w:jc w:val="left"/>
        <w:rPr>
          <w:rFonts w:ascii="宋体" w:hAnsi="宋体" w:cs="宋体" w:eastAsia="宋体" w:hint="default"/>
        </w:rPr>
      </w:pPr>
      <w:r>
        <w:rPr>
          <w:w w:val="100"/>
        </w:rPr>
        <w:t>通</w:t>
      </w:r>
      <w:r>
        <w:rPr>
          <w:spacing w:val="-77"/>
          <w:w w:val="100"/>
        </w:rPr>
        <w:t>过</w:t>
      </w:r>
      <w:r>
        <w:rPr>
          <w:w w:val="100"/>
        </w:rPr>
        <w:t>《</w:t>
      </w:r>
      <w:r>
        <w:rPr>
          <w:rFonts w:ascii="宋体" w:hAnsi="宋体" w:cs="宋体" w:eastAsia="宋体" w:hint="default"/>
          <w:w w:val="100"/>
        </w:rPr>
        <w:t>2018</w:t>
      </w:r>
      <w:r>
        <w:rPr>
          <w:rFonts w:ascii="宋体" w:hAnsi="宋体" w:cs="宋体" w:eastAsia="宋体" w:hint="default"/>
          <w:spacing w:val="-57"/>
        </w:rPr>
        <w:t> </w:t>
      </w:r>
      <w:r>
        <w:rPr>
          <w:w w:val="100"/>
        </w:rPr>
        <w:t>年度利</w:t>
      </w:r>
      <w:r>
        <w:rPr>
          <w:spacing w:val="-5"/>
          <w:w w:val="100"/>
        </w:rPr>
        <w:t>润</w:t>
      </w:r>
      <w:r>
        <w:rPr>
          <w:w w:val="100"/>
        </w:rPr>
        <w:t>分配</w:t>
      </w:r>
      <w:r>
        <w:rPr>
          <w:spacing w:val="-5"/>
          <w:w w:val="100"/>
        </w:rPr>
        <w:t>预</w:t>
      </w:r>
      <w:r>
        <w:rPr>
          <w:w w:val="100"/>
        </w:rPr>
        <w:t>案</w:t>
      </w:r>
      <w:r>
        <w:rPr>
          <w:spacing w:val="-106"/>
          <w:w w:val="100"/>
        </w:rPr>
        <w:t>》</w:t>
      </w:r>
      <w:r>
        <w:rPr>
          <w:spacing w:val="-77"/>
          <w:w w:val="100"/>
        </w:rPr>
        <w:t>：</w:t>
      </w:r>
      <w:r>
        <w:rPr>
          <w:spacing w:val="-5"/>
          <w:w w:val="100"/>
        </w:rPr>
        <w:t>以</w:t>
      </w:r>
      <w:r>
        <w:rPr>
          <w:w w:val="100"/>
        </w:rPr>
        <w:t>公司现</w:t>
      </w:r>
      <w:r>
        <w:rPr>
          <w:spacing w:val="-5"/>
          <w:w w:val="100"/>
        </w:rPr>
        <w:t>有</w:t>
      </w:r>
      <w:r>
        <w:rPr>
          <w:w w:val="100"/>
        </w:rPr>
        <w:t>总股本</w:t>
      </w:r>
      <w:r>
        <w:rPr>
          <w:spacing w:val="-51"/>
        </w:rPr>
        <w:t> </w:t>
      </w:r>
      <w:r>
        <w:rPr>
          <w:rFonts w:ascii="宋体" w:hAnsi="宋体" w:cs="宋体" w:eastAsia="宋体" w:hint="default"/>
          <w:w w:val="100"/>
        </w:rPr>
        <w:t>6</w:t>
      </w:r>
      <w:r>
        <w:rPr>
          <w:rFonts w:ascii="宋体" w:hAnsi="宋体" w:cs="宋体" w:eastAsia="宋体" w:hint="default"/>
          <w:spacing w:val="-5"/>
          <w:w w:val="100"/>
        </w:rPr>
        <w:t>8</w:t>
      </w:r>
      <w:r>
        <w:rPr>
          <w:rFonts w:ascii="宋体" w:hAnsi="宋体" w:cs="宋体" w:eastAsia="宋体" w:hint="default"/>
          <w:w w:val="100"/>
        </w:rPr>
        <w:t>,000,000</w:t>
      </w:r>
      <w:r>
        <w:rPr>
          <w:rFonts w:ascii="宋体" w:hAnsi="宋体" w:cs="宋体" w:eastAsia="宋体" w:hint="default"/>
          <w:spacing w:val="-52"/>
        </w:rPr>
        <w:t> </w:t>
      </w:r>
      <w:r>
        <w:rPr>
          <w:spacing w:val="-5"/>
          <w:w w:val="100"/>
        </w:rPr>
        <w:t>股</w:t>
      </w:r>
      <w:r>
        <w:rPr>
          <w:w w:val="100"/>
        </w:rPr>
        <w:t>为基数</w:t>
      </w:r>
      <w:r>
        <w:rPr>
          <w:spacing w:val="-82"/>
          <w:w w:val="100"/>
        </w:rPr>
        <w:t>，</w:t>
      </w:r>
      <w:r>
        <w:rPr>
          <w:w w:val="100"/>
        </w:rPr>
        <w:t>向全</w:t>
      </w:r>
      <w:r>
        <w:rPr>
          <w:spacing w:val="-5"/>
          <w:w w:val="100"/>
        </w:rPr>
        <w:t>体</w:t>
      </w:r>
      <w:r>
        <w:rPr>
          <w:w w:val="100"/>
        </w:rPr>
        <w:t>股东每</w:t>
      </w:r>
      <w:r>
        <w:rPr>
          <w:spacing w:val="-52"/>
        </w:rPr>
        <w:t> </w:t>
      </w:r>
      <w:r>
        <w:rPr>
          <w:rFonts w:ascii="宋体" w:hAnsi="宋体" w:cs="宋体" w:eastAsia="宋体" w:hint="default"/>
          <w:w w:val="100"/>
        </w:rPr>
        <w:t>10</w:t>
      </w:r>
      <w:r>
        <w:rPr>
          <w:rFonts w:ascii="宋体" w:hAnsi="宋体" w:cs="宋体" w:eastAsia="宋体" w:hint="default"/>
          <w:spacing w:val="-57"/>
        </w:rPr>
        <w:t> </w:t>
      </w:r>
      <w:r>
        <w:rPr>
          <w:w w:val="100"/>
        </w:rPr>
        <w:t>股派</w:t>
      </w:r>
      <w:r>
        <w:rPr>
          <w:spacing w:val="-53"/>
        </w:rPr>
        <w:t> </w:t>
      </w:r>
      <w:r>
        <w:rPr>
          <w:rFonts w:ascii="宋体" w:hAnsi="宋体" w:cs="宋体" w:eastAsia="宋体" w:hint="default"/>
          <w:w w:val="100"/>
        </w:rPr>
        <w:t>1.</w:t>
      </w:r>
      <w:r>
        <w:rPr>
          <w:rFonts w:ascii="宋体" w:hAnsi="宋体" w:cs="宋体" w:eastAsia="宋体" w:hint="default"/>
          <w:spacing w:val="-5"/>
          <w:w w:val="100"/>
        </w:rPr>
        <w:t>0</w:t>
      </w:r>
      <w:r>
        <w:rPr>
          <w:rFonts w:ascii="宋体" w:hAnsi="宋体" w:cs="宋体" w:eastAsia="宋体" w:hint="default"/>
          <w:w w:val="100"/>
        </w:rPr>
        <w:t>0</w:t>
      </w:r>
    </w:p>
    <w:p>
      <w:pPr>
        <w:pStyle w:val="BodyText"/>
        <w:spacing w:line="357" w:lineRule="auto" w:before="133"/>
        <w:ind w:right="1026"/>
        <w:jc w:val="both"/>
      </w:pPr>
      <w:r>
        <w:rPr>
          <w:spacing w:val="-7"/>
        </w:rPr>
        <w:t>元人民币现金（含税；扣税后，</w:t>
      </w:r>
      <w:r>
        <w:rPr>
          <w:rFonts w:ascii="宋体" w:hAnsi="宋体" w:cs="宋体" w:eastAsia="宋体" w:hint="default"/>
          <w:spacing w:val="-7"/>
        </w:rPr>
        <w:t>QFII</w:t>
      </w:r>
      <w:r>
        <w:rPr>
          <w:spacing w:val="-7"/>
        </w:rPr>
        <w:t>、</w:t>
      </w:r>
      <w:r>
        <w:rPr>
          <w:rFonts w:ascii="宋体" w:hAnsi="宋体" w:cs="宋体" w:eastAsia="宋体" w:hint="default"/>
          <w:spacing w:val="-7"/>
        </w:rPr>
        <w:t>RQFII</w:t>
      </w:r>
      <w:r>
        <w:rPr>
          <w:rFonts w:ascii="宋体" w:hAnsi="宋体" w:cs="宋体" w:eastAsia="宋体" w:hint="default"/>
          <w:spacing w:val="-46"/>
        </w:rPr>
        <w:t> </w:t>
      </w:r>
      <w:r>
        <w:rPr/>
        <w:t>以及持有首发前限售股的个人和证券投资基金每</w:t>
      </w:r>
      <w:r>
        <w:rPr>
          <w:spacing w:val="-49"/>
        </w:rPr>
        <w:t> </w:t>
      </w:r>
      <w:r>
        <w:rPr>
          <w:rFonts w:ascii="宋体" w:hAnsi="宋体" w:cs="宋体" w:eastAsia="宋体" w:hint="default"/>
        </w:rPr>
        <w:t>10</w:t>
      </w:r>
      <w:r>
        <w:rPr>
          <w:rFonts w:ascii="宋体" w:hAnsi="宋体" w:cs="宋体" w:eastAsia="宋体" w:hint="default"/>
          <w:spacing w:val="-46"/>
        </w:rPr>
        <w:t> </w:t>
      </w:r>
      <w:r>
        <w:rPr/>
        <w:t>股派</w:t>
      </w:r>
      <w:r>
        <w:rPr>
          <w:spacing w:val="-46"/>
        </w:rPr>
        <w:t> </w:t>
      </w:r>
      <w:r>
        <w:rPr>
          <w:rFonts w:ascii="宋体" w:hAnsi="宋体" w:cs="宋体" w:eastAsia="宋体" w:hint="default"/>
        </w:rPr>
        <w:t>0.90</w:t>
      </w:r>
      <w:r>
        <w:rPr>
          <w:rFonts w:ascii="宋体" w:hAnsi="宋体" w:cs="宋体" w:eastAsia="宋体" w:hint="default"/>
          <w:spacing w:val="-90"/>
        </w:rPr>
        <w:t> </w:t>
      </w:r>
      <w:r>
        <w:rPr>
          <w:rFonts w:ascii="宋体" w:hAnsi="宋体" w:cs="宋体" w:eastAsia="宋体" w:hint="default"/>
          <w:spacing w:val="-90"/>
        </w:rPr>
      </w:r>
      <w:r>
        <w:rPr>
          <w:spacing w:val="-2"/>
        </w:rPr>
        <w:t>元；持有首发后限售股、股权激励限售股及无限售流通股的个人股息红利税实行差别化税率征收，本公司</w:t>
      </w:r>
      <w:r>
        <w:rPr>
          <w:spacing w:val="-33"/>
        </w:rPr>
        <w:t> </w:t>
      </w:r>
      <w:r>
        <w:rPr>
          <w:spacing w:val="-33"/>
        </w:rPr>
      </w:r>
      <w:r>
        <w:rPr>
          <w:spacing w:val="-2"/>
        </w:rPr>
        <w:t>暂不扣缴个人所得税，待个人转让股票时，根据其持股期限计算应纳税额</w:t>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；持有首发后限售股、股权</w:t>
      </w:r>
      <w:r>
        <w:rPr>
          <w:spacing w:val="-29"/>
        </w:rPr>
        <w:t> </w:t>
      </w:r>
      <w:r>
        <w:rPr>
          <w:spacing w:val="-29"/>
        </w:rPr>
      </w:r>
      <w:r>
        <w:rPr/>
        <w:t>激励限售股及无限售流通股的证券投资基金所涉红利税，对香港投资者持有基金份额部分按</w:t>
      </w:r>
      <w:r>
        <w:rPr>
          <w:spacing w:val="-18"/>
        </w:rPr>
        <w:t> </w:t>
      </w:r>
      <w:r>
        <w:rPr>
          <w:rFonts w:ascii="宋体" w:hAnsi="宋体" w:cs="宋体" w:eastAsia="宋体" w:hint="default"/>
        </w:rPr>
        <w:t>10%</w:t>
      </w:r>
      <w:r>
        <w:rPr/>
        <w:t>征收，对</w:t>
      </w:r>
      <w:r>
        <w:rPr>
          <w:spacing w:val="-103"/>
        </w:rPr>
        <w:t> </w:t>
      </w:r>
      <w:r>
        <w:rPr>
          <w:spacing w:val="-4"/>
          <w:w w:val="100"/>
        </w:rPr>
        <w:t>内地投资者持有基金份额部分实行差别化税率征收），同时，以资本公积金向全体股东每</w:t>
      </w:r>
      <w:r>
        <w:rPr>
          <w:spacing w:val="-30"/>
          <w:w w:val="100"/>
        </w:rPr>
        <w:t> </w:t>
      </w:r>
      <w:r>
        <w:rPr>
          <w:rFonts w:ascii="宋体" w:hAnsi="宋体" w:cs="宋体" w:eastAsia="宋体" w:hint="default"/>
          <w:w w:val="100"/>
        </w:rPr>
        <w:t>10</w:t>
      </w:r>
      <w:r>
        <w:rPr>
          <w:rFonts w:ascii="宋体" w:hAnsi="宋体" w:cs="宋体" w:eastAsia="宋体" w:hint="default"/>
          <w:spacing w:val="-33"/>
          <w:w w:val="100"/>
        </w:rPr>
        <w:t> </w:t>
      </w:r>
      <w:r>
        <w:rPr>
          <w:w w:val="100"/>
        </w:rPr>
        <w:t>股转增</w:t>
      </w:r>
      <w:r>
        <w:rPr>
          <w:spacing w:val="-33"/>
          <w:w w:val="100"/>
        </w:rPr>
        <w:t> </w:t>
      </w:r>
      <w:r>
        <w:rPr>
          <w:rFonts w:ascii="宋体" w:hAnsi="宋体" w:cs="宋体" w:eastAsia="宋体" w:hint="default"/>
          <w:w w:val="100"/>
        </w:rPr>
        <w:t>4</w:t>
      </w:r>
      <w:r>
        <w:rPr>
          <w:rFonts w:ascii="宋体" w:hAnsi="宋体" w:cs="宋体" w:eastAsia="宋体" w:hint="default"/>
          <w:spacing w:val="-33"/>
          <w:w w:val="100"/>
        </w:rPr>
        <w:t> </w:t>
      </w:r>
      <w:r>
        <w:rPr>
          <w:spacing w:val="-5"/>
          <w:w w:val="100"/>
        </w:rPr>
        <w:t>股。</w:t>
      </w:r>
      <w:r>
        <w:rPr>
          <w:w w:val="100"/>
        </w:rPr>
      </w:r>
    </w:p>
    <w:p>
      <w:pPr>
        <w:pStyle w:val="BodyText"/>
        <w:spacing w:line="240" w:lineRule="auto" w:before="35"/>
        <w:ind w:right="0"/>
        <w:jc w:val="both"/>
      </w:pPr>
      <w:r>
        <w:rPr>
          <w:rFonts w:ascii="宋体" w:hAnsi="宋体" w:cs="宋体" w:eastAsia="宋体" w:hint="default"/>
          <w:w w:val="100"/>
        </w:rPr>
        <w:t>2019</w:t>
      </w:r>
      <w:r>
        <w:rPr>
          <w:rFonts w:ascii="宋体" w:hAnsi="宋体" w:cs="宋体" w:eastAsia="宋体" w:hint="default"/>
          <w:spacing w:val="-38"/>
        </w:rPr>
        <w:t> </w:t>
      </w:r>
      <w:r>
        <w:rPr>
          <w:w w:val="100"/>
        </w:rPr>
        <w:t>年</w:t>
      </w:r>
      <w:r>
        <w:rPr>
          <w:spacing w:val="-38"/>
        </w:rPr>
        <w:t> </w:t>
      </w:r>
      <w:r>
        <w:rPr>
          <w:rFonts w:ascii="宋体" w:hAnsi="宋体" w:cs="宋体" w:eastAsia="宋体" w:hint="default"/>
          <w:w w:val="100"/>
        </w:rPr>
        <w:t>6</w:t>
      </w:r>
      <w:r>
        <w:rPr>
          <w:rFonts w:ascii="宋体" w:hAnsi="宋体" w:cs="宋体" w:eastAsia="宋体" w:hint="default"/>
          <w:spacing w:val="-43"/>
        </w:rPr>
        <w:t> </w:t>
      </w:r>
      <w:r>
        <w:rPr>
          <w:w w:val="100"/>
        </w:rPr>
        <w:t>月</w:t>
      </w:r>
      <w:r>
        <w:rPr>
          <w:spacing w:val="-38"/>
        </w:rPr>
        <w:t> </w:t>
      </w:r>
      <w:r>
        <w:rPr>
          <w:rFonts w:ascii="宋体" w:hAnsi="宋体" w:cs="宋体" w:eastAsia="宋体" w:hint="default"/>
          <w:w w:val="100"/>
        </w:rPr>
        <w:t>25</w:t>
      </w:r>
      <w:r>
        <w:rPr>
          <w:rFonts w:ascii="宋体" w:hAnsi="宋体" w:cs="宋体" w:eastAsia="宋体" w:hint="default"/>
          <w:spacing w:val="-43"/>
        </w:rPr>
        <w:t> </w:t>
      </w:r>
      <w:r>
        <w:rPr>
          <w:w w:val="100"/>
        </w:rPr>
        <w:t>日，公</w:t>
      </w:r>
      <w:r>
        <w:rPr>
          <w:spacing w:val="-5"/>
          <w:w w:val="100"/>
        </w:rPr>
        <w:t>司</w:t>
      </w:r>
      <w:r>
        <w:rPr>
          <w:w w:val="100"/>
        </w:rPr>
        <w:t>在中国</w:t>
      </w:r>
      <w:r>
        <w:rPr>
          <w:spacing w:val="-5"/>
          <w:w w:val="100"/>
        </w:rPr>
        <w:t>证</w:t>
      </w:r>
      <w:r>
        <w:rPr>
          <w:w w:val="100"/>
        </w:rPr>
        <w:t>监会指</w:t>
      </w:r>
      <w:r>
        <w:rPr>
          <w:spacing w:val="-5"/>
          <w:w w:val="100"/>
        </w:rPr>
        <w:t>定</w:t>
      </w:r>
      <w:r>
        <w:rPr>
          <w:w w:val="100"/>
        </w:rPr>
        <w:t>信息披</w:t>
      </w:r>
      <w:r>
        <w:rPr>
          <w:spacing w:val="-5"/>
          <w:w w:val="100"/>
        </w:rPr>
        <w:t>露</w:t>
      </w:r>
      <w:r>
        <w:rPr>
          <w:w w:val="100"/>
        </w:rPr>
        <w:t>网站刊登</w:t>
      </w:r>
      <w:r>
        <w:rPr>
          <w:spacing w:val="-5"/>
          <w:w w:val="100"/>
        </w:rPr>
        <w:t>了</w:t>
      </w:r>
      <w:r>
        <w:rPr>
          <w:spacing w:val="2"/>
          <w:w w:val="100"/>
        </w:rPr>
        <w:t>《</w:t>
      </w:r>
      <w:r>
        <w:rPr>
          <w:rFonts w:ascii="宋体" w:hAnsi="宋体" w:cs="宋体" w:eastAsia="宋体" w:hint="default"/>
          <w:w w:val="100"/>
        </w:rPr>
        <w:t>2018</w:t>
      </w:r>
      <w:r>
        <w:rPr>
          <w:rFonts w:ascii="宋体" w:hAnsi="宋体" w:cs="宋体" w:eastAsia="宋体" w:hint="default"/>
          <w:spacing w:val="-38"/>
        </w:rPr>
        <w:t> </w:t>
      </w:r>
      <w:r>
        <w:rPr>
          <w:spacing w:val="-5"/>
          <w:w w:val="100"/>
        </w:rPr>
        <w:t>年</w:t>
      </w:r>
      <w:r>
        <w:rPr>
          <w:w w:val="100"/>
        </w:rPr>
        <w:t>年度</w:t>
      </w:r>
      <w:r>
        <w:rPr>
          <w:spacing w:val="-5"/>
          <w:w w:val="100"/>
        </w:rPr>
        <w:t>权</w:t>
      </w:r>
      <w:r>
        <w:rPr>
          <w:w w:val="100"/>
        </w:rPr>
        <w:t>益分派</w:t>
      </w:r>
      <w:r>
        <w:rPr>
          <w:spacing w:val="-5"/>
          <w:w w:val="100"/>
        </w:rPr>
        <w:t>实</w:t>
      </w:r>
      <w:r>
        <w:rPr>
          <w:w w:val="100"/>
        </w:rPr>
        <w:t>施公告</w:t>
      </w:r>
      <w:r>
        <w:rPr>
          <w:spacing w:val="-106"/>
          <w:w w:val="100"/>
        </w:rPr>
        <w:t>》</w:t>
      </w:r>
      <w:r>
        <w:rPr>
          <w:spacing w:val="-5"/>
          <w:w w:val="100"/>
        </w:rPr>
        <w:t>，</w:t>
      </w:r>
      <w:r>
        <w:rPr>
          <w:w w:val="100"/>
        </w:rPr>
        <w:t>本次</w:t>
      </w:r>
    </w:p>
    <w:p>
      <w:pPr>
        <w:pStyle w:val="BodyText"/>
        <w:spacing w:line="352" w:lineRule="auto" w:before="133"/>
        <w:ind w:right="1122"/>
        <w:jc w:val="both"/>
      </w:pPr>
      <w:r>
        <w:rPr/>
        <w:t>权益分派股权登记日为：</w:t>
      </w:r>
      <w:r>
        <w:rPr>
          <w:rFonts w:ascii="宋体" w:hAnsi="宋体" w:cs="宋体" w:eastAsia="宋体" w:hint="default"/>
        </w:rPr>
        <w:t>2019</w:t>
      </w:r>
      <w:r>
        <w:rPr>
          <w:rFonts w:ascii="宋体" w:hAnsi="宋体" w:cs="宋体" w:eastAsia="宋体" w:hint="default"/>
          <w:spacing w:val="-53"/>
        </w:rPr>
        <w:t> </w:t>
      </w:r>
      <w:r>
        <w:rPr/>
        <w:t>年</w:t>
      </w:r>
      <w:r>
        <w:rPr>
          <w:spacing w:val="-48"/>
        </w:rPr>
        <w:t> </w:t>
      </w:r>
      <w:r>
        <w:rPr>
          <w:rFonts w:ascii="宋体" w:hAnsi="宋体" w:cs="宋体" w:eastAsia="宋体" w:hint="default"/>
        </w:rPr>
        <w:t>7</w:t>
      </w:r>
      <w:r>
        <w:rPr>
          <w:rFonts w:ascii="宋体" w:hAnsi="宋体" w:cs="宋体" w:eastAsia="宋体" w:hint="default"/>
          <w:spacing w:val="-53"/>
        </w:rPr>
        <w:t> </w:t>
      </w:r>
      <w:r>
        <w:rPr/>
        <w:t>月</w:t>
      </w:r>
      <w:r>
        <w:rPr>
          <w:spacing w:val="-52"/>
        </w:rPr>
        <w:t> </w:t>
      </w:r>
      <w:r>
        <w:rPr>
          <w:rFonts w:ascii="宋体" w:hAnsi="宋体" w:cs="宋体" w:eastAsia="宋体" w:hint="default"/>
        </w:rPr>
        <w:t>1</w:t>
      </w:r>
      <w:r>
        <w:rPr>
          <w:rFonts w:ascii="宋体" w:hAnsi="宋体" w:cs="宋体" w:eastAsia="宋体" w:hint="default"/>
          <w:spacing w:val="-48"/>
        </w:rPr>
        <w:t> </w:t>
      </w:r>
      <w:r>
        <w:rPr/>
        <w:t>日，除权除息日为：</w:t>
      </w:r>
      <w:r>
        <w:rPr>
          <w:rFonts w:ascii="宋体" w:hAnsi="宋体" w:cs="宋体" w:eastAsia="宋体" w:hint="default"/>
        </w:rPr>
        <w:t>2019</w:t>
      </w:r>
      <w:r>
        <w:rPr>
          <w:rFonts w:ascii="宋体" w:hAnsi="宋体" w:cs="宋体" w:eastAsia="宋体" w:hint="default"/>
          <w:spacing w:val="-52"/>
        </w:rPr>
        <w:t> </w:t>
      </w:r>
      <w:r>
        <w:rPr/>
        <w:t>年</w:t>
      </w:r>
      <w:r>
        <w:rPr>
          <w:spacing w:val="-48"/>
        </w:rPr>
        <w:t> </w:t>
      </w:r>
      <w:r>
        <w:rPr>
          <w:rFonts w:ascii="宋体" w:hAnsi="宋体" w:cs="宋体" w:eastAsia="宋体" w:hint="default"/>
        </w:rPr>
        <w:t>7</w:t>
      </w:r>
      <w:r>
        <w:rPr>
          <w:rFonts w:ascii="宋体" w:hAnsi="宋体" w:cs="宋体" w:eastAsia="宋体" w:hint="default"/>
          <w:spacing w:val="-53"/>
        </w:rPr>
        <w:t> </w:t>
      </w:r>
      <w:r>
        <w:rPr/>
        <w:t>月</w:t>
      </w:r>
      <w:r>
        <w:rPr>
          <w:spacing w:val="-48"/>
        </w:rPr>
        <w:t> </w:t>
      </w:r>
      <w:r>
        <w:rPr>
          <w:rFonts w:ascii="宋体" w:hAnsi="宋体" w:cs="宋体" w:eastAsia="宋体" w:hint="default"/>
        </w:rPr>
        <w:t>2</w:t>
      </w:r>
      <w:r>
        <w:rPr>
          <w:rFonts w:ascii="宋体" w:hAnsi="宋体" w:cs="宋体" w:eastAsia="宋体" w:hint="default"/>
          <w:spacing w:val="-53"/>
        </w:rPr>
        <w:t> </w:t>
      </w:r>
      <w:r>
        <w:rPr/>
        <w:t>日。截至报告期末，</w:t>
      </w:r>
      <w:r>
        <w:rPr>
          <w:rFonts w:ascii="宋体" w:hAnsi="宋体" w:cs="宋体" w:eastAsia="宋体" w:hint="default"/>
        </w:rPr>
        <w:t>2018</w:t>
      </w:r>
      <w:r>
        <w:rPr>
          <w:rFonts w:ascii="宋体" w:hAnsi="宋体" w:cs="宋体" w:eastAsia="宋体" w:hint="default"/>
          <w:spacing w:val="-48"/>
        </w:rPr>
        <w:t> </w:t>
      </w:r>
      <w:r>
        <w:rPr/>
        <w:t>年年</w:t>
      </w:r>
      <w:r>
        <w:rPr>
          <w:w w:val="100"/>
        </w:rPr>
        <w:t> </w:t>
      </w:r>
      <w:r>
        <w:rPr/>
        <w:t>度权益分派已经实施完成。</w:t>
      </w:r>
    </w:p>
    <w:p>
      <w:pPr>
        <w:spacing w:line="240" w:lineRule="auto" w:before="5"/>
        <w:rPr>
          <w:rFonts w:ascii="宋体" w:hAnsi="宋体" w:cs="宋体" w:eastAsia="宋体" w:hint="default"/>
          <w:sz w:val="17"/>
          <w:szCs w:val="17"/>
        </w:rPr>
      </w:pPr>
    </w:p>
    <w:tbl>
      <w:tblPr>
        <w:tblW w:w="0" w:type="auto"/>
        <w:jc w:val="left"/>
        <w:tblInd w:w="126"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2"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公司报告期利润分配预案及资本公积金转增股本预案与公司章程和分红管理办法等的相关规定一致</w:t>
      </w:r>
    </w:p>
    <w:p>
      <w:pPr>
        <w:spacing w:line="350" w:lineRule="auto" w:before="115"/>
        <w:ind w:left="153" w:right="29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公司报告期利润分配预案及资本公积金转增股本预案符合公司章程等的相关规定。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本年度利润分配及资本公积金转增股本情况</w:t>
      </w:r>
    </w:p>
    <w:p>
      <w:pPr>
        <w:spacing w:after="0" w:line="35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41.300003pt;margin-top:172.48999pt;width:291pt;height:20.65pt;mso-position-horizontal-relative:page;mso-position-vertical-relative:page;z-index:-924976" coordorigin="4826,3450" coordsize="5820,413">
            <v:group style="position:absolute;left:4838;top:3462;width:2;height:389" coordorigin="4838,3462" coordsize="2,389">
              <v:shape style="position:absolute;left:4838;top:3462;width:2;height:389" coordorigin="4838,3462" coordsize="0,389" path="m4838,3462l4838,3851e" filled="false" stroked="true" strokeweight="1.2pt" strokecolor="#ffffff">
                <v:path arrowok="t"/>
              </v:shape>
            </v:group>
            <v:group style="position:absolute;left:4850;top:3462;width:5796;height:389" coordorigin="4850,3462" coordsize="5796,389">
              <v:shape style="position:absolute;left:4850;top:3462;width:5796;height:389" coordorigin="4850,3462" coordsize="5796,389" path="m4850,3851l10646,3851,10646,3462,4850,3462,4850,3851xe" filled="true" fillcolor="#ffffff" stroked="false">
                <v:path arrowok="t"/>
                <v:fill type="solid"/>
              </v:shape>
            </v:group>
            <w10:wrap type="none"/>
          </v:group>
        </w:pict>
      </w:r>
    </w:p>
    <w:tbl>
      <w:tblPr>
        <w:tblW w:w="0" w:type="auto"/>
        <w:jc w:val="left"/>
        <w:tblInd w:w="114" w:type="dxa"/>
        <w:tblLayout w:type="fixed"/>
        <w:tblCellMar>
          <w:top w:w="0" w:type="dxa"/>
          <w:left w:w="0" w:type="dxa"/>
          <w:bottom w:w="0" w:type="dxa"/>
          <w:right w:w="0" w:type="dxa"/>
        </w:tblCellMar>
        <w:tblLook w:val="01E0"/>
      </w:tblPr>
      <w:tblGrid>
        <w:gridCol w:w="3710"/>
        <w:gridCol w:w="5860"/>
      </w:tblGrid>
      <w:tr>
        <w:trPr>
          <w:trHeight w:val="403"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0.85</w:t>
            </w:r>
          </w:p>
        </w:tc>
      </w:tr>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95,200,000</w:t>
            </w:r>
          </w:p>
        </w:tc>
      </w:tr>
      <w:tr>
        <w:trPr>
          <w:trHeight w:val="403"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8,092,000.00</w:t>
            </w:r>
          </w:p>
        </w:tc>
      </w:tr>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tabs>
                <w:tab w:pos="5502" w:val="left" w:leader="none"/>
              </w:tabs>
              <w:spacing w:line="240" w:lineRule="auto" w:before="53"/>
              <w:ind w:left="-122" w:right="1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8,092,000.00</w:t>
            </w:r>
          </w:p>
        </w:tc>
      </w:tr>
      <w:tr>
        <w:trPr>
          <w:trHeight w:val="403"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57,393,388.29</w:t>
            </w:r>
          </w:p>
        </w:tc>
      </w:tr>
      <w:tr>
        <w:trPr>
          <w:trHeight w:val="715" w:hRule="exact"/>
        </w:trPr>
        <w:tc>
          <w:tcPr>
            <w:tcW w:w="3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289"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020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召</w:t>
            </w:r>
            <w:r>
              <w:rPr>
                <w:rFonts w:ascii="宋体" w:hAnsi="宋体" w:cs="宋体" w:eastAsia="宋体" w:hint="default"/>
                <w:w w:val="101"/>
                <w:sz w:val="18"/>
                <w:szCs w:val="18"/>
              </w:rPr>
              <w:t>开</w:t>
            </w:r>
            <w:r>
              <w:rPr>
                <w:rFonts w:ascii="宋体" w:hAnsi="宋体" w:cs="宋体" w:eastAsia="宋体" w:hint="default"/>
                <w:spacing w:val="-5"/>
                <w:w w:val="101"/>
                <w:sz w:val="18"/>
                <w:szCs w:val="18"/>
              </w:rPr>
              <w:t>第</w:t>
            </w:r>
            <w:r>
              <w:rPr>
                <w:rFonts w:ascii="宋体" w:hAnsi="宋体" w:cs="宋体" w:eastAsia="宋体" w:hint="default"/>
                <w:w w:val="101"/>
                <w:sz w:val="18"/>
                <w:szCs w:val="18"/>
              </w:rPr>
              <w:t>二</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二</w:t>
            </w:r>
            <w:r>
              <w:rPr>
                <w:rFonts w:ascii="宋体" w:hAnsi="宋体" w:cs="宋体" w:eastAsia="宋体" w:hint="default"/>
                <w:spacing w:val="-5"/>
                <w:w w:val="101"/>
                <w:sz w:val="18"/>
                <w:szCs w:val="18"/>
              </w:rPr>
              <w:t>十</w:t>
            </w:r>
            <w:r>
              <w:rPr>
                <w:rFonts w:ascii="宋体" w:hAnsi="宋体" w:cs="宋体" w:eastAsia="宋体" w:hint="default"/>
                <w:w w:val="101"/>
                <w:sz w:val="18"/>
                <w:szCs w:val="18"/>
              </w:rPr>
              <w:t>二</w:t>
            </w:r>
            <w:r>
              <w:rPr>
                <w:rFonts w:ascii="宋体" w:hAnsi="宋体" w:cs="宋体" w:eastAsia="宋体" w:hint="default"/>
                <w:spacing w:val="-5"/>
                <w:w w:val="101"/>
                <w:sz w:val="18"/>
                <w:szCs w:val="18"/>
              </w:rPr>
              <w:t>次</w:t>
            </w:r>
            <w:r>
              <w:rPr>
                <w:rFonts w:ascii="宋体" w:hAnsi="宋体" w:cs="宋体" w:eastAsia="宋体" w:hint="default"/>
                <w:w w:val="101"/>
                <w:sz w:val="18"/>
                <w:szCs w:val="18"/>
              </w:rPr>
              <w:t>会议</w:t>
            </w:r>
            <w:r>
              <w:rPr>
                <w:rFonts w:ascii="宋体" w:hAnsi="宋体" w:cs="宋体" w:eastAsia="宋体" w:hint="default"/>
                <w:spacing w:val="-92"/>
                <w:w w:val="101"/>
                <w:sz w:val="18"/>
                <w:szCs w:val="18"/>
              </w:rPr>
              <w:t>，</w:t>
            </w: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spacing w:val="-87"/>
                <w:w w:val="101"/>
                <w:sz w:val="18"/>
                <w:szCs w:val="18"/>
              </w:rPr>
              <w:t>了</w:t>
            </w:r>
            <w:r>
              <w:rPr>
                <w:rFonts w:ascii="宋体" w:hAnsi="宋体" w:cs="宋体" w:eastAsia="宋体" w:hint="default"/>
                <w:w w:val="101"/>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利</w:t>
            </w:r>
            <w:r>
              <w:rPr>
                <w:rFonts w:ascii="宋体" w:hAnsi="宋体" w:cs="宋体" w:eastAsia="宋体" w:hint="default"/>
                <w:w w:val="101"/>
                <w:sz w:val="18"/>
                <w:szCs w:val="18"/>
              </w:rPr>
              <w:t>润</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的</w:t>
            </w:r>
            <w:r>
              <w:rPr>
                <w:rFonts w:ascii="宋体" w:hAnsi="宋体" w:cs="宋体" w:eastAsia="宋体" w:hint="default"/>
                <w:w w:val="101"/>
                <w:sz w:val="18"/>
                <w:szCs w:val="18"/>
              </w:rPr>
              <w:t>议</w:t>
            </w:r>
            <w:r>
              <w:rPr>
                <w:rFonts w:ascii="宋体" w:hAnsi="宋体" w:cs="宋体" w:eastAsia="宋体" w:hint="default"/>
                <w:spacing w:val="-5"/>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87"/>
                <w:w w:val="101"/>
                <w:sz w:val="18"/>
                <w:szCs w:val="18"/>
              </w:rPr>
              <w:t>，</w:t>
            </w:r>
            <w:r>
              <w:rPr>
                <w:rFonts w:ascii="宋体" w:hAnsi="宋体" w:cs="宋体" w:eastAsia="宋体" w:hint="default"/>
                <w:w w:val="101"/>
                <w:sz w:val="18"/>
                <w:szCs w:val="18"/>
              </w:rPr>
              <w:t>公司</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年度利润分配预案拟定如下：</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w w:val="101"/>
                <w:sz w:val="18"/>
                <w:szCs w:val="18"/>
              </w:rPr>
              <w:t>根</w:t>
            </w:r>
            <w:r>
              <w:rPr>
                <w:rFonts w:ascii="宋体" w:hAnsi="宋体" w:cs="宋体" w:eastAsia="宋体" w:hint="default"/>
                <w:spacing w:val="-5"/>
                <w:w w:val="101"/>
                <w:sz w:val="18"/>
                <w:szCs w:val="18"/>
              </w:rPr>
              <w:t>据</w:t>
            </w:r>
            <w:r>
              <w:rPr>
                <w:rFonts w:ascii="宋体" w:hAnsi="宋体" w:cs="宋体" w:eastAsia="宋体" w:hint="default"/>
                <w:w w:val="101"/>
                <w:sz w:val="18"/>
                <w:szCs w:val="18"/>
              </w:rPr>
              <w:t>天</w:t>
            </w:r>
            <w:r>
              <w:rPr>
                <w:rFonts w:ascii="宋体" w:hAnsi="宋体" w:cs="宋体" w:eastAsia="宋体" w:hint="default"/>
                <w:spacing w:val="-5"/>
                <w:w w:val="101"/>
                <w:sz w:val="18"/>
                <w:szCs w:val="18"/>
              </w:rPr>
              <w:t>职</w:t>
            </w:r>
            <w:r>
              <w:rPr>
                <w:rFonts w:ascii="宋体" w:hAnsi="宋体" w:cs="宋体" w:eastAsia="宋体" w:hint="default"/>
                <w:w w:val="101"/>
                <w:sz w:val="18"/>
                <w:szCs w:val="18"/>
              </w:rPr>
              <w:t>国</w:t>
            </w:r>
            <w:r>
              <w:rPr>
                <w:rFonts w:ascii="宋体" w:hAnsi="宋体" w:cs="宋体" w:eastAsia="宋体" w:hint="default"/>
                <w:spacing w:val="-5"/>
                <w:w w:val="101"/>
                <w:sz w:val="18"/>
                <w:szCs w:val="18"/>
              </w:rPr>
              <w:t>际</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w:t>
            </w:r>
            <w:r>
              <w:rPr>
                <w:rFonts w:ascii="宋体" w:hAnsi="宋体" w:cs="宋体" w:eastAsia="宋体" w:hint="default"/>
                <w:spacing w:val="-5"/>
                <w:w w:val="101"/>
                <w:sz w:val="18"/>
                <w:szCs w:val="18"/>
              </w:rPr>
              <w:t>特</w:t>
            </w:r>
            <w:r>
              <w:rPr>
                <w:rFonts w:ascii="宋体" w:hAnsi="宋体" w:cs="宋体" w:eastAsia="宋体" w:hint="default"/>
                <w:w w:val="101"/>
                <w:sz w:val="18"/>
                <w:szCs w:val="18"/>
              </w:rPr>
              <w:t>殊</w:t>
            </w:r>
            <w:r>
              <w:rPr>
                <w:rFonts w:ascii="宋体" w:hAnsi="宋体" w:cs="宋体" w:eastAsia="宋体" w:hint="default"/>
                <w:spacing w:val="-5"/>
                <w:w w:val="101"/>
                <w:sz w:val="18"/>
                <w:szCs w:val="18"/>
              </w:rPr>
              <w:t>普</w:t>
            </w:r>
            <w:r>
              <w:rPr>
                <w:rFonts w:ascii="宋体" w:hAnsi="宋体" w:cs="宋体" w:eastAsia="宋体" w:hint="default"/>
                <w:w w:val="101"/>
                <w:sz w:val="18"/>
                <w:szCs w:val="18"/>
              </w:rPr>
              <w:t>通</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5"/>
                <w:w w:val="101"/>
                <w:sz w:val="18"/>
                <w:szCs w:val="18"/>
              </w:rPr>
              <w:t>）</w:t>
            </w:r>
            <w:r>
              <w:rPr>
                <w:rFonts w:ascii="宋体" w:hAnsi="宋体" w:cs="宋体" w:eastAsia="宋体" w:hint="default"/>
                <w:w w:val="101"/>
                <w:sz w:val="18"/>
                <w:szCs w:val="18"/>
              </w:rPr>
              <w:t>出</w:t>
            </w:r>
            <w:r>
              <w:rPr>
                <w:rFonts w:ascii="宋体" w:hAnsi="宋体" w:cs="宋体" w:eastAsia="宋体" w:hint="default"/>
                <w:spacing w:val="-5"/>
                <w:w w:val="101"/>
                <w:sz w:val="18"/>
                <w:szCs w:val="18"/>
              </w:rPr>
              <w:t>具</w:t>
            </w:r>
            <w:r>
              <w:rPr>
                <w:rFonts w:ascii="宋体" w:hAnsi="宋体" w:cs="宋体" w:eastAsia="宋体" w:hint="default"/>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审</w:t>
            </w:r>
            <w:r>
              <w:rPr>
                <w:rFonts w:ascii="宋体" w:hAnsi="宋体" w:cs="宋体" w:eastAsia="宋体" w:hint="default"/>
                <w:spacing w:val="-5"/>
                <w:w w:val="101"/>
                <w:sz w:val="18"/>
                <w:szCs w:val="18"/>
              </w:rPr>
              <w:t>计报</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实</w:t>
            </w:r>
            <w:r>
              <w:rPr>
                <w:rFonts w:ascii="宋体" w:hAnsi="宋体" w:cs="宋体" w:eastAsia="宋体" w:hint="default"/>
                <w:w w:val="101"/>
                <w:sz w:val="18"/>
                <w:szCs w:val="18"/>
              </w:rPr>
              <w:t>现</w:t>
            </w:r>
            <w:r>
              <w:rPr>
                <w:rFonts w:ascii="宋体" w:hAnsi="宋体" w:cs="宋体" w:eastAsia="宋体" w:hint="default"/>
                <w:spacing w:val="-5"/>
                <w:w w:val="101"/>
                <w:sz w:val="18"/>
                <w:szCs w:val="18"/>
              </w:rPr>
              <w:t>归</w:t>
            </w:r>
            <w:r>
              <w:rPr>
                <w:rFonts w:ascii="宋体" w:hAnsi="宋体" w:cs="宋体" w:eastAsia="宋体" w:hint="default"/>
                <w:w w:val="101"/>
                <w:sz w:val="18"/>
                <w:szCs w:val="18"/>
              </w:rPr>
              <w:t>属</w:t>
            </w:r>
            <w:r>
              <w:rPr>
                <w:rFonts w:ascii="宋体" w:hAnsi="宋体" w:cs="宋体" w:eastAsia="宋体" w:hint="default"/>
                <w:spacing w:val="-5"/>
                <w:w w:val="101"/>
                <w:sz w:val="18"/>
                <w:szCs w:val="18"/>
              </w:rPr>
              <w:t>于</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的</w:t>
            </w:r>
            <w:r>
              <w:rPr>
                <w:rFonts w:ascii="宋体" w:hAnsi="宋体" w:cs="宋体" w:eastAsia="宋体" w:hint="default"/>
                <w:spacing w:val="-5"/>
                <w:w w:val="101"/>
                <w:sz w:val="18"/>
                <w:szCs w:val="18"/>
              </w:rPr>
              <w:t>净</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为</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1,634.16  </w:t>
            </w:r>
            <w:r>
              <w:rPr>
                <w:rFonts w:ascii="宋体" w:hAnsi="宋体" w:cs="宋体" w:eastAsia="宋体" w:hint="default"/>
                <w:spacing w:val="-3"/>
                <w:sz w:val="18"/>
                <w:szCs w:val="18"/>
              </w:rPr>
              <w:t>万元，其中母公司实现的净利润为 </w:t>
            </w:r>
            <w:r>
              <w:rPr>
                <w:rFonts w:ascii="Times New Roman" w:hAnsi="Times New Roman" w:cs="Times New Roman" w:eastAsia="Times New Roman" w:hint="default"/>
                <w:sz w:val="18"/>
                <w:szCs w:val="18"/>
              </w:rPr>
              <w:t>874.56 </w:t>
            </w:r>
            <w:r>
              <w:rPr>
                <w:rFonts w:ascii="宋体" w:hAnsi="宋体" w:cs="宋体" w:eastAsia="宋体" w:hint="default"/>
                <w:spacing w:val="-3"/>
                <w:sz w:val="18"/>
                <w:szCs w:val="18"/>
              </w:rPr>
              <w:t>万元。根据《公司章程》的有关规定，按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年度母公司实现的净利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润提取</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的法定盈余公积金</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87.46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万元，加上年度结存未分配利润</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5,587.81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万元，减去</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年度实际派发的现金股利</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680.00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万元；公司执行新金融工具准则进行追溯调整，影响母公司期初未分配利润</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44.42</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万元，截至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日可</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供股东分配的利润为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5,739.34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根据公司实际经营情况，并结合中国证监会《上市公司监管指引第 </w:t>
            </w:r>
            <w:r>
              <w:rPr>
                <w:rFonts w:ascii="Times New Roman" w:hAnsi="Times New Roman" w:cs="Times New Roman" w:eastAsia="Times New Roman" w:hint="default"/>
                <w:sz w:val="18"/>
                <w:szCs w:val="18"/>
              </w:rPr>
              <w:t>3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上市公司现金分红》等相关规定，公司拟以 </w:t>
            </w:r>
            <w:r>
              <w:rPr>
                <w:rFonts w:ascii="Times New Roman" w:hAnsi="Times New Roman" w:cs="Times New Roman" w:eastAsia="Times New Roman" w:hint="default"/>
                <w:sz w:val="18"/>
                <w:szCs w:val="18"/>
              </w:rPr>
              <w:t>2020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的</w:t>
            </w:r>
            <w:r>
              <w:rPr>
                <w:rFonts w:ascii="宋体" w:hAnsi="宋体" w:cs="宋体" w:eastAsia="宋体" w:hint="default"/>
                <w:w w:val="101"/>
                <w:sz w:val="18"/>
                <w:szCs w:val="18"/>
              </w:rPr>
              <w:t>总股本</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520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股</w:t>
            </w:r>
            <w:r>
              <w:rPr>
                <w:rFonts w:ascii="宋体" w:hAnsi="宋体" w:cs="宋体" w:eastAsia="宋体" w:hint="default"/>
                <w:spacing w:val="-5"/>
                <w:w w:val="101"/>
                <w:sz w:val="18"/>
                <w:szCs w:val="18"/>
              </w:rPr>
              <w:t>为</w:t>
            </w:r>
            <w:r>
              <w:rPr>
                <w:rFonts w:ascii="宋体" w:hAnsi="宋体" w:cs="宋体" w:eastAsia="宋体" w:hint="default"/>
                <w:w w:val="101"/>
                <w:sz w:val="18"/>
                <w:szCs w:val="18"/>
              </w:rPr>
              <w:t>基</w:t>
            </w:r>
            <w:r>
              <w:rPr>
                <w:rFonts w:ascii="宋体" w:hAnsi="宋体" w:cs="宋体" w:eastAsia="宋体" w:hint="default"/>
                <w:spacing w:val="-5"/>
                <w:w w:val="101"/>
                <w:sz w:val="18"/>
                <w:szCs w:val="18"/>
              </w:rPr>
              <w:t>数</w:t>
            </w: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不</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不</w:t>
            </w:r>
            <w:r>
              <w:rPr>
                <w:rFonts w:ascii="宋体" w:hAnsi="宋体" w:cs="宋体" w:eastAsia="宋体" w:hint="default"/>
                <w:spacing w:val="-5"/>
                <w:w w:val="101"/>
                <w:sz w:val="18"/>
                <w:szCs w:val="18"/>
              </w:rPr>
              <w:t>送股</w:t>
            </w:r>
            <w:r>
              <w:rPr>
                <w:rFonts w:ascii="宋体" w:hAnsi="宋体" w:cs="宋体" w:eastAsia="宋体" w:hint="default"/>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预</w:t>
            </w:r>
            <w:r>
              <w:rPr>
                <w:rFonts w:ascii="宋体" w:hAnsi="宋体" w:cs="宋体" w:eastAsia="宋体" w:hint="default"/>
                <w:spacing w:val="-5"/>
                <w:w w:val="101"/>
                <w:sz w:val="18"/>
                <w:szCs w:val="18"/>
              </w:rPr>
              <w:t>案</w:t>
            </w:r>
            <w:r>
              <w:rPr>
                <w:rFonts w:ascii="宋体" w:hAnsi="宋体" w:cs="宋体" w:eastAsia="宋体" w:hint="default"/>
                <w:w w:val="101"/>
                <w:sz w:val="18"/>
                <w:szCs w:val="18"/>
              </w:rPr>
              <w:t>尚</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需提交公司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年年度股东大会审议。</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spacing w:line="240" w:lineRule="auto" w:before="2"/>
        <w:rPr>
          <w:rFonts w:ascii="宋体" w:hAnsi="宋体" w:cs="宋体" w:eastAsia="宋体" w:hint="default"/>
          <w:sz w:val="13"/>
          <w:szCs w:val="13"/>
        </w:rPr>
      </w:pPr>
    </w:p>
    <w:p>
      <w:pPr>
        <w:pStyle w:val="BodyText"/>
        <w:spacing w:line="240" w:lineRule="auto"/>
        <w:ind w:left="575" w:right="0"/>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2"/>
        </w:rPr>
        <w:t> </w:t>
      </w:r>
      <w:r>
        <w:rPr/>
        <w:t>年度利润分配方案：以截至</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47"/>
        </w:rPr>
        <w:t> </w:t>
      </w:r>
      <w:r>
        <w:rPr>
          <w:rFonts w:ascii="宋体" w:hAnsi="宋体" w:cs="宋体" w:eastAsia="宋体" w:hint="default"/>
          <w:spacing w:val="-3"/>
        </w:rPr>
        <w:t>12</w:t>
      </w:r>
      <w:r>
        <w:rPr>
          <w:rFonts w:ascii="宋体" w:hAnsi="宋体" w:cs="宋体" w:eastAsia="宋体" w:hint="default"/>
          <w:spacing w:val="-48"/>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日公司总股本</w:t>
      </w:r>
      <w:r>
        <w:rPr>
          <w:spacing w:val="-47"/>
        </w:rPr>
        <w:t> </w:t>
      </w:r>
      <w:r>
        <w:rPr>
          <w:rFonts w:ascii="宋体" w:hAnsi="宋体" w:cs="宋体" w:eastAsia="宋体" w:hint="default"/>
        </w:rPr>
        <w:t>68,000,000</w:t>
      </w:r>
      <w:r>
        <w:rPr>
          <w:rFonts w:ascii="宋体" w:hAnsi="宋体" w:cs="宋体" w:eastAsia="宋体" w:hint="default"/>
          <w:spacing w:val="-47"/>
        </w:rPr>
        <w:t> </w:t>
      </w:r>
      <w:r>
        <w:rPr/>
        <w:t>股为基数，向全体股</w:t>
      </w:r>
    </w:p>
    <w:p>
      <w:pPr>
        <w:pStyle w:val="BodyText"/>
        <w:spacing w:line="355" w:lineRule="auto" w:before="133"/>
        <w:ind w:right="1115"/>
        <w:jc w:val="left"/>
      </w:pPr>
      <w:r>
        <w:rPr>
          <w:w w:val="100"/>
        </w:rPr>
        <w:t>东每</w:t>
      </w:r>
      <w:r>
        <w:rPr>
          <w:spacing w:val="-37"/>
          <w:w w:val="100"/>
        </w:rPr>
        <w:t> </w:t>
      </w:r>
      <w:r>
        <w:rPr>
          <w:rFonts w:ascii="宋体" w:hAnsi="宋体" w:cs="宋体" w:eastAsia="宋体" w:hint="default"/>
          <w:w w:val="100"/>
        </w:rPr>
        <w:t>10</w:t>
      </w:r>
      <w:r>
        <w:rPr>
          <w:rFonts w:ascii="宋体" w:hAnsi="宋体" w:cs="宋体" w:eastAsia="宋体" w:hint="default"/>
          <w:spacing w:val="-37"/>
          <w:w w:val="100"/>
        </w:rPr>
        <w:t> </w:t>
      </w:r>
      <w:r>
        <w:rPr>
          <w:spacing w:val="-2"/>
          <w:w w:val="100"/>
        </w:rPr>
        <w:t>股派发现金人民币</w:t>
      </w:r>
      <w:r>
        <w:rPr>
          <w:spacing w:val="-42"/>
          <w:w w:val="100"/>
        </w:rPr>
        <w:t> </w:t>
      </w:r>
      <w:r>
        <w:rPr>
          <w:rFonts w:ascii="宋体" w:hAnsi="宋体" w:cs="宋体" w:eastAsia="宋体" w:hint="default"/>
          <w:w w:val="100"/>
        </w:rPr>
        <w:t>1</w:t>
      </w:r>
      <w:r>
        <w:rPr>
          <w:rFonts w:ascii="宋体" w:hAnsi="宋体" w:cs="宋体" w:eastAsia="宋体" w:hint="default"/>
          <w:spacing w:val="-37"/>
          <w:w w:val="100"/>
        </w:rPr>
        <w:t> </w:t>
      </w:r>
      <w:r>
        <w:rPr>
          <w:spacing w:val="-7"/>
          <w:w w:val="100"/>
        </w:rPr>
        <w:t>元（含税），合计派发现金股利为人民币</w:t>
      </w:r>
      <w:r>
        <w:rPr>
          <w:spacing w:val="-36"/>
          <w:w w:val="100"/>
        </w:rPr>
        <w:t> </w:t>
      </w:r>
      <w:r>
        <w:rPr>
          <w:rFonts w:ascii="宋体" w:hAnsi="宋体" w:cs="宋体" w:eastAsia="宋体" w:hint="default"/>
          <w:spacing w:val="-1"/>
          <w:w w:val="100"/>
        </w:rPr>
        <w:t>6,800,000</w:t>
      </w:r>
      <w:r>
        <w:rPr>
          <w:rFonts w:ascii="宋体" w:hAnsi="宋体" w:cs="宋体" w:eastAsia="宋体" w:hint="default"/>
          <w:spacing w:val="-41"/>
          <w:w w:val="100"/>
        </w:rPr>
        <w:t> </w:t>
      </w:r>
      <w:r>
        <w:rPr>
          <w:spacing w:val="-11"/>
          <w:w w:val="100"/>
        </w:rPr>
        <w:t>元（含税）。不以公积金</w:t>
      </w:r>
      <w:r>
        <w:rPr>
          <w:w w:val="100"/>
        </w:rPr>
        <w:t> </w:t>
      </w:r>
      <w:r>
        <w:rPr/>
        <w:t>转增股本，不送红股。</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2"/>
        </w:rPr>
        <w:t> </w:t>
      </w:r>
      <w:r>
        <w:rPr/>
        <w:t>年度利润分配方案：以截至</w:t>
      </w:r>
      <w:r>
        <w:rPr>
          <w:spacing w:val="-47"/>
        </w:rPr>
        <w:t> </w:t>
      </w:r>
      <w:r>
        <w:rPr>
          <w:rFonts w:ascii="宋体" w:hAnsi="宋体" w:cs="宋体" w:eastAsia="宋体" w:hint="default"/>
        </w:rPr>
        <w:t>2018</w:t>
      </w:r>
      <w:r>
        <w:rPr>
          <w:rFonts w:ascii="宋体" w:hAnsi="宋体" w:cs="宋体" w:eastAsia="宋体" w:hint="default"/>
          <w:spacing w:val="-48"/>
        </w:rPr>
        <w:t> </w:t>
      </w:r>
      <w:r>
        <w:rPr/>
        <w:t>年</w:t>
      </w:r>
      <w:r>
        <w:rPr>
          <w:spacing w:val="-47"/>
        </w:rPr>
        <w:t> </w:t>
      </w:r>
      <w:r>
        <w:rPr>
          <w:rFonts w:ascii="宋体" w:hAnsi="宋体" w:cs="宋体" w:eastAsia="宋体" w:hint="default"/>
          <w:spacing w:val="-3"/>
        </w:rPr>
        <w:t>12</w:t>
      </w:r>
      <w:r>
        <w:rPr>
          <w:rFonts w:ascii="宋体" w:hAnsi="宋体" w:cs="宋体" w:eastAsia="宋体" w:hint="default"/>
          <w:spacing w:val="-48"/>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日公司总股本</w:t>
      </w:r>
      <w:r>
        <w:rPr>
          <w:spacing w:val="-47"/>
        </w:rPr>
        <w:t> </w:t>
      </w:r>
      <w:r>
        <w:rPr>
          <w:rFonts w:ascii="宋体" w:hAnsi="宋体" w:cs="宋体" w:eastAsia="宋体" w:hint="default"/>
        </w:rPr>
        <w:t>68,000,000</w:t>
      </w:r>
      <w:r>
        <w:rPr>
          <w:rFonts w:ascii="宋体" w:hAnsi="宋体" w:cs="宋体" w:eastAsia="宋体" w:hint="default"/>
          <w:spacing w:val="-47"/>
        </w:rPr>
        <w:t> </w:t>
      </w:r>
      <w:r>
        <w:rPr/>
        <w:t>股为基数，向全体股</w:t>
      </w:r>
    </w:p>
    <w:p>
      <w:pPr>
        <w:pStyle w:val="BodyText"/>
        <w:spacing w:line="240" w:lineRule="auto" w:before="133"/>
        <w:ind w:right="0"/>
        <w:jc w:val="left"/>
      </w:pPr>
      <w:r>
        <w:rPr>
          <w:w w:val="100"/>
        </w:rPr>
        <w:t>东每</w:t>
      </w:r>
      <w:r>
        <w:rPr>
          <w:spacing w:val="-53"/>
        </w:rPr>
        <w:t> </w:t>
      </w:r>
      <w:r>
        <w:rPr>
          <w:rFonts w:ascii="宋体" w:hAnsi="宋体" w:cs="宋体" w:eastAsia="宋体" w:hint="default"/>
          <w:w w:val="100"/>
        </w:rPr>
        <w:t>10</w:t>
      </w:r>
      <w:r>
        <w:rPr>
          <w:rFonts w:ascii="宋体" w:hAnsi="宋体" w:cs="宋体" w:eastAsia="宋体" w:hint="default"/>
          <w:spacing w:val="-53"/>
        </w:rPr>
        <w:t> </w:t>
      </w:r>
      <w:r>
        <w:rPr>
          <w:w w:val="100"/>
        </w:rPr>
        <w:t>股</w:t>
      </w:r>
      <w:r>
        <w:rPr>
          <w:spacing w:val="-5"/>
          <w:w w:val="100"/>
        </w:rPr>
        <w:t>派</w:t>
      </w:r>
      <w:r>
        <w:rPr>
          <w:w w:val="100"/>
        </w:rPr>
        <w:t>发现金</w:t>
      </w:r>
      <w:r>
        <w:rPr>
          <w:spacing w:val="-5"/>
          <w:w w:val="100"/>
        </w:rPr>
        <w:t>人</w:t>
      </w:r>
      <w:r>
        <w:rPr>
          <w:w w:val="100"/>
        </w:rPr>
        <w:t>民币</w:t>
      </w:r>
      <w:r>
        <w:rPr>
          <w:spacing w:val="-52"/>
        </w:rPr>
        <w:t> </w:t>
      </w:r>
      <w:r>
        <w:rPr>
          <w:rFonts w:ascii="宋体" w:hAnsi="宋体" w:cs="宋体" w:eastAsia="宋体" w:hint="default"/>
          <w:w w:val="100"/>
        </w:rPr>
        <w:t>1</w:t>
      </w:r>
      <w:r>
        <w:rPr>
          <w:rFonts w:ascii="宋体" w:hAnsi="宋体" w:cs="宋体" w:eastAsia="宋体" w:hint="default"/>
          <w:spacing w:val="-53"/>
        </w:rPr>
        <w:t> </w:t>
      </w:r>
      <w:r>
        <w:rPr>
          <w:spacing w:val="-10"/>
          <w:w w:val="100"/>
        </w:rPr>
        <w:t>元</w:t>
      </w:r>
      <w:r>
        <w:rPr>
          <w:spacing w:val="-5"/>
          <w:w w:val="100"/>
        </w:rPr>
        <w:t>（</w:t>
      </w:r>
      <w:r>
        <w:rPr>
          <w:w w:val="100"/>
        </w:rPr>
        <w:t>含税</w:t>
      </w:r>
      <w:r>
        <w:rPr>
          <w:spacing w:val="-106"/>
          <w:w w:val="100"/>
        </w:rPr>
        <w:t>）</w:t>
      </w:r>
      <w:r>
        <w:rPr>
          <w:spacing w:val="-10"/>
          <w:w w:val="100"/>
        </w:rPr>
        <w:t>，</w:t>
      </w:r>
      <w:r>
        <w:rPr>
          <w:w w:val="100"/>
        </w:rPr>
        <w:t>合计</w:t>
      </w:r>
      <w:r>
        <w:rPr>
          <w:spacing w:val="-5"/>
          <w:w w:val="100"/>
        </w:rPr>
        <w:t>派</w:t>
      </w:r>
      <w:r>
        <w:rPr>
          <w:w w:val="100"/>
        </w:rPr>
        <w:t>发</w:t>
      </w:r>
      <w:r>
        <w:rPr>
          <w:spacing w:val="-5"/>
          <w:w w:val="100"/>
        </w:rPr>
        <w:t>现</w:t>
      </w:r>
      <w:r>
        <w:rPr>
          <w:w w:val="100"/>
        </w:rPr>
        <w:t>金股利为</w:t>
      </w:r>
      <w:r>
        <w:rPr>
          <w:spacing w:val="-5"/>
          <w:w w:val="100"/>
        </w:rPr>
        <w:t>人</w:t>
      </w:r>
      <w:r>
        <w:rPr>
          <w:w w:val="100"/>
        </w:rPr>
        <w:t>民币</w:t>
      </w:r>
      <w:r>
        <w:rPr>
          <w:spacing w:val="-51"/>
        </w:rPr>
        <w:t> </w:t>
      </w:r>
      <w:r>
        <w:rPr>
          <w:rFonts w:ascii="宋体" w:hAnsi="宋体" w:cs="宋体" w:eastAsia="宋体" w:hint="default"/>
          <w:w w:val="100"/>
        </w:rPr>
        <w:t>6,8</w:t>
      </w:r>
      <w:r>
        <w:rPr>
          <w:rFonts w:ascii="宋体" w:hAnsi="宋体" w:cs="宋体" w:eastAsia="宋体" w:hint="default"/>
          <w:spacing w:val="-5"/>
          <w:w w:val="100"/>
        </w:rPr>
        <w:t>0</w:t>
      </w:r>
      <w:r>
        <w:rPr>
          <w:rFonts w:ascii="宋体" w:hAnsi="宋体" w:cs="宋体" w:eastAsia="宋体" w:hint="default"/>
          <w:w w:val="100"/>
        </w:rPr>
        <w:t>0,000</w:t>
      </w:r>
      <w:r>
        <w:rPr>
          <w:rFonts w:ascii="宋体" w:hAnsi="宋体" w:cs="宋体" w:eastAsia="宋体" w:hint="default"/>
          <w:spacing w:val="-52"/>
        </w:rPr>
        <w:t> </w:t>
      </w:r>
      <w:r>
        <w:rPr>
          <w:w w:val="100"/>
        </w:rPr>
        <w:t>元</w:t>
      </w:r>
      <w:r>
        <w:rPr>
          <w:spacing w:val="-10"/>
          <w:w w:val="100"/>
        </w:rPr>
        <w:t>，</w:t>
      </w:r>
      <w:r>
        <w:rPr>
          <w:spacing w:val="-5"/>
          <w:w w:val="100"/>
        </w:rPr>
        <w:t>同</w:t>
      </w:r>
      <w:r>
        <w:rPr>
          <w:w w:val="100"/>
        </w:rPr>
        <w:t>时以资</w:t>
      </w:r>
      <w:r>
        <w:rPr>
          <w:spacing w:val="-5"/>
          <w:w w:val="100"/>
        </w:rPr>
        <w:t>本</w:t>
      </w:r>
      <w:r>
        <w:rPr>
          <w:w w:val="100"/>
        </w:rPr>
        <w:t>公积向全</w:t>
      </w:r>
    </w:p>
    <w:p>
      <w:pPr>
        <w:pStyle w:val="BodyText"/>
        <w:spacing w:line="240" w:lineRule="auto" w:before="128"/>
        <w:ind w:right="0"/>
        <w:jc w:val="left"/>
      </w:pPr>
      <w:r>
        <w:rPr/>
        <w:t>体股东每</w:t>
      </w:r>
      <w:r>
        <w:rPr>
          <w:spacing w:val="-49"/>
        </w:rPr>
        <w:t> </w:t>
      </w:r>
      <w:r>
        <w:rPr>
          <w:rFonts w:ascii="宋体" w:hAnsi="宋体" w:cs="宋体" w:eastAsia="宋体" w:hint="default"/>
        </w:rPr>
        <w:t>10</w:t>
      </w:r>
      <w:r>
        <w:rPr>
          <w:rFonts w:ascii="宋体" w:hAnsi="宋体" w:cs="宋体" w:eastAsia="宋体" w:hint="default"/>
          <w:spacing w:val="-54"/>
        </w:rPr>
        <w:t> </w:t>
      </w:r>
      <w:r>
        <w:rPr/>
        <w:t>股转增</w:t>
      </w:r>
      <w:r>
        <w:rPr>
          <w:spacing w:val="-50"/>
        </w:rPr>
        <w:t> </w:t>
      </w:r>
      <w:r>
        <w:rPr>
          <w:rFonts w:ascii="宋体" w:hAnsi="宋体" w:cs="宋体" w:eastAsia="宋体" w:hint="default"/>
        </w:rPr>
        <w:t>4</w:t>
      </w:r>
      <w:r>
        <w:rPr>
          <w:rFonts w:ascii="宋体" w:hAnsi="宋体" w:cs="宋体" w:eastAsia="宋体" w:hint="default"/>
          <w:spacing w:val="-54"/>
        </w:rPr>
        <w:t> </w:t>
      </w:r>
      <w:r>
        <w:rPr/>
        <w:t>股。</w:t>
      </w:r>
    </w:p>
    <w:p>
      <w:pPr>
        <w:spacing w:line="240" w:lineRule="auto" w:before="9"/>
        <w:rPr>
          <w:rFonts w:ascii="宋体" w:hAnsi="宋体" w:cs="宋体" w:eastAsia="宋体" w:hint="default"/>
          <w:sz w:val="22"/>
          <w:szCs w:val="22"/>
        </w:rPr>
      </w:pPr>
    </w:p>
    <w:p>
      <w:pPr>
        <w:pStyle w:val="BodyText"/>
        <w:spacing w:line="240" w:lineRule="auto"/>
        <w:ind w:left="575" w:right="0"/>
        <w:jc w:val="left"/>
        <w:rPr>
          <w:rFonts w:ascii="宋体" w:hAnsi="宋体" w:cs="宋体" w:eastAsia="宋体" w:hint="default"/>
        </w:rPr>
      </w:pPr>
      <w:r>
        <w:rPr>
          <w:rFonts w:ascii="宋体" w:hAnsi="宋体" w:cs="宋体" w:eastAsia="宋体" w:hint="default"/>
          <w:w w:val="100"/>
        </w:rPr>
        <w:t>3</w:t>
      </w:r>
      <w:r>
        <w:rPr>
          <w:w w:val="100"/>
        </w:rPr>
        <w:t>、</w:t>
      </w:r>
      <w:r>
        <w:rPr>
          <w:rFonts w:ascii="宋体" w:hAnsi="宋体" w:cs="宋体" w:eastAsia="宋体" w:hint="default"/>
          <w:w w:val="100"/>
        </w:rPr>
        <w:t>2019</w:t>
      </w:r>
      <w:r>
        <w:rPr>
          <w:rFonts w:ascii="宋体" w:hAnsi="宋体" w:cs="宋体" w:eastAsia="宋体" w:hint="default"/>
          <w:spacing w:val="-43"/>
        </w:rPr>
        <w:t> </w:t>
      </w:r>
      <w:r>
        <w:rPr>
          <w:spacing w:val="-5"/>
          <w:w w:val="100"/>
        </w:rPr>
        <w:t>年</w:t>
      </w:r>
      <w:r>
        <w:rPr>
          <w:w w:val="100"/>
        </w:rPr>
        <w:t>度利</w:t>
      </w:r>
      <w:r>
        <w:rPr>
          <w:spacing w:val="-5"/>
          <w:w w:val="100"/>
        </w:rPr>
        <w:t>润</w:t>
      </w:r>
      <w:r>
        <w:rPr>
          <w:w w:val="100"/>
        </w:rPr>
        <w:t>分配方</w:t>
      </w:r>
      <w:r>
        <w:rPr>
          <w:spacing w:val="-5"/>
          <w:w w:val="100"/>
        </w:rPr>
        <w:t>案</w:t>
      </w:r>
      <w:r>
        <w:rPr>
          <w:w w:val="100"/>
        </w:rPr>
        <w:t>（预案</w:t>
      </w:r>
      <w:r>
        <w:rPr>
          <w:spacing w:val="-106"/>
          <w:w w:val="100"/>
        </w:rPr>
        <w:t>）</w:t>
      </w:r>
      <w:r>
        <w:rPr>
          <w:spacing w:val="-5"/>
          <w:w w:val="100"/>
        </w:rPr>
        <w:t>：</w:t>
      </w:r>
      <w:r>
        <w:rPr>
          <w:w w:val="100"/>
        </w:rPr>
        <w:t>公司</w:t>
      </w:r>
      <w:r>
        <w:rPr>
          <w:spacing w:val="-5"/>
          <w:w w:val="100"/>
        </w:rPr>
        <w:t>拟</w:t>
      </w:r>
      <w:r>
        <w:rPr>
          <w:w w:val="100"/>
        </w:rPr>
        <w:t>以</w:t>
      </w:r>
      <w:r>
        <w:rPr>
          <w:spacing w:val="-41"/>
        </w:rPr>
        <w:t> </w:t>
      </w:r>
      <w:r>
        <w:rPr>
          <w:rFonts w:ascii="宋体" w:hAnsi="宋体" w:cs="宋体" w:eastAsia="宋体" w:hint="default"/>
          <w:w w:val="100"/>
        </w:rPr>
        <w:t>20</w:t>
      </w:r>
      <w:r>
        <w:rPr>
          <w:rFonts w:ascii="宋体" w:hAnsi="宋体" w:cs="宋体" w:eastAsia="宋体" w:hint="default"/>
          <w:spacing w:val="-5"/>
          <w:w w:val="100"/>
        </w:rPr>
        <w:t>2</w:t>
      </w:r>
      <w:r>
        <w:rPr>
          <w:rFonts w:ascii="宋体" w:hAnsi="宋体" w:cs="宋体" w:eastAsia="宋体" w:hint="default"/>
          <w:w w:val="100"/>
        </w:rPr>
        <w:t>0</w:t>
      </w:r>
      <w:r>
        <w:rPr>
          <w:rFonts w:ascii="宋体" w:hAnsi="宋体" w:cs="宋体" w:eastAsia="宋体" w:hint="default"/>
          <w:spacing w:val="-48"/>
        </w:rPr>
        <w:t> </w:t>
      </w:r>
      <w:r>
        <w:rPr>
          <w:w w:val="100"/>
        </w:rPr>
        <w:t>年</w:t>
      </w:r>
      <w:r>
        <w:rPr>
          <w:spacing w:val="-43"/>
        </w:rPr>
        <w:t> </w:t>
      </w:r>
      <w:r>
        <w:rPr>
          <w:rFonts w:ascii="宋体" w:hAnsi="宋体" w:cs="宋体" w:eastAsia="宋体" w:hint="default"/>
          <w:w w:val="100"/>
        </w:rPr>
        <w:t>4</w:t>
      </w:r>
      <w:r>
        <w:rPr>
          <w:rFonts w:ascii="宋体" w:hAnsi="宋体" w:cs="宋体" w:eastAsia="宋体" w:hint="default"/>
          <w:spacing w:val="-48"/>
        </w:rPr>
        <w:t> </w:t>
      </w:r>
      <w:r>
        <w:rPr>
          <w:w w:val="100"/>
        </w:rPr>
        <w:t>月</w:t>
      </w:r>
      <w:r>
        <w:rPr>
          <w:spacing w:val="-43"/>
        </w:rPr>
        <w:t> </w:t>
      </w:r>
      <w:r>
        <w:rPr>
          <w:rFonts w:ascii="宋体" w:hAnsi="宋体" w:cs="宋体" w:eastAsia="宋体" w:hint="default"/>
          <w:w w:val="100"/>
        </w:rPr>
        <w:t>28</w:t>
      </w:r>
      <w:r>
        <w:rPr>
          <w:rFonts w:ascii="宋体" w:hAnsi="宋体" w:cs="宋体" w:eastAsia="宋体" w:hint="default"/>
          <w:spacing w:val="-43"/>
        </w:rPr>
        <w:t> </w:t>
      </w:r>
      <w:r>
        <w:rPr>
          <w:spacing w:val="-5"/>
          <w:w w:val="100"/>
        </w:rPr>
        <w:t>日</w:t>
      </w:r>
      <w:r>
        <w:rPr>
          <w:w w:val="100"/>
        </w:rPr>
        <w:t>的总</w:t>
      </w:r>
      <w:r>
        <w:rPr>
          <w:spacing w:val="-5"/>
          <w:w w:val="100"/>
        </w:rPr>
        <w:t>股</w:t>
      </w:r>
      <w:r>
        <w:rPr>
          <w:w w:val="100"/>
        </w:rPr>
        <w:t>本</w:t>
      </w:r>
      <w:r>
        <w:rPr>
          <w:spacing w:val="-42"/>
        </w:rPr>
        <w:t> </w:t>
      </w:r>
      <w:r>
        <w:rPr>
          <w:rFonts w:ascii="宋体" w:hAnsi="宋体" w:cs="宋体" w:eastAsia="宋体" w:hint="default"/>
          <w:w w:val="100"/>
        </w:rPr>
        <w:t>9,5</w:t>
      </w:r>
      <w:r>
        <w:rPr>
          <w:rFonts w:ascii="宋体" w:hAnsi="宋体" w:cs="宋体" w:eastAsia="宋体" w:hint="default"/>
          <w:spacing w:val="-5"/>
          <w:w w:val="100"/>
        </w:rPr>
        <w:t>2</w:t>
      </w:r>
      <w:r>
        <w:rPr>
          <w:rFonts w:ascii="宋体" w:hAnsi="宋体" w:cs="宋体" w:eastAsia="宋体" w:hint="default"/>
          <w:w w:val="100"/>
        </w:rPr>
        <w:t>0</w:t>
      </w:r>
      <w:r>
        <w:rPr>
          <w:rFonts w:ascii="宋体" w:hAnsi="宋体" w:cs="宋体" w:eastAsia="宋体" w:hint="default"/>
          <w:spacing w:val="-43"/>
        </w:rPr>
        <w:t> </w:t>
      </w:r>
      <w:r>
        <w:rPr>
          <w:w w:val="100"/>
        </w:rPr>
        <w:t>万</w:t>
      </w:r>
      <w:r>
        <w:rPr>
          <w:spacing w:val="-5"/>
          <w:w w:val="100"/>
        </w:rPr>
        <w:t>股</w:t>
      </w:r>
      <w:r>
        <w:rPr>
          <w:w w:val="100"/>
        </w:rPr>
        <w:t>为基数</w:t>
      </w:r>
      <w:r>
        <w:rPr>
          <w:spacing w:val="-5"/>
          <w:w w:val="100"/>
        </w:rPr>
        <w:t>，</w:t>
      </w:r>
      <w:r>
        <w:rPr>
          <w:w w:val="100"/>
        </w:rPr>
        <w:t>每</w:t>
      </w:r>
      <w:r>
        <w:rPr>
          <w:spacing w:val="-43"/>
        </w:rPr>
        <w:t> </w:t>
      </w:r>
      <w:r>
        <w:rPr>
          <w:rFonts w:ascii="宋体" w:hAnsi="宋体" w:cs="宋体" w:eastAsia="宋体" w:hint="default"/>
          <w:w w:val="100"/>
        </w:rPr>
        <w:t>10</w:t>
      </w:r>
    </w:p>
    <w:p>
      <w:pPr>
        <w:pStyle w:val="BodyText"/>
        <w:spacing w:line="240" w:lineRule="auto" w:before="128"/>
        <w:ind w:right="0"/>
        <w:jc w:val="left"/>
      </w:pPr>
      <w:r>
        <w:rPr>
          <w:w w:val="100"/>
        </w:rPr>
        <w:t>股派发现</w:t>
      </w:r>
      <w:r>
        <w:rPr>
          <w:spacing w:val="-5"/>
          <w:w w:val="100"/>
        </w:rPr>
        <w:t>金</w:t>
      </w:r>
      <w:r>
        <w:rPr>
          <w:w w:val="100"/>
        </w:rPr>
        <w:t>股利人</w:t>
      </w:r>
      <w:r>
        <w:rPr>
          <w:spacing w:val="-5"/>
          <w:w w:val="100"/>
        </w:rPr>
        <w:t>民</w:t>
      </w:r>
      <w:r>
        <w:rPr>
          <w:w w:val="100"/>
        </w:rPr>
        <w:t>币</w:t>
      </w:r>
      <w:r>
        <w:rPr>
          <w:spacing w:val="-52"/>
        </w:rPr>
        <w:t> </w:t>
      </w:r>
      <w:r>
        <w:rPr>
          <w:rFonts w:ascii="宋体" w:hAnsi="宋体" w:cs="宋体" w:eastAsia="宋体" w:hint="default"/>
          <w:w w:val="100"/>
        </w:rPr>
        <w:t>0.85</w:t>
      </w:r>
      <w:r>
        <w:rPr>
          <w:rFonts w:ascii="宋体" w:hAnsi="宋体" w:cs="宋体" w:eastAsia="宋体" w:hint="default"/>
          <w:spacing w:val="-53"/>
        </w:rPr>
        <w:t> </w:t>
      </w:r>
      <w:r>
        <w:rPr>
          <w:spacing w:val="-5"/>
          <w:w w:val="100"/>
        </w:rPr>
        <w:t>元</w:t>
      </w:r>
      <w:r>
        <w:rPr>
          <w:w w:val="100"/>
        </w:rPr>
        <w:t>（含税</w:t>
      </w:r>
      <w:r>
        <w:rPr>
          <w:spacing w:val="-111"/>
          <w:w w:val="100"/>
        </w:rPr>
        <w:t>）</w:t>
      </w:r>
      <w:r>
        <w:rPr>
          <w:w w:val="100"/>
        </w:rPr>
        <w:t>。不转</w:t>
      </w:r>
      <w:r>
        <w:rPr>
          <w:spacing w:val="-5"/>
          <w:w w:val="100"/>
        </w:rPr>
        <w:t>增</w:t>
      </w:r>
      <w:r>
        <w:rPr>
          <w:w w:val="100"/>
        </w:rPr>
        <w:t>不</w:t>
      </w:r>
      <w:r>
        <w:rPr>
          <w:spacing w:val="-5"/>
          <w:w w:val="100"/>
        </w:rPr>
        <w:t>送</w:t>
      </w:r>
      <w:r>
        <w:rPr>
          <w:w w:val="100"/>
        </w:rPr>
        <w:t>股。</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01"/>
        <w:gridCol w:w="1191"/>
        <w:gridCol w:w="1201"/>
        <w:gridCol w:w="1196"/>
        <w:gridCol w:w="1196"/>
        <w:gridCol w:w="1186"/>
        <w:gridCol w:w="1217"/>
        <w:gridCol w:w="1174"/>
      </w:tblGrid>
      <w:tr>
        <w:trPr>
          <w:trHeight w:val="158"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1"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2"/>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8"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52" w:right="36"/>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7" w:right="46"/>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22"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89"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1"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201"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6"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9" w:hRule="exact"/>
        </w:trPr>
        <w:tc>
          <w:tcPr>
            <w:tcW w:w="1201"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1"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8,092,000.00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8" w:right="0"/>
              <w:jc w:val="center"/>
              <w:rPr>
                <w:rFonts w:ascii="Times New Roman" w:hAnsi="Times New Roman" w:cs="Times New Roman" w:eastAsia="Times New Roman" w:hint="default"/>
                <w:sz w:val="18"/>
                <w:szCs w:val="18"/>
              </w:rPr>
            </w:pPr>
            <w:r>
              <w:rPr>
                <w:rFonts w:ascii="Times New Roman"/>
                <w:sz w:val="18"/>
              </w:rPr>
              <w:t>16,341,562.92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8,092,000.00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49.52%</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6,800,000.00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8" w:right="0"/>
              <w:jc w:val="center"/>
              <w:rPr>
                <w:rFonts w:ascii="Times New Roman" w:hAnsi="Times New Roman" w:cs="Times New Roman" w:eastAsia="Times New Roman" w:hint="default"/>
                <w:sz w:val="18"/>
                <w:szCs w:val="18"/>
              </w:rPr>
            </w:pPr>
            <w:r>
              <w:rPr>
                <w:rFonts w:ascii="Times New Roman"/>
                <w:sz w:val="18"/>
              </w:rPr>
              <w:t>13,444,772.63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6,800,000.00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50.58%</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6,800,000.00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8" w:right="0"/>
              <w:jc w:val="center"/>
              <w:rPr>
                <w:rFonts w:ascii="Times New Roman" w:hAnsi="Times New Roman" w:cs="Times New Roman" w:eastAsia="Times New Roman" w:hint="default"/>
                <w:sz w:val="18"/>
                <w:szCs w:val="18"/>
              </w:rPr>
            </w:pPr>
            <w:r>
              <w:rPr>
                <w:rFonts w:ascii="Times New Roman"/>
                <w:sz w:val="18"/>
              </w:rPr>
              <w:t>47,172,804.89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6,800,000.00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14.42%</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pStyle w:val="Heading4"/>
        <w:spacing w:line="254"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133"/>
        <w:gridCol w:w="854"/>
        <w:gridCol w:w="850"/>
        <w:gridCol w:w="5104"/>
        <w:gridCol w:w="567"/>
        <w:gridCol w:w="566"/>
        <w:gridCol w:w="494"/>
      </w:tblGrid>
      <w:tr>
        <w:trPr>
          <w:trHeight w:val="163" w:hRule="exact"/>
        </w:trPr>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6" w:right="95"/>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2" w:right="55"/>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情况</w:t>
            </w:r>
          </w:p>
        </w:tc>
      </w:tr>
      <w:tr>
        <w:trPr>
          <w:trHeight w:val="389" w:hRule="exact"/>
        </w:trPr>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1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7"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r>
      <w:tr>
        <w:trPr>
          <w:trHeight w:val="163" w:hRule="exact"/>
        </w:trPr>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r>
      <w:tr>
        <w:trPr>
          <w:trHeight w:val="2276"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pacing w:val="-3"/>
                <w:sz w:val="18"/>
                <w:szCs w:val="18"/>
              </w:rPr>
              <w:t>在股份公司股票上市之日起 </w:t>
            </w: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锁定期</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）之内，不转让或</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委托他人管理本人于本次发行前直接或间接持有的股份公司股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份，也不由股份公司回购本人直接或间接持有的股份公司公开发</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行股票前已发行的股份。</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exact" w:before="23"/>
              <w:ind w:left="24" w:right="1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至</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2020</w:t>
            </w:r>
          </w:p>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250" w:hRule="exact"/>
        </w:trPr>
        <w:tc>
          <w:tcPr>
            <w:tcW w:w="1133" w:type="dxa"/>
            <w:vMerge/>
            <w:tcBorders>
              <w:left w:val="single" w:sz="4" w:space="0" w:color="000000"/>
              <w:bottom w:val="nil" w:sz="6" w:space="0" w:color="auto"/>
              <w:right w:val="single" w:sz="4" w:space="0" w:color="000000"/>
            </w:tcBorders>
            <w:shd w:val="clear" w:color="auto" w:fill="D2D2D2"/>
          </w:tcPr>
          <w:p>
            <w:pPr/>
          </w:p>
        </w:tc>
        <w:tc>
          <w:tcPr>
            <w:tcW w:w="85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9" w:lineRule="auto"/>
              <w:ind w:left="23" w:right="89"/>
              <w:jc w:val="both"/>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竞争、关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方面的承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5104"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29"/>
              <w:jc w:val="left"/>
              <w:rPr>
                <w:rFonts w:ascii="宋体" w:hAnsi="宋体" w:cs="宋体" w:eastAsia="宋体" w:hint="default"/>
                <w:sz w:val="18"/>
                <w:szCs w:val="18"/>
              </w:rPr>
            </w:pPr>
            <w:r>
              <w:rPr>
                <w:rFonts w:ascii="宋体" w:hAnsi="宋体" w:cs="宋体" w:eastAsia="宋体" w:hint="default"/>
                <w:spacing w:val="-3"/>
                <w:sz w:val="18"/>
                <w:szCs w:val="18"/>
              </w:rPr>
              <w:t>本人系创业黑马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股份公司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的控股股东及实际控制人</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股份公司拟向社会公众首次公开发行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股票并上市</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为了避免因同业竞争而给股份公司和社会公众利益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带来损害</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本人特作出如下声明及承诺</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一、于本承诺函签署之</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本人及本人直接或间接控制的除股份公司外的其他企业</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均</w:t>
            </w:r>
            <w:r>
              <w:rPr>
                <w:rFonts w:ascii="宋体" w:hAnsi="宋体" w:cs="宋体" w:eastAsia="宋体" w:hint="default"/>
                <w:spacing w:val="-51"/>
                <w:sz w:val="18"/>
                <w:szCs w:val="18"/>
              </w:rPr>
              <w:t> </w:t>
            </w:r>
            <w:r>
              <w:rPr>
                <w:rFonts w:ascii="宋体" w:hAnsi="宋体" w:cs="宋体" w:eastAsia="宋体" w:hint="default"/>
                <w:spacing w:val="-3"/>
                <w:sz w:val="18"/>
                <w:szCs w:val="18"/>
              </w:rPr>
              <w:t>未生产、开发任何与股份公司生产的产品构成竞争或可能竞争的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产品</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未直接或间接经营任何与股份公司经营的业务构成竞争或</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可能竞争的业务；二、自本承诺函签署之日起</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本人及本人直接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或间接控制的除股份公司外的其他企业将不生产、开发任何与股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份公司生产的产品构成竞争或可能构成竞争的产品</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不直接或间</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接经营任何与股份公司经营的业务构成竞争或可能竞争的业务；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三、自本承诺函签署之日起</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如股份公司进一步拓展其产品和业</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1018" w:hRule="exact"/>
        </w:trPr>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首次公开发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行或再融资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时所作承诺</w:t>
            </w:r>
          </w:p>
        </w:tc>
        <w:tc>
          <w:tcPr>
            <w:tcW w:w="854"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5104"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4" w:type="dxa"/>
            <w:vMerge/>
            <w:tcBorders>
              <w:left w:val="single" w:sz="4" w:space="0" w:color="000000"/>
              <w:right w:val="single" w:sz="4" w:space="0" w:color="000000"/>
            </w:tcBorders>
          </w:tcPr>
          <w:p>
            <w:pPr/>
          </w:p>
        </w:tc>
      </w:tr>
      <w:tr>
        <w:trPr>
          <w:trHeight w:val="2525" w:hRule="exact"/>
        </w:trPr>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104"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133"/>
        <w:gridCol w:w="854"/>
        <w:gridCol w:w="850"/>
        <w:gridCol w:w="5104"/>
        <w:gridCol w:w="567"/>
        <w:gridCol w:w="566"/>
        <w:gridCol w:w="497"/>
      </w:tblGrid>
      <w:tr>
        <w:trPr>
          <w:trHeight w:val="2545"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7"/>
              <w:jc w:val="both"/>
              <w:rPr>
                <w:rFonts w:ascii="宋体" w:hAnsi="宋体" w:cs="宋体" w:eastAsia="宋体" w:hint="default"/>
                <w:sz w:val="18"/>
                <w:szCs w:val="18"/>
              </w:rPr>
            </w:pPr>
            <w:r>
              <w:rPr>
                <w:rFonts w:ascii="宋体" w:hAnsi="宋体" w:cs="宋体" w:eastAsia="宋体" w:hint="default"/>
                <w:sz w:val="18"/>
                <w:szCs w:val="18"/>
              </w:rPr>
              <w:t>务范围</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本人及本人直接或间接控制的除股份公司外的其他企业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将不与股份公司拓展后的产品或业务相竞争</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若与股份公司拓展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后的产品或业务产生竞争</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本人及本人直接或间接控制的除股份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公司外的其他企业将以停止生产或经营相竞争的业务或产品的方</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式、或者将相竞争的业务纳入到股份公司经营的方式、或者将相</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竞争的业务转让给无关联关系第三方的方式避免同业竞争；四、</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如本承诺函被证明是不真实或未被遵守</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本人将向股份公司赔偿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一切直接和间接损失。</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r>
      <w:tr>
        <w:trPr>
          <w:trHeight w:val="11327"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3"/>
              <w:ind w:left="23" w:right="93"/>
              <w:jc w:val="both"/>
              <w:rPr>
                <w:rFonts w:ascii="宋体" w:hAnsi="宋体" w:cs="宋体" w:eastAsia="宋体" w:hint="default"/>
                <w:sz w:val="18"/>
                <w:szCs w:val="18"/>
              </w:rPr>
            </w:pPr>
            <w:r>
              <w:rPr>
                <w:rFonts w:ascii="宋体" w:hAnsi="宋体" w:cs="宋体" w:eastAsia="宋体" w:hint="default"/>
                <w:sz w:val="18"/>
                <w:szCs w:val="18"/>
              </w:rPr>
              <w:t>北京创业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嘉乐文化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传媒交流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21"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7"/>
              <w:jc w:val="left"/>
              <w:rPr>
                <w:rFonts w:ascii="宋体" w:hAnsi="宋体" w:cs="宋体" w:eastAsia="宋体" w:hint="default"/>
                <w:sz w:val="18"/>
                <w:szCs w:val="18"/>
              </w:rPr>
            </w:pPr>
            <w:r>
              <w:rPr>
                <w:rFonts w:ascii="宋体" w:hAnsi="宋体" w:cs="宋体" w:eastAsia="宋体" w:hint="default"/>
                <w:spacing w:val="-3"/>
                <w:sz w:val="18"/>
                <w:szCs w:val="18"/>
              </w:rPr>
              <w:t>根据《中华人民共和国公司法》等相关法律、行政法规及规范性</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文件的要求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创业黑马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股份公司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拟向</w:t>
            </w:r>
            <w:r>
              <w:rPr>
                <w:rFonts w:ascii="宋体" w:hAnsi="宋体" w:cs="宋体" w:eastAsia="宋体" w:hint="default"/>
                <w:spacing w:val="-6"/>
                <w:sz w:val="18"/>
                <w:szCs w:val="18"/>
              </w:rPr>
              <w:t> </w:t>
            </w:r>
            <w:r>
              <w:rPr>
                <w:rFonts w:ascii="宋体" w:hAnsi="宋体" w:cs="宋体" w:eastAsia="宋体" w:hint="default"/>
                <w:spacing w:val="-3"/>
                <w:sz w:val="18"/>
                <w:szCs w:val="18"/>
              </w:rPr>
              <w:t>社会公众首次公开发行股票并上市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本企业作为股份公司</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持股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将遵守中国证监会《上市公司股东、董监高</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5"/>
                <w:w w:val="101"/>
                <w:sz w:val="18"/>
                <w:szCs w:val="18"/>
              </w:rPr>
              <w:t>减持股份的若干规定》，深圳证券交易所《股票上市规则》、《深圳</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证券交易所上市公司股东及董事、监事、高级管理人员减持股份</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w w:val="101"/>
                <w:sz w:val="18"/>
                <w:szCs w:val="18"/>
              </w:rPr>
              <w:t>实施细则》的相关规定</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于此郑重承诺如下</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在股份公司股票上市之</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z w:val="18"/>
                <w:szCs w:val="18"/>
              </w:rPr>
              <w:t>日起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锁定期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不转让或委托他人管理本企业于本次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发行前直接或间接持有的股份公司股份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也不由股份公司回购本</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企业直接或间接持有的股份公司公开发行股票前已发行的股份。</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于锁定期届满后两年内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在满足以下条件的前提下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可进行减持</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pacing w:val="-3"/>
                <w:sz w:val="18"/>
                <w:szCs w:val="18"/>
              </w:rPr>
              <w:t>锁定期届满且没有延长锁定期的相关情形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如有锁定延长期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则顺</w:t>
            </w:r>
            <w:r>
              <w:rPr>
                <w:rFonts w:ascii="宋体" w:hAnsi="宋体" w:cs="宋体" w:eastAsia="宋体" w:hint="default"/>
                <w:spacing w:val="-7"/>
                <w:sz w:val="18"/>
                <w:szCs w:val="18"/>
              </w:rPr>
              <w:t> </w:t>
            </w:r>
            <w:r>
              <w:rPr>
                <w:rFonts w:ascii="宋体" w:hAnsi="宋体" w:cs="宋体" w:eastAsia="宋体" w:hint="default"/>
                <w:spacing w:val="-3"/>
                <w:sz w:val="18"/>
                <w:szCs w:val="18"/>
              </w:rPr>
              <w:t>延</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如发生本企业需向投资者进行赔偿的情形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本企业已经全额</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承担赔偿责任。若本企业所持股份公司股票在锁定期满后两年内</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进行减持的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除届时法律法规另有规定或另有约定外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本企业每年 减持股份公司的股份数量将不超过上一年末本企业所持股份公司</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股份数量的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减持至所持股份公司股份不超过</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股时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可</w:t>
            </w:r>
            <w:r>
              <w:rPr>
                <w:rFonts w:ascii="宋体" w:hAnsi="宋体" w:cs="宋体" w:eastAsia="宋体" w:hint="default"/>
                <w:spacing w:val="-55"/>
                <w:sz w:val="18"/>
                <w:szCs w:val="18"/>
              </w:rPr>
              <w:t> </w:t>
            </w:r>
            <w:r>
              <w:rPr>
                <w:rFonts w:ascii="宋体" w:hAnsi="宋体" w:cs="宋体" w:eastAsia="宋体" w:hint="default"/>
                <w:spacing w:val="-3"/>
                <w:sz w:val="18"/>
                <w:szCs w:val="18"/>
              </w:rPr>
              <w:t>一次性全部减持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。减持的具体操作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减持时间、减持股价区间由</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本企业召开合伙人会议经届时本企业全体合伙人过半数同意。若</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本企业于本企业承诺的股票锁定期届满后两年内减持股份公司股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股票减持的价格应不低于股份公司首次公开发行股票的发行</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。本企业减持股份公司股票时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将在减持时提前 </w:t>
            </w:r>
            <w:r>
              <w:rPr>
                <w:rFonts w:ascii="Times New Roman" w:hAnsi="Times New Roman" w:cs="Times New Roman" w:eastAsia="Times New Roman" w:hint="default"/>
                <w:sz w:val="18"/>
                <w:szCs w:val="18"/>
              </w:rPr>
              <w:t>3 </w:t>
            </w:r>
            <w:r>
              <w:rPr>
                <w:rFonts w:ascii="宋体" w:hAnsi="宋体" w:cs="宋体" w:eastAsia="宋体" w:hint="default"/>
                <w:sz w:val="18"/>
                <w:szCs w:val="18"/>
              </w:rPr>
              <w:t>个</w:t>
            </w:r>
            <w:r>
              <w:rPr>
                <w:rFonts w:ascii="宋体" w:hAnsi="宋体" w:cs="宋体" w:eastAsia="宋体" w:hint="default"/>
                <w:spacing w:val="-50"/>
                <w:sz w:val="18"/>
                <w:szCs w:val="18"/>
              </w:rPr>
              <w:t> </w:t>
            </w:r>
            <w:r>
              <w:rPr>
                <w:rFonts w:ascii="宋体" w:hAnsi="宋体" w:cs="宋体" w:eastAsia="宋体" w:hint="default"/>
                <w:spacing w:val="-3"/>
                <w:sz w:val="18"/>
                <w:szCs w:val="18"/>
              </w:rPr>
              <w:t>交易日予以公告。若股份公司上市后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个月内股份公司股票连续</w:t>
            </w:r>
          </w:p>
          <w:p>
            <w:pPr>
              <w:pStyle w:val="TableParagraph"/>
              <w:spacing w:line="304" w:lineRule="auto" w:before="7"/>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个交易日的收盘价均低于发行价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或者股份公司上市后 </w:t>
            </w:r>
            <w:r>
              <w:rPr>
                <w:rFonts w:ascii="Times New Roman" w:hAnsi="Times New Roman" w:cs="Times New Roman" w:eastAsia="Times New Roman" w:hint="default"/>
                <w:sz w:val="18"/>
                <w:szCs w:val="18"/>
              </w:rPr>
              <w:t>6 </w:t>
            </w:r>
            <w:r>
              <w:rPr>
                <w:rFonts w:ascii="宋体" w:hAnsi="宋体" w:cs="宋体" w:eastAsia="宋体" w:hint="default"/>
                <w:spacing w:val="-5"/>
                <w:sz w:val="18"/>
                <w:szCs w:val="18"/>
              </w:rPr>
              <w:t>个月</w:t>
            </w:r>
            <w:r>
              <w:rPr>
                <w:rFonts w:ascii="宋体" w:hAnsi="宋体" w:cs="宋体" w:eastAsia="宋体" w:hint="default"/>
                <w:spacing w:val="-55"/>
                <w:sz w:val="18"/>
                <w:szCs w:val="18"/>
              </w:rPr>
              <w:t> </w:t>
            </w:r>
            <w:r>
              <w:rPr>
                <w:rFonts w:ascii="宋体" w:hAnsi="宋体" w:cs="宋体" w:eastAsia="宋体" w:hint="default"/>
                <w:spacing w:val="-3"/>
                <w:sz w:val="18"/>
                <w:szCs w:val="18"/>
              </w:rPr>
              <w:t>期末股票收盘价低于发行价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本企业承诺的股票锁定期限将自动</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w w:val="101"/>
                <w:sz w:val="18"/>
                <w:szCs w:val="18"/>
              </w:rPr>
              <w:t>延长</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6 </w:t>
            </w:r>
            <w:r>
              <w:rPr>
                <w:rFonts w:ascii="宋体" w:hAnsi="宋体" w:cs="宋体" w:eastAsia="宋体" w:hint="default"/>
                <w:spacing w:val="-6"/>
                <w:w w:val="101"/>
                <w:sz w:val="18"/>
                <w:szCs w:val="18"/>
              </w:rPr>
              <w:t>个月</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如遇除权除息事项</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上述发行价作相应调整。本企业将</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忠实履行上述承诺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如本企业违反上述承诺或法律强制性规定减</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持股份的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本企业承诺违规减持股份公司股票所得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违规</w:t>
            </w:r>
            <w:r>
              <w:rPr>
                <w:rFonts w:ascii="宋体" w:hAnsi="宋体" w:cs="宋体" w:eastAsia="宋体" w:hint="default"/>
                <w:spacing w:val="-10"/>
                <w:sz w:val="18"/>
                <w:szCs w:val="18"/>
              </w:rPr>
              <w:t> </w:t>
            </w:r>
            <w:r>
              <w:rPr>
                <w:rFonts w:ascii="宋体" w:hAnsi="宋体" w:cs="宋体" w:eastAsia="宋体" w:hint="default"/>
                <w:spacing w:val="-3"/>
                <w:sz w:val="18"/>
                <w:szCs w:val="18"/>
              </w:rPr>
              <w:t>减持所得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归股份公司所有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同时本企业持有的剩余股份公司股份</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的锁定期在原锁定期届满后自动延长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年。如本企业未将违规减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持所得上交股份公司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则股份公司有权扣留应付本企业现金分红</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中与本企业应上交股份公司的违规减持所得金额相等的现金分</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红。本企业将积极采取合法措施履行就本次发行上市所做的所有</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5"/>
                <w:w w:val="101"/>
                <w:sz w:val="18"/>
                <w:szCs w:val="18"/>
              </w:rPr>
              <w:t>承诺</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自愿接受监管机关、社会公众及投资者的监督</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并依法承担相</w:t>
            </w:r>
            <w:r>
              <w:rPr>
                <w:rFonts w:ascii="宋体" w:hAnsi="宋体" w:cs="宋体" w:eastAsia="宋体" w:hint="default"/>
                <w:w w:val="101"/>
                <w:sz w:val="18"/>
                <w:szCs w:val="18"/>
              </w:rPr>
              <w:t> </w:t>
            </w:r>
            <w:r>
              <w:rPr>
                <w:rFonts w:ascii="宋体" w:hAnsi="宋体" w:cs="宋体" w:eastAsia="宋体" w:hint="default"/>
                <w:spacing w:val="-4"/>
                <w:sz w:val="18"/>
                <w:szCs w:val="18"/>
              </w:rPr>
              <w:t>应责任。若因违反上述承诺而被司法机关和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或行政机关作出相应</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裁判、决定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本企业将严格依法执行该等裁判、决定。特此承诺。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exact" w:before="24"/>
              <w:ind w:left="24" w:right="1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至</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2020</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133"/>
        <w:gridCol w:w="854"/>
        <w:gridCol w:w="850"/>
        <w:gridCol w:w="5104"/>
        <w:gridCol w:w="567"/>
        <w:gridCol w:w="566"/>
        <w:gridCol w:w="494"/>
      </w:tblGrid>
      <w:tr>
        <w:trPr>
          <w:trHeight w:val="3212"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3" w:right="93"/>
              <w:jc w:val="both"/>
              <w:rPr>
                <w:rFonts w:ascii="宋体" w:hAnsi="宋体" w:cs="宋体" w:eastAsia="宋体" w:hint="default"/>
                <w:sz w:val="18"/>
                <w:szCs w:val="18"/>
              </w:rPr>
            </w:pPr>
            <w:r>
              <w:rPr>
                <w:rFonts w:ascii="宋体" w:hAnsi="宋体" w:cs="宋体" w:eastAsia="宋体" w:hint="default"/>
                <w:sz w:val="18"/>
                <w:szCs w:val="18"/>
              </w:rPr>
              <w:t>蓝创文化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传媒（天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津）合伙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89"/>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蓝创文化在股份公司股票上市之日起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锁定期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）内，</w:t>
            </w:r>
            <w:r>
              <w:rPr>
                <w:rFonts w:ascii="宋体" w:hAnsi="宋体" w:cs="宋体" w:eastAsia="宋体" w:hint="default"/>
                <w:spacing w:val="-60"/>
                <w:sz w:val="18"/>
                <w:szCs w:val="18"/>
              </w:rPr>
              <w:t> </w:t>
            </w:r>
            <w:r>
              <w:rPr>
                <w:rFonts w:ascii="宋体" w:hAnsi="宋体" w:cs="宋体" w:eastAsia="宋体" w:hint="default"/>
                <w:spacing w:val="-3"/>
                <w:sz w:val="18"/>
                <w:szCs w:val="18"/>
              </w:rPr>
              <w:t>不转让或委托他人管理本企业于本次发行前直接或间接持有的股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份公司股份，也不由股份公司回购本企业直接或间接持有的股份</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公司公开发行股票前已发行的股份。若本企业所持股份公司股票</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在上述锁定期满后</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个月内减持的，减持不超过本企业所持股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份公司股份的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；若本企业所持股份公司股票在锁定期满后</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6"/>
                <w:sz w:val="18"/>
                <w:szCs w:val="18"/>
              </w:rPr>
              <w:t>两年内减持，减持应按照市场价格进行。本企业将至少提前</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个</w:t>
            </w:r>
            <w:r>
              <w:rPr>
                <w:rFonts w:ascii="宋体" w:hAnsi="宋体" w:cs="宋体" w:eastAsia="宋体" w:hint="default"/>
                <w:spacing w:val="-83"/>
                <w:sz w:val="18"/>
                <w:szCs w:val="18"/>
              </w:rPr>
              <w:t> </w:t>
            </w:r>
            <w:r>
              <w:rPr>
                <w:rFonts w:ascii="宋体" w:hAnsi="宋体" w:cs="宋体" w:eastAsia="宋体" w:hint="default"/>
                <w:spacing w:val="-3"/>
                <w:sz w:val="18"/>
                <w:szCs w:val="18"/>
              </w:rPr>
              <w:t>交易日通知股份公司公告本次减持的数量、减持价格区间、减持</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时间区间等，并按照深圳证券交易所的规则及时、准确、完整地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履行信息披露义务。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312" w:lineRule="exact" w:before="24"/>
              <w:ind w:left="24" w:right="1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至</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2020</w:t>
            </w:r>
          </w:p>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95"/>
              <w:jc w:val="both"/>
              <w:rPr>
                <w:rFonts w:ascii="宋体" w:hAnsi="宋体" w:cs="宋体" w:eastAsia="宋体" w:hint="default"/>
                <w:sz w:val="18"/>
                <w:szCs w:val="18"/>
              </w:rPr>
            </w:pPr>
            <w:r>
              <w:rPr>
                <w:rFonts w:ascii="宋体" w:hAnsi="宋体" w:cs="宋体" w:eastAsia="宋体" w:hint="default"/>
                <w:sz w:val="18"/>
                <w:szCs w:val="18"/>
              </w:rPr>
              <w:t>正常</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中</w:t>
            </w:r>
          </w:p>
        </w:tc>
      </w:tr>
      <w:tr>
        <w:trPr>
          <w:trHeight w:val="710"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pacing w:val="-2"/>
                <w:sz w:val="18"/>
                <w:szCs w:val="18"/>
              </w:rPr>
              <w:t>承诺是否按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时履行</w:t>
            </w:r>
          </w:p>
        </w:tc>
        <w:tc>
          <w:tcPr>
            <w:tcW w:w="84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588"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z w:val="18"/>
                <w:szCs w:val="18"/>
              </w:rPr>
              <w:t>如承诺超期</w:t>
            </w:r>
            <w:r>
              <w:rPr>
                <w:rFonts w:ascii="宋体" w:hAnsi="宋体" w:cs="宋体" w:eastAsia="宋体" w:hint="default"/>
                <w:w w:val="101"/>
                <w:sz w:val="18"/>
                <w:szCs w:val="18"/>
              </w:rPr>
              <w:t> </w:t>
            </w:r>
            <w:r>
              <w:rPr>
                <w:rFonts w:ascii="宋体" w:hAnsi="宋体" w:cs="宋体" w:eastAsia="宋体" w:hint="default"/>
                <w:sz w:val="18"/>
                <w:szCs w:val="18"/>
              </w:rPr>
              <w:t>未履行完毕</w:t>
            </w:r>
            <w:r>
              <w:rPr>
                <w:rFonts w:ascii="宋体" w:hAnsi="宋体" w:cs="宋体" w:eastAsia="宋体" w:hint="default"/>
                <w:w w:val="101"/>
                <w:sz w:val="18"/>
                <w:szCs w:val="18"/>
              </w:rPr>
              <w:t> </w:t>
            </w:r>
            <w:r>
              <w:rPr>
                <w:rFonts w:ascii="宋体" w:hAnsi="宋体" w:cs="宋体" w:eastAsia="宋体" w:hint="default"/>
                <w:spacing w:val="-2"/>
                <w:sz w:val="18"/>
                <w:szCs w:val="18"/>
              </w:rPr>
              <w:t>的，应当详细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说明未完成</w:t>
            </w:r>
            <w:r>
              <w:rPr>
                <w:rFonts w:ascii="宋体" w:hAnsi="宋体" w:cs="宋体" w:eastAsia="宋体" w:hint="default"/>
                <w:w w:val="101"/>
                <w:sz w:val="18"/>
                <w:szCs w:val="18"/>
              </w:rPr>
              <w:t> </w:t>
            </w:r>
            <w:r>
              <w:rPr>
                <w:rFonts w:ascii="宋体" w:hAnsi="宋体" w:cs="宋体" w:eastAsia="宋体" w:hint="default"/>
                <w:sz w:val="18"/>
                <w:szCs w:val="18"/>
              </w:rPr>
              <w:t>履行的具体</w:t>
            </w:r>
            <w:r>
              <w:rPr>
                <w:rFonts w:ascii="宋体" w:hAnsi="宋体" w:cs="宋体" w:eastAsia="宋体" w:hint="default"/>
                <w:w w:val="101"/>
                <w:sz w:val="18"/>
                <w:szCs w:val="18"/>
              </w:rPr>
              <w:t> </w:t>
            </w:r>
            <w:r>
              <w:rPr>
                <w:rFonts w:ascii="宋体" w:hAnsi="宋体" w:cs="宋体" w:eastAsia="宋体" w:hint="default"/>
                <w:sz w:val="18"/>
                <w:szCs w:val="18"/>
              </w:rPr>
              <w:t>原因及下一</w:t>
            </w:r>
            <w:r>
              <w:rPr>
                <w:rFonts w:ascii="宋体" w:hAnsi="宋体" w:cs="宋体" w:eastAsia="宋体" w:hint="default"/>
                <w:w w:val="101"/>
                <w:sz w:val="18"/>
                <w:szCs w:val="18"/>
              </w:rPr>
              <w:t> </w:t>
            </w:r>
            <w:r>
              <w:rPr>
                <w:rFonts w:ascii="宋体" w:hAnsi="宋体" w:cs="宋体" w:eastAsia="宋体" w:hint="default"/>
                <w:sz w:val="18"/>
                <w:szCs w:val="18"/>
              </w:rPr>
              <w:t>步的工作计</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w w:val="101"/>
                <w:sz w:val="18"/>
                <w:szCs w:val="18"/>
              </w:rPr>
              <w:t>划</w:t>
            </w:r>
            <w:r>
              <w:rPr>
                <w:rFonts w:ascii="宋体" w:hAnsi="宋体" w:cs="宋体" w:eastAsia="宋体" w:hint="default"/>
                <w:sz w:val="18"/>
                <w:szCs w:val="18"/>
              </w:rPr>
            </w:r>
          </w:p>
        </w:tc>
        <w:tc>
          <w:tcPr>
            <w:tcW w:w="84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4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528"/>
        <w:gridCol w:w="4528"/>
      </w:tblGrid>
      <w:tr>
        <w:trPr>
          <w:trHeight w:val="334" w:hRule="exact"/>
        </w:trPr>
        <w:tc>
          <w:tcPr>
            <w:tcW w:w="45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17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5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sz w:val="18"/>
                <w:szCs w:val="18"/>
              </w:rPr>
            </w:r>
          </w:p>
        </w:tc>
      </w:tr>
      <w:tr>
        <w:trPr>
          <w:trHeight w:val="2547" w:hRule="exact"/>
        </w:trPr>
        <w:tc>
          <w:tcPr>
            <w:tcW w:w="4528"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27"/>
              <w:ind w:left="4" w:right="-5" w:firstLine="48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z w:val="18"/>
                <w:szCs w:val="18"/>
              </w:rPr>
              <w:t>2017</w:t>
            </w:r>
            <w:r>
              <w:rPr>
                <w:rFonts w:ascii="宋体" w:hAnsi="宋体" w:cs="宋体" w:eastAsia="宋体" w:hint="default"/>
                <w:sz w:val="18"/>
                <w:szCs w:val="18"/>
              </w:rPr>
              <w:t>年陆续发布了修订后的《企业会计准</w:t>
            </w:r>
            <w:r>
              <w:rPr>
                <w:rFonts w:ascii="宋体" w:hAnsi="宋体" w:cs="宋体" w:eastAsia="宋体" w:hint="default"/>
                <w:w w:val="101"/>
                <w:sz w:val="18"/>
                <w:szCs w:val="18"/>
              </w:rPr>
              <w:t> </w:t>
            </w:r>
            <w:r>
              <w:rPr>
                <w:rFonts w:ascii="宋体" w:hAnsi="宋体" w:cs="宋体" w:eastAsia="宋体" w:hint="default"/>
                <w:spacing w:val="-2"/>
                <w:sz w:val="18"/>
                <w:szCs w:val="18"/>
              </w:rPr>
              <w:t>则第</w:t>
            </w:r>
            <w:r>
              <w:rPr>
                <w:rFonts w:ascii="宋体" w:hAnsi="宋体" w:cs="宋体" w:eastAsia="宋体" w:hint="default"/>
                <w:spacing w:val="-2"/>
                <w:sz w:val="18"/>
                <w:szCs w:val="18"/>
              </w:rPr>
              <w:t>22</w:t>
            </w:r>
            <w:r>
              <w:rPr>
                <w:rFonts w:ascii="宋体" w:hAnsi="宋体" w:cs="宋体" w:eastAsia="宋体" w:hint="default"/>
                <w:spacing w:val="-2"/>
                <w:sz w:val="18"/>
                <w:szCs w:val="18"/>
              </w:rPr>
              <w:t>号</w:t>
            </w:r>
            <w:r>
              <w:rPr>
                <w:rFonts w:ascii="宋体" w:hAnsi="宋体" w:cs="宋体" w:eastAsia="宋体" w:hint="default"/>
                <w:spacing w:val="-2"/>
                <w:sz w:val="18"/>
                <w:szCs w:val="18"/>
              </w:rPr>
              <w:t>--</w:t>
            </w:r>
            <w:r>
              <w:rPr>
                <w:rFonts w:ascii="宋体" w:hAnsi="宋体" w:cs="宋体" w:eastAsia="宋体" w:hint="default"/>
                <w:spacing w:val="-2"/>
                <w:sz w:val="18"/>
                <w:szCs w:val="18"/>
              </w:rPr>
              <w:t>金融工具确认和计量》、《企业会计准则第</w:t>
            </w:r>
            <w:r>
              <w:rPr>
                <w:rFonts w:ascii="宋体" w:hAnsi="宋体" w:cs="宋体" w:eastAsia="宋体" w:hint="default"/>
                <w:spacing w:val="-2"/>
                <w:sz w:val="18"/>
                <w:szCs w:val="18"/>
              </w:rPr>
              <w:t>23</w:t>
            </w:r>
            <w:r>
              <w:rPr>
                <w:rFonts w:ascii="宋体" w:hAnsi="宋体" w:cs="宋体" w:eastAsia="宋体" w:hint="default"/>
                <w:spacing w:val="-24"/>
                <w:sz w:val="18"/>
                <w:szCs w:val="18"/>
              </w:rPr>
              <w:t> </w:t>
            </w:r>
            <w:r>
              <w:rPr>
                <w:rFonts w:ascii="宋体" w:hAnsi="宋体" w:cs="宋体" w:eastAsia="宋体" w:hint="default"/>
                <w:spacing w:val="-6"/>
                <w:sz w:val="18"/>
                <w:szCs w:val="18"/>
              </w:rPr>
              <w:t>号</w:t>
            </w:r>
            <w:r>
              <w:rPr>
                <w:rFonts w:ascii="宋体" w:hAnsi="宋体" w:cs="宋体" w:eastAsia="宋体" w:hint="default"/>
                <w:spacing w:val="-6"/>
                <w:sz w:val="18"/>
                <w:szCs w:val="18"/>
              </w:rPr>
              <w:t>--</w:t>
            </w:r>
            <w:r>
              <w:rPr>
                <w:rFonts w:ascii="宋体" w:hAnsi="宋体" w:cs="宋体" w:eastAsia="宋体" w:hint="default"/>
                <w:spacing w:val="-6"/>
                <w:sz w:val="18"/>
                <w:szCs w:val="18"/>
              </w:rPr>
              <w:t>金融资产转移》、《企业会计准则第</w:t>
            </w:r>
            <w:r>
              <w:rPr>
                <w:rFonts w:ascii="宋体" w:hAnsi="宋体" w:cs="宋体" w:eastAsia="宋体" w:hint="default"/>
                <w:spacing w:val="-6"/>
                <w:sz w:val="18"/>
                <w:szCs w:val="18"/>
              </w:rPr>
              <w:t>24</w:t>
            </w:r>
            <w:r>
              <w:rPr>
                <w:rFonts w:ascii="宋体" w:hAnsi="宋体" w:cs="宋体" w:eastAsia="宋体" w:hint="default"/>
                <w:spacing w:val="-6"/>
                <w:sz w:val="18"/>
                <w:szCs w:val="18"/>
              </w:rPr>
              <w:t>号</w:t>
            </w:r>
            <w:r>
              <w:rPr>
                <w:rFonts w:ascii="宋体" w:hAnsi="宋体" w:cs="宋体" w:eastAsia="宋体" w:hint="default"/>
                <w:spacing w:val="-6"/>
                <w:sz w:val="18"/>
                <w:szCs w:val="18"/>
              </w:rPr>
              <w:t>--</w:t>
            </w:r>
            <w:r>
              <w:rPr>
                <w:rFonts w:ascii="宋体" w:hAnsi="宋体" w:cs="宋体" w:eastAsia="宋体" w:hint="default"/>
                <w:spacing w:val="-6"/>
                <w:sz w:val="18"/>
                <w:szCs w:val="18"/>
              </w:rPr>
              <w:t>套期会计</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2"/>
                <w:sz w:val="18"/>
                <w:szCs w:val="18"/>
              </w:rPr>
              <w:t>及《企业会计准则第</w:t>
            </w:r>
            <w:r>
              <w:rPr>
                <w:rFonts w:ascii="宋体" w:hAnsi="宋体" w:cs="宋体" w:eastAsia="宋体" w:hint="default"/>
                <w:spacing w:val="-2"/>
                <w:sz w:val="18"/>
                <w:szCs w:val="18"/>
              </w:rPr>
              <w:t>37</w:t>
            </w:r>
            <w:r>
              <w:rPr>
                <w:rFonts w:ascii="宋体" w:hAnsi="宋体" w:cs="宋体" w:eastAsia="宋体" w:hint="default"/>
                <w:spacing w:val="-2"/>
                <w:sz w:val="18"/>
                <w:szCs w:val="18"/>
              </w:rPr>
              <w:t>号</w:t>
            </w:r>
            <w:r>
              <w:rPr>
                <w:rFonts w:ascii="宋体" w:hAnsi="宋体" w:cs="宋体" w:eastAsia="宋体" w:hint="default"/>
                <w:spacing w:val="-2"/>
                <w:sz w:val="18"/>
                <w:szCs w:val="18"/>
              </w:rPr>
              <w:t>--</w:t>
            </w:r>
            <w:r>
              <w:rPr>
                <w:rFonts w:ascii="宋体" w:hAnsi="宋体" w:cs="宋体" w:eastAsia="宋体" w:hint="default"/>
                <w:spacing w:val="-2"/>
                <w:sz w:val="18"/>
                <w:szCs w:val="18"/>
              </w:rPr>
              <w:t>金融工具列报》（统称“新金</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2"/>
                <w:sz w:val="18"/>
                <w:szCs w:val="18"/>
              </w:rPr>
              <w:t>融工具准则”），根据上述文件要求，公司需对原采用的</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相关会计政策进行相应调整。</w:t>
            </w:r>
          </w:p>
          <w:p>
            <w:pPr>
              <w:pStyle w:val="TableParagraph"/>
              <w:spacing w:line="319" w:lineRule="auto" w:before="17"/>
              <w:ind w:left="4" w:right="-5" w:firstLine="480"/>
              <w:jc w:val="left"/>
              <w:rPr>
                <w:rFonts w:ascii="宋体" w:hAnsi="宋体" w:cs="宋体" w:eastAsia="宋体" w:hint="default"/>
                <w:sz w:val="18"/>
                <w:szCs w:val="18"/>
              </w:rPr>
            </w:pPr>
            <w:r>
              <w:rPr>
                <w:rFonts w:ascii="宋体" w:hAnsi="宋体" w:cs="宋体" w:eastAsia="宋体" w:hint="default"/>
                <w:sz w:val="18"/>
                <w:szCs w:val="18"/>
              </w:rPr>
              <w:t>上述新金融工具准则的会计政策将于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起执行。</w:t>
            </w:r>
          </w:p>
        </w:tc>
        <w:tc>
          <w:tcPr>
            <w:tcW w:w="4528"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27"/>
              <w:ind w:left="4" w:right="-4" w:firstLine="480"/>
              <w:jc w:val="both"/>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25</w:t>
            </w:r>
            <w:r>
              <w:rPr>
                <w:rFonts w:ascii="宋体" w:hAnsi="宋体" w:cs="宋体" w:eastAsia="宋体" w:hint="default"/>
                <w:spacing w:val="3"/>
                <w:sz w:val="18"/>
                <w:szCs w:val="18"/>
              </w:rPr>
              <w:t>日公司第二届董事会第九次会议和第</w:t>
            </w:r>
            <w:r>
              <w:rPr>
                <w:rFonts w:ascii="宋体" w:hAnsi="宋体" w:cs="宋体" w:eastAsia="宋体" w:hint="default"/>
                <w:w w:val="101"/>
                <w:sz w:val="18"/>
                <w:szCs w:val="18"/>
              </w:rPr>
              <w:t> </w:t>
            </w:r>
            <w:r>
              <w:rPr>
                <w:rFonts w:ascii="宋体" w:hAnsi="宋体" w:cs="宋体" w:eastAsia="宋体" w:hint="default"/>
                <w:spacing w:val="-2"/>
                <w:sz w:val="18"/>
                <w:szCs w:val="18"/>
              </w:rPr>
              <w:t>二届监事会第五次会议决，分别审议通过《关于会计政策</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变更的议案》</w:t>
            </w:r>
          </w:p>
        </w:tc>
      </w:tr>
      <w:tr>
        <w:trPr>
          <w:trHeight w:val="4091" w:hRule="exact"/>
        </w:trPr>
        <w:tc>
          <w:tcPr>
            <w:tcW w:w="4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firstLine="480"/>
              <w:jc w:val="both"/>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日，财政部发布《关于修订印发</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w w:val="101"/>
                <w:sz w:val="18"/>
                <w:szCs w:val="18"/>
              </w:rPr>
              <w:t> </w:t>
            </w:r>
            <w:r>
              <w:rPr>
                <w:rFonts w:ascii="宋体" w:hAnsi="宋体" w:cs="宋体" w:eastAsia="宋体" w:hint="default"/>
                <w:spacing w:val="-5"/>
                <w:sz w:val="18"/>
                <w:szCs w:val="18"/>
              </w:rPr>
              <w:t>度一般企业财务报表格式的通知》（财会</w:t>
            </w:r>
            <w:r>
              <w:rPr>
                <w:rFonts w:ascii="宋体" w:hAnsi="宋体" w:cs="宋体" w:eastAsia="宋体" w:hint="default"/>
                <w:spacing w:val="-5"/>
                <w:sz w:val="18"/>
                <w:szCs w:val="18"/>
              </w:rPr>
              <w:t>[2019]6</w:t>
            </w:r>
            <w:r>
              <w:rPr>
                <w:rFonts w:ascii="宋体" w:hAnsi="宋体" w:cs="宋体" w:eastAsia="宋体" w:hint="default"/>
                <w:spacing w:val="-5"/>
                <w:sz w:val="18"/>
                <w:szCs w:val="18"/>
              </w:rPr>
              <w:t>号）（以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下简称“财会</w:t>
            </w:r>
            <w:r>
              <w:rPr>
                <w:rFonts w:ascii="宋体" w:hAnsi="宋体" w:cs="宋体" w:eastAsia="宋体" w:hint="default"/>
                <w:spacing w:val="-5"/>
                <w:sz w:val="18"/>
                <w:szCs w:val="18"/>
              </w:rPr>
              <w:t>[2019]6</w:t>
            </w:r>
            <w:r>
              <w:rPr>
                <w:rFonts w:ascii="宋体" w:hAnsi="宋体" w:cs="宋体" w:eastAsia="宋体" w:hint="default"/>
                <w:spacing w:val="-5"/>
                <w:sz w:val="18"/>
                <w:szCs w:val="18"/>
              </w:rPr>
              <w:t>号文”），要求执行企业会计准则的</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非金融企业对财务报表项目进行调整。</w:t>
            </w:r>
          </w:p>
          <w:p>
            <w:pPr>
              <w:pStyle w:val="TableParagraph"/>
              <w:spacing w:line="319" w:lineRule="auto" w:before="19"/>
              <w:ind w:left="4" w:right="-5" w:firstLine="480"/>
              <w:jc w:val="left"/>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9</w:t>
            </w:r>
            <w:r>
              <w:rPr>
                <w:rFonts w:ascii="宋体" w:hAnsi="宋体" w:cs="宋体" w:eastAsia="宋体" w:hint="default"/>
                <w:spacing w:val="-3"/>
                <w:sz w:val="18"/>
                <w:szCs w:val="18"/>
              </w:rPr>
              <w:t>日，财政部发布了《关于印发修订</w:t>
            </w:r>
            <w:r>
              <w:rPr>
                <w:rFonts w:ascii="宋体" w:hAnsi="宋体" w:cs="宋体" w:eastAsia="宋体" w:hint="default"/>
                <w:spacing w:val="-3"/>
                <w:sz w:val="18"/>
                <w:szCs w:val="18"/>
              </w:rPr>
              <w:t>&lt;</w:t>
            </w:r>
            <w:r>
              <w:rPr>
                <w:rFonts w:ascii="宋体" w:hAnsi="宋体" w:cs="宋体" w:eastAsia="宋体" w:hint="default"/>
                <w:spacing w:val="-3"/>
                <w:sz w:val="18"/>
                <w:szCs w:val="18"/>
              </w:rPr>
              <w:t>企业</w:t>
            </w:r>
            <w:r>
              <w:rPr>
                <w:rFonts w:ascii="宋体" w:hAnsi="宋体" w:cs="宋体" w:eastAsia="宋体" w:hint="default"/>
                <w:w w:val="101"/>
                <w:sz w:val="18"/>
                <w:szCs w:val="18"/>
              </w:rPr>
              <w:t> </w:t>
            </w:r>
            <w:r>
              <w:rPr>
                <w:rFonts w:ascii="宋体" w:hAnsi="宋体" w:cs="宋体" w:eastAsia="宋体" w:hint="default"/>
                <w:spacing w:val="-12"/>
                <w:w w:val="101"/>
                <w:sz w:val="18"/>
                <w:szCs w:val="18"/>
              </w:rPr>
              <w:t>会计准则第</w:t>
            </w:r>
            <w:r>
              <w:rPr>
                <w:rFonts w:ascii="宋体" w:hAnsi="宋体" w:cs="宋体" w:eastAsia="宋体" w:hint="default"/>
                <w:spacing w:val="-12"/>
                <w:w w:val="101"/>
                <w:sz w:val="18"/>
                <w:szCs w:val="18"/>
              </w:rPr>
              <w:t>7</w:t>
            </w:r>
            <w:r>
              <w:rPr>
                <w:rFonts w:ascii="宋体" w:hAnsi="宋体" w:cs="宋体" w:eastAsia="宋体" w:hint="default"/>
                <w:spacing w:val="-12"/>
                <w:w w:val="101"/>
                <w:sz w:val="18"/>
                <w:szCs w:val="18"/>
              </w:rPr>
              <w:t>号—非货币性资产交换</w:t>
            </w:r>
            <w:r>
              <w:rPr>
                <w:rFonts w:ascii="宋体" w:hAnsi="宋体" w:cs="宋体" w:eastAsia="宋体" w:hint="default"/>
                <w:spacing w:val="-12"/>
                <w:w w:val="101"/>
                <w:sz w:val="18"/>
                <w:szCs w:val="18"/>
              </w:rPr>
              <w:t>&gt;</w:t>
            </w:r>
            <w:r>
              <w:rPr>
                <w:rFonts w:ascii="宋体" w:hAnsi="宋体" w:cs="宋体" w:eastAsia="宋体" w:hint="default"/>
                <w:spacing w:val="-12"/>
                <w:w w:val="101"/>
                <w:sz w:val="18"/>
                <w:szCs w:val="18"/>
              </w:rPr>
              <w:t>的通知》（财会〔</w:t>
            </w:r>
            <w:r>
              <w:rPr>
                <w:rFonts w:ascii="宋体" w:hAnsi="宋体" w:cs="宋体" w:eastAsia="宋体" w:hint="default"/>
                <w:spacing w:val="-12"/>
                <w:w w:val="101"/>
                <w:sz w:val="18"/>
                <w:szCs w:val="18"/>
              </w:rPr>
              <w:t>2019</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z w:val="18"/>
                <w:szCs w:val="18"/>
              </w:rPr>
              <w:t>8</w:t>
            </w:r>
            <w:r>
              <w:rPr>
                <w:rFonts w:ascii="宋体" w:hAnsi="宋体" w:cs="宋体" w:eastAsia="宋体" w:hint="default"/>
                <w:sz w:val="18"/>
                <w:szCs w:val="18"/>
              </w:rPr>
              <w:t>号），要求有关业务自</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日起执行。</w:t>
            </w:r>
          </w:p>
          <w:p>
            <w:pPr>
              <w:pStyle w:val="TableParagraph"/>
              <w:spacing w:line="316" w:lineRule="auto" w:before="17"/>
              <w:ind w:left="4" w:right="-5" w:firstLine="480"/>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日，财政部发布了《关于印发修订</w:t>
            </w:r>
            <w:r>
              <w:rPr>
                <w:rFonts w:ascii="宋体" w:hAnsi="宋体" w:cs="宋体" w:eastAsia="宋体" w:hint="default"/>
                <w:sz w:val="18"/>
                <w:szCs w:val="18"/>
              </w:rPr>
              <w:t>&lt;</w:t>
            </w:r>
            <w:r>
              <w:rPr>
                <w:rFonts w:ascii="宋体" w:hAnsi="宋体" w:cs="宋体" w:eastAsia="宋体" w:hint="default"/>
                <w:sz w:val="18"/>
                <w:szCs w:val="18"/>
              </w:rPr>
              <w:t>企</w:t>
            </w:r>
            <w:r>
              <w:rPr>
                <w:rFonts w:ascii="宋体" w:hAnsi="宋体" w:cs="宋体" w:eastAsia="宋体" w:hint="default"/>
                <w:w w:val="101"/>
                <w:sz w:val="18"/>
                <w:szCs w:val="18"/>
              </w:rPr>
              <w:t> </w:t>
            </w:r>
            <w:r>
              <w:rPr>
                <w:rFonts w:ascii="宋体" w:hAnsi="宋体" w:cs="宋体" w:eastAsia="宋体" w:hint="default"/>
                <w:spacing w:val="-2"/>
                <w:sz w:val="18"/>
                <w:szCs w:val="18"/>
              </w:rPr>
              <w:t>业会计准则第</w:t>
            </w:r>
            <w:r>
              <w:rPr>
                <w:rFonts w:ascii="宋体" w:hAnsi="宋体" w:cs="宋体" w:eastAsia="宋体" w:hint="default"/>
                <w:spacing w:val="-2"/>
                <w:sz w:val="18"/>
                <w:szCs w:val="18"/>
              </w:rPr>
              <w:t>12</w:t>
            </w:r>
            <w:r>
              <w:rPr>
                <w:rFonts w:ascii="宋体" w:hAnsi="宋体" w:cs="宋体" w:eastAsia="宋体" w:hint="default"/>
                <w:spacing w:val="-2"/>
                <w:sz w:val="18"/>
                <w:szCs w:val="18"/>
              </w:rPr>
              <w:t>号—债务重组</w:t>
            </w:r>
            <w:r>
              <w:rPr>
                <w:rFonts w:ascii="宋体" w:hAnsi="宋体" w:cs="宋体" w:eastAsia="宋体" w:hint="default"/>
                <w:spacing w:val="-2"/>
                <w:sz w:val="18"/>
                <w:szCs w:val="18"/>
              </w:rPr>
              <w:t>&gt;</w:t>
            </w:r>
            <w:r>
              <w:rPr>
                <w:rFonts w:ascii="宋体" w:hAnsi="宋体" w:cs="宋体" w:eastAsia="宋体" w:hint="default"/>
                <w:spacing w:val="-2"/>
                <w:sz w:val="18"/>
                <w:szCs w:val="18"/>
              </w:rPr>
              <w:t>的通知》（财会〔</w:t>
            </w:r>
            <w:r>
              <w:rPr>
                <w:rFonts w:ascii="宋体" w:hAnsi="宋体" w:cs="宋体" w:eastAsia="宋体" w:hint="default"/>
                <w:spacing w:val="-2"/>
                <w:sz w:val="18"/>
                <w:szCs w:val="18"/>
              </w:rPr>
              <w:t>2019</w:t>
            </w:r>
            <w:r>
              <w:rPr>
                <w:rFonts w:ascii="宋体" w:hAnsi="宋体" w:cs="宋体" w:eastAsia="宋体" w:hint="default"/>
                <w:spacing w:val="-2"/>
                <w:sz w:val="18"/>
                <w:szCs w:val="18"/>
              </w:rPr>
              <w:t>〕</w:t>
            </w:r>
            <w:r>
              <w:rPr>
                <w:rFonts w:ascii="宋体" w:hAnsi="宋体" w:cs="宋体" w:eastAsia="宋体" w:hint="default"/>
                <w:spacing w:val="-2"/>
                <w:sz w:val="18"/>
                <w:szCs w:val="18"/>
              </w:rPr>
              <w:t>9</w:t>
            </w:r>
            <w:r>
              <w:rPr>
                <w:rFonts w:ascii="宋体" w:hAnsi="宋体" w:cs="宋体" w:eastAsia="宋体" w:hint="default"/>
                <w:spacing w:val="-23"/>
                <w:sz w:val="18"/>
                <w:szCs w:val="18"/>
              </w:rPr>
              <w:t> </w:t>
            </w:r>
            <w:r>
              <w:rPr>
                <w:rFonts w:ascii="宋体" w:hAnsi="宋体" w:cs="宋体" w:eastAsia="宋体" w:hint="default"/>
                <w:sz w:val="18"/>
                <w:szCs w:val="18"/>
              </w:rPr>
              <w:t>号），要求有关业务自</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日起执行。</w:t>
            </w:r>
          </w:p>
          <w:p>
            <w:pPr>
              <w:pStyle w:val="TableParagraph"/>
              <w:spacing w:line="316" w:lineRule="auto" w:before="19"/>
              <w:ind w:left="4" w:right="-4" w:firstLine="480"/>
              <w:jc w:val="both"/>
              <w:rPr>
                <w:rFonts w:ascii="宋体" w:hAnsi="宋体" w:cs="宋体" w:eastAsia="宋体" w:hint="default"/>
                <w:sz w:val="18"/>
                <w:szCs w:val="18"/>
              </w:rPr>
            </w:pPr>
            <w:r>
              <w:rPr>
                <w:rFonts w:ascii="宋体" w:hAnsi="宋体" w:cs="宋体" w:eastAsia="宋体" w:hint="default"/>
                <w:sz w:val="18"/>
                <w:szCs w:val="18"/>
              </w:rPr>
              <w:t>根据财政部对上述会计政策的修订，公司需对原会</w:t>
            </w:r>
            <w:r>
              <w:rPr>
                <w:rFonts w:ascii="宋体" w:hAnsi="宋体" w:cs="宋体" w:eastAsia="宋体" w:hint="default"/>
                <w:w w:val="101"/>
                <w:sz w:val="18"/>
                <w:szCs w:val="18"/>
              </w:rPr>
              <w:t> </w:t>
            </w:r>
            <w:r>
              <w:rPr>
                <w:rFonts w:ascii="宋体" w:hAnsi="宋体" w:cs="宋体" w:eastAsia="宋体" w:hint="default"/>
                <w:spacing w:val="-2"/>
                <w:sz w:val="18"/>
                <w:szCs w:val="18"/>
              </w:rPr>
              <w:t>计政策进行相应变更，并依据财政部相关文件规定的起始</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日开始执行上述会计政策。</w:t>
            </w:r>
          </w:p>
        </w:tc>
        <w:tc>
          <w:tcPr>
            <w:tcW w:w="45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firstLine="480"/>
              <w:jc w:val="both"/>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pacing w:val="3"/>
                <w:sz w:val="18"/>
                <w:szCs w:val="18"/>
              </w:rPr>
              <w:t>28</w:t>
            </w:r>
            <w:r>
              <w:rPr>
                <w:rFonts w:ascii="宋体" w:hAnsi="宋体" w:cs="宋体" w:eastAsia="宋体" w:hint="default"/>
                <w:spacing w:val="3"/>
                <w:sz w:val="18"/>
                <w:szCs w:val="18"/>
              </w:rPr>
              <w:t>日公司第二届董事会第十四次会议和</w:t>
            </w:r>
            <w:r>
              <w:rPr>
                <w:rFonts w:ascii="宋体" w:hAnsi="宋体" w:cs="宋体" w:eastAsia="宋体" w:hint="default"/>
                <w:w w:val="101"/>
                <w:sz w:val="18"/>
                <w:szCs w:val="18"/>
              </w:rPr>
              <w:t> </w:t>
            </w:r>
            <w:r>
              <w:rPr>
                <w:rFonts w:ascii="宋体" w:hAnsi="宋体" w:cs="宋体" w:eastAsia="宋体" w:hint="default"/>
                <w:spacing w:val="-2"/>
                <w:sz w:val="18"/>
                <w:szCs w:val="18"/>
              </w:rPr>
              <w:t>第二届监事会第八次会议分别审议通过《关于会计政策变</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更的议案》</w:t>
            </w:r>
          </w:p>
        </w:tc>
      </w:tr>
      <w:tr>
        <w:trPr>
          <w:trHeight w:val="6900" w:hRule="exact"/>
        </w:trPr>
        <w:tc>
          <w:tcPr>
            <w:tcW w:w="45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firstLine="480"/>
              <w:jc w:val="both"/>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w:t>
            </w:r>
            <w:r>
              <w:rPr>
                <w:rFonts w:ascii="宋体" w:hAnsi="宋体" w:cs="宋体" w:eastAsia="宋体" w:hint="default"/>
                <w:spacing w:val="-3"/>
                <w:sz w:val="18"/>
                <w:szCs w:val="18"/>
              </w:rPr>
              <w:t>19</w:t>
            </w:r>
            <w:r>
              <w:rPr>
                <w:rFonts w:ascii="宋体" w:hAnsi="宋体" w:cs="宋体" w:eastAsia="宋体" w:hint="default"/>
                <w:spacing w:val="-3"/>
                <w:sz w:val="18"/>
                <w:szCs w:val="18"/>
              </w:rPr>
              <w:t>日，财政部发布了《关于修订印发合并</w:t>
            </w:r>
            <w:r>
              <w:rPr>
                <w:rFonts w:ascii="宋体" w:hAnsi="宋体" w:cs="宋体" w:eastAsia="宋体" w:hint="default"/>
                <w:w w:val="101"/>
                <w:sz w:val="18"/>
                <w:szCs w:val="18"/>
              </w:rPr>
              <w:t> </w:t>
            </w:r>
            <w:r>
              <w:rPr>
                <w:rFonts w:ascii="宋体" w:hAnsi="宋体" w:cs="宋体" w:eastAsia="宋体" w:hint="default"/>
                <w:spacing w:val="-8"/>
                <w:sz w:val="18"/>
                <w:szCs w:val="18"/>
              </w:rPr>
              <w:t>财务报表格式（</w:t>
            </w:r>
            <w:r>
              <w:rPr>
                <w:rFonts w:ascii="宋体" w:hAnsi="宋体" w:cs="宋体" w:eastAsia="宋体" w:hint="default"/>
                <w:spacing w:val="-8"/>
                <w:sz w:val="18"/>
                <w:szCs w:val="18"/>
              </w:rPr>
              <w:t>2019</w:t>
            </w:r>
            <w:r>
              <w:rPr>
                <w:rFonts w:ascii="宋体" w:hAnsi="宋体" w:cs="宋体" w:eastAsia="宋体" w:hint="default"/>
                <w:spacing w:val="-8"/>
                <w:sz w:val="18"/>
                <w:szCs w:val="18"/>
              </w:rPr>
              <w:t>版）的通知》（财会</w:t>
            </w:r>
            <w:r>
              <w:rPr>
                <w:rFonts w:ascii="宋体" w:hAnsi="宋体" w:cs="宋体" w:eastAsia="宋体" w:hint="default"/>
                <w:spacing w:val="-8"/>
                <w:sz w:val="18"/>
                <w:szCs w:val="18"/>
              </w:rPr>
              <w:t>[2019]16</w:t>
            </w:r>
            <w:r>
              <w:rPr>
                <w:rFonts w:ascii="宋体" w:hAnsi="宋体" w:cs="宋体" w:eastAsia="宋体" w:hint="default"/>
                <w:spacing w:val="-8"/>
                <w:sz w:val="18"/>
                <w:szCs w:val="18"/>
              </w:rPr>
              <w:t>号）（以</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2"/>
                <w:sz w:val="18"/>
                <w:szCs w:val="18"/>
              </w:rPr>
              <w:t>下简称“财会</w:t>
            </w:r>
            <w:r>
              <w:rPr>
                <w:rFonts w:ascii="宋体" w:hAnsi="宋体" w:cs="宋体" w:eastAsia="宋体" w:hint="default"/>
                <w:spacing w:val="-2"/>
                <w:sz w:val="18"/>
                <w:szCs w:val="18"/>
              </w:rPr>
              <w:t>[2019]16</w:t>
            </w:r>
            <w:r>
              <w:rPr>
                <w:rFonts w:ascii="宋体" w:hAnsi="宋体" w:cs="宋体" w:eastAsia="宋体" w:hint="default"/>
                <w:spacing w:val="-2"/>
                <w:sz w:val="18"/>
                <w:szCs w:val="18"/>
              </w:rPr>
              <w:t>号文”），对合并财务报表格式进</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2"/>
                <w:sz w:val="18"/>
                <w:szCs w:val="18"/>
              </w:rPr>
              <w:t>行了修订，要求已执行新金融准则但未执行新收入准则和</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新租赁准则的企业，或已执行新金融准则和新收入准则但</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未执行新租赁准则的企业，应当结合财会</w:t>
            </w:r>
            <w:r>
              <w:rPr>
                <w:rFonts w:ascii="宋体" w:hAnsi="宋体" w:cs="宋体" w:eastAsia="宋体" w:hint="default"/>
                <w:spacing w:val="-2"/>
                <w:sz w:val="18"/>
                <w:szCs w:val="18"/>
              </w:rPr>
              <w:t>[2019]16</w:t>
            </w:r>
            <w:r>
              <w:rPr>
                <w:rFonts w:ascii="宋体" w:hAnsi="宋体" w:cs="宋体" w:eastAsia="宋体" w:hint="default"/>
                <w:spacing w:val="-2"/>
                <w:sz w:val="18"/>
                <w:szCs w:val="18"/>
              </w:rPr>
              <w:t>号文及</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2"/>
                <w:sz w:val="18"/>
                <w:szCs w:val="18"/>
              </w:rPr>
              <w:t>其附件要求对合并财务报表项目进行相应调整，并适用于</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企业</w:t>
            </w:r>
            <w:r>
              <w:rPr>
                <w:rFonts w:ascii="宋体" w:hAnsi="宋体" w:cs="宋体" w:eastAsia="宋体" w:hint="default"/>
                <w:spacing w:val="-2"/>
                <w:sz w:val="18"/>
                <w:szCs w:val="18"/>
              </w:rPr>
              <w:t>2019</w:t>
            </w:r>
            <w:r>
              <w:rPr>
                <w:rFonts w:ascii="宋体" w:hAnsi="宋体" w:cs="宋体" w:eastAsia="宋体" w:hint="default"/>
                <w:spacing w:val="-2"/>
                <w:sz w:val="18"/>
                <w:szCs w:val="18"/>
              </w:rPr>
              <w:t>年度合并财务报表及以后期间的合并财务报表，</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2"/>
                <w:sz w:val="18"/>
                <w:szCs w:val="18"/>
              </w:rPr>
              <w:t>同时将《财政部关于修订印发</w:t>
            </w:r>
            <w:r>
              <w:rPr>
                <w:rFonts w:ascii="宋体" w:hAnsi="宋体" w:cs="宋体" w:eastAsia="宋体" w:hint="default"/>
                <w:spacing w:val="-2"/>
                <w:sz w:val="18"/>
                <w:szCs w:val="18"/>
              </w:rPr>
              <w:t>2018</w:t>
            </w:r>
            <w:r>
              <w:rPr>
                <w:rFonts w:ascii="宋体" w:hAnsi="宋体" w:cs="宋体" w:eastAsia="宋体" w:hint="default"/>
                <w:spacing w:val="-2"/>
                <w:sz w:val="18"/>
                <w:szCs w:val="18"/>
              </w:rPr>
              <w:t>年度合并财务报表格式</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的通知》（财会</w:t>
            </w:r>
            <w:r>
              <w:rPr>
                <w:rFonts w:ascii="宋体" w:hAnsi="宋体" w:cs="宋体" w:eastAsia="宋体" w:hint="default"/>
                <w:sz w:val="18"/>
                <w:szCs w:val="18"/>
              </w:rPr>
              <w:t>[2019]1</w:t>
            </w:r>
            <w:r>
              <w:rPr>
                <w:rFonts w:ascii="宋体" w:hAnsi="宋体" w:cs="宋体" w:eastAsia="宋体" w:hint="default"/>
                <w:sz w:val="18"/>
                <w:szCs w:val="18"/>
              </w:rPr>
              <w:t>号）废止。</w:t>
            </w:r>
          </w:p>
          <w:p>
            <w:pPr>
              <w:pStyle w:val="TableParagraph"/>
              <w:spacing w:line="316" w:lineRule="auto" w:before="17"/>
              <w:ind w:left="4" w:right="-5" w:firstLine="480"/>
              <w:jc w:val="both"/>
              <w:rPr>
                <w:rFonts w:ascii="宋体" w:hAnsi="宋体" w:cs="宋体" w:eastAsia="宋体" w:hint="default"/>
                <w:sz w:val="18"/>
                <w:szCs w:val="18"/>
              </w:rPr>
            </w:pPr>
            <w:r>
              <w:rPr>
                <w:rFonts w:ascii="宋体" w:hAnsi="宋体" w:cs="宋体" w:eastAsia="宋体" w:hint="default"/>
                <w:spacing w:val="-3"/>
                <w:sz w:val="18"/>
                <w:szCs w:val="18"/>
              </w:rPr>
              <w:t>2017</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5</w:t>
            </w:r>
            <w:r>
              <w:rPr>
                <w:rFonts w:ascii="宋体" w:hAnsi="宋体" w:cs="宋体" w:eastAsia="宋体" w:hint="default"/>
                <w:spacing w:val="-3"/>
                <w:sz w:val="18"/>
                <w:szCs w:val="18"/>
              </w:rPr>
              <w:t>日，财政部发布了《关于修订印发</w:t>
            </w:r>
            <w:r>
              <w:rPr>
                <w:rFonts w:ascii="宋体" w:hAnsi="宋体" w:cs="宋体" w:eastAsia="宋体" w:hint="default"/>
                <w:spacing w:val="-3"/>
                <w:sz w:val="18"/>
                <w:szCs w:val="18"/>
              </w:rPr>
              <w:t>&lt;</w:t>
            </w:r>
            <w:r>
              <w:rPr>
                <w:rFonts w:ascii="宋体" w:hAnsi="宋体" w:cs="宋体" w:eastAsia="宋体" w:hint="default"/>
                <w:spacing w:val="-3"/>
                <w:sz w:val="18"/>
                <w:szCs w:val="18"/>
              </w:rPr>
              <w:t>会计</w:t>
            </w:r>
            <w:r>
              <w:rPr>
                <w:rFonts w:ascii="宋体" w:hAnsi="宋体" w:cs="宋体" w:eastAsia="宋体" w:hint="default"/>
                <w:w w:val="101"/>
                <w:sz w:val="18"/>
                <w:szCs w:val="18"/>
              </w:rPr>
              <w:t> </w:t>
            </w:r>
            <w:r>
              <w:rPr>
                <w:rFonts w:ascii="宋体" w:hAnsi="宋体" w:cs="宋体" w:eastAsia="宋体" w:hint="default"/>
                <w:spacing w:val="-2"/>
                <w:sz w:val="18"/>
                <w:szCs w:val="18"/>
              </w:rPr>
              <w:t>准则</w:t>
            </w:r>
            <w:r>
              <w:rPr>
                <w:rFonts w:ascii="宋体" w:hAnsi="宋体" w:cs="宋体" w:eastAsia="宋体" w:hint="default"/>
                <w:spacing w:val="-2"/>
                <w:sz w:val="18"/>
                <w:szCs w:val="18"/>
              </w:rPr>
              <w:t>14</w:t>
            </w:r>
            <w:r>
              <w:rPr>
                <w:rFonts w:ascii="宋体" w:hAnsi="宋体" w:cs="宋体" w:eastAsia="宋体" w:hint="default"/>
                <w:spacing w:val="-2"/>
                <w:sz w:val="18"/>
                <w:szCs w:val="18"/>
              </w:rPr>
              <w:t>号</w:t>
            </w:r>
            <w:r>
              <w:rPr>
                <w:rFonts w:ascii="宋体" w:hAnsi="宋体" w:cs="宋体" w:eastAsia="宋体" w:hint="default"/>
                <w:spacing w:val="-2"/>
                <w:sz w:val="18"/>
                <w:szCs w:val="18"/>
              </w:rPr>
              <w:t>-</w:t>
            </w:r>
            <w:r>
              <w:rPr>
                <w:rFonts w:ascii="宋体" w:hAnsi="宋体" w:cs="宋体" w:eastAsia="宋体" w:hint="default"/>
                <w:spacing w:val="-2"/>
                <w:sz w:val="18"/>
                <w:szCs w:val="18"/>
              </w:rPr>
              <w:t>收入</w:t>
            </w:r>
            <w:r>
              <w:rPr>
                <w:rFonts w:ascii="宋体" w:hAnsi="宋体" w:cs="宋体" w:eastAsia="宋体" w:hint="default"/>
                <w:spacing w:val="-2"/>
                <w:sz w:val="18"/>
                <w:szCs w:val="18"/>
              </w:rPr>
              <w:t>&gt;</w:t>
            </w:r>
            <w:r>
              <w:rPr>
                <w:rFonts w:ascii="宋体" w:hAnsi="宋体" w:cs="宋体" w:eastAsia="宋体" w:hint="default"/>
                <w:spacing w:val="-2"/>
                <w:sz w:val="18"/>
                <w:szCs w:val="18"/>
              </w:rPr>
              <w:t>的通知》（财会〔</w:t>
            </w:r>
            <w:r>
              <w:rPr>
                <w:rFonts w:ascii="宋体" w:hAnsi="宋体" w:cs="宋体" w:eastAsia="宋体" w:hint="default"/>
                <w:spacing w:val="-2"/>
                <w:sz w:val="18"/>
                <w:szCs w:val="18"/>
              </w:rPr>
              <w:t>2017</w:t>
            </w:r>
            <w:r>
              <w:rPr>
                <w:rFonts w:ascii="宋体" w:hAnsi="宋体" w:cs="宋体" w:eastAsia="宋体" w:hint="default"/>
                <w:spacing w:val="-2"/>
                <w:sz w:val="18"/>
                <w:szCs w:val="18"/>
              </w:rPr>
              <w:t>〕</w:t>
            </w:r>
            <w:r>
              <w:rPr>
                <w:rFonts w:ascii="宋体" w:hAnsi="宋体" w:cs="宋体" w:eastAsia="宋体" w:hint="default"/>
                <w:spacing w:val="-2"/>
                <w:sz w:val="18"/>
                <w:szCs w:val="18"/>
              </w:rPr>
              <w:t>22</w:t>
            </w:r>
            <w:r>
              <w:rPr>
                <w:rFonts w:ascii="宋体" w:hAnsi="宋体" w:cs="宋体" w:eastAsia="宋体" w:hint="default"/>
                <w:spacing w:val="-2"/>
                <w:sz w:val="18"/>
                <w:szCs w:val="18"/>
              </w:rPr>
              <w:t>号，以下简称</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2"/>
                <w:sz w:val="18"/>
                <w:szCs w:val="18"/>
              </w:rPr>
              <w:t>“新收入准则”），要求在境内外同时上市的企业以及在</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境外上市并采用国际财务报告准则或企业会计准则编制财</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务报表的企业，自</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日起施行；其他境内上市企</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2"/>
                <w:sz w:val="18"/>
                <w:szCs w:val="18"/>
              </w:rPr>
              <w:t>业，自</w:t>
            </w:r>
            <w:r>
              <w:rPr>
                <w:rFonts w:ascii="宋体" w:hAnsi="宋体" w:cs="宋体" w:eastAsia="宋体" w:hint="default"/>
                <w:spacing w:val="-2"/>
                <w:sz w:val="18"/>
                <w:szCs w:val="18"/>
              </w:rPr>
              <w:t>2020</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日起施行；执行企业会计准则的非上市</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企业，自</w:t>
            </w: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日起施行。</w:t>
            </w:r>
          </w:p>
          <w:p>
            <w:pPr>
              <w:pStyle w:val="TableParagraph"/>
              <w:spacing w:line="319" w:lineRule="auto" w:before="19"/>
              <w:ind w:left="4" w:right="-5" w:firstLine="480"/>
              <w:jc w:val="both"/>
              <w:rPr>
                <w:rFonts w:ascii="宋体" w:hAnsi="宋体" w:cs="宋体" w:eastAsia="宋体" w:hint="default"/>
                <w:sz w:val="18"/>
                <w:szCs w:val="18"/>
              </w:rPr>
            </w:pPr>
            <w:r>
              <w:rPr>
                <w:rFonts w:ascii="宋体" w:hAnsi="宋体" w:cs="宋体" w:eastAsia="宋体" w:hint="default"/>
                <w:sz w:val="18"/>
                <w:szCs w:val="18"/>
              </w:rPr>
              <w:t>根据财政部发布的《企业会计准则第</w:t>
            </w:r>
            <w:r>
              <w:rPr>
                <w:rFonts w:ascii="宋体" w:hAnsi="宋体" w:cs="宋体" w:eastAsia="宋体" w:hint="default"/>
                <w:sz w:val="18"/>
                <w:szCs w:val="18"/>
              </w:rPr>
              <w:t>22</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金融工</w:t>
            </w:r>
            <w:r>
              <w:rPr>
                <w:rFonts w:ascii="宋体" w:hAnsi="宋体" w:cs="宋体" w:eastAsia="宋体" w:hint="default"/>
                <w:w w:val="101"/>
                <w:sz w:val="18"/>
                <w:szCs w:val="18"/>
              </w:rPr>
              <w:t> </w:t>
            </w:r>
            <w:r>
              <w:rPr>
                <w:rFonts w:ascii="宋体" w:hAnsi="宋体" w:cs="宋体" w:eastAsia="宋体" w:hint="default"/>
                <w:spacing w:val="-2"/>
                <w:sz w:val="18"/>
                <w:szCs w:val="18"/>
              </w:rPr>
              <w:t>具确认和计量》，将金融资产减值会计处理由“已发生损</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2"/>
                <w:sz w:val="18"/>
                <w:szCs w:val="18"/>
              </w:rPr>
              <w:t>失法”修改为“预期损失法”。为了进一步完善公司应收</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款项的风险管控，更加客观、公允地反映公司财务状况和</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2"/>
                <w:sz w:val="18"/>
                <w:szCs w:val="18"/>
              </w:rPr>
              <w:t>经营成果，公司综合评估了公司及各子公司的应收账款回</w:t>
            </w:r>
          </w:p>
        </w:tc>
        <w:tc>
          <w:tcPr>
            <w:tcW w:w="45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firstLine="360"/>
              <w:jc w:val="both"/>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日召开第二届董事会第二十二次会议和</w:t>
            </w:r>
            <w:r>
              <w:rPr>
                <w:rFonts w:ascii="宋体" w:hAnsi="宋体" w:cs="宋体" w:eastAsia="宋体" w:hint="default"/>
                <w:w w:val="101"/>
                <w:sz w:val="18"/>
                <w:szCs w:val="18"/>
              </w:rPr>
              <w:t> </w:t>
            </w:r>
            <w:r>
              <w:rPr>
                <w:rFonts w:ascii="宋体" w:hAnsi="宋体" w:cs="宋体" w:eastAsia="宋体" w:hint="default"/>
                <w:spacing w:val="-2"/>
                <w:sz w:val="18"/>
                <w:szCs w:val="18"/>
              </w:rPr>
              <w:t>第二届监事会第十四次会议分别审议通过《关于会计政策</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变更的议案》</w:t>
            </w:r>
          </w:p>
        </w:tc>
      </w:tr>
    </w:tbl>
    <w:p>
      <w:pPr>
        <w:spacing w:after="0" w:line="31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4528"/>
        <w:gridCol w:w="4528"/>
      </w:tblGrid>
      <w:tr>
        <w:trPr>
          <w:trHeight w:val="328" w:hRule="exact"/>
        </w:trPr>
        <w:tc>
          <w:tcPr>
            <w:tcW w:w="45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6"/>
                <w:sz w:val="18"/>
                <w:szCs w:val="18"/>
              </w:rPr>
              <w:t>款周期、应收账款结构以及应收账款、历史坏账核销情况</w:t>
            </w:r>
          </w:p>
        </w:tc>
        <w:tc>
          <w:tcPr>
            <w:tcW w:w="45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12" w:hRule="exact"/>
        </w:trPr>
        <w:tc>
          <w:tcPr>
            <w:tcW w:w="4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4"/>
              <w:jc w:val="left"/>
              <w:rPr>
                <w:rFonts w:ascii="宋体" w:hAnsi="宋体" w:cs="宋体" w:eastAsia="宋体" w:hint="default"/>
                <w:sz w:val="18"/>
                <w:szCs w:val="18"/>
              </w:rPr>
            </w:pPr>
            <w:r>
              <w:rPr>
                <w:rFonts w:ascii="宋体" w:hAnsi="宋体" w:cs="宋体" w:eastAsia="宋体" w:hint="default"/>
                <w:spacing w:val="-2"/>
                <w:sz w:val="18"/>
                <w:szCs w:val="18"/>
              </w:rPr>
              <w:t>同时参考了同行业的应收账款坏账计提标准，根据《企业</w:t>
            </w:r>
          </w:p>
        </w:tc>
        <w:tc>
          <w:tcPr>
            <w:tcW w:w="452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4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5"/>
              <w:jc w:val="left"/>
              <w:rPr>
                <w:rFonts w:ascii="宋体" w:hAnsi="宋体" w:cs="宋体" w:eastAsia="宋体" w:hint="default"/>
                <w:sz w:val="18"/>
                <w:szCs w:val="18"/>
              </w:rPr>
            </w:pPr>
            <w:r>
              <w:rPr>
                <w:rFonts w:ascii="宋体" w:hAnsi="宋体" w:cs="宋体" w:eastAsia="宋体" w:hint="default"/>
                <w:spacing w:val="-2"/>
                <w:sz w:val="18"/>
                <w:szCs w:val="18"/>
              </w:rPr>
              <w:t>会计准则第</w:t>
            </w:r>
            <w:r>
              <w:rPr>
                <w:rFonts w:ascii="宋体" w:hAnsi="宋体" w:cs="宋体" w:eastAsia="宋体" w:hint="default"/>
                <w:spacing w:val="-2"/>
                <w:sz w:val="18"/>
                <w:szCs w:val="18"/>
              </w:rPr>
              <w:t>28</w:t>
            </w:r>
            <w:r>
              <w:rPr>
                <w:rFonts w:ascii="宋体" w:hAnsi="宋体" w:cs="宋体" w:eastAsia="宋体" w:hint="default"/>
                <w:spacing w:val="-2"/>
                <w:sz w:val="18"/>
                <w:szCs w:val="18"/>
              </w:rPr>
              <w:t>号—会计政策、会计估计变更和差错更正》</w:t>
            </w:r>
          </w:p>
        </w:tc>
        <w:tc>
          <w:tcPr>
            <w:tcW w:w="452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4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的相关规定，结合公司的实际情况，调整坏账准备。</w:t>
            </w:r>
          </w:p>
        </w:tc>
        <w:tc>
          <w:tcPr>
            <w:tcW w:w="452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4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84" w:right="-5"/>
              <w:jc w:val="left"/>
              <w:rPr>
                <w:rFonts w:ascii="宋体" w:hAnsi="宋体" w:cs="宋体" w:eastAsia="宋体" w:hint="default"/>
                <w:sz w:val="18"/>
                <w:szCs w:val="18"/>
              </w:rPr>
            </w:pPr>
            <w:r>
              <w:rPr>
                <w:rFonts w:ascii="宋体" w:hAnsi="宋体" w:cs="宋体" w:eastAsia="宋体" w:hint="default"/>
                <w:sz w:val="18"/>
                <w:szCs w:val="18"/>
              </w:rPr>
              <w:t>上述新金融工具准则的会计政策将于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4528"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45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起执行。</w:t>
            </w:r>
          </w:p>
        </w:tc>
        <w:tc>
          <w:tcPr>
            <w:tcW w:w="4528"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40" w:lineRule="auto" w:before="152"/>
        <w:ind w:left="575" w:right="0"/>
        <w:jc w:val="left"/>
      </w:pPr>
      <w:r>
        <w:rPr/>
        <w:t>本期合并报表范围变化主因为增加新设立全资和控股子公司带来的合并报表范围发生变化，具体为：</w:t>
      </w:r>
    </w:p>
    <w:p>
      <w:pPr>
        <w:spacing w:line="240" w:lineRule="auto" w:before="2"/>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3121"/>
        <w:gridCol w:w="1844"/>
        <w:gridCol w:w="1258"/>
        <w:gridCol w:w="1402"/>
        <w:gridCol w:w="1037"/>
      </w:tblGrid>
      <w:tr>
        <w:trPr>
          <w:trHeight w:val="346" w:hRule="exact"/>
        </w:trPr>
        <w:tc>
          <w:tcPr>
            <w:tcW w:w="31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55"/>
              <w:jc w:val="right"/>
              <w:rPr>
                <w:rFonts w:ascii="宋体" w:hAnsi="宋体" w:cs="宋体" w:eastAsia="宋体" w:hint="default"/>
                <w:sz w:val="18"/>
                <w:szCs w:val="18"/>
              </w:rPr>
            </w:pPr>
            <w:r>
              <w:rPr>
                <w:rFonts w:ascii="宋体" w:hAnsi="宋体" w:cs="宋体" w:eastAsia="宋体" w:hint="default"/>
                <w:b/>
                <w:bCs/>
                <w:spacing w:val="-2"/>
                <w:sz w:val="18"/>
                <w:szCs w:val="18"/>
              </w:rPr>
              <w:t>持股比例（</w:t>
            </w:r>
            <w:r>
              <w:rPr>
                <w:rFonts w:ascii="Times New Roman" w:hAnsi="Times New Roman" w:cs="Times New Roman" w:eastAsia="Times New Roman" w:hint="default"/>
                <w:b/>
                <w:bCs/>
                <w:spacing w:val="-2"/>
                <w:sz w:val="18"/>
                <w:szCs w:val="18"/>
              </w:rPr>
              <w:t>%</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c>
          <w:tcPr>
            <w:tcW w:w="10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天津美业科技有限公司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z w:val="18"/>
              </w:rPr>
              <w:t>60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50"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银川黑马致新科技有限公司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银川市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无锡创润信息科技有限公司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创业黑马（莆田）科技有限公司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莆田市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创业黑马（福州）科技有限公司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51"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黑马加速（重庆）科技有限公司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郑州创润科技有限公司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神木创客黑马科技有限公司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神木县</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50"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成都天启合创业咨询服务有限公司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湖州致在新企业咨询有限公司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湖州市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菏泽黑马加速科技发展有限公司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菏泽市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成都黑马加速科技有限公司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50"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鞍山黑马加速企业信息咨询有限公司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鞍山市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合肥黑马加速信息科技有限公司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现聘任的会计事务所</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70</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2"/>
                <w:sz w:val="18"/>
                <w:szCs w:val="18"/>
              </w:rPr>
              <w:t>闫磊、梅亚运</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line="338" w:lineRule="auto" w:before="46"/>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153"/>
        <w:ind w:right="1130" w:firstLine="422"/>
        <w:jc w:val="both"/>
      </w:pPr>
      <w:r>
        <w:rPr>
          <w:spacing w:val="-2"/>
        </w:rPr>
        <w:t>本年度，公司聘请天职国际会计师事务所（特殊普通合伙）出具内部控制鉴证报告，报酬包含在年度</w:t>
      </w:r>
      <w:r>
        <w:rPr>
          <w:w w:val="100"/>
        </w:rPr>
        <w:t> </w:t>
      </w:r>
      <w:r>
        <w:rPr/>
        <w:t>审计费中。</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本年度公司无重大诉讼、仲裁事项。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p>
      <w:pPr>
        <w:pStyle w:val="BodyText"/>
        <w:spacing w:line="357" w:lineRule="auto"/>
        <w:ind w:right="1122" w:firstLine="422"/>
        <w:jc w:val="both"/>
      </w:pPr>
      <w:r>
        <w:rPr>
          <w:rFonts w:ascii="宋体" w:hAnsi="宋体" w:cs="宋体" w:eastAsia="宋体" w:hint="default"/>
          <w:spacing w:val="-13"/>
        </w:rPr>
        <w:t>1</w:t>
      </w:r>
      <w:r>
        <w:rPr>
          <w:spacing w:val="-13"/>
        </w:rPr>
        <w:t>、</w:t>
      </w:r>
      <w:r>
        <w:rPr>
          <w:rFonts w:ascii="宋体" w:hAnsi="宋体" w:cs="宋体" w:eastAsia="宋体" w:hint="default"/>
          <w:spacing w:val="-13"/>
        </w:rPr>
        <w:t>2019</w:t>
      </w:r>
      <w:r>
        <w:rPr>
          <w:rFonts w:ascii="宋体" w:hAnsi="宋体" w:cs="宋体" w:eastAsia="宋体" w:hint="default"/>
          <w:spacing w:val="-44"/>
        </w:rPr>
        <w:t> </w:t>
      </w:r>
      <w:r>
        <w:rPr/>
        <w:t>年</w:t>
      </w:r>
      <w:r>
        <w:rPr>
          <w:spacing w:val="-49"/>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spacing w:val="-7"/>
        </w:rPr>
        <w:t>日，公司第二届董事会第八次会议审议通过《关于公司</w:t>
      </w:r>
      <w:r>
        <w:rPr>
          <w:rFonts w:ascii="宋体" w:hAnsi="宋体" w:cs="宋体" w:eastAsia="宋体" w:hint="default"/>
          <w:spacing w:val="-7"/>
        </w:rPr>
        <w:t>&lt;2019</w:t>
      </w:r>
      <w:r>
        <w:rPr>
          <w:rFonts w:ascii="宋体" w:hAnsi="宋体" w:cs="宋体" w:eastAsia="宋体" w:hint="default"/>
          <w:spacing w:val="-44"/>
        </w:rPr>
        <w:t> </w:t>
      </w:r>
      <w:r>
        <w:rPr/>
        <w:t>年股票期权激励计划</w:t>
      </w:r>
      <w:r>
        <w:rPr>
          <w:rFonts w:ascii="宋体" w:hAnsi="宋体" w:cs="宋体" w:eastAsia="宋体" w:hint="default"/>
        </w:rPr>
        <w:t>(</w:t>
      </w:r>
      <w:r>
        <w:rPr/>
        <w:t>草</w:t>
      </w:r>
      <w:r>
        <w:rPr>
          <w:w w:val="100"/>
        </w:rPr>
        <w:t> </w:t>
      </w:r>
      <w:r>
        <w:rPr>
          <w:spacing w:val="-12"/>
          <w:w w:val="100"/>
        </w:rPr>
        <w:t>案</w:t>
      </w:r>
      <w:r>
        <w:rPr>
          <w:rFonts w:ascii="宋体" w:hAnsi="宋体" w:cs="宋体" w:eastAsia="宋体" w:hint="default"/>
          <w:spacing w:val="-12"/>
          <w:w w:val="100"/>
        </w:rPr>
        <w:t>)&gt;</w:t>
      </w:r>
      <w:r>
        <w:rPr>
          <w:spacing w:val="-12"/>
          <w:w w:val="100"/>
        </w:rPr>
        <w:t>及其摘要的议案》、《关于公司</w:t>
      </w:r>
      <w:r>
        <w:rPr>
          <w:rFonts w:ascii="宋体" w:hAnsi="宋体" w:cs="宋体" w:eastAsia="宋体" w:hint="default"/>
          <w:spacing w:val="-12"/>
          <w:w w:val="100"/>
        </w:rPr>
        <w:t>&lt;2019</w:t>
      </w:r>
      <w:r>
        <w:rPr>
          <w:rFonts w:ascii="宋体" w:hAnsi="宋体" w:cs="宋体" w:eastAsia="宋体" w:hint="default"/>
          <w:spacing w:val="-48"/>
          <w:w w:val="100"/>
        </w:rPr>
        <w:t> </w:t>
      </w:r>
      <w:r>
        <w:rPr>
          <w:spacing w:val="-10"/>
          <w:w w:val="100"/>
        </w:rPr>
        <w:t>年股票期权激励计划实施考核管理办法</w:t>
      </w:r>
      <w:r>
        <w:rPr>
          <w:rFonts w:ascii="宋体" w:hAnsi="宋体" w:cs="宋体" w:eastAsia="宋体" w:hint="default"/>
          <w:spacing w:val="-10"/>
          <w:w w:val="100"/>
        </w:rPr>
        <w:t>&gt;</w:t>
      </w:r>
      <w:r>
        <w:rPr>
          <w:spacing w:val="-10"/>
          <w:w w:val="100"/>
        </w:rPr>
        <w:t>的议案》、《关于提请公司</w:t>
      </w:r>
      <w:r>
        <w:rPr>
          <w:spacing w:val="-102"/>
          <w:w w:val="100"/>
        </w:rPr>
        <w:t> </w:t>
      </w:r>
      <w:r>
        <w:rPr>
          <w:spacing w:val="-102"/>
          <w:w w:val="100"/>
        </w:rPr>
      </w:r>
      <w:r>
        <w:rPr/>
        <w:t>股东大会授权董事会办理公司 </w:t>
      </w:r>
      <w:r>
        <w:rPr>
          <w:rFonts w:ascii="宋体" w:hAnsi="宋体" w:cs="宋体" w:eastAsia="宋体" w:hint="default"/>
        </w:rPr>
        <w:t>2019</w:t>
      </w:r>
      <w:r>
        <w:rPr>
          <w:rFonts w:ascii="宋体" w:hAnsi="宋体" w:cs="宋体" w:eastAsia="宋体" w:hint="default"/>
          <w:spacing w:val="-18"/>
        </w:rPr>
        <w:t> </w:t>
      </w:r>
      <w:r>
        <w:rPr/>
        <w:t>年股票期权激励计划有关事宜的议案》等相关议案；同日，公司第二</w:t>
      </w:r>
      <w:r>
        <w:rPr>
          <w:w w:val="100"/>
        </w:rPr>
        <w:t> </w:t>
      </w:r>
      <w:r>
        <w:rPr>
          <w:spacing w:val="-3"/>
          <w:w w:val="100"/>
        </w:rPr>
        <w:t>届监事会第四次会议审议通过《关于公司</w:t>
      </w:r>
      <w:r>
        <w:rPr>
          <w:rFonts w:ascii="宋体" w:hAnsi="宋体" w:cs="宋体" w:eastAsia="宋体" w:hint="default"/>
          <w:spacing w:val="-3"/>
          <w:w w:val="100"/>
        </w:rPr>
        <w:t>&lt;2019</w:t>
      </w:r>
      <w:r>
        <w:rPr>
          <w:rFonts w:ascii="宋体" w:hAnsi="宋体" w:cs="宋体" w:eastAsia="宋体" w:hint="default"/>
          <w:spacing w:val="-21"/>
          <w:w w:val="100"/>
        </w:rPr>
        <w:t> </w:t>
      </w:r>
      <w:r>
        <w:rPr>
          <w:spacing w:val="-11"/>
          <w:w w:val="100"/>
        </w:rPr>
        <w:t>年股票期权激励计划</w:t>
      </w:r>
      <w:r>
        <w:rPr>
          <w:rFonts w:ascii="宋体" w:hAnsi="宋体" w:cs="宋体" w:eastAsia="宋体" w:hint="default"/>
          <w:spacing w:val="-11"/>
          <w:w w:val="100"/>
        </w:rPr>
        <w:t>(</w:t>
      </w:r>
      <w:r>
        <w:rPr>
          <w:spacing w:val="-11"/>
          <w:w w:val="100"/>
        </w:rPr>
        <w:t>草案</w:t>
      </w:r>
      <w:r>
        <w:rPr>
          <w:rFonts w:ascii="宋体" w:hAnsi="宋体" w:cs="宋体" w:eastAsia="宋体" w:hint="default"/>
          <w:spacing w:val="-11"/>
          <w:w w:val="100"/>
        </w:rPr>
        <w:t>)&gt;</w:t>
      </w:r>
      <w:r>
        <w:rPr>
          <w:spacing w:val="-11"/>
          <w:w w:val="100"/>
        </w:rPr>
        <w:t>及其摘要的议案》、《关于公司</w:t>
      </w:r>
    </w:p>
    <w:p>
      <w:pPr>
        <w:pStyle w:val="BodyText"/>
        <w:spacing w:line="352" w:lineRule="auto" w:before="30"/>
        <w:ind w:right="1116"/>
        <w:jc w:val="left"/>
      </w:pPr>
      <w:r>
        <w:rPr>
          <w:rFonts w:ascii="宋体" w:hAnsi="宋体" w:cs="宋体" w:eastAsia="宋体" w:hint="default"/>
          <w:w w:val="100"/>
        </w:rPr>
        <w:t>&lt;2019</w:t>
      </w:r>
      <w:r>
        <w:rPr>
          <w:rFonts w:ascii="宋体" w:hAnsi="宋体" w:cs="宋体" w:eastAsia="宋体" w:hint="default"/>
          <w:spacing w:val="-36"/>
          <w:w w:val="100"/>
        </w:rPr>
        <w:t> </w:t>
      </w:r>
      <w:r>
        <w:rPr>
          <w:spacing w:val="-9"/>
          <w:w w:val="100"/>
        </w:rPr>
        <w:t>年股票期权激励计划实施考核管理办法</w:t>
      </w:r>
      <w:r>
        <w:rPr>
          <w:rFonts w:ascii="宋体" w:hAnsi="宋体" w:cs="宋体" w:eastAsia="宋体" w:hint="default"/>
          <w:spacing w:val="-9"/>
          <w:w w:val="100"/>
        </w:rPr>
        <w:t>&gt;</w:t>
      </w:r>
      <w:r>
        <w:rPr>
          <w:spacing w:val="-9"/>
          <w:w w:val="100"/>
        </w:rPr>
        <w:t>的议案》、《关于公司</w:t>
      </w:r>
      <w:r>
        <w:rPr>
          <w:rFonts w:ascii="宋体" w:hAnsi="宋体" w:cs="宋体" w:eastAsia="宋体" w:hint="default"/>
          <w:spacing w:val="-9"/>
          <w:w w:val="100"/>
        </w:rPr>
        <w:t>&lt;2019</w:t>
      </w:r>
      <w:r>
        <w:rPr>
          <w:rFonts w:ascii="宋体" w:hAnsi="宋体" w:cs="宋体" w:eastAsia="宋体" w:hint="default"/>
          <w:spacing w:val="-36"/>
          <w:w w:val="100"/>
        </w:rPr>
        <w:t> </w:t>
      </w:r>
      <w:r>
        <w:rPr>
          <w:spacing w:val="-2"/>
          <w:w w:val="100"/>
        </w:rPr>
        <w:t>年股票期权激励计划激励对象名</w:t>
      </w:r>
      <w:r>
        <w:rPr>
          <w:spacing w:val="-101"/>
          <w:w w:val="100"/>
        </w:rPr>
        <w:t> </w:t>
      </w:r>
      <w:r>
        <w:rPr>
          <w:spacing w:val="-101"/>
          <w:w w:val="100"/>
        </w:rPr>
      </w:r>
      <w:r>
        <w:rPr/>
        <w:t>单</w:t>
      </w:r>
      <w:r>
        <w:rPr>
          <w:rFonts w:ascii="宋体" w:hAnsi="宋体" w:cs="宋体" w:eastAsia="宋体" w:hint="default"/>
        </w:rPr>
        <w:t>&gt;</w:t>
      </w:r>
      <w:r>
        <w:rPr/>
        <w:t>核查意见的议案》等议案并发表同意意见；公司独立董事亦发表了独立意见。</w:t>
      </w:r>
    </w:p>
    <w:p>
      <w:pPr>
        <w:spacing w:line="240" w:lineRule="auto" w:before="2"/>
        <w:rPr>
          <w:rFonts w:ascii="宋体" w:hAnsi="宋体" w:cs="宋体" w:eastAsia="宋体" w:hint="default"/>
          <w:sz w:val="15"/>
          <w:szCs w:val="15"/>
        </w:rPr>
      </w:pPr>
    </w:p>
    <w:p>
      <w:pPr>
        <w:pStyle w:val="BodyText"/>
        <w:spacing w:line="355" w:lineRule="auto"/>
        <w:ind w:right="1122" w:firstLine="422"/>
        <w:jc w:val="both"/>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42"/>
        </w:rPr>
        <w:t> </w:t>
      </w:r>
      <w:r>
        <w:rPr>
          <w:rFonts w:ascii="宋体" w:hAnsi="宋体" w:cs="宋体" w:eastAsia="宋体" w:hint="default"/>
        </w:rPr>
        <w:t>19</w:t>
      </w:r>
      <w:r>
        <w:rPr>
          <w:rFonts w:ascii="宋体" w:hAnsi="宋体" w:cs="宋体" w:eastAsia="宋体" w:hint="default"/>
          <w:spacing w:val="-46"/>
        </w:rPr>
        <w:t> </w:t>
      </w:r>
      <w:r>
        <w:rPr/>
        <w:t>日，公司</w:t>
      </w:r>
      <w:r>
        <w:rPr>
          <w:spacing w:val="-42"/>
        </w:rPr>
        <w:t> </w:t>
      </w:r>
      <w:r>
        <w:rPr>
          <w:rFonts w:ascii="宋体" w:hAnsi="宋体" w:cs="宋体" w:eastAsia="宋体" w:hint="default"/>
        </w:rPr>
        <w:t>2019</w:t>
      </w:r>
      <w:r>
        <w:rPr>
          <w:rFonts w:ascii="宋体" w:hAnsi="宋体" w:cs="宋体" w:eastAsia="宋体" w:hint="default"/>
          <w:spacing w:val="-41"/>
        </w:rPr>
        <w:t> </w:t>
      </w:r>
      <w:r>
        <w:rPr/>
        <w:t>年第一次临时股东大会审议通过了《关于公司</w:t>
      </w:r>
      <w:r>
        <w:rPr>
          <w:rFonts w:ascii="宋体" w:hAnsi="宋体" w:cs="宋体" w:eastAsia="宋体" w:hint="default"/>
        </w:rPr>
        <w:t>&lt;2019</w:t>
      </w:r>
      <w:r>
        <w:rPr>
          <w:rFonts w:ascii="宋体" w:hAnsi="宋体" w:cs="宋体" w:eastAsia="宋体" w:hint="default"/>
          <w:spacing w:val="-42"/>
        </w:rPr>
        <w:t> </w:t>
      </w:r>
      <w:r>
        <w:rPr/>
        <w:t>年股票期权激</w:t>
      </w:r>
      <w:r>
        <w:rPr>
          <w:w w:val="100"/>
        </w:rPr>
        <w:t> </w:t>
      </w:r>
      <w:r>
        <w:rPr>
          <w:spacing w:val="-9"/>
          <w:w w:val="100"/>
        </w:rPr>
        <w:t>励计划</w:t>
      </w:r>
      <w:r>
        <w:rPr>
          <w:rFonts w:ascii="宋体" w:hAnsi="宋体" w:cs="宋体" w:eastAsia="宋体" w:hint="default"/>
          <w:spacing w:val="-9"/>
          <w:w w:val="100"/>
        </w:rPr>
        <w:t>(</w:t>
      </w:r>
      <w:r>
        <w:rPr>
          <w:spacing w:val="-9"/>
          <w:w w:val="100"/>
        </w:rPr>
        <w:t>草案</w:t>
      </w:r>
      <w:r>
        <w:rPr>
          <w:rFonts w:ascii="宋体" w:hAnsi="宋体" w:cs="宋体" w:eastAsia="宋体" w:hint="default"/>
          <w:spacing w:val="-9"/>
          <w:w w:val="100"/>
        </w:rPr>
        <w:t>)&gt;</w:t>
      </w:r>
      <w:r>
        <w:rPr>
          <w:spacing w:val="-9"/>
          <w:w w:val="100"/>
        </w:rPr>
        <w:t>及其摘要的议案》、《关于公司</w:t>
      </w:r>
      <w:r>
        <w:rPr>
          <w:rFonts w:ascii="宋体" w:hAnsi="宋体" w:cs="宋体" w:eastAsia="宋体" w:hint="default"/>
          <w:spacing w:val="-9"/>
          <w:w w:val="100"/>
        </w:rPr>
        <w:t>&lt;2019</w:t>
      </w:r>
      <w:r>
        <w:rPr>
          <w:rFonts w:ascii="宋体" w:hAnsi="宋体" w:cs="宋体" w:eastAsia="宋体" w:hint="default"/>
          <w:spacing w:val="-8"/>
          <w:w w:val="100"/>
        </w:rPr>
        <w:t> </w:t>
      </w:r>
      <w:r>
        <w:rPr>
          <w:spacing w:val="-10"/>
          <w:w w:val="100"/>
        </w:rPr>
        <w:t>年股票期权激励计划实施考核管理办法</w:t>
      </w:r>
      <w:r>
        <w:rPr>
          <w:rFonts w:ascii="宋体" w:hAnsi="宋体" w:cs="宋体" w:eastAsia="宋体" w:hint="default"/>
          <w:spacing w:val="-10"/>
          <w:w w:val="100"/>
        </w:rPr>
        <w:t>&gt;</w:t>
      </w:r>
      <w:r>
        <w:rPr>
          <w:spacing w:val="-10"/>
          <w:w w:val="100"/>
        </w:rPr>
        <w:t>的议案》、《关</w:t>
      </w:r>
    </w:p>
    <w:p>
      <w:pPr>
        <w:spacing w:after="0" w:line="355" w:lineRule="auto"/>
        <w:jc w:val="both"/>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5" w:lineRule="auto" w:before="36"/>
        <w:ind w:right="1124"/>
        <w:jc w:val="both"/>
      </w:pPr>
      <w:r>
        <w:rPr/>
        <w:t>于提请公司股东大会授权董事会办理公司 </w:t>
      </w:r>
      <w:r>
        <w:rPr>
          <w:rFonts w:ascii="宋体" w:hAnsi="宋体" w:cs="宋体" w:eastAsia="宋体" w:hint="default"/>
        </w:rPr>
        <w:t>2019</w:t>
      </w:r>
      <w:r>
        <w:rPr>
          <w:rFonts w:ascii="宋体" w:hAnsi="宋体" w:cs="宋体" w:eastAsia="宋体" w:hint="default"/>
          <w:spacing w:val="-18"/>
        </w:rPr>
        <w:t> </w:t>
      </w:r>
      <w:r>
        <w:rPr/>
        <w:t>年股票期权激励计划有关事宜的议案》等相关议案，公司</w:t>
      </w:r>
      <w:r>
        <w:rPr>
          <w:w w:val="100"/>
        </w:rPr>
        <w:t> </w:t>
      </w:r>
      <w:r>
        <w:rPr>
          <w:spacing w:val="-2"/>
        </w:rPr>
        <w:t>董事会被授权确定股票期权授予日、在激励对象符合条件时向激励对象授予股票期权并办理授予股票期权</w:t>
      </w:r>
      <w:r>
        <w:rPr>
          <w:spacing w:val="-33"/>
        </w:rPr>
        <w:t> </w:t>
      </w:r>
      <w:r>
        <w:rPr>
          <w:spacing w:val="-33"/>
        </w:rPr>
      </w:r>
      <w:r>
        <w:rPr/>
        <w:t>所必须的全部事宜；同时，公司根据内幕信息知情人买卖公司股票情况的核查情况，披露了《关于</w:t>
      </w:r>
      <w:r>
        <w:rPr>
          <w:spacing w:val="66"/>
        </w:rPr>
        <w:t> </w:t>
      </w:r>
      <w:r>
        <w:rPr>
          <w:rFonts w:ascii="宋体" w:hAnsi="宋体" w:cs="宋体" w:eastAsia="宋体" w:hint="default"/>
        </w:rPr>
        <w:t>2019</w:t>
      </w:r>
      <w:r>
        <w:rPr>
          <w:rFonts w:ascii="宋体" w:hAnsi="宋体" w:cs="宋体" w:eastAsia="宋体" w:hint="default"/>
          <w:spacing w:val="-94"/>
        </w:rPr>
        <w:t> </w:t>
      </w:r>
      <w:r>
        <w:rPr>
          <w:spacing w:val="-5"/>
          <w:w w:val="100"/>
        </w:rPr>
        <w:t>年股票期权激励计划内幕信息知情人及激励对象买卖公司股票的自查报告》。</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26"/>
        </w:rPr>
        <w:t> </w:t>
      </w:r>
      <w:r>
        <w:rPr/>
        <w:t>年</w:t>
      </w:r>
      <w:r>
        <w:rPr>
          <w:spacing w:val="-27"/>
        </w:rPr>
        <w:t> </w:t>
      </w:r>
      <w:r>
        <w:rPr>
          <w:rFonts w:ascii="宋体" w:hAnsi="宋体" w:cs="宋体" w:eastAsia="宋体" w:hint="default"/>
        </w:rPr>
        <w:t>4</w:t>
      </w:r>
      <w:r>
        <w:rPr>
          <w:rFonts w:ascii="宋体" w:hAnsi="宋体" w:cs="宋体" w:eastAsia="宋体" w:hint="default"/>
          <w:spacing w:val="-22"/>
        </w:rPr>
        <w:t> </w:t>
      </w:r>
      <w:r>
        <w:rPr/>
        <w:t>月</w:t>
      </w:r>
      <w:r>
        <w:rPr>
          <w:spacing w:val="-22"/>
        </w:rPr>
        <w:t> </w:t>
      </w:r>
      <w:r>
        <w:rPr>
          <w:rFonts w:ascii="宋体" w:hAnsi="宋体" w:cs="宋体" w:eastAsia="宋体" w:hint="default"/>
          <w:spacing w:val="-3"/>
        </w:rPr>
        <w:t>25</w:t>
      </w:r>
      <w:r>
        <w:rPr>
          <w:rFonts w:ascii="宋体" w:hAnsi="宋体" w:cs="宋体" w:eastAsia="宋体" w:hint="default"/>
          <w:spacing w:val="-21"/>
        </w:rPr>
        <w:t> </w:t>
      </w:r>
      <w:r>
        <w:rPr/>
        <w:t>日，公司第二届董事会第九次会议和第二届监事会第五会议分别审议通过《关于</w:t>
      </w:r>
    </w:p>
    <w:p>
      <w:pPr>
        <w:pStyle w:val="BodyText"/>
        <w:spacing w:line="352" w:lineRule="auto" w:before="133"/>
        <w:ind w:right="1114"/>
        <w:jc w:val="left"/>
      </w:pPr>
      <w:r>
        <w:rPr>
          <w:rFonts w:ascii="宋体" w:hAnsi="宋体" w:cs="宋体" w:eastAsia="宋体" w:hint="default"/>
          <w:w w:val="100"/>
        </w:rPr>
        <w:t>2019</w:t>
      </w:r>
      <w:r>
        <w:rPr>
          <w:rFonts w:ascii="宋体" w:hAnsi="宋体" w:cs="宋体" w:eastAsia="宋体" w:hint="default"/>
          <w:spacing w:val="-46"/>
          <w:w w:val="100"/>
        </w:rPr>
        <w:t> </w:t>
      </w:r>
      <w:r>
        <w:rPr>
          <w:spacing w:val="-6"/>
          <w:w w:val="100"/>
        </w:rPr>
        <w:t>年股票期权激励计划授予相关事项的议案》，确定授予日为</w:t>
      </w:r>
      <w:r>
        <w:rPr>
          <w:spacing w:val="-48"/>
          <w:w w:val="100"/>
        </w:rPr>
        <w:t> </w:t>
      </w:r>
      <w:r>
        <w:rPr>
          <w:rFonts w:ascii="宋体" w:hAnsi="宋体" w:cs="宋体" w:eastAsia="宋体" w:hint="default"/>
          <w:w w:val="100"/>
        </w:rPr>
        <w:t>2019</w:t>
      </w:r>
      <w:r>
        <w:rPr>
          <w:rFonts w:ascii="宋体" w:hAnsi="宋体" w:cs="宋体" w:eastAsia="宋体" w:hint="default"/>
          <w:spacing w:val="-51"/>
          <w:w w:val="100"/>
        </w:rPr>
        <w:t> </w:t>
      </w:r>
      <w:r>
        <w:rPr>
          <w:w w:val="100"/>
        </w:rPr>
        <w:t>年</w:t>
      </w:r>
      <w:r>
        <w:rPr>
          <w:spacing w:val="-46"/>
          <w:w w:val="100"/>
        </w:rPr>
        <w:t> </w:t>
      </w:r>
      <w:r>
        <w:rPr>
          <w:rFonts w:ascii="宋体" w:hAnsi="宋体" w:cs="宋体" w:eastAsia="宋体" w:hint="default"/>
          <w:w w:val="100"/>
        </w:rPr>
        <w:t>4</w:t>
      </w:r>
      <w:r>
        <w:rPr>
          <w:rFonts w:ascii="宋体" w:hAnsi="宋体" w:cs="宋体" w:eastAsia="宋体" w:hint="default"/>
          <w:spacing w:val="-46"/>
          <w:w w:val="100"/>
        </w:rPr>
        <w:t> </w:t>
      </w:r>
      <w:r>
        <w:rPr>
          <w:w w:val="100"/>
        </w:rPr>
        <w:t>月</w:t>
      </w:r>
      <w:r>
        <w:rPr>
          <w:spacing w:val="-45"/>
          <w:w w:val="100"/>
        </w:rPr>
        <w:t> </w:t>
      </w:r>
      <w:r>
        <w:rPr>
          <w:rFonts w:ascii="宋体" w:hAnsi="宋体" w:cs="宋体" w:eastAsia="宋体" w:hint="default"/>
          <w:spacing w:val="-3"/>
          <w:w w:val="100"/>
        </w:rPr>
        <w:t>26</w:t>
      </w:r>
      <w:r>
        <w:rPr>
          <w:rFonts w:ascii="宋体" w:hAnsi="宋体" w:cs="宋体" w:eastAsia="宋体" w:hint="default"/>
          <w:spacing w:val="-46"/>
          <w:w w:val="100"/>
        </w:rPr>
        <w:t> </w:t>
      </w:r>
      <w:r>
        <w:rPr>
          <w:spacing w:val="-1"/>
          <w:w w:val="100"/>
        </w:rPr>
        <w:t>日，监事会对授予激励对</w:t>
      </w:r>
      <w:r>
        <w:rPr>
          <w:w w:val="100"/>
        </w:rPr>
        <w:t> </w:t>
      </w:r>
      <w:r>
        <w:rPr/>
        <w:t>象名单进行了核实并发表了同意的意见，公司独立董事对此发表了独立意见。</w:t>
      </w:r>
    </w:p>
    <w:p>
      <w:pPr>
        <w:spacing w:line="240" w:lineRule="auto" w:before="1"/>
        <w:rPr>
          <w:rFonts w:ascii="宋体" w:hAnsi="宋体" w:cs="宋体" w:eastAsia="宋体" w:hint="default"/>
          <w:sz w:val="15"/>
          <w:szCs w:val="15"/>
        </w:rPr>
      </w:pPr>
    </w:p>
    <w:p>
      <w:pPr>
        <w:pStyle w:val="BodyText"/>
        <w:spacing w:line="240" w:lineRule="auto"/>
        <w:ind w:left="575" w:right="0"/>
        <w:jc w:val="left"/>
      </w:pPr>
      <w:r>
        <w:rPr>
          <w:rFonts w:ascii="宋体" w:hAnsi="宋体" w:cs="宋体" w:eastAsia="宋体" w:hint="default"/>
          <w:w w:val="100"/>
        </w:rPr>
        <w:t>4</w:t>
      </w:r>
      <w:r>
        <w:rPr>
          <w:w w:val="100"/>
        </w:rPr>
        <w:t>、</w:t>
      </w:r>
      <w:r>
        <w:rPr>
          <w:rFonts w:ascii="宋体" w:hAnsi="宋体" w:cs="宋体" w:eastAsia="宋体" w:hint="default"/>
          <w:w w:val="100"/>
        </w:rPr>
        <w:t>2019</w:t>
      </w:r>
      <w:r>
        <w:rPr>
          <w:rFonts w:ascii="宋体" w:hAnsi="宋体" w:cs="宋体" w:eastAsia="宋体" w:hint="default"/>
          <w:spacing w:val="-47"/>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48"/>
        </w:rPr>
        <w:t> </w:t>
      </w:r>
      <w:r>
        <w:rPr>
          <w:w w:val="100"/>
        </w:rPr>
        <w:t>月</w:t>
      </w:r>
      <w:r>
        <w:rPr>
          <w:spacing w:val="-48"/>
        </w:rPr>
        <w:t> </w:t>
      </w:r>
      <w:r>
        <w:rPr>
          <w:rFonts w:ascii="宋体" w:hAnsi="宋体" w:cs="宋体" w:eastAsia="宋体" w:hint="default"/>
          <w:spacing w:val="-5"/>
          <w:w w:val="100"/>
        </w:rPr>
        <w:t>1</w:t>
      </w:r>
      <w:r>
        <w:rPr>
          <w:rFonts w:ascii="宋体" w:hAnsi="宋体" w:cs="宋体" w:eastAsia="宋体" w:hint="default"/>
          <w:w w:val="100"/>
        </w:rPr>
        <w:t>2</w:t>
      </w:r>
      <w:r>
        <w:rPr>
          <w:rFonts w:ascii="宋体" w:hAnsi="宋体" w:cs="宋体" w:eastAsia="宋体" w:hint="default"/>
          <w:spacing w:val="-47"/>
        </w:rPr>
        <w:t> </w:t>
      </w:r>
      <w:r>
        <w:rPr>
          <w:w w:val="100"/>
        </w:rPr>
        <w:t>日，</w:t>
      </w:r>
      <w:r>
        <w:rPr>
          <w:spacing w:val="-5"/>
          <w:w w:val="100"/>
        </w:rPr>
        <w:t>公</w:t>
      </w:r>
      <w:r>
        <w:rPr>
          <w:w w:val="100"/>
        </w:rPr>
        <w:t>司披露</w:t>
      </w:r>
      <w:r>
        <w:rPr>
          <w:spacing w:val="-5"/>
          <w:w w:val="100"/>
        </w:rPr>
        <w:t>了</w:t>
      </w:r>
      <w:r>
        <w:rPr>
          <w:w w:val="100"/>
        </w:rPr>
        <w:t>《关于</w:t>
      </w:r>
      <w:r>
        <w:rPr>
          <w:spacing w:val="-47"/>
        </w:rPr>
        <w:t> </w:t>
      </w:r>
      <w:r>
        <w:rPr>
          <w:rFonts w:ascii="宋体" w:hAnsi="宋体" w:cs="宋体" w:eastAsia="宋体" w:hint="default"/>
          <w:spacing w:val="-5"/>
          <w:w w:val="100"/>
        </w:rPr>
        <w:t>2</w:t>
      </w:r>
      <w:r>
        <w:rPr>
          <w:rFonts w:ascii="宋体" w:hAnsi="宋体" w:cs="宋体" w:eastAsia="宋体" w:hint="default"/>
          <w:w w:val="100"/>
        </w:rPr>
        <w:t>019</w:t>
      </w:r>
      <w:r>
        <w:rPr>
          <w:rFonts w:ascii="宋体" w:hAnsi="宋体" w:cs="宋体" w:eastAsia="宋体" w:hint="default"/>
          <w:spacing w:val="-47"/>
        </w:rPr>
        <w:t> </w:t>
      </w:r>
      <w:r>
        <w:rPr>
          <w:w w:val="100"/>
        </w:rPr>
        <w:t>年</w:t>
      </w:r>
      <w:r>
        <w:rPr>
          <w:spacing w:val="-5"/>
          <w:w w:val="100"/>
        </w:rPr>
        <w:t>股</w:t>
      </w:r>
      <w:r>
        <w:rPr>
          <w:w w:val="100"/>
        </w:rPr>
        <w:t>票期权激</w:t>
      </w:r>
      <w:r>
        <w:rPr>
          <w:spacing w:val="-5"/>
          <w:w w:val="100"/>
        </w:rPr>
        <w:t>励</w:t>
      </w:r>
      <w:r>
        <w:rPr>
          <w:w w:val="100"/>
        </w:rPr>
        <w:t>计划授</w:t>
      </w:r>
      <w:r>
        <w:rPr>
          <w:spacing w:val="-5"/>
          <w:w w:val="100"/>
        </w:rPr>
        <w:t>予</w:t>
      </w:r>
      <w:r>
        <w:rPr>
          <w:w w:val="100"/>
        </w:rPr>
        <w:t>登记完</w:t>
      </w:r>
      <w:r>
        <w:rPr>
          <w:spacing w:val="-5"/>
          <w:w w:val="100"/>
        </w:rPr>
        <w:t>成</w:t>
      </w:r>
      <w:r>
        <w:rPr>
          <w:w w:val="100"/>
        </w:rPr>
        <w:t>公告</w:t>
      </w:r>
      <w:r>
        <w:rPr>
          <w:spacing w:val="-106"/>
          <w:w w:val="100"/>
        </w:rPr>
        <w:t>》</w:t>
      </w:r>
      <w:r>
        <w:rPr>
          <w:w w:val="100"/>
        </w:rPr>
        <w:t>（</w:t>
      </w:r>
      <w:r>
        <w:rPr>
          <w:spacing w:val="-5"/>
          <w:w w:val="100"/>
        </w:rPr>
        <w:t>公</w:t>
      </w:r>
      <w:r>
        <w:rPr>
          <w:w w:val="100"/>
        </w:rPr>
        <w:t>告编号：</w:t>
      </w:r>
    </w:p>
    <w:p>
      <w:pPr>
        <w:pStyle w:val="BodyText"/>
        <w:spacing w:line="352" w:lineRule="auto" w:before="133"/>
        <w:ind w:right="1114"/>
        <w:jc w:val="left"/>
      </w:pPr>
      <w:r>
        <w:rPr>
          <w:rFonts w:ascii="宋体" w:hAnsi="宋体" w:cs="宋体" w:eastAsia="宋体" w:hint="default"/>
          <w:spacing w:val="-6"/>
          <w:w w:val="100"/>
        </w:rPr>
        <w:t>2019-045</w:t>
      </w:r>
      <w:r>
        <w:rPr>
          <w:spacing w:val="-6"/>
          <w:w w:val="100"/>
        </w:rPr>
        <w:t>），本次股票期权实际授予对象为</w:t>
      </w:r>
      <w:r>
        <w:rPr>
          <w:spacing w:val="-50"/>
          <w:w w:val="100"/>
        </w:rPr>
        <w:t> </w:t>
      </w:r>
      <w:r>
        <w:rPr>
          <w:rFonts w:ascii="宋体" w:hAnsi="宋体" w:cs="宋体" w:eastAsia="宋体" w:hint="default"/>
          <w:spacing w:val="-3"/>
          <w:w w:val="100"/>
        </w:rPr>
        <w:t>22</w:t>
      </w:r>
      <w:r>
        <w:rPr>
          <w:rFonts w:ascii="宋体" w:hAnsi="宋体" w:cs="宋体" w:eastAsia="宋体" w:hint="default"/>
          <w:spacing w:val="-51"/>
          <w:w w:val="100"/>
        </w:rPr>
        <w:t> </w:t>
      </w:r>
      <w:r>
        <w:rPr>
          <w:spacing w:val="-3"/>
          <w:w w:val="100"/>
        </w:rPr>
        <w:t>人，实际授予数量为</w:t>
      </w:r>
      <w:r>
        <w:rPr>
          <w:spacing w:val="-50"/>
          <w:w w:val="100"/>
        </w:rPr>
        <w:t> </w:t>
      </w:r>
      <w:r>
        <w:rPr>
          <w:rFonts w:ascii="宋体" w:hAnsi="宋体" w:cs="宋体" w:eastAsia="宋体" w:hint="default"/>
          <w:w w:val="100"/>
        </w:rPr>
        <w:t>150</w:t>
      </w:r>
      <w:r>
        <w:rPr>
          <w:rFonts w:ascii="宋体" w:hAnsi="宋体" w:cs="宋体" w:eastAsia="宋体" w:hint="default"/>
          <w:spacing w:val="-51"/>
          <w:w w:val="100"/>
        </w:rPr>
        <w:t> </w:t>
      </w:r>
      <w:r>
        <w:rPr>
          <w:spacing w:val="-2"/>
          <w:w w:val="100"/>
        </w:rPr>
        <w:t>万份，占目前公司总股本</w:t>
      </w:r>
      <w:r>
        <w:rPr>
          <w:spacing w:val="-55"/>
          <w:w w:val="100"/>
        </w:rPr>
        <w:t> </w:t>
      </w:r>
      <w:r>
        <w:rPr>
          <w:rFonts w:ascii="宋体" w:hAnsi="宋体" w:cs="宋体" w:eastAsia="宋体" w:hint="default"/>
          <w:w w:val="100"/>
        </w:rPr>
        <w:t>6,800</w:t>
      </w:r>
      <w:r>
        <w:rPr>
          <w:rFonts w:ascii="宋体" w:hAnsi="宋体" w:cs="宋体" w:eastAsia="宋体" w:hint="default"/>
          <w:spacing w:val="-51"/>
          <w:w w:val="100"/>
        </w:rPr>
        <w:t> </w:t>
      </w:r>
      <w:r>
        <w:rPr>
          <w:w w:val="100"/>
        </w:rPr>
        <w:t>万 </w:t>
      </w:r>
      <w:r>
        <w:rPr/>
        <w:t>股的</w:t>
      </w:r>
      <w:r>
        <w:rPr>
          <w:spacing w:val="-54"/>
        </w:rPr>
        <w:t> </w:t>
      </w:r>
      <w:r>
        <w:rPr>
          <w:rFonts w:ascii="宋体" w:hAnsi="宋体" w:cs="宋体" w:eastAsia="宋体" w:hint="default"/>
        </w:rPr>
        <w:t>2.21%</w:t>
      </w:r>
      <w:r>
        <w:rPr/>
        <w:t>。期权简称：黑马</w:t>
      </w:r>
      <w:r>
        <w:rPr>
          <w:spacing w:val="-53"/>
        </w:rPr>
        <w:t> </w:t>
      </w:r>
      <w:r>
        <w:rPr>
          <w:rFonts w:ascii="宋体" w:hAnsi="宋体" w:cs="宋体" w:eastAsia="宋体" w:hint="default"/>
        </w:rPr>
        <w:t>JLC1</w:t>
      </w:r>
      <w:r>
        <w:rPr/>
        <w:t>，期权代码：</w:t>
      </w:r>
      <w:r>
        <w:rPr>
          <w:rFonts w:ascii="宋体" w:hAnsi="宋体" w:cs="宋体" w:eastAsia="宋体" w:hint="default"/>
        </w:rPr>
        <w:t>036362</w:t>
      </w:r>
      <w:r>
        <w:rPr/>
        <w:t>。</w:t>
      </w:r>
    </w:p>
    <w:p>
      <w:pPr>
        <w:spacing w:line="240" w:lineRule="auto" w:before="2"/>
        <w:rPr>
          <w:rFonts w:ascii="宋体" w:hAnsi="宋体" w:cs="宋体" w:eastAsia="宋体" w:hint="default"/>
          <w:sz w:val="15"/>
          <w:szCs w:val="15"/>
        </w:rPr>
      </w:pPr>
    </w:p>
    <w:p>
      <w:pPr>
        <w:pStyle w:val="BodyText"/>
        <w:spacing w:line="355" w:lineRule="auto"/>
        <w:ind w:right="1123" w:firstLine="422"/>
        <w:jc w:val="both"/>
      </w:pPr>
      <w:r>
        <w:rPr>
          <w:rFonts w:ascii="宋体" w:hAnsi="宋体" w:cs="宋体" w:eastAsia="宋体" w:hint="default"/>
          <w:spacing w:val="-3"/>
        </w:rPr>
        <w:t>5</w:t>
      </w:r>
      <w:r>
        <w:rPr>
          <w:spacing w:val="-3"/>
        </w:rPr>
        <w:t>、</w:t>
      </w:r>
      <w:r>
        <w:rPr>
          <w:rFonts w:ascii="宋体" w:hAnsi="宋体" w:cs="宋体" w:eastAsia="宋体" w:hint="default"/>
          <w:spacing w:val="-3"/>
        </w:rPr>
        <w:t>2019</w:t>
      </w:r>
      <w:r>
        <w:rPr>
          <w:rFonts w:ascii="宋体" w:hAnsi="宋体" w:cs="宋体" w:eastAsia="宋体" w:hint="default"/>
          <w:spacing w:val="-35"/>
        </w:rPr>
        <w:t> </w:t>
      </w:r>
      <w:r>
        <w:rPr/>
        <w:t>年</w:t>
      </w:r>
      <w:r>
        <w:rPr>
          <w:spacing w:val="-42"/>
        </w:rPr>
        <w:t> </w:t>
      </w:r>
      <w:r>
        <w:rPr>
          <w:rFonts w:ascii="宋体" w:hAnsi="宋体" w:cs="宋体" w:eastAsia="宋体" w:hint="default"/>
        </w:rPr>
        <w:t>6</w:t>
      </w:r>
      <w:r>
        <w:rPr>
          <w:rFonts w:ascii="宋体" w:hAnsi="宋体" w:cs="宋体" w:eastAsia="宋体" w:hint="default"/>
          <w:spacing w:val="-37"/>
        </w:rPr>
        <w:t> </w:t>
      </w:r>
      <w:r>
        <w:rPr/>
        <w:t>月</w:t>
      </w:r>
      <w:r>
        <w:rPr>
          <w:spacing w:val="-37"/>
        </w:rPr>
        <w:t> </w:t>
      </w:r>
      <w:r>
        <w:rPr>
          <w:rFonts w:ascii="宋体" w:hAnsi="宋体" w:cs="宋体" w:eastAsia="宋体" w:hint="default"/>
        </w:rPr>
        <w:t>28</w:t>
      </w:r>
      <w:r>
        <w:rPr>
          <w:rFonts w:ascii="宋体" w:hAnsi="宋体" w:cs="宋体" w:eastAsia="宋体" w:hint="default"/>
          <w:spacing w:val="-35"/>
        </w:rPr>
        <w:t> </w:t>
      </w:r>
      <w:r>
        <w:rPr>
          <w:spacing w:val="-4"/>
        </w:rPr>
        <w:t>日，公司第二届董事会第十三次会议（临时会议）和第二届监事会第七次会议（临</w:t>
      </w:r>
      <w:r>
        <w:rPr>
          <w:w w:val="100"/>
        </w:rPr>
        <w:t> </w:t>
      </w:r>
      <w:r>
        <w:rPr>
          <w:spacing w:val="-8"/>
          <w:w w:val="100"/>
        </w:rPr>
        <w:t>时会议），分别审议通过了《关于调整股票期权激励计划相关事项的议案》。鉴于公司已披露的《</w:t>
      </w:r>
      <w:r>
        <w:rPr>
          <w:rFonts w:ascii="宋体" w:hAnsi="宋体" w:cs="宋体" w:eastAsia="宋体" w:hint="default"/>
          <w:spacing w:val="-8"/>
          <w:w w:val="100"/>
        </w:rPr>
        <w:t>2018</w:t>
      </w:r>
      <w:r>
        <w:rPr>
          <w:rFonts w:ascii="宋体" w:hAnsi="宋体" w:cs="宋体" w:eastAsia="宋体" w:hint="default"/>
          <w:spacing w:val="-29"/>
          <w:w w:val="100"/>
        </w:rPr>
        <w:t> </w:t>
      </w:r>
      <w:r>
        <w:rPr>
          <w:spacing w:val="-5"/>
          <w:w w:val="100"/>
        </w:rPr>
        <w:t>年年</w:t>
      </w:r>
      <w:r>
        <w:rPr>
          <w:spacing w:val="-94"/>
          <w:w w:val="100"/>
        </w:rPr>
        <w:t> </w:t>
      </w:r>
      <w:r>
        <w:rPr>
          <w:spacing w:val="-8"/>
          <w:w w:val="100"/>
        </w:rPr>
        <w:t>度权益分派实施公告》（公告编号：</w:t>
      </w:r>
      <w:r>
        <w:rPr>
          <w:rFonts w:ascii="宋体" w:hAnsi="宋体" w:cs="宋体" w:eastAsia="宋体" w:hint="default"/>
          <w:spacing w:val="-8"/>
          <w:w w:val="100"/>
        </w:rPr>
        <w:t>2019-048</w:t>
      </w:r>
      <w:r>
        <w:rPr>
          <w:spacing w:val="-8"/>
          <w:w w:val="100"/>
        </w:rPr>
        <w:t>），根据《</w:t>
      </w:r>
      <w:r>
        <w:rPr>
          <w:rFonts w:ascii="宋体" w:hAnsi="宋体" w:cs="宋体" w:eastAsia="宋体" w:hint="default"/>
          <w:spacing w:val="-8"/>
          <w:w w:val="100"/>
        </w:rPr>
        <w:t>2019</w:t>
      </w:r>
      <w:r>
        <w:rPr>
          <w:rFonts w:ascii="宋体" w:hAnsi="宋体" w:cs="宋体" w:eastAsia="宋体" w:hint="default"/>
          <w:w w:val="100"/>
        </w:rPr>
        <w:t> </w:t>
      </w:r>
      <w:r>
        <w:rPr>
          <w:spacing w:val="-7"/>
          <w:w w:val="100"/>
        </w:rPr>
        <w:t>年股票期权激励计划（草案）》的相关规定若</w:t>
      </w:r>
      <w:r>
        <w:rPr>
          <w:spacing w:val="-94"/>
          <w:w w:val="100"/>
        </w:rPr>
        <w:t> </w:t>
      </w:r>
      <w:r>
        <w:rPr>
          <w:spacing w:val="-94"/>
          <w:w w:val="100"/>
        </w:rPr>
      </w:r>
      <w:r>
        <w:rPr>
          <w:spacing w:val="-2"/>
        </w:rPr>
        <w:t>在行权前公司发生资本公积转增股本、派发股票红利、股份拆细或缩股配股等事宜，股票期权的数量、行</w:t>
      </w:r>
      <w:r>
        <w:rPr>
          <w:spacing w:val="-33"/>
        </w:rPr>
        <w:t> </w:t>
      </w:r>
      <w:r>
        <w:rPr>
          <w:spacing w:val="-33"/>
        </w:rPr>
      </w:r>
      <w:r>
        <w:rPr/>
        <w:t>权价将做相应的调整。公司独立董事对此发表了独立意见。</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十五、重大关联交易" w:id="79"/>
      <w:bookmarkEnd w:id="79"/>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公司报告期未发生与日常经营相关的关联交易。</w:t>
      </w:r>
    </w:p>
    <w:p>
      <w:pPr>
        <w:spacing w:line="240" w:lineRule="auto" w:before="0"/>
        <w:rPr>
          <w:rFonts w:ascii="宋体" w:hAnsi="宋体" w:cs="宋体" w:eastAsia="宋体" w:hint="default"/>
          <w:sz w:val="21"/>
          <w:szCs w:val="21"/>
        </w:rPr>
      </w:pPr>
    </w:p>
    <w:p>
      <w:pPr>
        <w:pStyle w:val="Heading4"/>
        <w:spacing w:line="240" w:lineRule="auto"/>
        <w:ind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公司报告期不存在关联债权债务往来。</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公司报告期不存在租赁情况。</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公司报告期不存在担保情况。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38"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785"/>
            <w:col w:w="2186"/>
          </w:cols>
        </w:sectPr>
      </w:pP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868"/>
        <w:gridCol w:w="1964"/>
        <w:gridCol w:w="1983"/>
        <w:gridCol w:w="1907"/>
        <w:gridCol w:w="1848"/>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27,100</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单项金额重大或安全性较低、流动性较差、不保本的高风险委托理财具体情况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77"/>
        <w:gridCol w:w="566"/>
        <w:gridCol w:w="711"/>
        <w:gridCol w:w="566"/>
        <w:gridCol w:w="284"/>
        <w:gridCol w:w="566"/>
        <w:gridCol w:w="566"/>
        <w:gridCol w:w="284"/>
        <w:gridCol w:w="326"/>
        <w:gridCol w:w="562"/>
        <w:gridCol w:w="562"/>
        <w:gridCol w:w="562"/>
        <w:gridCol w:w="562"/>
        <w:gridCol w:w="547"/>
        <w:gridCol w:w="548"/>
        <w:gridCol w:w="547"/>
        <w:gridCol w:w="538"/>
      </w:tblGrid>
      <w:tr>
        <w:trPr>
          <w:trHeight w:val="2276"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21" w:lineRule="auto" w:before="76"/>
              <w:ind w:left="451" w:right="89" w:hanging="360"/>
              <w:jc w:val="left"/>
              <w:rPr>
                <w:rFonts w:ascii="宋体" w:hAnsi="宋体" w:cs="宋体" w:eastAsia="宋体" w:hint="default"/>
                <w:sz w:val="18"/>
                <w:szCs w:val="18"/>
              </w:rPr>
            </w:pPr>
            <w:r>
              <w:rPr>
                <w:rFonts w:ascii="宋体" w:hAnsi="宋体" w:cs="宋体" w:eastAsia="宋体" w:hint="default"/>
                <w:spacing w:val="-2"/>
                <w:sz w:val="18"/>
                <w:szCs w:val="18"/>
              </w:rPr>
              <w:t>（或受托人姓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4" w:lineRule="auto"/>
              <w:ind w:left="95" w:right="95"/>
              <w:jc w:val="center"/>
              <w:rPr>
                <w:rFonts w:ascii="宋体" w:hAnsi="宋体" w:cs="宋体" w:eastAsia="宋体" w:hint="default"/>
                <w:sz w:val="18"/>
                <w:szCs w:val="18"/>
              </w:rPr>
            </w:pPr>
            <w:r>
              <w:rPr>
                <w:rFonts w:ascii="宋体" w:hAnsi="宋体" w:cs="宋体" w:eastAsia="宋体" w:hint="default"/>
                <w:sz w:val="18"/>
                <w:szCs w:val="18"/>
              </w:rPr>
              <w:t>受托</w:t>
            </w:r>
            <w:r>
              <w:rPr>
                <w:rFonts w:ascii="宋体" w:hAnsi="宋体" w:cs="宋体" w:eastAsia="宋体" w:hint="default"/>
                <w:w w:val="101"/>
                <w:sz w:val="18"/>
                <w:szCs w:val="18"/>
              </w:rPr>
              <w:t> </w:t>
            </w:r>
            <w:r>
              <w:rPr>
                <w:rFonts w:ascii="宋体" w:hAnsi="宋体" w:cs="宋体" w:eastAsia="宋体" w:hint="default"/>
                <w:sz w:val="18"/>
                <w:szCs w:val="18"/>
              </w:rPr>
              <w:t>机构</w:t>
            </w:r>
          </w:p>
          <w:p>
            <w:pPr>
              <w:pStyle w:val="TableParagraph"/>
              <w:spacing w:line="319" w:lineRule="auto" w:before="20"/>
              <w:ind w:left="23" w:right="17" w:hanging="5"/>
              <w:jc w:val="center"/>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w w:val="101"/>
                <w:sz w:val="18"/>
                <w:szCs w:val="18"/>
              </w:rPr>
              <w:t> </w:t>
            </w:r>
            <w:r>
              <w:rPr>
                <w:rFonts w:ascii="宋体" w:hAnsi="宋体" w:cs="宋体" w:eastAsia="宋体" w:hint="default"/>
                <w:sz w:val="18"/>
                <w:szCs w:val="18"/>
              </w:rPr>
              <w:t>受托</w:t>
            </w:r>
            <w:r>
              <w:rPr>
                <w:rFonts w:ascii="宋体" w:hAnsi="宋体" w:cs="宋体" w:eastAsia="宋体" w:hint="default"/>
                <w:w w:val="101"/>
                <w:sz w:val="18"/>
                <w:szCs w:val="18"/>
              </w:rPr>
              <w:t> </w:t>
            </w:r>
            <w:r>
              <w:rPr>
                <w:rFonts w:ascii="宋体" w:hAnsi="宋体" w:cs="宋体" w:eastAsia="宋体" w:hint="default"/>
                <w:spacing w:val="-12"/>
                <w:sz w:val="18"/>
                <w:szCs w:val="18"/>
              </w:rPr>
              <w:t>人）类</w:t>
            </w:r>
            <w:r>
              <w:rPr>
                <w:rFonts w:ascii="宋体" w:hAnsi="宋体" w:cs="宋体" w:eastAsia="宋体" w:hint="default"/>
                <w:w w:val="101"/>
                <w:sz w:val="18"/>
                <w:szCs w:val="18"/>
              </w:rPr>
              <w:t> </w:t>
            </w:r>
            <w:r>
              <w:rPr>
                <w:rFonts w:ascii="宋体" w:hAnsi="宋体" w:cs="宋体" w:eastAsia="宋体" w:hint="default"/>
                <w:sz w:val="18"/>
                <w:szCs w:val="18"/>
              </w:rPr>
              <w:t>型</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9" w:right="75" w:hanging="178"/>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8" w:right="41"/>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来</w:t>
            </w:r>
            <w:r>
              <w:rPr>
                <w:rFonts w:ascii="宋体" w:hAnsi="宋体" w:cs="宋体" w:eastAsia="宋体" w:hint="default"/>
                <w:spacing w:val="-88"/>
                <w:sz w:val="18"/>
                <w:szCs w:val="18"/>
              </w:rPr>
              <w:t> </w:t>
            </w:r>
            <w:r>
              <w:rPr>
                <w:rFonts w:ascii="宋体" w:hAnsi="宋体" w:cs="宋体" w:eastAsia="宋体" w:hint="default"/>
                <w:sz w:val="18"/>
                <w:szCs w:val="18"/>
              </w:rPr>
              <w:t>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5" w:right="95"/>
              <w:jc w:val="left"/>
              <w:rPr>
                <w:rFonts w:ascii="宋体" w:hAnsi="宋体" w:cs="宋体" w:eastAsia="宋体" w:hint="default"/>
                <w:sz w:val="18"/>
                <w:szCs w:val="18"/>
              </w:rPr>
            </w:pPr>
            <w:r>
              <w:rPr>
                <w:rFonts w:ascii="宋体" w:hAnsi="宋体" w:cs="宋体" w:eastAsia="宋体" w:hint="default"/>
                <w:sz w:val="18"/>
                <w:szCs w:val="18"/>
              </w:rPr>
              <w:t>起始</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5" w:right="95"/>
              <w:jc w:val="left"/>
              <w:rPr>
                <w:rFonts w:ascii="宋体" w:hAnsi="宋体" w:cs="宋体" w:eastAsia="宋体" w:hint="default"/>
                <w:sz w:val="18"/>
                <w:szCs w:val="18"/>
              </w:rPr>
            </w:pPr>
            <w:r>
              <w:rPr>
                <w:rFonts w:ascii="宋体" w:hAnsi="宋体" w:cs="宋体" w:eastAsia="宋体" w:hint="default"/>
                <w:sz w:val="18"/>
                <w:szCs w:val="18"/>
              </w:rPr>
              <w:t>终止</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8" w:right="41"/>
              <w:jc w:val="both"/>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向</w:t>
            </w:r>
          </w:p>
        </w:tc>
        <w:tc>
          <w:tcPr>
            <w:tcW w:w="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88"/>
                <w:sz w:val="18"/>
                <w:szCs w:val="18"/>
              </w:rPr>
              <w:t> </w:t>
            </w:r>
            <w:r>
              <w:rPr>
                <w:rFonts w:ascii="宋体" w:hAnsi="宋体" w:cs="宋体" w:eastAsia="宋体" w:hint="default"/>
                <w:sz w:val="18"/>
                <w:szCs w:val="18"/>
              </w:rPr>
              <w:t>酬</w:t>
            </w:r>
            <w:r>
              <w:rPr>
                <w:rFonts w:ascii="宋体" w:hAnsi="宋体" w:cs="宋体" w:eastAsia="宋体" w:hint="default"/>
                <w:spacing w:val="-88"/>
                <w:sz w:val="18"/>
                <w:szCs w:val="18"/>
              </w:rPr>
              <w:t> </w:t>
            </w:r>
            <w:r>
              <w:rPr>
                <w:rFonts w:ascii="宋体" w:hAnsi="宋体" w:cs="宋体" w:eastAsia="宋体" w:hint="default"/>
                <w:sz w:val="18"/>
                <w:szCs w:val="18"/>
              </w:rPr>
              <w:t>确</w:t>
            </w:r>
            <w:r>
              <w:rPr>
                <w:rFonts w:ascii="宋体" w:hAnsi="宋体" w:cs="宋体" w:eastAsia="宋体" w:hint="default"/>
                <w:spacing w:val="-88"/>
                <w:sz w:val="18"/>
                <w:szCs w:val="18"/>
              </w:rPr>
              <w:t> </w:t>
            </w:r>
            <w:r>
              <w:rPr>
                <w:rFonts w:ascii="宋体" w:hAnsi="宋体" w:cs="宋体" w:eastAsia="宋体" w:hint="default"/>
                <w:sz w:val="18"/>
                <w:szCs w:val="18"/>
              </w:rPr>
              <w:t>定</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参考</w:t>
            </w:r>
            <w:r>
              <w:rPr>
                <w:rFonts w:ascii="宋体" w:hAnsi="宋体" w:cs="宋体" w:eastAsia="宋体" w:hint="default"/>
                <w:spacing w:val="-86"/>
                <w:sz w:val="18"/>
                <w:szCs w:val="18"/>
              </w:rPr>
              <w:t> </w:t>
            </w:r>
            <w:r>
              <w:rPr>
                <w:rFonts w:ascii="宋体" w:hAnsi="宋体" w:cs="宋体" w:eastAsia="宋体" w:hint="default"/>
                <w:sz w:val="18"/>
                <w:szCs w:val="18"/>
              </w:rPr>
              <w:t>年化</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2" w:lineRule="auto"/>
              <w:ind w:left="96" w:right="89"/>
              <w:jc w:val="left"/>
              <w:rPr>
                <w:rFonts w:ascii="宋体" w:hAnsi="宋体" w:cs="宋体" w:eastAsia="宋体" w:hint="default"/>
                <w:sz w:val="18"/>
                <w:szCs w:val="18"/>
              </w:rPr>
            </w:pPr>
            <w:r>
              <w:rPr>
                <w:rFonts w:ascii="宋体" w:hAnsi="宋体" w:cs="宋体" w:eastAsia="宋体" w:hint="default"/>
                <w:sz w:val="18"/>
                <w:szCs w:val="18"/>
              </w:rPr>
              <w:t>预期</w:t>
            </w:r>
            <w:r>
              <w:rPr>
                <w:rFonts w:ascii="宋体" w:hAnsi="宋体" w:cs="宋体" w:eastAsia="宋体" w:hint="default"/>
                <w:spacing w:val="-86"/>
                <w:sz w:val="18"/>
                <w:szCs w:val="18"/>
              </w:rPr>
              <w:t> </w:t>
            </w:r>
            <w:r>
              <w:rPr>
                <w:rFonts w:ascii="宋体" w:hAnsi="宋体" w:cs="宋体" w:eastAsia="宋体" w:hint="default"/>
                <w:sz w:val="18"/>
                <w:szCs w:val="18"/>
              </w:rPr>
              <w:t>收益</w:t>
            </w:r>
          </w:p>
          <w:p>
            <w:pPr>
              <w:pStyle w:val="TableParagraph"/>
              <w:spacing w:line="321" w:lineRule="auto" w:before="22"/>
              <w:ind w:left="187" w:right="89" w:hanging="9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6" w:right="89"/>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期实</w:t>
            </w:r>
            <w:r>
              <w:rPr>
                <w:rFonts w:ascii="宋体" w:hAnsi="宋体" w:cs="宋体" w:eastAsia="宋体" w:hint="default"/>
                <w:spacing w:val="-86"/>
                <w:sz w:val="18"/>
                <w:szCs w:val="18"/>
              </w:rPr>
              <w:t> </w:t>
            </w:r>
            <w:r>
              <w:rPr>
                <w:rFonts w:ascii="宋体" w:hAnsi="宋体" w:cs="宋体" w:eastAsia="宋体" w:hint="default"/>
                <w:sz w:val="18"/>
                <w:szCs w:val="18"/>
              </w:rPr>
              <w:t>际损</w:t>
            </w:r>
            <w:r>
              <w:rPr>
                <w:rFonts w:ascii="宋体" w:hAnsi="宋体" w:cs="宋体" w:eastAsia="宋体" w:hint="default"/>
                <w:spacing w:val="-86"/>
                <w:sz w:val="18"/>
                <w:szCs w:val="18"/>
              </w:rPr>
              <w:t> </w:t>
            </w:r>
            <w:r>
              <w:rPr>
                <w:rFonts w:ascii="宋体" w:hAnsi="宋体" w:cs="宋体" w:eastAsia="宋体" w:hint="default"/>
                <w:sz w:val="18"/>
                <w:szCs w:val="18"/>
              </w:rPr>
              <w:t>益金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期损</w:t>
            </w:r>
            <w:r>
              <w:rPr>
                <w:rFonts w:ascii="宋体" w:hAnsi="宋体" w:cs="宋体" w:eastAsia="宋体" w:hint="default"/>
                <w:spacing w:val="-86"/>
                <w:sz w:val="18"/>
                <w:szCs w:val="18"/>
              </w:rPr>
              <w:t> </w:t>
            </w:r>
            <w:r>
              <w:rPr>
                <w:rFonts w:ascii="宋体" w:hAnsi="宋体" w:cs="宋体" w:eastAsia="宋体" w:hint="default"/>
                <w:sz w:val="18"/>
                <w:szCs w:val="18"/>
              </w:rPr>
              <w:t>益实</w:t>
            </w:r>
            <w:r>
              <w:rPr>
                <w:rFonts w:ascii="宋体" w:hAnsi="宋体" w:cs="宋体" w:eastAsia="宋体" w:hint="default"/>
                <w:spacing w:val="-86"/>
                <w:sz w:val="18"/>
                <w:szCs w:val="18"/>
              </w:rPr>
              <w:t> </w:t>
            </w:r>
            <w:r>
              <w:rPr>
                <w:rFonts w:ascii="宋体" w:hAnsi="宋体" w:cs="宋体" w:eastAsia="宋体" w:hint="default"/>
                <w:sz w:val="18"/>
                <w:szCs w:val="18"/>
              </w:rPr>
              <w:t>际收</w:t>
            </w:r>
            <w:r>
              <w:rPr>
                <w:rFonts w:ascii="宋体" w:hAnsi="宋体" w:cs="宋体" w:eastAsia="宋体" w:hint="default"/>
                <w:spacing w:val="-86"/>
                <w:sz w:val="18"/>
                <w:szCs w:val="18"/>
              </w:rPr>
              <w:t> </w:t>
            </w:r>
            <w:r>
              <w:rPr>
                <w:rFonts w:ascii="宋体" w:hAnsi="宋体" w:cs="宋体" w:eastAsia="宋体" w:hint="default"/>
                <w:sz w:val="18"/>
                <w:szCs w:val="18"/>
              </w:rPr>
              <w:t>回情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1" w:right="79"/>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321" w:lineRule="auto" w:before="19"/>
              <w:ind w:left="91" w:right="79"/>
              <w:jc w:val="both"/>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经过</w:t>
            </w:r>
            <w:r>
              <w:rPr>
                <w:rFonts w:ascii="宋体" w:hAnsi="宋体" w:cs="宋体" w:eastAsia="宋体" w:hint="default"/>
                <w:spacing w:val="-86"/>
                <w:sz w:val="18"/>
                <w:szCs w:val="18"/>
              </w:rPr>
              <w:t> </w:t>
            </w:r>
            <w:r>
              <w:rPr>
                <w:rFonts w:ascii="宋体" w:hAnsi="宋体" w:cs="宋体" w:eastAsia="宋体" w:hint="default"/>
                <w:sz w:val="18"/>
                <w:szCs w:val="18"/>
              </w:rPr>
              <w:t>法定</w:t>
            </w:r>
            <w:r>
              <w:rPr>
                <w:rFonts w:ascii="宋体" w:hAnsi="宋体" w:cs="宋体" w:eastAsia="宋体" w:hint="default"/>
                <w:spacing w:val="-86"/>
                <w:sz w:val="18"/>
                <w:szCs w:val="18"/>
              </w:rPr>
              <w:t> </w:t>
            </w:r>
            <w:r>
              <w:rPr>
                <w:rFonts w:ascii="宋体" w:hAnsi="宋体" w:cs="宋体" w:eastAsia="宋体" w:hint="default"/>
                <w:sz w:val="18"/>
                <w:szCs w:val="18"/>
              </w:rPr>
              <w:t>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6" w:right="84"/>
              <w:jc w:val="both"/>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86"/>
                <w:sz w:val="18"/>
                <w:szCs w:val="18"/>
              </w:rPr>
              <w:t> </w:t>
            </w: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还有</w:t>
            </w:r>
            <w:r>
              <w:rPr>
                <w:rFonts w:ascii="宋体" w:hAnsi="宋体" w:cs="宋体" w:eastAsia="宋体" w:hint="default"/>
                <w:spacing w:val="-86"/>
                <w:sz w:val="18"/>
                <w:szCs w:val="18"/>
              </w:rPr>
              <w:t> </w:t>
            </w:r>
            <w:r>
              <w:rPr>
                <w:rFonts w:ascii="宋体" w:hAnsi="宋体" w:cs="宋体" w:eastAsia="宋体" w:hint="default"/>
                <w:sz w:val="18"/>
                <w:szCs w:val="18"/>
              </w:rPr>
              <w:t>委托</w:t>
            </w:r>
            <w:r>
              <w:rPr>
                <w:rFonts w:ascii="宋体" w:hAnsi="宋体" w:cs="宋体" w:eastAsia="宋体" w:hint="default"/>
                <w:spacing w:val="-86"/>
                <w:sz w:val="18"/>
                <w:szCs w:val="18"/>
              </w:rPr>
              <w:t> </w:t>
            </w: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hanging="5"/>
              <w:jc w:val="center"/>
              <w:rPr>
                <w:rFonts w:ascii="宋体" w:hAnsi="宋体" w:cs="宋体" w:eastAsia="宋体" w:hint="default"/>
                <w:sz w:val="18"/>
                <w:szCs w:val="18"/>
              </w:rPr>
            </w:pPr>
            <w:r>
              <w:rPr>
                <w:rFonts w:ascii="宋体" w:hAnsi="宋体" w:cs="宋体" w:eastAsia="宋体" w:hint="default"/>
                <w:sz w:val="18"/>
                <w:szCs w:val="18"/>
              </w:rPr>
              <w:t>事项</w:t>
            </w:r>
            <w:r>
              <w:rPr>
                <w:rFonts w:ascii="宋体" w:hAnsi="宋体" w:cs="宋体" w:eastAsia="宋体" w:hint="default"/>
                <w:w w:val="101"/>
                <w:sz w:val="18"/>
                <w:szCs w:val="18"/>
              </w:rPr>
              <w:t> </w:t>
            </w:r>
            <w:r>
              <w:rPr>
                <w:rFonts w:ascii="宋体" w:hAnsi="宋体" w:cs="宋体" w:eastAsia="宋体" w:hint="default"/>
                <w:sz w:val="18"/>
                <w:szCs w:val="18"/>
              </w:rPr>
              <w:t>概述</w:t>
            </w:r>
            <w:r>
              <w:rPr>
                <w:rFonts w:ascii="宋体" w:hAnsi="宋体" w:cs="宋体" w:eastAsia="宋体" w:hint="default"/>
                <w:w w:val="101"/>
                <w:sz w:val="18"/>
                <w:szCs w:val="18"/>
              </w:rPr>
              <w:t> </w:t>
            </w:r>
            <w:r>
              <w:rPr>
                <w:rFonts w:ascii="宋体" w:hAnsi="宋体" w:cs="宋体" w:eastAsia="宋体" w:hint="default"/>
                <w:sz w:val="18"/>
                <w:szCs w:val="18"/>
              </w:rPr>
              <w:t>及相</w:t>
            </w:r>
            <w:r>
              <w:rPr>
                <w:rFonts w:ascii="宋体" w:hAnsi="宋体" w:cs="宋体" w:eastAsia="宋体" w:hint="default"/>
                <w:w w:val="101"/>
                <w:sz w:val="18"/>
                <w:szCs w:val="18"/>
              </w:rPr>
              <w:t> </w:t>
            </w:r>
            <w:r>
              <w:rPr>
                <w:rFonts w:ascii="宋体" w:hAnsi="宋体" w:cs="宋体" w:eastAsia="宋体" w:hint="default"/>
                <w:sz w:val="18"/>
                <w:szCs w:val="18"/>
              </w:rPr>
              <w:t>关查</w:t>
            </w:r>
            <w:r>
              <w:rPr>
                <w:rFonts w:ascii="宋体" w:hAnsi="宋体" w:cs="宋体" w:eastAsia="宋体" w:hint="default"/>
                <w:w w:val="101"/>
                <w:sz w:val="18"/>
                <w:szCs w:val="18"/>
              </w:rPr>
              <w:t> </w:t>
            </w:r>
            <w:r>
              <w:rPr>
                <w:rFonts w:ascii="宋体" w:hAnsi="宋体" w:cs="宋体" w:eastAsia="宋体" w:hint="default"/>
                <w:sz w:val="18"/>
                <w:szCs w:val="18"/>
              </w:rPr>
              <w:t>询索</w:t>
            </w:r>
            <w:r>
              <w:rPr>
                <w:rFonts w:ascii="宋体" w:hAnsi="宋体" w:cs="宋体" w:eastAsia="宋体" w:hint="default"/>
                <w:w w:val="101"/>
                <w:sz w:val="18"/>
                <w:szCs w:val="18"/>
              </w:rPr>
              <w:t> </w:t>
            </w:r>
            <w:r>
              <w:rPr>
                <w:rFonts w:ascii="宋体" w:hAnsi="宋体" w:cs="宋体" w:eastAsia="宋体" w:hint="default"/>
                <w:spacing w:val="-21"/>
                <w:sz w:val="18"/>
                <w:szCs w:val="18"/>
              </w:rPr>
              <w:t>引（如</w:t>
            </w:r>
            <w:r>
              <w:rPr>
                <w:rFonts w:ascii="宋体" w:hAnsi="宋体" w:cs="宋体" w:eastAsia="宋体" w:hint="default"/>
                <w:w w:val="101"/>
                <w:sz w:val="18"/>
                <w:szCs w:val="18"/>
              </w:rPr>
              <w:t> </w:t>
            </w:r>
            <w:r>
              <w:rPr>
                <w:rFonts w:ascii="宋体" w:hAnsi="宋体" w:cs="宋体" w:eastAsia="宋体" w:hint="default"/>
                <w:sz w:val="18"/>
                <w:szCs w:val="18"/>
              </w:rPr>
              <w:t>有）</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华夏银行股份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北沙滩支行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5"/>
              <w:jc w:val="both"/>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88"/>
                <w:sz w:val="18"/>
                <w:szCs w:val="18"/>
              </w:rPr>
              <w:t> </w:t>
            </w:r>
            <w:r>
              <w:rPr>
                <w:rFonts w:ascii="宋体" w:hAnsi="宋体" w:cs="宋体" w:eastAsia="宋体" w:hint="default"/>
                <w:sz w:val="18"/>
                <w:szCs w:val="18"/>
              </w:rPr>
              <w:t>集</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3.46%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4" w:right="156"/>
              <w:jc w:val="left"/>
              <w:rPr>
                <w:rFonts w:ascii="宋体" w:hAnsi="宋体" w:cs="宋体" w:eastAsia="宋体" w:hint="default"/>
                <w:sz w:val="18"/>
                <w:szCs w:val="18"/>
              </w:rPr>
            </w:pPr>
            <w:r>
              <w:rPr>
                <w:rFonts w:ascii="宋体" w:hAnsi="宋体" w:cs="宋体" w:eastAsia="宋体" w:hint="default"/>
                <w:spacing w:val="-2"/>
                <w:sz w:val="18"/>
                <w:szCs w:val="18"/>
              </w:rPr>
              <w:t>兴业银行北京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西直门支行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3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56"/>
              <w:jc w:val="left"/>
              <w:rPr>
                <w:rFonts w:ascii="宋体" w:hAnsi="宋体" w:cs="宋体" w:eastAsia="宋体" w:hint="default"/>
                <w:sz w:val="18"/>
                <w:szCs w:val="18"/>
              </w:rPr>
            </w:pPr>
            <w:r>
              <w:rPr>
                <w:rFonts w:ascii="宋体" w:hAnsi="宋体" w:cs="宋体" w:eastAsia="宋体" w:hint="default"/>
                <w:spacing w:val="-2"/>
                <w:sz w:val="18"/>
                <w:szCs w:val="18"/>
              </w:rPr>
              <w:t>兴业银行北京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西直门支行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华夏银行股份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北沙滩支行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56"/>
              <w:jc w:val="left"/>
              <w:rPr>
                <w:rFonts w:ascii="宋体" w:hAnsi="宋体" w:cs="宋体" w:eastAsia="宋体" w:hint="default"/>
                <w:sz w:val="18"/>
                <w:szCs w:val="18"/>
              </w:rPr>
            </w:pPr>
            <w:r>
              <w:rPr>
                <w:rFonts w:ascii="宋体" w:hAnsi="宋体" w:cs="宋体" w:eastAsia="宋体" w:hint="default"/>
                <w:spacing w:val="-2"/>
                <w:sz w:val="18"/>
                <w:szCs w:val="18"/>
              </w:rPr>
              <w:t>兴业银行北京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西直门支行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华夏银行股份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北沙滩支行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3.70%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3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pacing w:val="-2"/>
                <w:sz w:val="18"/>
                <w:szCs w:val="18"/>
              </w:rPr>
              <w:t>华夏银行股份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北沙滩支行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保本浮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10,000</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5"/>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65"/>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3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议</w:t>
            </w:r>
            <w:r>
              <w:rPr>
                <w:rFonts w:ascii="宋体" w:hAnsi="宋体" w:cs="宋体" w:eastAsia="宋体" w:hint="default"/>
                <w:spacing w:val="-88"/>
                <w:sz w:val="18"/>
                <w:szCs w:val="18"/>
              </w:rPr>
              <w:t> </w:t>
            </w:r>
            <w:r>
              <w:rPr>
                <w:rFonts w:ascii="宋体" w:hAnsi="宋体" w:cs="宋体" w:eastAsia="宋体" w:hint="default"/>
                <w:sz w:val="18"/>
                <w:szCs w:val="18"/>
              </w:rPr>
              <w:t>约</w:t>
            </w:r>
            <w:r>
              <w:rPr>
                <w:rFonts w:ascii="宋体" w:hAnsi="宋体" w:cs="宋体" w:eastAsia="宋体" w:hint="default"/>
                <w:spacing w:val="-88"/>
                <w:sz w:val="18"/>
                <w:szCs w:val="18"/>
              </w:rPr>
              <w:t> </w:t>
            </w:r>
            <w:r>
              <w:rPr>
                <w:rFonts w:ascii="宋体" w:hAnsi="宋体" w:cs="宋体" w:eastAsia="宋体" w:hint="default"/>
                <w:sz w:val="18"/>
                <w:szCs w:val="18"/>
              </w:rPr>
              <w:t>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61"/>
              <w:jc w:val="left"/>
              <w:rPr>
                <w:rFonts w:ascii="宋体" w:hAnsi="宋体" w:cs="宋体" w:eastAsia="宋体" w:hint="default"/>
                <w:sz w:val="18"/>
                <w:szCs w:val="18"/>
              </w:rPr>
            </w:pPr>
            <w:r>
              <w:rPr>
                <w:rFonts w:ascii="宋体" w:hAnsi="宋体" w:cs="宋体" w:eastAsia="宋体" w:hint="default"/>
                <w:sz w:val="18"/>
                <w:szCs w:val="18"/>
              </w:rPr>
              <w:t>已收</w:t>
            </w:r>
            <w:r>
              <w:rPr>
                <w:rFonts w:ascii="宋体" w:hAnsi="宋体" w:cs="宋体" w:eastAsia="宋体" w:hint="default"/>
                <w:spacing w:val="-86"/>
                <w:sz w:val="18"/>
                <w:szCs w:val="18"/>
              </w:rPr>
              <w:t> </w:t>
            </w:r>
            <w:r>
              <w:rPr>
                <w:rFonts w:ascii="宋体" w:hAnsi="宋体" w:cs="宋体" w:eastAsia="宋体" w:hint="default"/>
                <w:sz w:val="18"/>
                <w:szCs w:val="18"/>
              </w:rPr>
              <w:t>回</w:t>
            </w:r>
          </w:p>
        </w:tc>
        <w:tc>
          <w:tcPr>
            <w:tcW w:w="547"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37"/>
              <w:jc w:val="both"/>
              <w:rPr>
                <w:rFonts w:ascii="宋体" w:hAnsi="宋体" w:cs="宋体" w:eastAsia="宋体" w:hint="default"/>
                <w:sz w:val="18"/>
                <w:szCs w:val="18"/>
              </w:rPr>
            </w:pP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403" w:hRule="exact"/>
        </w:trPr>
        <w:tc>
          <w:tcPr>
            <w:tcW w:w="25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57,000</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158.73</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7" w:type="dxa"/>
            <w:tcBorders>
              <w:top w:val="single" w:sz="4" w:space="0" w:color="000000"/>
              <w:left w:val="single" w:sz="13" w:space="0" w:color="D2D2D2"/>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委托理财出现预期无法收回本金或存在其他可能导致减值的情形</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both"/>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43"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七、社会责任情况" w:id="95"/>
      <w:bookmarkEnd w:id="95"/>
      <w:r>
        <w:rPr>
          <w:b w:val="0"/>
          <w:bCs w:val="0"/>
        </w:rPr>
      </w:r>
      <w:r>
        <w:rPr/>
        <w:t>十七、社会责任情况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both"/>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560" w:lineRule="atLeast" w:before="15"/>
        <w:ind w:left="575" w:right="0"/>
        <w:jc w:val="left"/>
      </w:pPr>
      <w:r>
        <w:rPr/>
        <w:t>（</w:t>
      </w:r>
      <w:r>
        <w:rPr>
          <w:rFonts w:ascii="宋体" w:hAnsi="宋体" w:cs="宋体" w:eastAsia="宋体" w:hint="default"/>
        </w:rPr>
        <w:t>1</w:t>
      </w:r>
      <w:r>
        <w:rPr/>
        <w:t>）股东权益保障方面</w:t>
      </w:r>
      <w:r>
        <w:rPr>
          <w:spacing w:val="-103"/>
        </w:rPr>
        <w:t> </w:t>
      </w:r>
      <w:r>
        <w:rPr>
          <w:spacing w:val="-103"/>
        </w:rPr>
      </w:r>
      <w:r>
        <w:rPr>
          <w:spacing w:val="-9"/>
          <w:w w:val="100"/>
        </w:rPr>
        <w:t>公司严格按照《公司法》、《证券法》、《股票上市规则》等法律法规、规范性文件和公司章程的规定，</w:t>
      </w:r>
    </w:p>
    <w:p>
      <w:pPr>
        <w:pStyle w:val="BodyText"/>
        <w:spacing w:line="355" w:lineRule="auto" w:before="133"/>
        <w:ind w:right="1027"/>
        <w:jc w:val="both"/>
      </w:pPr>
      <w:r>
        <w:rPr>
          <w:spacing w:val="-2"/>
        </w:rPr>
        <w:t>依法召开股东大会，积极主动采用网络投票等方式扩大股东参与股东大会的比例。报告期内，公司不断完</w:t>
      </w:r>
      <w:r>
        <w:rPr>
          <w:spacing w:val="-33"/>
        </w:rPr>
        <w:t> </w:t>
      </w:r>
      <w:r>
        <w:rPr>
          <w:spacing w:val="-33"/>
        </w:rPr>
      </w:r>
      <w:r>
        <w:rPr>
          <w:spacing w:val="-7"/>
        </w:rPr>
        <w:t>善法人治理结构，保障股东知情权、参与权及分红权的实现，积极实施现金分红政策，确保股东投资回报；</w:t>
      </w:r>
      <w:r>
        <w:rPr>
          <w:spacing w:val="-12"/>
        </w:rPr>
        <w:t> </w:t>
      </w:r>
      <w:r>
        <w:rPr>
          <w:spacing w:val="-12"/>
        </w:rPr>
      </w:r>
      <w:r>
        <w:rPr>
          <w:spacing w:val="-7"/>
        </w:rPr>
        <w:t>持续优化完善内控体系，严格履行信息披露义务，真实、准确、完整、及时、公平地向所有股东披露信息；</w:t>
      </w:r>
      <w:r>
        <w:rPr>
          <w:spacing w:val="-9"/>
        </w:rPr>
        <w:t> </w:t>
      </w:r>
      <w:r>
        <w:rPr>
          <w:spacing w:val="-9"/>
        </w:rPr>
      </w:r>
      <w:r>
        <w:rPr>
          <w:spacing w:val="-2"/>
        </w:rPr>
        <w:t>通过网上业绩说明会、投资者电话、传真、电子邮箱和投资者关系互动平台、接待投资者现场调研等多种</w:t>
      </w:r>
      <w:r>
        <w:rPr>
          <w:spacing w:val="-33"/>
        </w:rPr>
        <w:t> </w:t>
      </w:r>
      <w:r>
        <w:rPr>
          <w:spacing w:val="-33"/>
        </w:rPr>
      </w:r>
      <w:r>
        <w:rPr>
          <w:spacing w:val="-7"/>
        </w:rPr>
        <w:t>方式与投资者进行沟通交流，建立良好的互动平台。报告期内，公司无大股东及关联方占用公司资金情形，</w:t>
      </w:r>
      <w:r>
        <w:rPr>
          <w:spacing w:val="-4"/>
        </w:rPr>
        <w:t> </w:t>
      </w:r>
      <w:r>
        <w:rPr>
          <w:spacing w:val="-4"/>
        </w:rPr>
      </w:r>
      <w:r>
        <w:rPr/>
        <w:t>亦不存在将资金直接或间接地提供给大股东及关联方使用的各种情形，公司无任何形式的对外担保事项。</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w:t>
      </w:r>
      <w:r>
        <w:rPr>
          <w:rFonts w:ascii="宋体" w:hAnsi="宋体" w:cs="宋体" w:eastAsia="宋体" w:hint="default"/>
        </w:rPr>
        <w:t>2</w:t>
      </w:r>
      <w:r>
        <w:rPr/>
        <w:t>）职工权益保障方面</w:t>
      </w:r>
    </w:p>
    <w:p>
      <w:pPr>
        <w:spacing w:line="240" w:lineRule="auto" w:before="4"/>
        <w:rPr>
          <w:rFonts w:ascii="宋体" w:hAnsi="宋体" w:cs="宋体" w:eastAsia="宋体" w:hint="default"/>
          <w:sz w:val="22"/>
          <w:szCs w:val="22"/>
        </w:rPr>
      </w:pPr>
    </w:p>
    <w:p>
      <w:pPr>
        <w:pStyle w:val="BodyText"/>
        <w:spacing w:line="357" w:lineRule="auto"/>
        <w:ind w:right="0" w:firstLine="422"/>
        <w:jc w:val="left"/>
      </w:pPr>
      <w:r>
        <w:rPr>
          <w:spacing w:val="-7"/>
          <w:w w:val="100"/>
        </w:rPr>
        <w:t>公司坚持人才是公司发展核心驱动力的价值观，并严格遵守《劳动法》、《劳动合同法》等相关法律法</w:t>
      </w:r>
      <w:r>
        <w:rPr>
          <w:w w:val="100"/>
        </w:rPr>
        <w:t> </w:t>
      </w:r>
      <w:r>
        <w:rPr/>
        <w:t>规保护职工的合法权益，保障员工合法权益，致力于培育员工的认同感和归属感。在实现公司发展同时，</w:t>
      </w:r>
      <w:r>
        <w:rPr>
          <w:spacing w:val="-30"/>
        </w:rPr>
        <w:t> </w:t>
      </w:r>
      <w:r>
        <w:rPr>
          <w:spacing w:val="-30"/>
        </w:rPr>
      </w:r>
      <w:r>
        <w:rPr>
          <w:spacing w:val="-2"/>
        </w:rPr>
        <w:t>保持员工与企业共同成长，不断提升优化福利体系及人才引进机制，努力为员工提供更好的工作环境及更</w:t>
      </w:r>
      <w:r>
        <w:rPr>
          <w:spacing w:val="-33"/>
        </w:rPr>
        <w:t> </w:t>
      </w:r>
      <w:r>
        <w:rPr>
          <w:spacing w:val="-33"/>
        </w:rPr>
      </w:r>
      <w:r>
        <w:rPr/>
        <w:t>多的人文关怀。</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53" w:right="529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不适用</w:t>
      </w:r>
    </w:p>
    <w:p>
      <w:pPr>
        <w:spacing w:after="0" w:line="36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2"/>
          <w:szCs w:val="12"/>
        </w:rPr>
      </w:pPr>
    </w:p>
    <w:p>
      <w:pPr>
        <w:pStyle w:val="BodyText"/>
        <w:spacing w:line="355" w:lineRule="auto"/>
        <w:ind w:right="1125" w:firstLine="422"/>
        <w:jc w:val="both"/>
      </w:pPr>
      <w:r>
        <w:rPr/>
        <w:t>公司于</w:t>
      </w:r>
      <w:r>
        <w:rPr>
          <w:spacing w:val="-55"/>
        </w:rPr>
        <w:t> </w:t>
      </w:r>
      <w:r>
        <w:rPr>
          <w:rFonts w:ascii="宋体" w:hAnsi="宋体" w:cs="宋体" w:eastAsia="宋体" w:hint="default"/>
        </w:rPr>
        <w:t>2019</w:t>
      </w:r>
      <w:r>
        <w:rPr>
          <w:rFonts w:ascii="宋体" w:hAnsi="宋体" w:cs="宋体" w:eastAsia="宋体" w:hint="default"/>
          <w:spacing w:val="-59"/>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w:t>
      </w:r>
      <w:r>
        <w:rPr>
          <w:spacing w:val="-55"/>
        </w:rPr>
        <w:t> </w:t>
      </w:r>
      <w:r>
        <w:rPr>
          <w:rFonts w:ascii="宋体" w:hAnsi="宋体" w:cs="宋体" w:eastAsia="宋体" w:hint="default"/>
          <w:spacing w:val="-3"/>
        </w:rPr>
        <w:t>20</w:t>
      </w:r>
      <w:r>
        <w:rPr>
          <w:rFonts w:ascii="宋体" w:hAnsi="宋体" w:cs="宋体" w:eastAsia="宋体" w:hint="default"/>
          <w:spacing w:val="-56"/>
        </w:rPr>
        <w:t> </w:t>
      </w:r>
      <w:r>
        <w:rPr/>
        <w:t>日召开第二届董事会第十二次会议审议通过了《关于对外投资参与设立有限合</w:t>
      </w:r>
      <w:r>
        <w:rPr>
          <w:w w:val="100"/>
        </w:rPr>
        <w:t> </w:t>
      </w:r>
      <w:r>
        <w:rPr>
          <w:spacing w:val="-2"/>
          <w:w w:val="100"/>
        </w:rPr>
        <w:t>伙企业的议案》，公司及控股子公司北京协同创新黑马投资管理有限公司参与设立北京创新黑马投资管理</w:t>
      </w:r>
      <w:r>
        <w:rPr>
          <w:spacing w:val="-99"/>
          <w:w w:val="100"/>
        </w:rPr>
        <w:t> </w:t>
      </w:r>
      <w:r>
        <w:rPr>
          <w:spacing w:val="-99"/>
          <w:w w:val="100"/>
        </w:rPr>
      </w:r>
      <w:r>
        <w:rPr>
          <w:spacing w:val="-5"/>
          <w:w w:val="100"/>
        </w:rPr>
        <w:t>合伙企业（有限合伙），其中公司作为有限合伙人以自有资金出资不超过</w:t>
      </w:r>
      <w:r>
        <w:rPr>
          <w:spacing w:val="-54"/>
          <w:w w:val="100"/>
        </w:rPr>
        <w:t> </w:t>
      </w:r>
      <w:r>
        <w:rPr>
          <w:rFonts w:ascii="宋体" w:hAnsi="宋体" w:cs="宋体" w:eastAsia="宋体" w:hint="default"/>
          <w:w w:val="100"/>
        </w:rPr>
        <w:t>6,500.00</w:t>
      </w:r>
      <w:r>
        <w:rPr>
          <w:rFonts w:ascii="宋体" w:hAnsi="宋体" w:cs="宋体" w:eastAsia="宋体" w:hint="default"/>
          <w:spacing w:val="-56"/>
          <w:w w:val="100"/>
        </w:rPr>
        <w:t> </w:t>
      </w:r>
      <w:r>
        <w:rPr>
          <w:spacing w:val="-2"/>
          <w:w w:val="100"/>
        </w:rPr>
        <w:t>万元，公司控股子公司</w:t>
      </w:r>
    </w:p>
    <w:p>
      <w:pPr>
        <w:pStyle w:val="BodyText"/>
        <w:spacing w:line="352" w:lineRule="auto" w:before="37"/>
        <w:ind w:right="1124"/>
        <w:jc w:val="left"/>
      </w:pPr>
      <w:r>
        <w:rPr/>
        <w:t>黑马投资以自有资金出资不超过 </w:t>
      </w:r>
      <w:r>
        <w:rPr>
          <w:rFonts w:ascii="宋体" w:hAnsi="宋体" w:cs="宋体" w:eastAsia="宋体" w:hint="default"/>
        </w:rPr>
        <w:t>1,000.00</w:t>
      </w:r>
      <w:r>
        <w:rPr>
          <w:rFonts w:ascii="宋体" w:hAnsi="宋体" w:cs="宋体" w:eastAsia="宋体" w:hint="default"/>
          <w:spacing w:val="-19"/>
        </w:rPr>
        <w:t> </w:t>
      </w:r>
      <w:r>
        <w:rPr/>
        <w:t>万元并担任基金管理人。公司对该基金采用权益法核算，本年</w:t>
      </w:r>
      <w:r>
        <w:rPr>
          <w:w w:val="100"/>
        </w:rPr>
        <w:t> </w:t>
      </w:r>
      <w:r>
        <w:rPr/>
        <w:t>确认投资收益</w:t>
      </w:r>
      <w:r>
        <w:rPr>
          <w:rFonts w:ascii="宋体" w:hAnsi="宋体" w:cs="宋体" w:eastAsia="宋体" w:hint="default"/>
        </w:rPr>
        <w:t>-55.12</w:t>
      </w:r>
      <w:r>
        <w:rPr>
          <w:rFonts w:ascii="宋体" w:hAnsi="宋体" w:cs="宋体" w:eastAsia="宋体" w:hint="default"/>
          <w:spacing w:val="-48"/>
        </w:rPr>
        <w:t> </w:t>
      </w:r>
      <w:r>
        <w:rPr/>
        <w:t>万元。</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六节股份变动及股东情况" w:id="101"/>
      <w:bookmarkEnd w:id="101"/>
      <w:r>
        <w:rPr>
          <w:b w:val="0"/>
          <w:bCs w:val="0"/>
        </w:rPr>
      </w:r>
      <w:bookmarkStart w:name="_bookmark5" w:id="102"/>
      <w:bookmarkEnd w:id="102"/>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964"/>
        <w:gridCol w:w="1001"/>
        <w:gridCol w:w="711"/>
        <w:gridCol w:w="850"/>
        <w:gridCol w:w="567"/>
        <w:gridCol w:w="994"/>
        <w:gridCol w:w="566"/>
        <w:gridCol w:w="994"/>
        <w:gridCol w:w="1133"/>
        <w:gridCol w:w="782"/>
      </w:tblGrid>
      <w:tr>
        <w:trPr>
          <w:trHeight w:val="206" w:hRule="exact"/>
        </w:trPr>
        <w:tc>
          <w:tcPr>
            <w:tcW w:w="1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7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89"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9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2" w:hRule="exact"/>
        </w:trPr>
        <w:tc>
          <w:tcPr>
            <w:tcW w:w="1964" w:type="dxa"/>
            <w:vMerge w:val="restart"/>
            <w:tcBorders>
              <w:top w:val="nil" w:sz="6" w:space="0" w:color="auto"/>
              <w:left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3971" w:type="dxa"/>
            <w:gridSpan w:val="5"/>
            <w:vMerge/>
            <w:tcBorders>
              <w:left w:val="single" w:sz="4" w:space="0" w:color="000000"/>
              <w:bottom w:val="single" w:sz="4" w:space="0" w:color="000000"/>
              <w:right w:val="single" w:sz="4" w:space="0" w:color="000000"/>
            </w:tcBorders>
            <w:shd w:val="clear" w:color="auto" w:fill="D2D2D2"/>
          </w:tcPr>
          <w:p>
            <w:pPr/>
          </w:p>
        </w:tc>
        <w:tc>
          <w:tcPr>
            <w:tcW w:w="191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64"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31,461,335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46.27%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12,584,534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12,584,534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44,045,869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46.27%</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31,461,335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46.27%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12,584,534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12,584,534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44,045,869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46.27%</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7,814,675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11.49%</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3,125,870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3,125,870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10,940,545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11.49%</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23,646,660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34.77%</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9,458,664</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9,458,664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33,105,324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34.77%</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36,538,665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14,615,466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14,615,466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51,154,131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53.73%</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36,538,665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14,615,466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14,615,466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51,154,131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53.73%</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240" w:lineRule="auto"/>
        <w:ind w:left="575" w:right="0"/>
        <w:jc w:val="left"/>
      </w:pPr>
      <w:r>
        <w:rPr/>
        <w:t>公司于</w:t>
      </w:r>
      <w:r>
        <w:rPr>
          <w:spacing w:val="-47"/>
        </w:rPr>
        <w:t> </w:t>
      </w:r>
      <w:r>
        <w:rPr>
          <w:rFonts w:ascii="宋体" w:hAnsi="宋体" w:cs="宋体" w:eastAsia="宋体" w:hint="default"/>
        </w:rPr>
        <w:t>2019</w:t>
      </w:r>
      <w:r>
        <w:rPr>
          <w:rFonts w:ascii="宋体" w:hAnsi="宋体" w:cs="宋体" w:eastAsia="宋体" w:hint="default"/>
          <w:spacing w:val="-53"/>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7"/>
        </w:rPr>
        <w:t> </w:t>
      </w:r>
      <w:r>
        <w:rPr>
          <w:rFonts w:ascii="宋体" w:hAnsi="宋体" w:cs="宋体" w:eastAsia="宋体" w:hint="default"/>
          <w:spacing w:val="-3"/>
        </w:rPr>
        <w:t>17</w:t>
      </w:r>
      <w:r>
        <w:rPr>
          <w:rFonts w:ascii="宋体" w:hAnsi="宋体" w:cs="宋体" w:eastAsia="宋体" w:hint="default"/>
          <w:spacing w:val="-48"/>
        </w:rPr>
        <w:t> </w:t>
      </w:r>
      <w:r>
        <w:rPr/>
        <w:t>日召开</w:t>
      </w:r>
      <w:r>
        <w:rPr>
          <w:spacing w:val="-53"/>
        </w:rPr>
        <w:t> </w:t>
      </w:r>
      <w:r>
        <w:rPr>
          <w:rFonts w:ascii="宋体" w:hAnsi="宋体" w:cs="宋体" w:eastAsia="宋体" w:hint="default"/>
        </w:rPr>
        <w:t>2018</w:t>
      </w:r>
      <w:r>
        <w:rPr>
          <w:rFonts w:ascii="宋体" w:hAnsi="宋体" w:cs="宋体" w:eastAsia="宋体" w:hint="default"/>
          <w:spacing w:val="11"/>
        </w:rPr>
        <w:t> </w:t>
      </w:r>
      <w:r>
        <w:rPr>
          <w:spacing w:val="-7"/>
        </w:rPr>
        <w:t>年年度股东大会，审议通过了《关于</w:t>
      </w:r>
      <w:r>
        <w:rPr>
          <w:spacing w:val="-46"/>
        </w:rPr>
        <w:t> </w:t>
      </w:r>
      <w:r>
        <w:rPr>
          <w:rFonts w:ascii="宋体" w:hAnsi="宋体" w:cs="宋体" w:eastAsia="宋体" w:hint="default"/>
        </w:rPr>
        <w:t>2018</w:t>
      </w:r>
      <w:r>
        <w:rPr>
          <w:rFonts w:ascii="宋体" w:hAnsi="宋体" w:cs="宋体" w:eastAsia="宋体" w:hint="default"/>
          <w:spacing w:val="-53"/>
        </w:rPr>
        <w:t> </w:t>
      </w:r>
      <w:r>
        <w:rPr/>
        <w:t>年度利润分配预案的议</w:t>
      </w:r>
    </w:p>
    <w:p>
      <w:pPr>
        <w:pStyle w:val="BodyText"/>
        <w:spacing w:line="240" w:lineRule="auto" w:before="138"/>
        <w:ind w:right="0"/>
        <w:jc w:val="left"/>
        <w:rPr>
          <w:rFonts w:ascii="宋体" w:hAnsi="宋体" w:cs="宋体" w:eastAsia="宋体" w:hint="default"/>
        </w:rPr>
      </w:pPr>
      <w:r>
        <w:rPr>
          <w:w w:val="100"/>
        </w:rPr>
        <w:t>案</w:t>
      </w:r>
      <w:r>
        <w:rPr>
          <w:spacing w:val="-106"/>
          <w:w w:val="100"/>
        </w:rPr>
        <w:t>》</w:t>
      </w:r>
      <w:r>
        <w:rPr>
          <w:w w:val="100"/>
        </w:rPr>
        <w:t>，以</w:t>
      </w:r>
      <w:r>
        <w:rPr>
          <w:spacing w:val="-5"/>
          <w:w w:val="100"/>
        </w:rPr>
        <w:t>截</w:t>
      </w:r>
      <w:r>
        <w:rPr>
          <w:w w:val="100"/>
        </w:rPr>
        <w:t>至</w:t>
      </w:r>
      <w:r>
        <w:rPr>
          <w:spacing w:val="-38"/>
        </w:rPr>
        <w:t> </w:t>
      </w:r>
      <w:r>
        <w:rPr>
          <w:rFonts w:ascii="宋体" w:hAnsi="宋体" w:cs="宋体" w:eastAsia="宋体" w:hint="default"/>
          <w:w w:val="100"/>
        </w:rPr>
        <w:t>20</w:t>
      </w:r>
      <w:r>
        <w:rPr>
          <w:rFonts w:ascii="宋体" w:hAnsi="宋体" w:cs="宋体" w:eastAsia="宋体" w:hint="default"/>
          <w:spacing w:val="-5"/>
          <w:w w:val="100"/>
        </w:rPr>
        <w:t>1</w:t>
      </w:r>
      <w:r>
        <w:rPr>
          <w:rFonts w:ascii="宋体" w:hAnsi="宋体" w:cs="宋体" w:eastAsia="宋体" w:hint="default"/>
          <w:w w:val="100"/>
        </w:rPr>
        <w:t>8</w:t>
      </w:r>
      <w:r>
        <w:rPr>
          <w:rFonts w:ascii="宋体" w:hAnsi="宋体" w:cs="宋体" w:eastAsia="宋体" w:hint="default"/>
          <w:spacing w:val="-43"/>
        </w:rPr>
        <w:t> </w:t>
      </w:r>
      <w:r>
        <w:rPr>
          <w:w w:val="100"/>
        </w:rPr>
        <w:t>年</w:t>
      </w:r>
      <w:r>
        <w:rPr>
          <w:spacing w:val="-38"/>
        </w:rPr>
        <w:t> </w:t>
      </w:r>
      <w:r>
        <w:rPr>
          <w:rFonts w:ascii="宋体" w:hAnsi="宋体" w:cs="宋体" w:eastAsia="宋体" w:hint="default"/>
          <w:w w:val="100"/>
        </w:rPr>
        <w:t>12</w:t>
      </w:r>
      <w:r>
        <w:rPr>
          <w:rFonts w:ascii="宋体" w:hAnsi="宋体" w:cs="宋体" w:eastAsia="宋体" w:hint="default"/>
          <w:spacing w:val="-43"/>
        </w:rPr>
        <w:t> </w:t>
      </w:r>
      <w:r>
        <w:rPr>
          <w:w w:val="100"/>
        </w:rPr>
        <w:t>月</w:t>
      </w:r>
      <w:r>
        <w:rPr>
          <w:spacing w:val="-38"/>
        </w:rPr>
        <w:t> </w:t>
      </w:r>
      <w:r>
        <w:rPr>
          <w:rFonts w:ascii="宋体" w:hAnsi="宋体" w:cs="宋体" w:eastAsia="宋体" w:hint="default"/>
          <w:spacing w:val="-5"/>
          <w:w w:val="100"/>
        </w:rPr>
        <w:t>3</w:t>
      </w:r>
      <w:r>
        <w:rPr>
          <w:rFonts w:ascii="宋体" w:hAnsi="宋体" w:cs="宋体" w:eastAsia="宋体" w:hint="default"/>
          <w:w w:val="100"/>
        </w:rPr>
        <w:t>1</w:t>
      </w:r>
      <w:r>
        <w:rPr>
          <w:rFonts w:ascii="宋体" w:hAnsi="宋体" w:cs="宋体" w:eastAsia="宋体" w:hint="default"/>
          <w:spacing w:val="-38"/>
        </w:rPr>
        <w:t> </w:t>
      </w:r>
      <w:r>
        <w:rPr>
          <w:w w:val="100"/>
        </w:rPr>
        <w:t>日</w:t>
      </w:r>
      <w:r>
        <w:rPr>
          <w:spacing w:val="-5"/>
          <w:w w:val="100"/>
        </w:rPr>
        <w:t>公</w:t>
      </w:r>
      <w:r>
        <w:rPr>
          <w:w w:val="100"/>
        </w:rPr>
        <w:t>司总</w:t>
      </w:r>
      <w:r>
        <w:rPr>
          <w:spacing w:val="-5"/>
          <w:w w:val="100"/>
        </w:rPr>
        <w:t>股</w:t>
      </w:r>
      <w:r>
        <w:rPr>
          <w:w w:val="100"/>
        </w:rPr>
        <w:t>本</w:t>
      </w:r>
      <w:r>
        <w:rPr>
          <w:spacing w:val="-38"/>
        </w:rPr>
        <w:t> </w:t>
      </w:r>
      <w:r>
        <w:rPr>
          <w:rFonts w:ascii="宋体" w:hAnsi="宋体" w:cs="宋体" w:eastAsia="宋体" w:hint="default"/>
          <w:w w:val="100"/>
        </w:rPr>
        <w:t>6,8</w:t>
      </w:r>
      <w:r>
        <w:rPr>
          <w:rFonts w:ascii="宋体" w:hAnsi="宋体" w:cs="宋体" w:eastAsia="宋体" w:hint="default"/>
          <w:spacing w:val="-5"/>
          <w:w w:val="100"/>
        </w:rPr>
        <w:t>0</w:t>
      </w:r>
      <w:r>
        <w:rPr>
          <w:rFonts w:ascii="宋体" w:hAnsi="宋体" w:cs="宋体" w:eastAsia="宋体" w:hint="default"/>
          <w:w w:val="100"/>
        </w:rPr>
        <w:t>0</w:t>
      </w:r>
      <w:r>
        <w:rPr>
          <w:rFonts w:ascii="宋体" w:hAnsi="宋体" w:cs="宋体" w:eastAsia="宋体" w:hint="default"/>
          <w:spacing w:val="-43"/>
        </w:rPr>
        <w:t> </w:t>
      </w:r>
      <w:r>
        <w:rPr>
          <w:w w:val="100"/>
        </w:rPr>
        <w:t>万股为基</w:t>
      </w:r>
      <w:r>
        <w:rPr>
          <w:spacing w:val="-5"/>
          <w:w w:val="100"/>
        </w:rPr>
        <w:t>数</w:t>
      </w:r>
      <w:r>
        <w:rPr>
          <w:w w:val="100"/>
        </w:rPr>
        <w:t>，以资</w:t>
      </w:r>
      <w:r>
        <w:rPr>
          <w:spacing w:val="-5"/>
          <w:w w:val="100"/>
        </w:rPr>
        <w:t>本</w:t>
      </w:r>
      <w:r>
        <w:rPr>
          <w:w w:val="100"/>
        </w:rPr>
        <w:t>公积金</w:t>
      </w:r>
      <w:r>
        <w:rPr>
          <w:spacing w:val="-5"/>
          <w:w w:val="100"/>
        </w:rPr>
        <w:t>向</w:t>
      </w:r>
      <w:r>
        <w:rPr>
          <w:w w:val="100"/>
        </w:rPr>
        <w:t>全体股</w:t>
      </w:r>
      <w:r>
        <w:rPr>
          <w:spacing w:val="-5"/>
          <w:w w:val="100"/>
        </w:rPr>
        <w:t>东</w:t>
      </w:r>
      <w:r>
        <w:rPr>
          <w:w w:val="100"/>
        </w:rPr>
        <w:t>每</w:t>
      </w:r>
      <w:r>
        <w:rPr>
          <w:spacing w:val="-37"/>
        </w:rPr>
        <w:t> </w:t>
      </w:r>
      <w:r>
        <w:rPr>
          <w:rFonts w:ascii="宋体" w:hAnsi="宋体" w:cs="宋体" w:eastAsia="宋体" w:hint="default"/>
          <w:spacing w:val="-5"/>
          <w:w w:val="100"/>
        </w:rPr>
        <w:t>1</w:t>
      </w:r>
      <w:r>
        <w:rPr>
          <w:rFonts w:ascii="宋体" w:hAnsi="宋体" w:cs="宋体" w:eastAsia="宋体" w:hint="default"/>
          <w:w w:val="100"/>
        </w:rPr>
        <w:t>0</w:t>
      </w:r>
      <w:r>
        <w:rPr>
          <w:rFonts w:ascii="宋体" w:hAnsi="宋体" w:cs="宋体" w:eastAsia="宋体" w:hint="default"/>
          <w:spacing w:val="-38"/>
        </w:rPr>
        <w:t> </w:t>
      </w:r>
      <w:r>
        <w:rPr>
          <w:w w:val="100"/>
        </w:rPr>
        <w:t>股</w:t>
      </w:r>
      <w:r>
        <w:rPr>
          <w:spacing w:val="-5"/>
          <w:w w:val="100"/>
        </w:rPr>
        <w:t>转</w:t>
      </w:r>
      <w:r>
        <w:rPr>
          <w:w w:val="100"/>
        </w:rPr>
        <w:t>增</w:t>
      </w:r>
      <w:r>
        <w:rPr>
          <w:spacing w:val="-43"/>
        </w:rPr>
        <w:t> </w:t>
      </w:r>
      <w:r>
        <w:rPr>
          <w:rFonts w:ascii="宋体" w:hAnsi="宋体" w:cs="宋体" w:eastAsia="宋体" w:hint="default"/>
          <w:w w:val="100"/>
        </w:rPr>
        <w:t>4</w:t>
      </w:r>
    </w:p>
    <w:p>
      <w:pPr>
        <w:pStyle w:val="BodyText"/>
        <w:spacing w:line="240" w:lineRule="auto" w:before="128"/>
        <w:ind w:right="0"/>
        <w:jc w:val="left"/>
      </w:pPr>
      <w:r>
        <w:rPr/>
        <w:t>股，转增后公司股份总数为</w:t>
      </w:r>
      <w:r>
        <w:rPr>
          <w:spacing w:val="-52"/>
        </w:rPr>
        <w:t> </w:t>
      </w:r>
      <w:r>
        <w:rPr>
          <w:rFonts w:ascii="宋体" w:hAnsi="宋体" w:cs="宋体" w:eastAsia="宋体" w:hint="default"/>
        </w:rPr>
        <w:t>9,520</w:t>
      </w:r>
      <w:r>
        <w:rPr>
          <w:rFonts w:ascii="宋体" w:hAnsi="宋体" w:cs="宋体" w:eastAsia="宋体" w:hint="default"/>
          <w:spacing w:val="-53"/>
        </w:rPr>
        <w:t> </w:t>
      </w:r>
      <w:r>
        <w:rPr/>
        <w:t>万股。</w:t>
      </w:r>
    </w:p>
    <w:p>
      <w:pPr>
        <w:spacing w:line="240" w:lineRule="auto" w:before="1"/>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line="338" w:lineRule="auto" w:before="119"/>
        <w:ind w:left="153" w:right="8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股份变动的过户情况</w:t>
      </w:r>
    </w:p>
    <w:p>
      <w:pPr>
        <w:spacing w:line="343" w:lineRule="auto" w:before="41"/>
        <w:ind w:left="153" w:right="8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股份回购的实施进展情况</w:t>
      </w:r>
    </w:p>
    <w:p>
      <w:pPr>
        <w:spacing w:line="338" w:lineRule="auto" w:before="37"/>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338" w:lineRule="auto" w:before="46"/>
        <w:ind w:left="153" w:right="10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p>
      <w:pPr>
        <w:pStyle w:val="BodyText"/>
        <w:spacing w:line="240" w:lineRule="auto"/>
        <w:ind w:left="575" w:right="0"/>
        <w:jc w:val="left"/>
      </w:pPr>
      <w:r>
        <w:rPr>
          <w:w w:val="100"/>
        </w:rPr>
        <w:t>公司</w:t>
      </w:r>
      <w:r>
        <w:rPr>
          <w:spacing w:val="-62"/>
        </w:rPr>
        <w:t> </w:t>
      </w:r>
      <w:r>
        <w:rPr>
          <w:rFonts w:ascii="宋体" w:hAnsi="宋体" w:cs="宋体" w:eastAsia="宋体" w:hint="default"/>
          <w:w w:val="100"/>
        </w:rPr>
        <w:t>20</w:t>
      </w:r>
      <w:r>
        <w:rPr>
          <w:rFonts w:ascii="宋体" w:hAnsi="宋体" w:cs="宋体" w:eastAsia="宋体" w:hint="default"/>
          <w:spacing w:val="-5"/>
          <w:w w:val="100"/>
        </w:rPr>
        <w:t>1</w:t>
      </w:r>
      <w:r>
        <w:rPr>
          <w:rFonts w:ascii="宋体" w:hAnsi="宋体" w:cs="宋体" w:eastAsia="宋体" w:hint="default"/>
          <w:w w:val="100"/>
        </w:rPr>
        <w:t>8</w:t>
      </w:r>
      <w:r>
        <w:rPr>
          <w:rFonts w:ascii="宋体" w:hAnsi="宋体" w:cs="宋体" w:eastAsia="宋体" w:hint="default"/>
          <w:spacing w:val="-62"/>
        </w:rPr>
        <w:t> </w:t>
      </w:r>
      <w:r>
        <w:rPr>
          <w:w w:val="100"/>
        </w:rPr>
        <w:t>年基</w:t>
      </w:r>
      <w:r>
        <w:rPr>
          <w:spacing w:val="-5"/>
          <w:w w:val="100"/>
        </w:rPr>
        <w:t>本</w:t>
      </w:r>
      <w:r>
        <w:rPr>
          <w:w w:val="100"/>
        </w:rPr>
        <w:t>每股收</w:t>
      </w:r>
      <w:r>
        <w:rPr>
          <w:spacing w:val="-5"/>
          <w:w w:val="100"/>
        </w:rPr>
        <w:t>益</w:t>
      </w:r>
      <w:r>
        <w:rPr>
          <w:w w:val="100"/>
        </w:rPr>
        <w:t>为</w:t>
      </w:r>
      <w:r>
        <w:rPr>
          <w:spacing w:val="-62"/>
        </w:rPr>
        <w:t> </w:t>
      </w:r>
      <w:r>
        <w:rPr>
          <w:rFonts w:ascii="宋体" w:hAnsi="宋体" w:cs="宋体" w:eastAsia="宋体" w:hint="default"/>
          <w:w w:val="100"/>
        </w:rPr>
        <w:t>0</w:t>
      </w:r>
      <w:r>
        <w:rPr>
          <w:rFonts w:ascii="宋体" w:hAnsi="宋体" w:cs="宋体" w:eastAsia="宋体" w:hint="default"/>
          <w:spacing w:val="-5"/>
          <w:w w:val="100"/>
        </w:rPr>
        <w:t>.</w:t>
      </w:r>
      <w:r>
        <w:rPr>
          <w:rFonts w:ascii="宋体" w:hAnsi="宋体" w:cs="宋体" w:eastAsia="宋体" w:hint="default"/>
          <w:w w:val="100"/>
        </w:rPr>
        <w:t>2</w:t>
      </w:r>
      <w:r>
        <w:rPr>
          <w:rFonts w:ascii="宋体" w:hAnsi="宋体" w:cs="宋体" w:eastAsia="宋体" w:hint="default"/>
          <w:spacing w:val="-62"/>
        </w:rPr>
        <w:t> </w:t>
      </w:r>
      <w:r>
        <w:rPr>
          <w:w w:val="100"/>
        </w:rPr>
        <w:t>元和</w:t>
      </w:r>
      <w:r>
        <w:rPr>
          <w:spacing w:val="-5"/>
          <w:w w:val="100"/>
        </w:rPr>
        <w:t>稀</w:t>
      </w:r>
      <w:r>
        <w:rPr>
          <w:w w:val="100"/>
        </w:rPr>
        <w:t>释每股</w:t>
      </w:r>
      <w:r>
        <w:rPr>
          <w:spacing w:val="-5"/>
          <w:w w:val="100"/>
        </w:rPr>
        <w:t>收益</w:t>
      </w:r>
      <w:r>
        <w:rPr>
          <w:w w:val="100"/>
        </w:rPr>
        <w:t>为</w:t>
      </w:r>
      <w:r>
        <w:rPr>
          <w:spacing w:val="-62"/>
        </w:rPr>
        <w:t> </w:t>
      </w:r>
      <w:r>
        <w:rPr>
          <w:rFonts w:ascii="宋体" w:hAnsi="宋体" w:cs="宋体" w:eastAsia="宋体" w:hint="default"/>
          <w:w w:val="100"/>
        </w:rPr>
        <w:t>0.2</w:t>
      </w:r>
      <w:r>
        <w:rPr>
          <w:rFonts w:ascii="宋体" w:hAnsi="宋体" w:cs="宋体" w:eastAsia="宋体" w:hint="default"/>
          <w:spacing w:val="-62"/>
        </w:rPr>
        <w:t> </w:t>
      </w:r>
      <w:r>
        <w:rPr>
          <w:spacing w:val="-5"/>
          <w:w w:val="100"/>
        </w:rPr>
        <w:t>元</w:t>
      </w:r>
      <w:r>
        <w:rPr>
          <w:spacing w:val="-106"/>
          <w:w w:val="100"/>
        </w:rPr>
        <w:t>，</w:t>
      </w:r>
      <w:r>
        <w:rPr>
          <w:w w:val="100"/>
        </w:rPr>
        <w:t>按照</w:t>
      </w:r>
      <w:r>
        <w:rPr>
          <w:spacing w:val="-62"/>
        </w:rPr>
        <w:t> </w:t>
      </w:r>
      <w:r>
        <w:rPr>
          <w:rFonts w:ascii="宋体" w:hAnsi="宋体" w:cs="宋体" w:eastAsia="宋体" w:hint="default"/>
          <w:spacing w:val="-5"/>
          <w:w w:val="100"/>
        </w:rPr>
        <w:t>2</w:t>
      </w:r>
      <w:r>
        <w:rPr>
          <w:rFonts w:ascii="宋体" w:hAnsi="宋体" w:cs="宋体" w:eastAsia="宋体" w:hint="default"/>
          <w:w w:val="100"/>
        </w:rPr>
        <w:t>019</w:t>
      </w:r>
      <w:r>
        <w:rPr>
          <w:rFonts w:ascii="宋体" w:hAnsi="宋体" w:cs="宋体" w:eastAsia="宋体" w:hint="default"/>
          <w:spacing w:val="-67"/>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62"/>
        </w:rPr>
        <w:t> </w:t>
      </w:r>
      <w:r>
        <w:rPr>
          <w:rFonts w:ascii="宋体" w:hAnsi="宋体" w:cs="宋体" w:eastAsia="宋体" w:hint="default"/>
          <w:w w:val="100"/>
        </w:rPr>
        <w:t>31</w:t>
      </w:r>
      <w:r>
        <w:rPr>
          <w:rFonts w:ascii="宋体" w:hAnsi="宋体" w:cs="宋体" w:eastAsia="宋体" w:hint="default"/>
          <w:spacing w:val="-62"/>
        </w:rPr>
        <w:t> </w:t>
      </w:r>
      <w:r>
        <w:rPr>
          <w:spacing w:val="-5"/>
          <w:w w:val="100"/>
        </w:rPr>
        <w:t>日</w:t>
      </w:r>
      <w:r>
        <w:rPr>
          <w:w w:val="100"/>
        </w:rPr>
        <w:t>股份</w:t>
      </w:r>
      <w:r>
        <w:rPr>
          <w:spacing w:val="-5"/>
          <w:w w:val="100"/>
        </w:rPr>
        <w:t>总</w:t>
      </w:r>
      <w:r>
        <w:rPr>
          <w:w w:val="100"/>
        </w:rPr>
        <w:t>数计算，</w:t>
      </w:r>
    </w:p>
    <w:p>
      <w:pPr>
        <w:pStyle w:val="BodyText"/>
        <w:spacing w:line="240" w:lineRule="auto" w:before="129"/>
        <w:ind w:right="0"/>
        <w:jc w:val="left"/>
      </w:pPr>
      <w:r>
        <w:rPr/>
        <w:t>基本每股收益</w:t>
      </w:r>
      <w:r>
        <w:rPr>
          <w:spacing w:val="-51"/>
        </w:rPr>
        <w:t> </w:t>
      </w:r>
      <w:r>
        <w:rPr>
          <w:rFonts w:ascii="宋体" w:hAnsi="宋体" w:cs="宋体" w:eastAsia="宋体" w:hint="default"/>
        </w:rPr>
        <w:t>0.14</w:t>
      </w:r>
      <w:r>
        <w:rPr>
          <w:rFonts w:ascii="宋体" w:hAnsi="宋体" w:cs="宋体" w:eastAsia="宋体" w:hint="default"/>
          <w:spacing w:val="-52"/>
        </w:rPr>
        <w:t> </w:t>
      </w:r>
      <w:r>
        <w:rPr/>
        <w:t>元和稀释每股收益</w:t>
      </w:r>
      <w:r>
        <w:rPr>
          <w:spacing w:val="-51"/>
        </w:rPr>
        <w:t> </w:t>
      </w:r>
      <w:r>
        <w:rPr>
          <w:rFonts w:ascii="宋体" w:hAnsi="宋体" w:cs="宋体" w:eastAsia="宋体" w:hint="default"/>
        </w:rPr>
        <w:t>0.14</w:t>
      </w:r>
      <w:r>
        <w:rPr>
          <w:rFonts w:ascii="宋体" w:hAnsi="宋体" w:cs="宋体" w:eastAsia="宋体" w:hint="default"/>
          <w:spacing w:val="-52"/>
        </w:rPr>
        <w:t> </w:t>
      </w:r>
      <w:r>
        <w:rPr/>
        <w:t>元。</w:t>
      </w:r>
    </w:p>
    <w:p>
      <w:pPr>
        <w:spacing w:line="240" w:lineRule="auto" w:before="6"/>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公司认为必要或证券监管机构要求披露的其他内容</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561"/>
        <w:gridCol w:w="1133"/>
        <w:gridCol w:w="1489"/>
        <w:gridCol w:w="1488"/>
        <w:gridCol w:w="1277"/>
        <w:gridCol w:w="994"/>
        <w:gridCol w:w="1628"/>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5" w:right="103" w:hanging="360"/>
              <w:jc w:val="left"/>
              <w:rPr>
                <w:rFonts w:ascii="宋体" w:hAnsi="宋体" w:cs="宋体" w:eastAsia="宋体" w:hint="default"/>
                <w:sz w:val="18"/>
                <w:szCs w:val="18"/>
              </w:rPr>
            </w:pPr>
            <w:r>
              <w:rPr>
                <w:rFonts w:ascii="宋体" w:hAnsi="宋体" w:cs="宋体" w:eastAsia="宋体" w:hint="default"/>
                <w:spacing w:val="-2"/>
                <w:sz w:val="18"/>
                <w:szCs w:val="18"/>
              </w:rPr>
              <w:t>期初限售股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3"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pacing w:val="-3"/>
                <w:sz w:val="18"/>
                <w:szCs w:val="18"/>
              </w:rPr>
              <w:t>拟解除限售日期</w:t>
            </w:r>
          </w:p>
        </w:tc>
      </w:tr>
      <w:tr>
        <w:trPr>
          <w:trHeight w:val="39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21,351,660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8,540,664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29,892,324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9"/>
              <w:jc w:val="both"/>
              <w:rPr>
                <w:rFonts w:ascii="宋体" w:hAnsi="宋体" w:cs="宋体" w:eastAsia="宋体" w:hint="default"/>
                <w:sz w:val="18"/>
                <w:szCs w:val="18"/>
              </w:rPr>
            </w:pPr>
            <w:r>
              <w:rPr>
                <w:rFonts w:ascii="宋体" w:hAnsi="宋体" w:cs="宋体" w:eastAsia="宋体" w:hint="default"/>
                <w:spacing w:val="-2"/>
                <w:sz w:val="18"/>
                <w:szCs w:val="18"/>
              </w:rPr>
              <w:t>蓝创文化传媒（天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津）合伙企业（有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3,639,815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1,455,926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5,095,741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北京创业嘉乐文化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传媒交流中心（有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4,174,860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1,669,944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5,844,804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2,295,000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918,000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3,213,000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首发限售</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31,461,335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12,584,534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44,045,869</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2"/>
          <w:szCs w:val="12"/>
        </w:rPr>
      </w:pPr>
    </w:p>
    <w:p>
      <w:pPr>
        <w:pStyle w:val="BodyText"/>
        <w:spacing w:line="240" w:lineRule="auto"/>
        <w:ind w:left="575" w:right="0"/>
        <w:jc w:val="left"/>
      </w:pPr>
      <w:r>
        <w:rPr/>
        <w:t>公司于</w:t>
      </w:r>
      <w:r>
        <w:rPr>
          <w:spacing w:val="-47"/>
        </w:rPr>
        <w:t> </w:t>
      </w:r>
      <w:r>
        <w:rPr>
          <w:rFonts w:ascii="宋体" w:hAnsi="宋体" w:cs="宋体" w:eastAsia="宋体" w:hint="default"/>
        </w:rPr>
        <w:t>2019</w:t>
      </w:r>
      <w:r>
        <w:rPr>
          <w:rFonts w:ascii="宋体" w:hAnsi="宋体" w:cs="宋体" w:eastAsia="宋体" w:hint="default"/>
          <w:spacing w:val="-53"/>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7"/>
        </w:rPr>
        <w:t> </w:t>
      </w:r>
      <w:r>
        <w:rPr>
          <w:rFonts w:ascii="宋体" w:hAnsi="宋体" w:cs="宋体" w:eastAsia="宋体" w:hint="default"/>
          <w:spacing w:val="-3"/>
        </w:rPr>
        <w:t>17</w:t>
      </w:r>
      <w:r>
        <w:rPr>
          <w:rFonts w:ascii="宋体" w:hAnsi="宋体" w:cs="宋体" w:eastAsia="宋体" w:hint="default"/>
          <w:spacing w:val="-48"/>
        </w:rPr>
        <w:t> </w:t>
      </w:r>
      <w:r>
        <w:rPr/>
        <w:t>日召开</w:t>
      </w:r>
      <w:r>
        <w:rPr>
          <w:spacing w:val="-53"/>
        </w:rPr>
        <w:t> </w:t>
      </w:r>
      <w:r>
        <w:rPr>
          <w:rFonts w:ascii="宋体" w:hAnsi="宋体" w:cs="宋体" w:eastAsia="宋体" w:hint="default"/>
        </w:rPr>
        <w:t>2018</w:t>
      </w:r>
      <w:r>
        <w:rPr>
          <w:rFonts w:ascii="宋体" w:hAnsi="宋体" w:cs="宋体" w:eastAsia="宋体" w:hint="default"/>
          <w:spacing w:val="11"/>
        </w:rPr>
        <w:t> </w:t>
      </w:r>
      <w:r>
        <w:rPr>
          <w:spacing w:val="-7"/>
        </w:rPr>
        <w:t>年年度股东大会，审议通过了《关于</w:t>
      </w:r>
      <w:r>
        <w:rPr>
          <w:spacing w:val="-46"/>
        </w:rPr>
        <w:t> </w:t>
      </w:r>
      <w:r>
        <w:rPr>
          <w:rFonts w:ascii="宋体" w:hAnsi="宋体" w:cs="宋体" w:eastAsia="宋体" w:hint="default"/>
        </w:rPr>
        <w:t>2018</w:t>
      </w:r>
      <w:r>
        <w:rPr>
          <w:rFonts w:ascii="宋体" w:hAnsi="宋体" w:cs="宋体" w:eastAsia="宋体" w:hint="default"/>
          <w:spacing w:val="-53"/>
        </w:rPr>
        <w:t> </w:t>
      </w:r>
      <w:r>
        <w:rPr/>
        <w:t>年度利润分配预案的议</w:t>
      </w:r>
    </w:p>
    <w:p>
      <w:pPr>
        <w:pStyle w:val="BodyText"/>
        <w:spacing w:line="240" w:lineRule="auto" w:before="133"/>
        <w:ind w:right="0"/>
        <w:jc w:val="left"/>
        <w:rPr>
          <w:rFonts w:ascii="宋体" w:hAnsi="宋体" w:cs="宋体" w:eastAsia="宋体" w:hint="default"/>
        </w:rPr>
      </w:pPr>
      <w:r>
        <w:rPr>
          <w:w w:val="100"/>
        </w:rPr>
        <w:t>案</w:t>
      </w:r>
      <w:r>
        <w:rPr>
          <w:spacing w:val="-106"/>
          <w:w w:val="100"/>
        </w:rPr>
        <w:t>》</w:t>
      </w:r>
      <w:r>
        <w:rPr>
          <w:w w:val="100"/>
        </w:rPr>
        <w:t>，以</w:t>
      </w:r>
      <w:r>
        <w:rPr>
          <w:spacing w:val="-5"/>
          <w:w w:val="100"/>
        </w:rPr>
        <w:t>截</w:t>
      </w:r>
      <w:r>
        <w:rPr>
          <w:w w:val="100"/>
        </w:rPr>
        <w:t>至</w:t>
      </w:r>
      <w:r>
        <w:rPr>
          <w:spacing w:val="-38"/>
        </w:rPr>
        <w:t> </w:t>
      </w:r>
      <w:r>
        <w:rPr>
          <w:rFonts w:ascii="宋体" w:hAnsi="宋体" w:cs="宋体" w:eastAsia="宋体" w:hint="default"/>
          <w:w w:val="100"/>
        </w:rPr>
        <w:t>20</w:t>
      </w:r>
      <w:r>
        <w:rPr>
          <w:rFonts w:ascii="宋体" w:hAnsi="宋体" w:cs="宋体" w:eastAsia="宋体" w:hint="default"/>
          <w:spacing w:val="-5"/>
          <w:w w:val="100"/>
        </w:rPr>
        <w:t>1</w:t>
      </w:r>
      <w:r>
        <w:rPr>
          <w:rFonts w:ascii="宋体" w:hAnsi="宋体" w:cs="宋体" w:eastAsia="宋体" w:hint="default"/>
          <w:w w:val="100"/>
        </w:rPr>
        <w:t>8</w:t>
      </w:r>
      <w:r>
        <w:rPr>
          <w:rFonts w:ascii="宋体" w:hAnsi="宋体" w:cs="宋体" w:eastAsia="宋体" w:hint="default"/>
          <w:spacing w:val="-43"/>
        </w:rPr>
        <w:t> </w:t>
      </w:r>
      <w:r>
        <w:rPr>
          <w:w w:val="100"/>
        </w:rPr>
        <w:t>年</w:t>
      </w:r>
      <w:r>
        <w:rPr>
          <w:spacing w:val="-38"/>
        </w:rPr>
        <w:t> </w:t>
      </w:r>
      <w:r>
        <w:rPr>
          <w:rFonts w:ascii="宋体" w:hAnsi="宋体" w:cs="宋体" w:eastAsia="宋体" w:hint="default"/>
          <w:w w:val="100"/>
        </w:rPr>
        <w:t>12</w:t>
      </w:r>
      <w:r>
        <w:rPr>
          <w:rFonts w:ascii="宋体" w:hAnsi="宋体" w:cs="宋体" w:eastAsia="宋体" w:hint="default"/>
          <w:spacing w:val="-43"/>
        </w:rPr>
        <w:t> </w:t>
      </w:r>
      <w:r>
        <w:rPr>
          <w:w w:val="100"/>
        </w:rPr>
        <w:t>月</w:t>
      </w:r>
      <w:r>
        <w:rPr>
          <w:spacing w:val="-38"/>
        </w:rPr>
        <w:t> </w:t>
      </w:r>
      <w:r>
        <w:rPr>
          <w:rFonts w:ascii="宋体" w:hAnsi="宋体" w:cs="宋体" w:eastAsia="宋体" w:hint="default"/>
          <w:spacing w:val="-5"/>
          <w:w w:val="100"/>
        </w:rPr>
        <w:t>3</w:t>
      </w:r>
      <w:r>
        <w:rPr>
          <w:rFonts w:ascii="宋体" w:hAnsi="宋体" w:cs="宋体" w:eastAsia="宋体" w:hint="default"/>
          <w:w w:val="100"/>
        </w:rPr>
        <w:t>1</w:t>
      </w:r>
      <w:r>
        <w:rPr>
          <w:rFonts w:ascii="宋体" w:hAnsi="宋体" w:cs="宋体" w:eastAsia="宋体" w:hint="default"/>
          <w:spacing w:val="-38"/>
        </w:rPr>
        <w:t> </w:t>
      </w:r>
      <w:r>
        <w:rPr>
          <w:w w:val="100"/>
        </w:rPr>
        <w:t>日</w:t>
      </w:r>
      <w:r>
        <w:rPr>
          <w:spacing w:val="-5"/>
          <w:w w:val="100"/>
        </w:rPr>
        <w:t>公</w:t>
      </w:r>
      <w:r>
        <w:rPr>
          <w:w w:val="100"/>
        </w:rPr>
        <w:t>司总</w:t>
      </w:r>
      <w:r>
        <w:rPr>
          <w:spacing w:val="-5"/>
          <w:w w:val="100"/>
        </w:rPr>
        <w:t>股</w:t>
      </w:r>
      <w:r>
        <w:rPr>
          <w:w w:val="100"/>
        </w:rPr>
        <w:t>本</w:t>
      </w:r>
      <w:r>
        <w:rPr>
          <w:spacing w:val="-38"/>
        </w:rPr>
        <w:t> </w:t>
      </w:r>
      <w:r>
        <w:rPr>
          <w:rFonts w:ascii="宋体" w:hAnsi="宋体" w:cs="宋体" w:eastAsia="宋体" w:hint="default"/>
          <w:w w:val="100"/>
        </w:rPr>
        <w:t>6,8</w:t>
      </w:r>
      <w:r>
        <w:rPr>
          <w:rFonts w:ascii="宋体" w:hAnsi="宋体" w:cs="宋体" w:eastAsia="宋体" w:hint="default"/>
          <w:spacing w:val="-5"/>
          <w:w w:val="100"/>
        </w:rPr>
        <w:t>0</w:t>
      </w:r>
      <w:r>
        <w:rPr>
          <w:rFonts w:ascii="宋体" w:hAnsi="宋体" w:cs="宋体" w:eastAsia="宋体" w:hint="default"/>
          <w:w w:val="100"/>
        </w:rPr>
        <w:t>0</w:t>
      </w:r>
      <w:r>
        <w:rPr>
          <w:rFonts w:ascii="宋体" w:hAnsi="宋体" w:cs="宋体" w:eastAsia="宋体" w:hint="default"/>
          <w:spacing w:val="-43"/>
        </w:rPr>
        <w:t> </w:t>
      </w:r>
      <w:r>
        <w:rPr>
          <w:w w:val="100"/>
        </w:rPr>
        <w:t>万股为基</w:t>
      </w:r>
      <w:r>
        <w:rPr>
          <w:spacing w:val="-5"/>
          <w:w w:val="100"/>
        </w:rPr>
        <w:t>数</w:t>
      </w:r>
      <w:r>
        <w:rPr>
          <w:w w:val="100"/>
        </w:rPr>
        <w:t>，以资</w:t>
      </w:r>
      <w:r>
        <w:rPr>
          <w:spacing w:val="-5"/>
          <w:w w:val="100"/>
        </w:rPr>
        <w:t>本</w:t>
      </w:r>
      <w:r>
        <w:rPr>
          <w:w w:val="100"/>
        </w:rPr>
        <w:t>公积金</w:t>
      </w:r>
      <w:r>
        <w:rPr>
          <w:spacing w:val="-5"/>
          <w:w w:val="100"/>
        </w:rPr>
        <w:t>向</w:t>
      </w:r>
      <w:r>
        <w:rPr>
          <w:w w:val="100"/>
        </w:rPr>
        <w:t>全体股</w:t>
      </w:r>
      <w:r>
        <w:rPr>
          <w:spacing w:val="-5"/>
          <w:w w:val="100"/>
        </w:rPr>
        <w:t>东</w:t>
      </w:r>
      <w:r>
        <w:rPr>
          <w:w w:val="100"/>
        </w:rPr>
        <w:t>每</w:t>
      </w:r>
      <w:r>
        <w:rPr>
          <w:spacing w:val="-37"/>
        </w:rPr>
        <w:t> </w:t>
      </w:r>
      <w:r>
        <w:rPr>
          <w:rFonts w:ascii="宋体" w:hAnsi="宋体" w:cs="宋体" w:eastAsia="宋体" w:hint="default"/>
          <w:spacing w:val="-5"/>
          <w:w w:val="100"/>
        </w:rPr>
        <w:t>1</w:t>
      </w:r>
      <w:r>
        <w:rPr>
          <w:rFonts w:ascii="宋体" w:hAnsi="宋体" w:cs="宋体" w:eastAsia="宋体" w:hint="default"/>
          <w:w w:val="100"/>
        </w:rPr>
        <w:t>0</w:t>
      </w:r>
      <w:r>
        <w:rPr>
          <w:rFonts w:ascii="宋体" w:hAnsi="宋体" w:cs="宋体" w:eastAsia="宋体" w:hint="default"/>
          <w:spacing w:val="-38"/>
        </w:rPr>
        <w:t> </w:t>
      </w:r>
      <w:r>
        <w:rPr>
          <w:w w:val="100"/>
        </w:rPr>
        <w:t>股</w:t>
      </w:r>
      <w:r>
        <w:rPr>
          <w:spacing w:val="-5"/>
          <w:w w:val="100"/>
        </w:rPr>
        <w:t>转</w:t>
      </w:r>
      <w:r>
        <w:rPr>
          <w:w w:val="100"/>
        </w:rPr>
        <w:t>增</w:t>
      </w:r>
      <w:r>
        <w:rPr>
          <w:spacing w:val="-43"/>
        </w:rPr>
        <w:t> </w:t>
      </w:r>
      <w:r>
        <w:rPr>
          <w:rFonts w:ascii="宋体" w:hAnsi="宋体" w:cs="宋体" w:eastAsia="宋体" w:hint="default"/>
          <w:w w:val="100"/>
        </w:rPr>
        <w:t>4</w:t>
      </w:r>
    </w:p>
    <w:p>
      <w:pPr>
        <w:pStyle w:val="BodyText"/>
        <w:spacing w:line="240" w:lineRule="auto" w:before="133"/>
        <w:ind w:right="0"/>
        <w:jc w:val="left"/>
      </w:pPr>
      <w:r>
        <w:rPr/>
        <w:t>股，转增后公司总股本为</w:t>
      </w:r>
      <w:r>
        <w:rPr>
          <w:spacing w:val="-51"/>
        </w:rPr>
        <w:t> </w:t>
      </w:r>
      <w:r>
        <w:rPr>
          <w:rFonts w:ascii="宋体" w:hAnsi="宋体" w:cs="宋体" w:eastAsia="宋体" w:hint="default"/>
        </w:rPr>
        <w:t>9,520</w:t>
      </w:r>
      <w:r>
        <w:rPr>
          <w:rFonts w:ascii="宋体" w:hAnsi="宋体" w:cs="宋体" w:eastAsia="宋体" w:hint="default"/>
          <w:spacing w:val="-51"/>
        </w:rPr>
        <w:t> </w:t>
      </w:r>
      <w:r>
        <w:rPr/>
        <w:t>万股。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pict>
          <v:group style="position:absolute;margin-left:329.640015pt;margin-top:70.407745pt;width:52.85pt;height:31.25pt;mso-position-horizontal-relative:page;mso-position-vertical-relative:paragraph;z-index:-924952" coordorigin="6593,1408" coordsize="1057,625">
            <v:shape style="position:absolute;left:6593;top:1408;width:1057;height:625" coordorigin="6593,1408" coordsize="1057,625" path="m6593,2033l7649,2033,7649,1408,6593,1408,6593,2033xe" filled="true" fillcolor="#ffffff" stroked="false">
              <v:path arrowok="t"/>
              <v:fill type="solid"/>
            </v:shape>
            <w10:wrap type="none"/>
          </v:group>
        </w:pict>
      </w: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916"/>
        <w:gridCol w:w="1065"/>
        <w:gridCol w:w="1067"/>
      </w:tblGrid>
      <w:tr>
        <w:trPr>
          <w:trHeight w:val="158"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13,841</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14,761</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3"/>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58"/>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7" w:right="55"/>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7" w:type="dxa"/>
            <w:vMerge/>
            <w:tcBorders>
              <w:left w:val="single" w:sz="10" w:space="0" w:color="D2D2D2"/>
              <w:right w:val="single" w:sz="4" w:space="0" w:color="000000"/>
            </w:tcBorders>
          </w:tcPr>
          <w:p>
            <w:pPr/>
          </w:p>
        </w:tc>
      </w:tr>
      <w:tr>
        <w:trPr>
          <w:trHeight w:val="706"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312"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89"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right w:val="single" w:sz="4" w:space="0" w:color="000000"/>
            </w:tcBorders>
            <w:shd w:val="clear" w:color="auto" w:fill="D2D2D2"/>
          </w:tcPr>
          <w:p>
            <w:pPr/>
          </w:p>
        </w:tc>
      </w:tr>
      <w:tr>
        <w:trPr>
          <w:trHeight w:val="142"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9"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31.40%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29,892,324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29,892,324</w:t>
            </w:r>
          </w:p>
        </w:tc>
        <w:tc>
          <w:tcPr>
            <w:tcW w:w="916"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5"/>
              <w:ind w:left="222" w:right="0"/>
              <w:jc w:val="left"/>
              <w:rPr>
                <w:rFonts w:ascii="Times New Roman" w:hAnsi="Times New Roman" w:cs="Times New Roman" w:eastAsia="Times New Roman" w:hint="default"/>
                <w:sz w:val="18"/>
                <w:szCs w:val="18"/>
              </w:rPr>
            </w:pPr>
            <w:r>
              <w:rPr>
                <w:rFonts w:ascii="Times New Roman"/>
                <w:sz w:val="18"/>
              </w:rPr>
              <w:t>12,920,000</w:t>
            </w: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蓝创文化传媒</w:t>
            </w:r>
          </w:p>
          <w:p>
            <w:pPr>
              <w:pStyle w:val="TableParagraph"/>
              <w:spacing w:line="321" w:lineRule="auto" w:before="71"/>
              <w:ind w:left="24" w:right="80"/>
              <w:jc w:val="both"/>
              <w:rPr>
                <w:rFonts w:ascii="宋体" w:hAnsi="宋体" w:cs="宋体" w:eastAsia="宋体" w:hint="default"/>
                <w:sz w:val="18"/>
                <w:szCs w:val="18"/>
              </w:rPr>
            </w:pPr>
            <w:r>
              <w:rPr>
                <w:rFonts w:ascii="宋体" w:hAnsi="宋体" w:cs="宋体" w:eastAsia="宋体" w:hint="default"/>
                <w:spacing w:val="-2"/>
                <w:sz w:val="18"/>
                <w:szCs w:val="18"/>
              </w:rPr>
              <w:t>（天津）合伙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12.43%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11,836,174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5,095,741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6,740,433</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北京创业嘉乐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文化传媒交流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中心（有限合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6.14%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5,844,804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5,844,804</w:t>
            </w:r>
          </w:p>
        </w:tc>
        <w:tc>
          <w:tcPr>
            <w:tcW w:w="916"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80"/>
              <w:jc w:val="both"/>
              <w:rPr>
                <w:rFonts w:ascii="宋体" w:hAnsi="宋体" w:cs="宋体" w:eastAsia="宋体" w:hint="default"/>
                <w:sz w:val="18"/>
                <w:szCs w:val="18"/>
              </w:rPr>
            </w:pPr>
            <w:r>
              <w:rPr>
                <w:rFonts w:ascii="宋体" w:hAnsi="宋体" w:cs="宋体" w:eastAsia="宋体" w:hint="default"/>
                <w:spacing w:val="-2"/>
                <w:sz w:val="18"/>
                <w:szCs w:val="18"/>
              </w:rPr>
              <w:t>深圳市达晨创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丰股权投资企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业（有限合伙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138"/>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p>
            <w:pPr>
              <w:pStyle w:val="TableParagraph"/>
              <w:spacing w:line="158"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5.83%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5,548,101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5,548,101</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3,213,000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3,213,000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北京用友创新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投资中心（有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0.97%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922,632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922,632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俞秀娟</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629,500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629,500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綦大勇</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576,420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576,420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80"/>
              <w:jc w:val="both"/>
              <w:rPr>
                <w:rFonts w:ascii="宋体" w:hAnsi="宋体" w:cs="宋体" w:eastAsia="宋体" w:hint="default"/>
                <w:sz w:val="18"/>
                <w:szCs w:val="18"/>
              </w:rPr>
            </w:pPr>
            <w:r>
              <w:rPr>
                <w:rFonts w:ascii="宋体" w:hAnsi="宋体" w:cs="宋体" w:eastAsia="宋体" w:hint="default"/>
                <w:spacing w:val="-2"/>
                <w:sz w:val="18"/>
                <w:szCs w:val="18"/>
              </w:rPr>
              <w:t>浙江普华天勤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股权投资合伙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524,052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524,052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谢耀华</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357,252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357,252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24" w:right="23"/>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新股成为前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0" w:right="1128" w:firstLine="0"/>
        <w:jc w:val="right"/>
        <w:rPr>
          <w:rFonts w:ascii="宋体" w:hAnsi="宋体" w:cs="宋体" w:eastAsia="宋体" w:hint="default"/>
          <w:sz w:val="18"/>
          <w:szCs w:val="18"/>
        </w:rPr>
      </w:pPr>
      <w:r>
        <w:rPr/>
        <w:pict>
          <v:shape style="position:absolute;margin-left:56.424pt;margin-top:-18.528296pt;width:479.5pt;height:509.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5052"/>
                    <w:gridCol w:w="1071"/>
                    <w:gridCol w:w="1061"/>
                  </w:tblGrid>
                  <w:tr>
                    <w:trPr>
                      <w:trHeight w:val="163"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10" w:space="0" w:color="D2D2D2"/>
                          <w:right w:val="single" w:sz="4" w:space="0" w:color="000000"/>
                        </w:tcBorders>
                      </w:tcPr>
                      <w:p>
                        <w:pPr>
                          <w:pStyle w:val="TableParagraph"/>
                          <w:spacing w:line="316" w:lineRule="auto" w:before="53"/>
                          <w:ind w:left="21" w:right="18"/>
                          <w:jc w:val="left"/>
                          <w:rPr>
                            <w:rFonts w:ascii="宋体" w:hAnsi="宋体" w:cs="宋体" w:eastAsia="宋体" w:hint="default"/>
                            <w:sz w:val="18"/>
                            <w:szCs w:val="18"/>
                          </w:rPr>
                        </w:pPr>
                        <w:r>
                          <w:rPr>
                            <w:rFonts w:ascii="宋体" w:hAnsi="宋体" w:cs="宋体" w:eastAsia="宋体" w:hint="default"/>
                            <w:spacing w:val="-5"/>
                            <w:sz w:val="18"/>
                            <w:szCs w:val="18"/>
                          </w:rPr>
                          <w:t>公司控制股东、实际控制人牛文文先生系北京创业嘉乐文化传媒交流中心（有限合伙）执行</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7"/>
                            <w:sz w:val="18"/>
                            <w:szCs w:val="18"/>
                          </w:rPr>
                          <w:t>事务合伙人，系蓝创文化传媒（天津）合伙企业（有限合伙）的有限合伙人。除前述情况外</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其他股东之间，公司未知是否存在关联关系或一致行动</w:t>
                        </w:r>
                      </w:p>
                    </w:tc>
                  </w:tr>
                  <w:tr>
                    <w:trPr>
                      <w:trHeight w:val="701"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83" w:type="dxa"/>
                        <w:gridSpan w:val="3"/>
                        <w:vMerge/>
                        <w:tcBorders>
                          <w:left w:val="single" w:sz="10" w:space="0" w:color="D2D2D2"/>
                          <w:right w:val="single" w:sz="4" w:space="0" w:color="000000"/>
                        </w:tcBorders>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3" w:type="dxa"/>
                        <w:gridSpan w:val="3"/>
                        <w:vMerge/>
                        <w:tcBorders>
                          <w:left w:val="single" w:sz="10" w:space="0" w:color="D2D2D2"/>
                          <w:bottom w:val="single" w:sz="4" w:space="0" w:color="000000"/>
                          <w:right w:val="single" w:sz="4" w:space="0" w:color="000000"/>
                        </w:tcBorders>
                      </w:tcPr>
                      <w:p>
                        <w:pPr/>
                      </w:p>
                    </w:tc>
                  </w:tr>
                  <w:tr>
                    <w:trPr>
                      <w:trHeight w:val="401"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4"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71"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1" w:type="dxa"/>
                        <w:vMerge/>
                        <w:tcBorders>
                          <w:left w:val="single" w:sz="4" w:space="0" w:color="000000"/>
                          <w:bottom w:val="nil" w:sz="6" w:space="0" w:color="auto"/>
                          <w:right w:val="single" w:sz="4" w:space="0" w:color="000000"/>
                        </w:tcBorders>
                        <w:shd w:val="clear" w:color="auto" w:fill="D2D2D2"/>
                      </w:tcPr>
                      <w:p>
                        <w:pPr/>
                      </w:p>
                    </w:tc>
                    <w:tc>
                      <w:tcPr>
                        <w:tcW w:w="5052" w:type="dxa"/>
                        <w:vMerge/>
                        <w:tcBorders>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蓝创文化传媒（天津）合伙企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6,740,433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深圳市达晨创丰股权投资企业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5,548,101</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3"/>
                            <w:sz w:val="18"/>
                            <w:szCs w:val="18"/>
                          </w:rPr>
                          <w:t>北京用友创新投资中心（有限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922,632</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俞秀娟</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629,500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綦大勇</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576,420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浙江普华天勤股权投资合伙企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524,052</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谢耀华</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357,252</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李长江</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方树安</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322,280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深圳市前海中咨旗咨询有限公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99"/>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公司未知前十名无限售股东之间是否存在关联关系，也未知是否属于一致行动人。</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上述股东中，俞秀娟通过普通证券账户持有 </w:t>
                        </w:r>
                        <w:r>
                          <w:rPr>
                            <w:rFonts w:ascii="Times New Roman" w:hAnsi="Times New Roman" w:cs="Times New Roman" w:eastAsia="Times New Roman" w:hint="default"/>
                            <w:sz w:val="18"/>
                            <w:szCs w:val="18"/>
                          </w:rPr>
                          <w:t>45,100 </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股；通过信用交易担保证券账户持有本</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公司股票 </w:t>
                        </w:r>
                        <w:r>
                          <w:rPr>
                            <w:rFonts w:ascii="Times New Roman" w:hAnsi="Times New Roman" w:cs="Times New Roman" w:eastAsia="Times New Roman" w:hint="default"/>
                            <w:sz w:val="18"/>
                            <w:szCs w:val="18"/>
                          </w:rPr>
                          <w:t>584,400 </w:t>
                        </w:r>
                        <w:r>
                          <w:rPr>
                            <w:rFonts w:ascii="宋体" w:hAnsi="宋体" w:cs="宋体" w:eastAsia="宋体" w:hint="default"/>
                            <w:spacing w:val="-3"/>
                            <w:sz w:val="18"/>
                            <w:szCs w:val="18"/>
                          </w:rPr>
                          <w:t>股。綦大勇通过普通证券账户持有 </w:t>
                        </w:r>
                        <w:r>
                          <w:rPr>
                            <w:rFonts w:ascii="Times New Roman" w:hAnsi="Times New Roman" w:cs="Times New Roman" w:eastAsia="Times New Roman" w:hint="default"/>
                            <w:sz w:val="18"/>
                            <w:szCs w:val="18"/>
                          </w:rPr>
                          <w:t>240,300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股；通过信用交易担保证券账</w:t>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sz w:val="18"/>
                            <w:szCs w:val="18"/>
                          </w:rPr>
                          <w:t>户持有本公司股票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336,120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53" w:right="8478"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tbl>
      <w:tblPr>
        <w:tblW w:w="0" w:type="auto"/>
        <w:jc w:val="left"/>
        <w:tblInd w:w="114" w:type="dxa"/>
        <w:tblLayout w:type="fixed"/>
        <w:tblCellMar>
          <w:top w:w="0" w:type="dxa"/>
          <w:left w:w="0" w:type="dxa"/>
          <w:bottom w:w="0" w:type="dxa"/>
          <w:right w:w="0" w:type="dxa"/>
        </w:tblCellMar>
        <w:tblLook w:val="01E0"/>
      </w:tblPr>
      <w:tblGrid>
        <w:gridCol w:w="3419"/>
        <w:gridCol w:w="2031"/>
        <w:gridCol w:w="412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3407"/>
        <w:gridCol w:w="2043"/>
        <w:gridCol w:w="4120"/>
      </w:tblGrid>
      <w:tr>
        <w:trPr>
          <w:trHeight w:val="40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创业黑马董事长、总经理</w:t>
            </w:r>
          </w:p>
        </w:tc>
      </w:tr>
      <w:tr>
        <w:trPr>
          <w:trHeight w:val="716"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26"/>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1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spacing w:line="357" w:lineRule="auto" w:before="0"/>
        <w:ind w:left="153" w:right="7272"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14"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创业黑马董事长、总经理</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6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9"/>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4"/>
        <w:rPr>
          <w:rFonts w:ascii="宋体" w:hAnsi="宋体" w:cs="宋体" w:eastAsia="宋体" w:hint="default"/>
          <w:sz w:val="12"/>
          <w:szCs w:val="12"/>
        </w:rPr>
      </w:pPr>
    </w:p>
    <w:p>
      <w:pPr>
        <w:spacing w:line="3463" w:lineRule="exact"/>
        <w:ind w:left="273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2855576" cy="219913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2855576" cy="2199132"/>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4"/>
        <w:rPr>
          <w:rFonts w:ascii="宋体" w:hAnsi="宋体" w:cs="宋体" w:eastAsia="宋体" w:hint="default"/>
          <w:sz w:val="14"/>
          <w:szCs w:val="14"/>
        </w:rPr>
      </w:pPr>
    </w:p>
    <w:p>
      <w:pPr>
        <w:spacing w:line="304"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：蓝创文化传媒（天津）合伙企业（有限合伙）持有创业黑马股份 </w:t>
      </w:r>
      <w:r>
        <w:rPr>
          <w:rFonts w:ascii="Times New Roman" w:hAnsi="Times New Roman" w:cs="Times New Roman" w:eastAsia="Times New Roman" w:hint="default"/>
          <w:spacing w:val="-3"/>
          <w:sz w:val="18"/>
          <w:szCs w:val="18"/>
        </w:rPr>
        <w:t>12.43%</w:t>
      </w:r>
      <w:r>
        <w:rPr>
          <w:rFonts w:ascii="宋体" w:hAnsi="宋体" w:cs="宋体" w:eastAsia="宋体" w:hint="default"/>
          <w:spacing w:val="-3"/>
          <w:sz w:val="18"/>
          <w:szCs w:val="18"/>
        </w:rPr>
        <w:t>，牛文文先生通过蓝创文化（牛文文持有其</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spacing w:val="-2"/>
          <w:sz w:val="18"/>
          <w:szCs w:val="18"/>
        </w:rPr>
        <w:t>35.88%</w:t>
      </w:r>
      <w:r>
        <w:rPr>
          <w:rFonts w:ascii="宋体" w:hAnsi="宋体" w:cs="宋体" w:eastAsia="宋体" w:hint="default"/>
          <w:spacing w:val="-2"/>
          <w:sz w:val="18"/>
          <w:szCs w:val="18"/>
        </w:rPr>
        <w:t>出资额）间接持有公司股份比例为</w:t>
      </w:r>
      <w:r>
        <w:rPr>
          <w:rFonts w:ascii="宋体" w:hAnsi="宋体" w:cs="宋体" w:eastAsia="宋体" w:hint="default"/>
          <w:spacing w:val="11"/>
          <w:sz w:val="18"/>
          <w:szCs w:val="18"/>
        </w:rPr>
        <w:t> </w:t>
      </w:r>
      <w:r>
        <w:rPr>
          <w:rFonts w:ascii="Times New Roman" w:hAnsi="Times New Roman" w:cs="Times New Roman" w:eastAsia="Times New Roman" w:hint="default"/>
          <w:spacing w:val="-2"/>
          <w:sz w:val="18"/>
          <w:szCs w:val="18"/>
        </w:rPr>
        <w:t>5.35%</w:t>
      </w:r>
      <w:r>
        <w:rPr>
          <w:rFonts w:ascii="宋体" w:hAnsi="宋体" w:cs="宋体" w:eastAsia="宋体" w:hint="default"/>
          <w:spacing w:val="-2"/>
          <w:sz w:val="18"/>
          <w:szCs w:val="18"/>
        </w:rPr>
        <w:t>。</w:t>
      </w:r>
    </w:p>
    <w:p>
      <w:pPr>
        <w:spacing w:line="240" w:lineRule="auto" w:before="2"/>
        <w:rPr>
          <w:rFonts w:ascii="宋体" w:hAnsi="宋体" w:cs="宋体" w:eastAsia="宋体" w:hint="default"/>
          <w:sz w:val="23"/>
          <w:szCs w:val="23"/>
        </w:rPr>
      </w:pPr>
    </w:p>
    <w:p>
      <w:pPr>
        <w:pStyle w:val="Heading3"/>
        <w:spacing w:line="240" w:lineRule="auto"/>
        <w:ind w:right="0"/>
        <w:jc w:val="left"/>
        <w:rPr>
          <w:rFonts w:ascii="等线" w:hAnsi="等线" w:cs="等线" w:eastAsia="等线" w:hint="default"/>
        </w:rPr>
      </w:pPr>
      <w:r>
        <w:rPr>
          <w:rFonts w:ascii="等线" w:hAnsi="等线" w:cs="等线" w:eastAsia="等线" w:hint="default"/>
        </w:rPr>
        <w:t>实际控制人通过信托或其他资产管理方式控制公司</w:t>
      </w:r>
    </w:p>
    <w:p>
      <w:pPr>
        <w:spacing w:line="240" w:lineRule="auto" w:before="11"/>
        <w:rPr>
          <w:rFonts w:ascii="等线" w:hAnsi="等线" w:cs="等线" w:eastAsia="等线" w:hint="default"/>
          <w:sz w:val="29"/>
          <w:szCs w:val="2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579"/>
        <w:gridCol w:w="1820"/>
        <w:gridCol w:w="1412"/>
        <w:gridCol w:w="1638"/>
        <w:gridCol w:w="2122"/>
      </w:tblGrid>
      <w:tr>
        <w:trPr>
          <w:trHeight w:val="716"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816" w:right="65" w:hanging="750"/>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1340"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蓝创文化传媒</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合伙企业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盛发强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50"/>
              <w:jc w:val="both"/>
              <w:rPr>
                <w:rFonts w:ascii="宋体" w:hAnsi="宋体" w:cs="宋体" w:eastAsia="宋体" w:hint="default"/>
                <w:sz w:val="18"/>
                <w:szCs w:val="18"/>
              </w:rPr>
            </w:pPr>
            <w:r>
              <w:rPr>
                <w:rFonts w:ascii="宋体" w:hAnsi="宋体" w:cs="宋体" w:eastAsia="宋体" w:hint="default"/>
                <w:spacing w:val="-3"/>
                <w:sz w:val="18"/>
                <w:szCs w:val="18"/>
              </w:rPr>
              <w:t>电视剧、专题、综艺、动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画等节目制作、发行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文化</w:t>
            </w:r>
            <w:r>
              <w:rPr>
                <w:rFonts w:ascii="宋体" w:hAnsi="宋体" w:cs="宋体" w:eastAsia="宋体" w:hint="default"/>
                <w:spacing w:val="-62"/>
                <w:sz w:val="18"/>
                <w:szCs w:val="18"/>
              </w:rPr>
              <w:t> </w:t>
            </w:r>
            <w:r>
              <w:rPr>
                <w:rFonts w:ascii="宋体" w:hAnsi="宋体" w:cs="宋体" w:eastAsia="宋体" w:hint="default"/>
                <w:spacing w:val="-2"/>
                <w:sz w:val="18"/>
                <w:szCs w:val="18"/>
              </w:rPr>
              <w:t>艺术交流策划</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商务信息咨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询</w:t>
            </w:r>
            <w:r>
              <w:rPr>
                <w:rFonts w:ascii="Times New Roman" w:hAnsi="Times New Roman" w:cs="Times New Roman" w:eastAsia="Times New Roman" w:hint="default"/>
                <w:sz w:val="18"/>
                <w:szCs w:val="18"/>
              </w:rPr>
              <w:t>;</w:t>
            </w:r>
            <w:r>
              <w:rPr>
                <w:rFonts w:ascii="宋体" w:hAnsi="宋体" w:cs="宋体" w:eastAsia="宋体" w:hint="default"/>
                <w:sz w:val="18"/>
                <w:szCs w:val="18"/>
              </w:rPr>
              <w:t>图文设计制作。</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6"/>
      <w:bookmarkEnd w:id="116"/>
      <w:r>
        <w:rPr>
          <w:b w:val="0"/>
          <w:bCs w:val="0"/>
        </w:rPr>
      </w:r>
      <w:bookmarkStart w:name="_bookmark6" w:id="117"/>
      <w:bookmarkEnd w:id="11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8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18"/>
      <w:bookmarkEnd w:id="118"/>
      <w:r>
        <w:rPr>
          <w:b w:val="0"/>
          <w:bCs w:val="0"/>
        </w:rPr>
      </w:r>
      <w:bookmarkStart w:name="_bookmark7" w:id="119"/>
      <w:bookmarkEnd w:id="119"/>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20"/>
      <w:bookmarkEnd w:id="120"/>
      <w:r>
        <w:rPr>
          <w:b w:val="0"/>
          <w:bCs w:val="0"/>
        </w:rPr>
      </w:r>
      <w:bookmarkStart w:name="_bookmark8" w:id="121"/>
      <w:bookmarkEnd w:id="121"/>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46"/>
        <w:ind w:left="0" w:right="2226" w:firstLine="0"/>
        <w:jc w:val="right"/>
        <w:rPr>
          <w:rFonts w:ascii="宋体" w:hAnsi="宋体" w:cs="宋体" w:eastAsia="宋体" w:hint="default"/>
          <w:sz w:val="18"/>
          <w:szCs w:val="18"/>
        </w:rPr>
      </w:pPr>
      <w:r>
        <w:rPr/>
        <w:pict>
          <v:shape style="position:absolute;margin-left:54.743999pt;margin-top:-32.088276pt;width:479.45pt;height:424.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7"/>
                    <w:gridCol w:w="797"/>
                    <w:gridCol w:w="797"/>
                    <w:gridCol w:w="446"/>
                    <w:gridCol w:w="427"/>
                    <w:gridCol w:w="989"/>
                    <w:gridCol w:w="994"/>
                    <w:gridCol w:w="994"/>
                    <w:gridCol w:w="706"/>
                    <w:gridCol w:w="711"/>
                    <w:gridCol w:w="850"/>
                    <w:gridCol w:w="77"/>
                    <w:gridCol w:w="989"/>
                  </w:tblGrid>
                  <w:tr>
                    <w:trPr>
                      <w:trHeight w:val="133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年龄</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12" w:right="122"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12" w:right="127"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69"/>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8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8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55" w:firstLine="33"/>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5"/>
                            <w:sz w:val="18"/>
                            <w:szCs w:val="18"/>
                          </w:rPr>
                          <w:t>变动（股</w:t>
                        </w:r>
                      </w:p>
                    </w:tc>
                    <w:tc>
                      <w:tcPr>
                        <w:tcW w:w="77" w:type="dxa"/>
                        <w:tcBorders>
                          <w:top w:val="single" w:sz="4" w:space="0" w:color="000000"/>
                          <w:left w:val="single" w:sz="4" w:space="0" w:color="000000"/>
                          <w:bottom w:val="single" w:sz="4" w:space="0" w:color="000000"/>
                          <w:right w:val="nil" w:sz="6" w:space="0" w:color="auto"/>
                        </w:tcBorders>
                        <w:shd w:val="clear" w:color="auto" w:fill="D2D2D2"/>
                      </w:tcPr>
                      <w:p>
                        <w:pPr/>
                      </w:p>
                    </w:tc>
                    <w:tc>
                      <w:tcPr>
                        <w:tcW w:w="98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0"/>
                          <w:jc w:val="center"/>
                          <w:rPr>
                            <w:rFonts w:ascii="宋体" w:hAnsi="宋体" w:cs="宋体" w:eastAsia="宋体" w:hint="default"/>
                            <w:sz w:val="18"/>
                            <w:szCs w:val="18"/>
                          </w:rPr>
                        </w:pPr>
                        <w:r>
                          <w:rPr>
                            <w:rFonts w:ascii="宋体" w:hAnsi="宋体" w:cs="宋体" w:eastAsia="宋体" w:hint="default"/>
                            <w:spacing w:val="-2"/>
                            <w:sz w:val="18"/>
                            <w:szCs w:val="18"/>
                          </w:rPr>
                          <w:t>期末持股数</w:t>
                        </w:r>
                      </w:p>
                      <w:p>
                        <w:pPr>
                          <w:pStyle w:val="TableParagraph"/>
                          <w:spacing w:line="240" w:lineRule="auto" w:before="77"/>
                          <w:ind w:right="66"/>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21,351,660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8,540,664</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29,892,324</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李雁宾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21,351,660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8,540,664</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5" w:right="0"/>
                          <w:jc w:val="left"/>
                          <w:rPr>
                            <w:rFonts w:ascii="Times New Roman" w:hAnsi="Times New Roman" w:cs="Times New Roman" w:eastAsia="Times New Roman" w:hint="default"/>
                            <w:sz w:val="18"/>
                            <w:szCs w:val="18"/>
                          </w:rPr>
                        </w:pPr>
                        <w:r>
                          <w:rPr>
                            <w:rFonts w:ascii="Times New Roman"/>
                            <w:sz w:val="18"/>
                          </w:rPr>
                          <w:t>29,892,324</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240" w:lineRule="auto" w:before="11"/>
        <w:rPr>
          <w:rFonts w:ascii="宋体" w:hAnsi="宋体" w:cs="宋体" w:eastAsia="宋体" w:hint="default"/>
          <w:sz w:val="13"/>
          <w:szCs w:val="13"/>
        </w:rPr>
      </w:pPr>
    </w:p>
    <w:p>
      <w:pPr>
        <w:pStyle w:val="BodyText"/>
        <w:spacing w:line="240" w:lineRule="auto"/>
        <w:ind w:left="575" w:right="0"/>
        <w:jc w:val="left"/>
      </w:pPr>
      <w:r>
        <w:rPr>
          <w:rFonts w:ascii="宋体" w:hAnsi="宋体" w:cs="宋体" w:eastAsia="宋体" w:hint="default"/>
        </w:rPr>
        <w:t>1</w:t>
      </w:r>
      <w:r>
        <w:rPr/>
        <w:t>、第二届董事会董事简介</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5" w:lineRule="auto" w:before="36"/>
        <w:ind w:right="1122" w:firstLine="422"/>
        <w:jc w:val="both"/>
      </w:pPr>
      <w:r>
        <w:rPr/>
        <w:t>牛文文先生，中国国籍，无境外永久居留权，</w:t>
      </w:r>
      <w:r>
        <w:rPr>
          <w:rFonts w:ascii="宋体" w:hAnsi="宋体" w:cs="宋体" w:eastAsia="宋体" w:hint="default"/>
        </w:rPr>
        <w:t>1966</w:t>
      </w:r>
      <w:r>
        <w:rPr>
          <w:rFonts w:ascii="宋体" w:hAnsi="宋体" w:cs="宋体" w:eastAsia="宋体" w:hint="default"/>
          <w:spacing w:val="-32"/>
        </w:rPr>
        <w:t> </w:t>
      </w:r>
      <w:r>
        <w:rPr/>
        <w:t>年生，</w:t>
      </w:r>
      <w:r>
        <w:rPr>
          <w:rFonts w:ascii="宋体" w:hAnsi="宋体" w:cs="宋体" w:eastAsia="宋体" w:hint="default"/>
        </w:rPr>
        <w:t>1988</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月毕业于中国人民大学，获经济</w:t>
      </w:r>
      <w:r>
        <w:rPr>
          <w:w w:val="100"/>
        </w:rPr>
        <w:t> </w:t>
      </w:r>
      <w:r>
        <w:rPr/>
        <w:t>学学士学位；</w:t>
      </w:r>
      <w:r>
        <w:rPr>
          <w:rFonts w:ascii="宋体" w:hAnsi="宋体" w:cs="宋体" w:eastAsia="宋体" w:hint="default"/>
        </w:rPr>
        <w:t>1991</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月毕业于中共中央党校，获政治经济学硕士学位；</w:t>
      </w:r>
      <w:r>
        <w:rPr>
          <w:rFonts w:ascii="宋体" w:hAnsi="宋体" w:cs="宋体" w:eastAsia="宋体" w:hint="default"/>
        </w:rPr>
        <w:t>2003</w:t>
      </w:r>
      <w:r>
        <w:rPr>
          <w:rFonts w:ascii="宋体" w:hAnsi="宋体" w:cs="宋体" w:eastAsia="宋体" w:hint="default"/>
          <w:spacing w:val="-58"/>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spacing w:val="-3"/>
        </w:rPr>
        <w:t>月至</w:t>
      </w:r>
      <w:r>
        <w:rPr>
          <w:spacing w:val="-54"/>
        </w:rPr>
        <w:t> </w:t>
      </w:r>
      <w:r>
        <w:rPr>
          <w:rFonts w:ascii="宋体" w:hAnsi="宋体" w:cs="宋体" w:eastAsia="宋体" w:hint="default"/>
        </w:rPr>
        <w:t>2005</w:t>
      </w:r>
      <w:r>
        <w:rPr>
          <w:rFonts w:ascii="宋体" w:hAnsi="宋体" w:cs="宋体" w:eastAsia="宋体" w:hint="default"/>
          <w:spacing w:val="-53"/>
        </w:rPr>
        <w:t> </w:t>
      </w:r>
      <w:r>
        <w:rPr/>
        <w:t>年</w:t>
      </w:r>
      <w:r>
        <w:rPr>
          <w:spacing w:val="-58"/>
        </w:rPr>
        <w:t> </w:t>
      </w:r>
      <w:r>
        <w:rPr>
          <w:rFonts w:ascii="宋体" w:hAnsi="宋体" w:cs="宋体" w:eastAsia="宋体" w:hint="default"/>
        </w:rPr>
        <w:t>7</w:t>
      </w:r>
      <w:r>
        <w:rPr>
          <w:rFonts w:ascii="宋体" w:hAnsi="宋体" w:cs="宋体" w:eastAsia="宋体" w:hint="default"/>
          <w:spacing w:val="-54"/>
        </w:rPr>
        <w:t> </w:t>
      </w:r>
      <w:r>
        <w:rPr/>
        <w:t>月就读</w:t>
      </w:r>
    </w:p>
    <w:p>
      <w:pPr>
        <w:pStyle w:val="BodyText"/>
        <w:spacing w:line="240" w:lineRule="auto" w:before="32"/>
        <w:ind w:right="0"/>
        <w:jc w:val="both"/>
      </w:pPr>
      <w:r>
        <w:rPr/>
        <w:t>于长江商学院，获</w:t>
      </w:r>
      <w:r>
        <w:rPr>
          <w:spacing w:val="-45"/>
        </w:rPr>
        <w:t> </w:t>
      </w:r>
      <w:r>
        <w:rPr>
          <w:rFonts w:ascii="宋体" w:hAnsi="宋体" w:cs="宋体" w:eastAsia="宋体" w:hint="default"/>
        </w:rPr>
        <w:t>EMBA</w:t>
      </w:r>
      <w:r>
        <w:rPr>
          <w:rFonts w:ascii="宋体" w:hAnsi="宋体" w:cs="宋体" w:eastAsia="宋体" w:hint="default"/>
          <w:spacing w:val="-45"/>
        </w:rPr>
        <w:t> </w:t>
      </w:r>
      <w:r>
        <w:rPr/>
        <w:t>学位。</w:t>
      </w:r>
      <w:r>
        <w:rPr>
          <w:rFonts w:ascii="宋体" w:hAnsi="宋体" w:cs="宋体" w:eastAsia="宋体" w:hint="default"/>
        </w:rPr>
        <w:t>1991</w:t>
      </w:r>
      <w:r>
        <w:rPr>
          <w:rFonts w:ascii="宋体" w:hAnsi="宋体" w:cs="宋体" w:eastAsia="宋体" w:hint="default"/>
          <w:spacing w:val="-45"/>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月至</w:t>
      </w:r>
      <w:r>
        <w:rPr>
          <w:spacing w:val="-46"/>
        </w:rPr>
        <w:t> </w:t>
      </w:r>
      <w:r>
        <w:rPr>
          <w:rFonts w:ascii="宋体" w:hAnsi="宋体" w:cs="宋体" w:eastAsia="宋体" w:hint="default"/>
        </w:rPr>
        <w:t>1992</w:t>
      </w:r>
      <w:r>
        <w:rPr>
          <w:rFonts w:ascii="宋体" w:hAnsi="宋体" w:cs="宋体" w:eastAsia="宋体" w:hint="default"/>
          <w:spacing w:val="-50"/>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月，任中共中央党校办公厅职员；</w:t>
      </w:r>
      <w:r>
        <w:rPr>
          <w:rFonts w:ascii="宋体" w:hAnsi="宋体" w:cs="宋体" w:eastAsia="宋体" w:hint="default"/>
        </w:rPr>
        <w:t>1992</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51"/>
        </w:rPr>
        <w:t> </w:t>
      </w:r>
      <w:r>
        <w:rPr/>
        <w:t>月</w:t>
      </w:r>
    </w:p>
    <w:p>
      <w:pPr>
        <w:pStyle w:val="BodyText"/>
        <w:spacing w:line="240" w:lineRule="auto" w:before="133"/>
        <w:ind w:right="0"/>
        <w:jc w:val="both"/>
        <w:rPr>
          <w:rFonts w:ascii="宋体" w:hAnsi="宋体" w:cs="宋体" w:eastAsia="宋体" w:hint="default"/>
        </w:rPr>
      </w:pPr>
      <w:r>
        <w:rPr/>
        <w:t>至</w:t>
      </w:r>
      <w:r>
        <w:rPr>
          <w:spacing w:val="-46"/>
        </w:rPr>
        <w:t> </w:t>
      </w:r>
      <w:r>
        <w:rPr>
          <w:rFonts w:ascii="宋体" w:hAnsi="宋体" w:cs="宋体" w:eastAsia="宋体" w:hint="default"/>
        </w:rPr>
        <w:t>1999</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51"/>
        </w:rPr>
        <w:t> </w:t>
      </w:r>
      <w:r>
        <w:rPr>
          <w:spacing w:val="-11"/>
        </w:rPr>
        <w:t>月，任经济日报社记者、编辑；</w:t>
      </w:r>
      <w:r>
        <w:rPr>
          <w:rFonts w:ascii="宋体" w:hAnsi="宋体" w:cs="宋体" w:eastAsia="宋体" w:hint="default"/>
          <w:spacing w:val="-11"/>
        </w:rPr>
        <w:t>1999</w:t>
      </w:r>
      <w:r>
        <w:rPr>
          <w:rFonts w:ascii="宋体" w:hAnsi="宋体" w:cs="宋体" w:eastAsia="宋体" w:hint="default"/>
          <w:spacing w:val="-46"/>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月至</w:t>
      </w:r>
      <w:r>
        <w:rPr>
          <w:spacing w:val="-46"/>
        </w:rPr>
        <w:t> </w:t>
      </w:r>
      <w:r>
        <w:rPr>
          <w:rFonts w:ascii="宋体" w:hAnsi="宋体" w:cs="宋体" w:eastAsia="宋体" w:hint="default"/>
        </w:rPr>
        <w:t>2008</w:t>
      </w:r>
      <w:r>
        <w:rPr>
          <w:rFonts w:ascii="宋体" w:hAnsi="宋体" w:cs="宋体" w:eastAsia="宋体" w:hint="default"/>
          <w:spacing w:val="-46"/>
        </w:rPr>
        <w:t> </w:t>
      </w:r>
      <w:r>
        <w:rPr/>
        <w:t>年</w:t>
      </w:r>
      <w:r>
        <w:rPr>
          <w:spacing w:val="-51"/>
        </w:rPr>
        <w:t> </w:t>
      </w:r>
      <w:r>
        <w:rPr>
          <w:rFonts w:ascii="宋体" w:hAnsi="宋体" w:cs="宋体" w:eastAsia="宋体" w:hint="default"/>
        </w:rPr>
        <w:t>8</w:t>
      </w:r>
      <w:r>
        <w:rPr>
          <w:rFonts w:ascii="宋体" w:hAnsi="宋体" w:cs="宋体" w:eastAsia="宋体" w:hint="default"/>
          <w:spacing w:val="-46"/>
        </w:rPr>
        <w:t> </w:t>
      </w:r>
      <w:r>
        <w:rPr>
          <w:spacing w:val="-8"/>
        </w:rPr>
        <w:t>月，任中国企业家杂志社总编辑。</w:t>
      </w:r>
      <w:r>
        <w:rPr>
          <w:rFonts w:ascii="宋体" w:hAnsi="宋体" w:cs="宋体" w:eastAsia="宋体" w:hint="default"/>
          <w:spacing w:val="-8"/>
        </w:rPr>
        <w:t>2008</w:t>
      </w:r>
    </w:p>
    <w:p>
      <w:pPr>
        <w:pStyle w:val="BodyText"/>
        <w:spacing w:line="355" w:lineRule="auto" w:before="133"/>
        <w:ind w:right="1128"/>
        <w:jc w:val="both"/>
      </w:pPr>
      <w:r>
        <w:rPr/>
        <w:t>年</w:t>
      </w:r>
      <w:r>
        <w:rPr>
          <w:spacing w:val="-46"/>
        </w:rPr>
        <w:t> </w:t>
      </w:r>
      <w:r>
        <w:rPr>
          <w:rFonts w:ascii="宋体" w:hAnsi="宋体" w:cs="宋体" w:eastAsia="宋体" w:hint="default"/>
        </w:rPr>
        <w:t>8</w:t>
      </w:r>
      <w:r>
        <w:rPr>
          <w:rFonts w:ascii="宋体" w:hAnsi="宋体" w:cs="宋体" w:eastAsia="宋体" w:hint="default"/>
          <w:spacing w:val="-46"/>
        </w:rPr>
        <w:t> </w:t>
      </w:r>
      <w:r>
        <w:rPr/>
        <w:t>月至</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6"/>
        </w:rPr>
        <w:t> </w:t>
      </w:r>
      <w:r>
        <w:rPr>
          <w:spacing w:val="-4"/>
        </w:rPr>
        <w:t>月，担任北京创业未来董事长；</w:t>
      </w:r>
      <w:r>
        <w:rPr>
          <w:rFonts w:ascii="宋体" w:hAnsi="宋体" w:cs="宋体" w:eastAsia="宋体" w:hint="default"/>
          <w:spacing w:val="-4"/>
        </w:rPr>
        <w:t>2011</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6"/>
        </w:rPr>
        <w:t> </w:t>
      </w:r>
      <w:r>
        <w:rPr>
          <w:spacing w:val="-4"/>
        </w:rPr>
        <w:t>月创办创业创媒，后改制为创业黑马，任董</w:t>
      </w:r>
      <w:r>
        <w:rPr>
          <w:spacing w:val="-103"/>
        </w:rPr>
        <w:t> </w:t>
      </w:r>
      <w:r>
        <w:rPr>
          <w:spacing w:val="-103"/>
        </w:rPr>
      </w:r>
      <w:r>
        <w:rPr/>
        <w:t>事长、总经理。现任创业黑马董事长、总经理。</w:t>
      </w:r>
    </w:p>
    <w:p>
      <w:pPr>
        <w:spacing w:line="240" w:lineRule="auto" w:before="8"/>
        <w:rPr>
          <w:rFonts w:ascii="宋体" w:hAnsi="宋体" w:cs="宋体" w:eastAsia="宋体" w:hint="default"/>
          <w:sz w:val="14"/>
          <w:szCs w:val="14"/>
        </w:rPr>
      </w:pPr>
    </w:p>
    <w:p>
      <w:pPr>
        <w:pStyle w:val="BodyText"/>
        <w:spacing w:line="355" w:lineRule="auto"/>
        <w:ind w:right="1122" w:firstLine="422"/>
        <w:jc w:val="both"/>
      </w:pPr>
      <w:r>
        <w:rPr/>
        <w:t>刘义伟女士，中国国籍，无境外永久居留权，</w:t>
      </w:r>
      <w:r>
        <w:rPr>
          <w:rFonts w:ascii="宋体" w:hAnsi="宋体" w:cs="宋体" w:eastAsia="宋体" w:hint="default"/>
        </w:rPr>
        <w:t>1978</w:t>
      </w:r>
      <w:r>
        <w:rPr>
          <w:rFonts w:ascii="宋体" w:hAnsi="宋体" w:cs="宋体" w:eastAsia="宋体" w:hint="default"/>
          <w:spacing w:val="-32"/>
        </w:rPr>
        <w:t> </w:t>
      </w:r>
      <w:r>
        <w:rPr/>
        <w:t>年生，</w:t>
      </w:r>
      <w:r>
        <w:rPr>
          <w:rFonts w:ascii="宋体" w:hAnsi="宋体" w:cs="宋体" w:eastAsia="宋体" w:hint="default"/>
        </w:rPr>
        <w:t>2005</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32"/>
        </w:rPr>
        <w:t> </w:t>
      </w:r>
      <w:r>
        <w:rPr/>
        <w:t>月毕业于石家庄铁道学院，获金</w:t>
      </w:r>
      <w:r>
        <w:rPr>
          <w:w w:val="100"/>
        </w:rPr>
        <w:t> </w:t>
      </w:r>
      <w:r>
        <w:rPr/>
        <w:t>融学学士学位。</w:t>
      </w:r>
      <w:r>
        <w:rPr>
          <w:rFonts w:ascii="宋体" w:hAnsi="宋体" w:cs="宋体" w:eastAsia="宋体" w:hint="default"/>
        </w:rPr>
        <w:t>2000</w:t>
      </w:r>
      <w:r>
        <w:rPr>
          <w:rFonts w:ascii="宋体" w:hAnsi="宋体" w:cs="宋体" w:eastAsia="宋体" w:hint="default"/>
          <w:spacing w:val="-57"/>
        </w:rPr>
        <w:t> </w:t>
      </w:r>
      <w:r>
        <w:rPr/>
        <w:t>年至</w:t>
      </w:r>
      <w:r>
        <w:rPr>
          <w:spacing w:val="-60"/>
        </w:rPr>
        <w:t> </w:t>
      </w:r>
      <w:r>
        <w:rPr>
          <w:rFonts w:ascii="宋体" w:hAnsi="宋体" w:cs="宋体" w:eastAsia="宋体" w:hint="default"/>
        </w:rPr>
        <w:t>2010</w:t>
      </w:r>
      <w:r>
        <w:rPr>
          <w:rFonts w:ascii="宋体" w:hAnsi="宋体" w:cs="宋体" w:eastAsia="宋体" w:hint="default"/>
          <w:spacing w:val="-57"/>
        </w:rPr>
        <w:t> </w:t>
      </w:r>
      <w:r>
        <w:rPr/>
        <w:t>年任职于北京新领军文化传媒有限公司，担任运营总经理职务；</w:t>
      </w:r>
      <w:r>
        <w:rPr>
          <w:rFonts w:ascii="宋体" w:hAnsi="宋体" w:cs="宋体" w:eastAsia="宋体" w:hint="default"/>
        </w:rPr>
        <w:t>2011</w:t>
      </w:r>
      <w:r>
        <w:rPr>
          <w:rFonts w:ascii="宋体" w:hAnsi="宋体" w:cs="宋体" w:eastAsia="宋体" w:hint="default"/>
          <w:spacing w:val="-57"/>
        </w:rPr>
        <w:t> </w:t>
      </w:r>
      <w:r>
        <w:rPr/>
        <w:t>年加</w:t>
      </w:r>
      <w:r>
        <w:rPr>
          <w:w w:val="100"/>
        </w:rPr>
        <w:t> </w:t>
      </w:r>
      <w:r>
        <w:rPr/>
        <w:t>入创业黑马，曾担任副总经理、董事会秘书；现任创业黑马董事、副总经理。</w:t>
      </w:r>
    </w:p>
    <w:p>
      <w:pPr>
        <w:spacing w:line="240" w:lineRule="auto" w:before="12"/>
        <w:rPr>
          <w:rFonts w:ascii="宋体" w:hAnsi="宋体" w:cs="宋体" w:eastAsia="宋体" w:hint="default"/>
          <w:sz w:val="14"/>
          <w:szCs w:val="14"/>
        </w:rPr>
      </w:pPr>
    </w:p>
    <w:p>
      <w:pPr>
        <w:pStyle w:val="BodyText"/>
        <w:spacing w:line="357" w:lineRule="auto"/>
        <w:ind w:right="1122" w:firstLine="422"/>
        <w:jc w:val="both"/>
      </w:pPr>
      <w:r>
        <w:rPr/>
        <w:t>傅忠红先生，中国国籍，无境外永久居留权，</w:t>
      </w:r>
      <w:r>
        <w:rPr>
          <w:rFonts w:ascii="宋体" w:hAnsi="宋体" w:cs="宋体" w:eastAsia="宋体" w:hint="default"/>
        </w:rPr>
        <w:t>1968</w:t>
      </w:r>
      <w:r>
        <w:rPr>
          <w:rFonts w:ascii="宋体" w:hAnsi="宋体" w:cs="宋体" w:eastAsia="宋体" w:hint="default"/>
          <w:spacing w:val="-32"/>
        </w:rPr>
        <w:t> </w:t>
      </w:r>
      <w:r>
        <w:rPr/>
        <w:t>年生，</w:t>
      </w:r>
      <w:r>
        <w:rPr>
          <w:rFonts w:ascii="宋体" w:hAnsi="宋体" w:cs="宋体" w:eastAsia="宋体" w:hint="default"/>
        </w:rPr>
        <w:t>1990</w:t>
      </w:r>
      <w:r>
        <w:rPr>
          <w:rFonts w:ascii="宋体" w:hAnsi="宋体" w:cs="宋体" w:eastAsia="宋体" w:hint="default"/>
          <w:spacing w:val="-32"/>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月毕业于华东理工大学，获化工</w:t>
      </w:r>
      <w:r>
        <w:rPr>
          <w:w w:val="100"/>
        </w:rPr>
        <w:t> </w:t>
      </w:r>
      <w:r>
        <w:rPr/>
        <w:t>机械学士学位；</w:t>
      </w:r>
      <w:r>
        <w:rPr>
          <w:rFonts w:ascii="宋体" w:hAnsi="宋体" w:cs="宋体" w:eastAsia="宋体" w:hint="default"/>
        </w:rPr>
        <w:t>1993</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5"/>
        </w:rPr>
        <w:t> </w:t>
      </w:r>
      <w:r>
        <w:rPr/>
        <w:t>月毕业于华南理工大学获得化工机械硕士学位；</w:t>
      </w:r>
      <w:r>
        <w:rPr>
          <w:rFonts w:ascii="宋体" w:hAnsi="宋体" w:cs="宋体" w:eastAsia="宋体" w:hint="default"/>
        </w:rPr>
        <w:t>2012</w:t>
      </w:r>
      <w:r>
        <w:rPr>
          <w:rFonts w:ascii="宋体" w:hAnsi="宋体" w:cs="宋体" w:eastAsia="宋体" w:hint="default"/>
          <w:spacing w:val="-59"/>
        </w:rPr>
        <w:t> </w:t>
      </w:r>
      <w:r>
        <w:rPr/>
        <w:t>年</w:t>
      </w:r>
      <w:r>
        <w:rPr>
          <w:spacing w:val="-55"/>
        </w:rPr>
        <w:t> </w:t>
      </w:r>
      <w:r>
        <w:rPr>
          <w:rFonts w:ascii="宋体" w:hAnsi="宋体" w:cs="宋体" w:eastAsia="宋体" w:hint="default"/>
        </w:rPr>
        <w:t>5</w:t>
      </w:r>
      <w:r>
        <w:rPr>
          <w:rFonts w:ascii="宋体" w:hAnsi="宋体" w:cs="宋体" w:eastAsia="宋体" w:hint="default"/>
          <w:spacing w:val="-55"/>
        </w:rPr>
        <w:t> </w:t>
      </w:r>
      <w:r>
        <w:rPr/>
        <w:t>月至</w:t>
      </w:r>
      <w:r>
        <w:rPr>
          <w:spacing w:val="-55"/>
        </w:rPr>
        <w:t> </w:t>
      </w:r>
      <w:r>
        <w:rPr>
          <w:rFonts w:ascii="宋体" w:hAnsi="宋体" w:cs="宋体" w:eastAsia="宋体" w:hint="default"/>
        </w:rPr>
        <w:t>2014</w:t>
      </w:r>
      <w:r>
        <w:rPr>
          <w:rFonts w:ascii="宋体" w:hAnsi="宋体" w:cs="宋体" w:eastAsia="宋体" w:hint="default"/>
          <w:spacing w:val="-54"/>
        </w:rPr>
        <w:t> </w:t>
      </w:r>
      <w:r>
        <w:rPr/>
        <w:t>年就读于长</w:t>
      </w:r>
    </w:p>
    <w:p>
      <w:pPr>
        <w:pStyle w:val="BodyText"/>
        <w:spacing w:line="240" w:lineRule="auto" w:before="30"/>
        <w:ind w:right="0"/>
        <w:jc w:val="both"/>
      </w:pPr>
      <w:r>
        <w:rPr/>
        <w:t>江商学院，获</w:t>
      </w:r>
      <w:r>
        <w:rPr>
          <w:spacing w:val="-45"/>
        </w:rPr>
        <w:t> </w:t>
      </w:r>
      <w:r>
        <w:rPr>
          <w:rFonts w:ascii="宋体" w:hAnsi="宋体" w:cs="宋体" w:eastAsia="宋体" w:hint="default"/>
        </w:rPr>
        <w:t>EMBA</w:t>
      </w:r>
      <w:r>
        <w:rPr>
          <w:rFonts w:ascii="宋体" w:hAnsi="宋体" w:cs="宋体" w:eastAsia="宋体" w:hint="default"/>
          <w:spacing w:val="-46"/>
        </w:rPr>
        <w:t> </w:t>
      </w:r>
      <w:r>
        <w:rPr/>
        <w:t>学位。</w:t>
      </w:r>
      <w:r>
        <w:rPr>
          <w:rFonts w:ascii="宋体" w:hAnsi="宋体" w:cs="宋体" w:eastAsia="宋体" w:hint="default"/>
        </w:rPr>
        <w:t>1993</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月至</w:t>
      </w:r>
      <w:r>
        <w:rPr>
          <w:spacing w:val="-46"/>
        </w:rPr>
        <w:t> </w:t>
      </w:r>
      <w:r>
        <w:rPr>
          <w:rFonts w:ascii="宋体" w:hAnsi="宋体" w:cs="宋体" w:eastAsia="宋体" w:hint="default"/>
        </w:rPr>
        <w:t>1997</w:t>
      </w:r>
      <w:r>
        <w:rPr>
          <w:rFonts w:ascii="宋体" w:hAnsi="宋体" w:cs="宋体" w:eastAsia="宋体" w:hint="default"/>
          <w:spacing w:val="-46"/>
        </w:rPr>
        <w:t> </w:t>
      </w:r>
      <w:r>
        <w:rPr/>
        <w:t>年</w:t>
      </w:r>
      <w:r>
        <w:rPr>
          <w:spacing w:val="-45"/>
        </w:rPr>
        <w:t> </w:t>
      </w:r>
      <w:r>
        <w:rPr>
          <w:rFonts w:ascii="宋体" w:hAnsi="宋体" w:cs="宋体" w:eastAsia="宋体" w:hint="default"/>
        </w:rPr>
        <w:t>2</w:t>
      </w:r>
      <w:r>
        <w:rPr>
          <w:rFonts w:ascii="宋体" w:hAnsi="宋体" w:cs="宋体" w:eastAsia="宋体" w:hint="default"/>
          <w:spacing w:val="-51"/>
        </w:rPr>
        <w:t> </w:t>
      </w:r>
      <w:r>
        <w:rPr/>
        <w:t>月，任广东省建材工业总公司部门主管；</w:t>
      </w:r>
      <w:r>
        <w:rPr>
          <w:rFonts w:ascii="宋体" w:hAnsi="宋体" w:cs="宋体" w:eastAsia="宋体" w:hint="default"/>
        </w:rPr>
        <w:t>1997</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w:t>
      </w:r>
    </w:p>
    <w:p>
      <w:pPr>
        <w:pStyle w:val="BodyText"/>
        <w:spacing w:line="240" w:lineRule="auto" w:before="133"/>
        <w:ind w:right="0"/>
        <w:jc w:val="both"/>
      </w:pPr>
      <w:r>
        <w:rPr/>
        <w:t>至</w:t>
      </w:r>
      <w:r>
        <w:rPr>
          <w:spacing w:val="-46"/>
        </w:rPr>
        <w:t> </w:t>
      </w:r>
      <w:r>
        <w:rPr>
          <w:rFonts w:ascii="宋体" w:hAnsi="宋体" w:cs="宋体" w:eastAsia="宋体" w:hint="default"/>
        </w:rPr>
        <w:t>2000</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51"/>
        </w:rPr>
        <w:t> </w:t>
      </w:r>
      <w:r>
        <w:rPr>
          <w:spacing w:val="-4"/>
        </w:rPr>
        <w:t>月，任南海投资有限公司董事长助理；</w:t>
      </w:r>
      <w:r>
        <w:rPr>
          <w:rFonts w:ascii="宋体" w:hAnsi="宋体" w:cs="宋体" w:eastAsia="宋体" w:hint="default"/>
          <w:spacing w:val="-4"/>
        </w:rPr>
        <w:t>2000</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月至</w:t>
      </w:r>
      <w:r>
        <w:rPr>
          <w:spacing w:val="-51"/>
        </w:rPr>
        <w:t> </w:t>
      </w:r>
      <w:r>
        <w:rPr>
          <w:rFonts w:ascii="宋体" w:hAnsi="宋体" w:cs="宋体" w:eastAsia="宋体" w:hint="default"/>
        </w:rPr>
        <w:t>2003</w:t>
      </w:r>
      <w:r>
        <w:rPr>
          <w:rFonts w:ascii="宋体" w:hAnsi="宋体" w:cs="宋体" w:eastAsia="宋体" w:hint="default"/>
          <w:spacing w:val="-46"/>
        </w:rPr>
        <w:t> </w:t>
      </w:r>
      <w:r>
        <w:rPr/>
        <w:t>年</w:t>
      </w:r>
      <w:r>
        <w:rPr>
          <w:spacing w:val="-51"/>
        </w:rPr>
        <w:t> </w:t>
      </w:r>
      <w:r>
        <w:rPr>
          <w:rFonts w:ascii="宋体" w:hAnsi="宋体" w:cs="宋体" w:eastAsia="宋体" w:hint="default"/>
        </w:rPr>
        <w:t>5</w:t>
      </w:r>
      <w:r>
        <w:rPr>
          <w:rFonts w:ascii="宋体" w:hAnsi="宋体" w:cs="宋体" w:eastAsia="宋体" w:hint="default"/>
          <w:spacing w:val="-46"/>
        </w:rPr>
        <w:t> </w:t>
      </w:r>
      <w:r>
        <w:rPr>
          <w:spacing w:val="-4"/>
        </w:rPr>
        <w:t>月，任广东光存储科技有限公</w:t>
      </w:r>
    </w:p>
    <w:p>
      <w:pPr>
        <w:pStyle w:val="BodyText"/>
        <w:spacing w:line="357" w:lineRule="auto" w:before="133"/>
        <w:ind w:right="1122"/>
        <w:jc w:val="both"/>
      </w:pPr>
      <w:r>
        <w:rPr>
          <w:spacing w:val="-9"/>
        </w:rPr>
        <w:t>司副总经理；</w:t>
      </w:r>
      <w:r>
        <w:rPr>
          <w:rFonts w:ascii="宋体" w:hAnsi="宋体" w:cs="宋体" w:eastAsia="宋体" w:hint="default"/>
          <w:spacing w:val="-9"/>
        </w:rPr>
        <w:t>2003</w:t>
      </w:r>
      <w:r>
        <w:rPr>
          <w:rFonts w:ascii="宋体" w:hAnsi="宋体" w:cs="宋体" w:eastAsia="宋体" w:hint="default"/>
          <w:spacing w:val="-52"/>
        </w:rPr>
        <w:t> </w:t>
      </w:r>
      <w:r>
        <w:rPr/>
        <w:t>年</w:t>
      </w:r>
      <w:r>
        <w:rPr>
          <w:spacing w:val="-48"/>
        </w:rPr>
        <w:t> </w:t>
      </w:r>
      <w:r>
        <w:rPr>
          <w:rFonts w:ascii="宋体" w:hAnsi="宋体" w:cs="宋体" w:eastAsia="宋体" w:hint="default"/>
        </w:rPr>
        <w:t>6</w:t>
      </w:r>
      <w:r>
        <w:rPr>
          <w:rFonts w:ascii="宋体" w:hAnsi="宋体" w:cs="宋体" w:eastAsia="宋体" w:hint="default"/>
          <w:spacing w:val="-46"/>
        </w:rPr>
        <w:t> </w:t>
      </w:r>
      <w:r>
        <w:rPr/>
        <w:t>月至</w:t>
      </w:r>
      <w:r>
        <w:rPr>
          <w:spacing w:val="-48"/>
        </w:rPr>
        <w:t> </w:t>
      </w:r>
      <w:r>
        <w:rPr>
          <w:rFonts w:ascii="宋体" w:hAnsi="宋体" w:cs="宋体" w:eastAsia="宋体" w:hint="default"/>
        </w:rPr>
        <w:t>2006</w:t>
      </w:r>
      <w:r>
        <w:rPr>
          <w:rFonts w:ascii="宋体" w:hAnsi="宋体" w:cs="宋体" w:eastAsia="宋体" w:hint="default"/>
          <w:spacing w:val="-48"/>
        </w:rPr>
        <w:t> </w:t>
      </w:r>
      <w:r>
        <w:rPr/>
        <w:t>年</w:t>
      </w:r>
      <w:r>
        <w:rPr>
          <w:spacing w:val="-46"/>
        </w:rPr>
        <w:t> </w:t>
      </w:r>
      <w:r>
        <w:rPr>
          <w:rFonts w:ascii="宋体" w:hAnsi="宋体" w:cs="宋体" w:eastAsia="宋体" w:hint="default"/>
        </w:rPr>
        <w:t>9</w:t>
      </w:r>
      <w:r>
        <w:rPr>
          <w:rFonts w:ascii="宋体" w:hAnsi="宋体" w:cs="宋体" w:eastAsia="宋体" w:hint="default"/>
          <w:spacing w:val="-52"/>
        </w:rPr>
        <w:t> </w:t>
      </w:r>
      <w:r>
        <w:rPr>
          <w:spacing w:val="-7"/>
        </w:rPr>
        <w:t>月，任广州科技创业投资有限公司</w:t>
      </w:r>
      <w:r>
        <w:rPr>
          <w:spacing w:val="-46"/>
        </w:rPr>
        <w:t> </w:t>
      </w:r>
      <w:r>
        <w:rPr>
          <w:rFonts w:ascii="宋体" w:hAnsi="宋体" w:cs="宋体" w:eastAsia="宋体" w:hint="default"/>
        </w:rPr>
        <w:t>IT</w:t>
      </w:r>
      <w:r>
        <w:rPr>
          <w:rFonts w:ascii="宋体" w:hAnsi="宋体" w:cs="宋体" w:eastAsia="宋体" w:hint="default"/>
          <w:spacing w:val="-52"/>
        </w:rPr>
        <w:t> </w:t>
      </w:r>
      <w:r>
        <w:rPr>
          <w:spacing w:val="-10"/>
        </w:rPr>
        <w:t>投资总监；</w:t>
      </w:r>
      <w:r>
        <w:rPr>
          <w:rFonts w:ascii="宋体" w:hAnsi="宋体" w:cs="宋体" w:eastAsia="宋体" w:hint="default"/>
          <w:spacing w:val="-10"/>
        </w:rPr>
        <w:t>2006</w:t>
      </w:r>
      <w:r>
        <w:rPr>
          <w:rFonts w:ascii="宋体" w:hAnsi="宋体" w:cs="宋体" w:eastAsia="宋体" w:hint="default"/>
          <w:spacing w:val="-52"/>
        </w:rPr>
        <w:t> </w:t>
      </w:r>
      <w:r>
        <w:rPr/>
        <w:t>年</w:t>
      </w:r>
      <w:r>
        <w:rPr>
          <w:spacing w:val="-46"/>
        </w:rPr>
        <w:t> </w:t>
      </w:r>
      <w:r>
        <w:rPr>
          <w:rFonts w:ascii="宋体" w:hAnsi="宋体" w:cs="宋体" w:eastAsia="宋体" w:hint="default"/>
        </w:rPr>
        <w:t>10</w:t>
      </w:r>
      <w:r>
        <w:rPr>
          <w:rFonts w:ascii="宋体" w:hAnsi="宋体" w:cs="宋体" w:eastAsia="宋体" w:hint="default"/>
          <w:spacing w:val="-48"/>
        </w:rPr>
        <w:t> </w:t>
      </w:r>
      <w:r>
        <w:rPr/>
        <w:t>月至今，</w:t>
      </w:r>
      <w:r>
        <w:rPr>
          <w:w w:val="100"/>
        </w:rPr>
        <w:t> </w:t>
      </w:r>
      <w:r>
        <w:rPr/>
        <w:t>任深圳市达晨财智创业投资管理有限公司合伙人。现任创业黑马董事。</w:t>
      </w:r>
    </w:p>
    <w:p>
      <w:pPr>
        <w:spacing w:line="240" w:lineRule="auto" w:before="5"/>
        <w:rPr>
          <w:rFonts w:ascii="宋体" w:hAnsi="宋体" w:cs="宋体" w:eastAsia="宋体" w:hint="default"/>
          <w:sz w:val="14"/>
          <w:szCs w:val="14"/>
        </w:rPr>
      </w:pPr>
    </w:p>
    <w:p>
      <w:pPr>
        <w:pStyle w:val="BodyText"/>
        <w:spacing w:line="355" w:lineRule="auto"/>
        <w:ind w:right="1016" w:firstLine="422"/>
        <w:jc w:val="both"/>
      </w:pPr>
      <w:r>
        <w:rPr/>
        <w:t>肖红英女士，中国国籍，无境外永久居留权，曾用名肖洪英，</w:t>
      </w:r>
      <w:r>
        <w:rPr>
          <w:rFonts w:ascii="宋体" w:hAnsi="宋体" w:cs="宋体" w:eastAsia="宋体" w:hint="default"/>
        </w:rPr>
        <w:t>1953</w:t>
      </w:r>
      <w:r>
        <w:rPr>
          <w:rFonts w:ascii="宋体" w:hAnsi="宋体" w:cs="宋体" w:eastAsia="宋体" w:hint="default"/>
          <w:spacing w:val="-36"/>
        </w:rPr>
        <w:t> </w:t>
      </w:r>
      <w:r>
        <w:rPr/>
        <w:t>年生，</w:t>
      </w:r>
      <w:r>
        <w:rPr>
          <w:rFonts w:ascii="宋体" w:hAnsi="宋体" w:cs="宋体" w:eastAsia="宋体" w:hint="default"/>
        </w:rPr>
        <w:t>1982</w:t>
      </w:r>
      <w:r>
        <w:rPr>
          <w:rFonts w:ascii="宋体" w:hAnsi="宋体" w:cs="宋体" w:eastAsia="宋体" w:hint="default"/>
          <w:spacing w:val="-31"/>
        </w:rPr>
        <w:t> </w:t>
      </w:r>
      <w:r>
        <w:rPr/>
        <w:t>年</w:t>
      </w:r>
      <w:r>
        <w:rPr>
          <w:spacing w:val="-31"/>
        </w:rPr>
        <w:t> </w:t>
      </w:r>
      <w:r>
        <w:rPr>
          <w:rFonts w:ascii="宋体" w:hAnsi="宋体" w:cs="宋体" w:eastAsia="宋体" w:hint="default"/>
        </w:rPr>
        <w:t>7</w:t>
      </w:r>
      <w:r>
        <w:rPr>
          <w:rFonts w:ascii="宋体" w:hAnsi="宋体" w:cs="宋体" w:eastAsia="宋体" w:hint="default"/>
          <w:spacing w:val="-31"/>
        </w:rPr>
        <w:t> </w:t>
      </w:r>
      <w:r>
        <w:rPr/>
        <w:t>月毕业于吉林财</w:t>
      </w:r>
      <w:r>
        <w:rPr>
          <w:w w:val="100"/>
        </w:rPr>
        <w:t> </w:t>
      </w:r>
      <w:r>
        <w:rPr>
          <w:spacing w:val="-3"/>
        </w:rPr>
        <w:t>经大学，获得经济学学士学位；</w:t>
      </w:r>
      <w:r>
        <w:rPr>
          <w:rFonts w:ascii="宋体" w:hAnsi="宋体" w:cs="宋体" w:eastAsia="宋体" w:hint="default"/>
          <w:spacing w:val="-3"/>
        </w:rPr>
        <w:t>1997</w:t>
      </w:r>
      <w:r>
        <w:rPr>
          <w:rFonts w:ascii="宋体" w:hAnsi="宋体" w:cs="宋体" w:eastAsia="宋体" w:hint="default"/>
          <w:spacing w:val="-40"/>
        </w:rPr>
        <w:t> </w:t>
      </w:r>
      <w:r>
        <w:rPr/>
        <w:t>年</w:t>
      </w:r>
      <w:r>
        <w:rPr>
          <w:spacing w:val="-42"/>
        </w:rPr>
        <w:t> </w:t>
      </w:r>
      <w:r>
        <w:rPr>
          <w:rFonts w:ascii="宋体" w:hAnsi="宋体" w:cs="宋体" w:eastAsia="宋体" w:hint="default"/>
        </w:rPr>
        <w:t>7</w:t>
      </w:r>
      <w:r>
        <w:rPr>
          <w:rFonts w:ascii="宋体" w:hAnsi="宋体" w:cs="宋体" w:eastAsia="宋体" w:hint="default"/>
          <w:spacing w:val="-47"/>
        </w:rPr>
        <w:t> </w:t>
      </w:r>
      <w:r>
        <w:rPr>
          <w:spacing w:val="-3"/>
        </w:rPr>
        <w:t>月毕业于对外经济贸易大学，获得工商管理硕士学位，具有高级</w:t>
      </w:r>
      <w:r>
        <w:rPr>
          <w:spacing w:val="-77"/>
        </w:rPr>
        <w:t> </w:t>
      </w:r>
      <w:r>
        <w:rPr>
          <w:spacing w:val="-77"/>
        </w:rPr>
      </w:r>
      <w:r>
        <w:rPr/>
        <w:t>会计师资格。</w:t>
      </w:r>
      <w:r>
        <w:rPr>
          <w:rFonts w:ascii="宋体" w:hAnsi="宋体" w:cs="宋体" w:eastAsia="宋体" w:hint="default"/>
        </w:rPr>
        <w:t>1982</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46"/>
        </w:rPr>
        <w:t> </w:t>
      </w:r>
      <w:r>
        <w:rPr/>
        <w:t>月至</w:t>
      </w:r>
      <w:r>
        <w:rPr>
          <w:spacing w:val="-47"/>
        </w:rPr>
        <w:t> </w:t>
      </w:r>
      <w:r>
        <w:rPr>
          <w:rFonts w:ascii="宋体" w:hAnsi="宋体" w:cs="宋体" w:eastAsia="宋体" w:hint="default"/>
        </w:rPr>
        <w:t>1986</w:t>
      </w:r>
      <w:r>
        <w:rPr>
          <w:rFonts w:ascii="宋体" w:hAnsi="宋体" w:cs="宋体" w:eastAsia="宋体" w:hint="default"/>
          <w:spacing w:val="-47"/>
        </w:rPr>
        <w:t> </w:t>
      </w:r>
      <w:r>
        <w:rPr/>
        <w:t>年</w:t>
      </w:r>
      <w:r>
        <w:rPr>
          <w:spacing w:val="-46"/>
        </w:rPr>
        <w:t> </w:t>
      </w:r>
      <w:r>
        <w:rPr>
          <w:rFonts w:ascii="宋体" w:hAnsi="宋体" w:cs="宋体" w:eastAsia="宋体" w:hint="default"/>
        </w:rPr>
        <w:t>8</w:t>
      </w:r>
      <w:r>
        <w:rPr>
          <w:rFonts w:ascii="宋体" w:hAnsi="宋体" w:cs="宋体" w:eastAsia="宋体" w:hint="default"/>
          <w:spacing w:val="-47"/>
        </w:rPr>
        <w:t> </w:t>
      </w:r>
      <w:r>
        <w:rPr/>
        <w:t>月，任对外经济贸易部财会司职员；</w:t>
      </w:r>
      <w:r>
        <w:rPr>
          <w:rFonts w:ascii="宋体" w:hAnsi="宋体" w:cs="宋体" w:eastAsia="宋体" w:hint="default"/>
        </w:rPr>
        <w:t>1986</w:t>
      </w:r>
      <w:r>
        <w:rPr>
          <w:rFonts w:ascii="宋体" w:hAnsi="宋体" w:cs="宋体" w:eastAsia="宋体" w:hint="default"/>
          <w:spacing w:val="-46"/>
        </w:rPr>
        <w:t> </w:t>
      </w:r>
      <w:r>
        <w:rPr/>
        <w:t>年</w:t>
      </w:r>
      <w:r>
        <w:rPr>
          <w:spacing w:val="-47"/>
        </w:rPr>
        <w:t> </w:t>
      </w:r>
      <w:r>
        <w:rPr>
          <w:rFonts w:ascii="宋体" w:hAnsi="宋体" w:cs="宋体" w:eastAsia="宋体" w:hint="default"/>
        </w:rPr>
        <w:t>8</w:t>
      </w:r>
      <w:r>
        <w:rPr>
          <w:rFonts w:ascii="宋体" w:hAnsi="宋体" w:cs="宋体" w:eastAsia="宋体" w:hint="default"/>
          <w:spacing w:val="-47"/>
        </w:rPr>
        <w:t> </w:t>
      </w:r>
      <w:r>
        <w:rPr/>
        <w:t>月至</w:t>
      </w:r>
      <w:r>
        <w:rPr>
          <w:spacing w:val="-46"/>
        </w:rPr>
        <w:t> </w:t>
      </w:r>
      <w:r>
        <w:rPr>
          <w:rFonts w:ascii="宋体" w:hAnsi="宋体" w:cs="宋体" w:eastAsia="宋体" w:hint="default"/>
        </w:rPr>
        <w:t>1988</w:t>
      </w:r>
      <w:r>
        <w:rPr>
          <w:rFonts w:ascii="宋体" w:hAnsi="宋体" w:cs="宋体" w:eastAsia="宋体" w:hint="default"/>
          <w:spacing w:val="-47"/>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p>
    <w:p>
      <w:pPr>
        <w:pStyle w:val="BodyText"/>
        <w:spacing w:line="240" w:lineRule="auto" w:before="32"/>
        <w:ind w:right="0"/>
        <w:jc w:val="both"/>
      </w:pPr>
      <w:r>
        <w:rPr>
          <w:w w:val="100"/>
        </w:rPr>
        <w:t>任对外经</w:t>
      </w:r>
      <w:r>
        <w:rPr>
          <w:spacing w:val="-5"/>
          <w:w w:val="100"/>
        </w:rPr>
        <w:t>济</w:t>
      </w:r>
      <w:r>
        <w:rPr>
          <w:w w:val="100"/>
        </w:rPr>
        <w:t>贸易部</w:t>
      </w:r>
      <w:r>
        <w:rPr>
          <w:spacing w:val="-5"/>
          <w:w w:val="100"/>
        </w:rPr>
        <w:t>审</w:t>
      </w:r>
      <w:r>
        <w:rPr>
          <w:w w:val="100"/>
        </w:rPr>
        <w:t>计局副</w:t>
      </w:r>
      <w:r>
        <w:rPr>
          <w:spacing w:val="-5"/>
          <w:w w:val="100"/>
        </w:rPr>
        <w:t>处</w:t>
      </w:r>
      <w:r>
        <w:rPr>
          <w:w w:val="100"/>
        </w:rPr>
        <w:t>长</w:t>
      </w:r>
      <w:r>
        <w:rPr>
          <w:spacing w:val="-105"/>
          <w:w w:val="100"/>
        </w:rPr>
        <w:t>；</w:t>
      </w:r>
      <w:r>
        <w:rPr>
          <w:rFonts w:ascii="宋体" w:hAnsi="宋体" w:cs="宋体" w:eastAsia="宋体" w:hint="default"/>
          <w:w w:val="100"/>
        </w:rPr>
        <w:t>19</w:t>
      </w:r>
      <w:r>
        <w:rPr>
          <w:rFonts w:ascii="宋体" w:hAnsi="宋体" w:cs="宋体" w:eastAsia="宋体" w:hint="default"/>
          <w:spacing w:val="-5"/>
          <w:w w:val="100"/>
        </w:rPr>
        <w:t>8</w:t>
      </w:r>
      <w:r>
        <w:rPr>
          <w:rFonts w:ascii="宋体" w:hAnsi="宋体" w:cs="宋体" w:eastAsia="宋体" w:hint="default"/>
          <w:w w:val="100"/>
        </w:rPr>
        <w:t>8</w:t>
      </w:r>
      <w:r>
        <w:rPr>
          <w:rFonts w:ascii="宋体" w:hAnsi="宋体" w:cs="宋体" w:eastAsia="宋体" w:hint="default"/>
          <w:spacing w:val="-62"/>
        </w:rPr>
        <w:t> </w:t>
      </w:r>
      <w:r>
        <w:rPr>
          <w:w w:val="100"/>
        </w:rPr>
        <w:t>年</w:t>
      </w:r>
      <w:r>
        <w:rPr>
          <w:spacing w:val="-62"/>
        </w:rPr>
        <w:t> </w:t>
      </w:r>
      <w:r>
        <w:rPr>
          <w:rFonts w:ascii="宋体" w:hAnsi="宋体" w:cs="宋体" w:eastAsia="宋体" w:hint="default"/>
          <w:spacing w:val="-5"/>
          <w:w w:val="100"/>
        </w:rPr>
        <w:t>1</w:t>
      </w:r>
      <w:r>
        <w:rPr>
          <w:rFonts w:ascii="宋体" w:hAnsi="宋体" w:cs="宋体" w:eastAsia="宋体" w:hint="default"/>
          <w:w w:val="100"/>
        </w:rPr>
        <w:t>0</w:t>
      </w:r>
      <w:r>
        <w:rPr>
          <w:rFonts w:ascii="宋体" w:hAnsi="宋体" w:cs="宋体" w:eastAsia="宋体" w:hint="default"/>
          <w:spacing w:val="-62"/>
        </w:rPr>
        <w:t> </w:t>
      </w:r>
      <w:r>
        <w:rPr>
          <w:w w:val="100"/>
        </w:rPr>
        <w:t>月至</w:t>
      </w:r>
      <w:r>
        <w:rPr>
          <w:spacing w:val="-67"/>
        </w:rPr>
        <w:t> </w:t>
      </w:r>
      <w:r>
        <w:rPr>
          <w:rFonts w:ascii="宋体" w:hAnsi="宋体" w:cs="宋体" w:eastAsia="宋体" w:hint="default"/>
          <w:w w:val="100"/>
        </w:rPr>
        <w:t>19</w:t>
      </w:r>
      <w:r>
        <w:rPr>
          <w:rFonts w:ascii="宋体" w:hAnsi="宋体" w:cs="宋体" w:eastAsia="宋体" w:hint="default"/>
          <w:spacing w:val="-5"/>
          <w:w w:val="100"/>
        </w:rPr>
        <w:t>9</w:t>
      </w:r>
      <w:r>
        <w:rPr>
          <w:rFonts w:ascii="宋体" w:hAnsi="宋体" w:cs="宋体" w:eastAsia="宋体" w:hint="default"/>
          <w:w w:val="100"/>
        </w:rPr>
        <w:t>6</w:t>
      </w:r>
      <w:r>
        <w:rPr>
          <w:rFonts w:ascii="宋体" w:hAnsi="宋体" w:cs="宋体" w:eastAsia="宋体" w:hint="default"/>
          <w:spacing w:val="-62"/>
        </w:rPr>
        <w:t> </w:t>
      </w:r>
      <w:r>
        <w:rPr>
          <w:w w:val="100"/>
        </w:rPr>
        <w:t>年</w:t>
      </w:r>
      <w:r>
        <w:rPr>
          <w:spacing w:val="-62"/>
        </w:rPr>
        <w:t> </w:t>
      </w:r>
      <w:r>
        <w:rPr>
          <w:rFonts w:ascii="宋体" w:hAnsi="宋体" w:cs="宋体" w:eastAsia="宋体" w:hint="default"/>
          <w:w w:val="100"/>
        </w:rPr>
        <w:t>7</w:t>
      </w:r>
      <w:r>
        <w:rPr>
          <w:rFonts w:ascii="宋体" w:hAnsi="宋体" w:cs="宋体" w:eastAsia="宋体" w:hint="default"/>
          <w:spacing w:val="-67"/>
        </w:rPr>
        <w:t> </w:t>
      </w:r>
      <w:r>
        <w:rPr>
          <w:w w:val="100"/>
        </w:rPr>
        <w:t>月</w:t>
      </w:r>
      <w:r>
        <w:rPr>
          <w:spacing w:val="-106"/>
          <w:w w:val="100"/>
        </w:rPr>
        <w:t>，</w:t>
      </w:r>
      <w:r>
        <w:rPr>
          <w:w w:val="100"/>
        </w:rPr>
        <w:t>先</w:t>
      </w:r>
      <w:r>
        <w:rPr>
          <w:spacing w:val="-5"/>
          <w:w w:val="100"/>
        </w:rPr>
        <w:t>后</w:t>
      </w:r>
      <w:r>
        <w:rPr>
          <w:w w:val="100"/>
        </w:rPr>
        <w:t>任中国</w:t>
      </w:r>
      <w:r>
        <w:rPr>
          <w:spacing w:val="-5"/>
          <w:w w:val="100"/>
        </w:rPr>
        <w:t>丝</w:t>
      </w:r>
      <w:r>
        <w:rPr>
          <w:w w:val="100"/>
        </w:rPr>
        <w:t>绸进出</w:t>
      </w:r>
      <w:r>
        <w:rPr>
          <w:spacing w:val="-5"/>
          <w:w w:val="100"/>
        </w:rPr>
        <w:t>口</w:t>
      </w:r>
      <w:r>
        <w:rPr>
          <w:w w:val="100"/>
        </w:rPr>
        <w:t>公司财</w:t>
      </w:r>
      <w:r>
        <w:rPr>
          <w:spacing w:val="-5"/>
          <w:w w:val="100"/>
        </w:rPr>
        <w:t>务</w:t>
      </w:r>
      <w:r>
        <w:rPr>
          <w:w w:val="100"/>
        </w:rPr>
        <w:t>处副处</w:t>
      </w:r>
      <w:r>
        <w:rPr>
          <w:spacing w:val="-5"/>
          <w:w w:val="100"/>
        </w:rPr>
        <w:t>长</w:t>
      </w:r>
      <w:r>
        <w:rPr>
          <w:w w:val="100"/>
        </w:rPr>
        <w:t>、</w:t>
      </w:r>
    </w:p>
    <w:p>
      <w:pPr>
        <w:pStyle w:val="BodyText"/>
        <w:spacing w:line="240" w:lineRule="auto" w:before="133"/>
        <w:ind w:right="0"/>
        <w:jc w:val="both"/>
      </w:pPr>
      <w:r>
        <w:rPr/>
        <w:t>处长；</w:t>
      </w:r>
      <w:r>
        <w:rPr>
          <w:rFonts w:ascii="宋体" w:hAnsi="宋体" w:cs="宋体" w:eastAsia="宋体" w:hint="default"/>
        </w:rPr>
        <w:t>1996</w:t>
      </w:r>
      <w:r>
        <w:rPr>
          <w:rFonts w:ascii="宋体" w:hAnsi="宋体" w:cs="宋体" w:eastAsia="宋体" w:hint="default"/>
          <w:spacing w:val="-55"/>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月至</w:t>
      </w:r>
      <w:r>
        <w:rPr>
          <w:spacing w:val="-55"/>
        </w:rPr>
        <w:t> </w:t>
      </w:r>
      <w:r>
        <w:rPr>
          <w:rFonts w:ascii="宋体" w:hAnsi="宋体" w:cs="宋体" w:eastAsia="宋体" w:hint="default"/>
        </w:rPr>
        <w:t>2013</w:t>
      </w:r>
      <w:r>
        <w:rPr>
          <w:rFonts w:ascii="宋体" w:hAnsi="宋体" w:cs="宋体" w:eastAsia="宋体" w:hint="default"/>
          <w:spacing w:val="-51"/>
        </w:rPr>
        <w:t> </w:t>
      </w:r>
      <w:r>
        <w:rPr/>
        <w:t>年</w:t>
      </w:r>
      <w:r>
        <w:rPr>
          <w:spacing w:val="-55"/>
        </w:rPr>
        <w:t> </w:t>
      </w:r>
      <w:r>
        <w:rPr>
          <w:rFonts w:ascii="宋体" w:hAnsi="宋体" w:cs="宋体" w:eastAsia="宋体" w:hint="default"/>
        </w:rPr>
        <w:t>3</w:t>
      </w:r>
      <w:r>
        <w:rPr>
          <w:rFonts w:ascii="宋体" w:hAnsi="宋体" w:cs="宋体" w:eastAsia="宋体" w:hint="default"/>
          <w:spacing w:val="-51"/>
        </w:rPr>
        <w:t> </w:t>
      </w:r>
      <w:r>
        <w:rPr/>
        <w:t>月，任中国中丝集团公司总会计师至退休。现任创业黑马独立董事。</w:t>
      </w:r>
    </w:p>
    <w:p>
      <w:pPr>
        <w:spacing w:line="240" w:lineRule="auto" w:before="4"/>
        <w:rPr>
          <w:rFonts w:ascii="宋体" w:hAnsi="宋体" w:cs="宋体" w:eastAsia="宋体" w:hint="default"/>
          <w:sz w:val="22"/>
          <w:szCs w:val="22"/>
        </w:rPr>
      </w:pPr>
    </w:p>
    <w:p>
      <w:pPr>
        <w:pStyle w:val="BodyText"/>
        <w:spacing w:line="355" w:lineRule="auto"/>
        <w:ind w:right="1123" w:firstLine="422"/>
        <w:jc w:val="both"/>
      </w:pPr>
      <w:r>
        <w:rPr/>
        <w:t>王敬先生，中国国籍，无境外永久居留权，</w:t>
      </w:r>
      <w:r>
        <w:rPr>
          <w:rFonts w:ascii="宋体" w:hAnsi="宋体" w:cs="宋体" w:eastAsia="宋体" w:hint="default"/>
        </w:rPr>
        <w:t>1967</w:t>
      </w:r>
      <w:r>
        <w:rPr>
          <w:rFonts w:ascii="宋体" w:hAnsi="宋体" w:cs="宋体" w:eastAsia="宋体" w:hint="default"/>
          <w:spacing w:val="-32"/>
        </w:rPr>
        <w:t> </w:t>
      </w:r>
      <w:r>
        <w:rPr/>
        <w:t>年生，</w:t>
      </w:r>
      <w:r>
        <w:rPr>
          <w:rFonts w:ascii="宋体" w:hAnsi="宋体" w:cs="宋体" w:eastAsia="宋体" w:hint="default"/>
        </w:rPr>
        <w:t>1990</w:t>
      </w:r>
      <w:r>
        <w:rPr>
          <w:rFonts w:ascii="宋体" w:hAnsi="宋体" w:cs="宋体" w:eastAsia="宋体" w:hint="default"/>
          <w:spacing w:val="-32"/>
        </w:rPr>
        <w:t> </w:t>
      </w:r>
      <w:r>
        <w:rPr/>
        <w:t>年</w:t>
      </w:r>
      <w:r>
        <w:rPr>
          <w:spacing w:val="-32"/>
        </w:rPr>
        <w:t> </w:t>
      </w:r>
      <w:r>
        <w:rPr>
          <w:rFonts w:ascii="宋体" w:hAnsi="宋体" w:cs="宋体" w:eastAsia="宋体" w:hint="default"/>
        </w:rPr>
        <w:t>8</w:t>
      </w:r>
      <w:r>
        <w:rPr>
          <w:rFonts w:ascii="宋体" w:hAnsi="宋体" w:cs="宋体" w:eastAsia="宋体" w:hint="default"/>
          <w:spacing w:val="-32"/>
        </w:rPr>
        <w:t> </w:t>
      </w:r>
      <w:r>
        <w:rPr/>
        <w:t>月毕业于黑龙江商学院，获得食品</w:t>
      </w:r>
      <w:r>
        <w:rPr>
          <w:w w:val="100"/>
        </w:rPr>
        <w:t> </w:t>
      </w:r>
      <w:r>
        <w:rPr>
          <w:spacing w:val="-5"/>
        </w:rPr>
        <w:t>机械专业学士学位；</w:t>
      </w:r>
      <w:r>
        <w:rPr>
          <w:rFonts w:ascii="宋体" w:hAnsi="宋体" w:cs="宋体" w:eastAsia="宋体" w:hint="default"/>
          <w:spacing w:val="-5"/>
        </w:rPr>
        <w:t>1997</w:t>
      </w:r>
      <w:r>
        <w:rPr>
          <w:rFonts w:ascii="宋体" w:hAnsi="宋体" w:cs="宋体" w:eastAsia="宋体" w:hint="default"/>
          <w:spacing w:val="-46"/>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spacing w:val="-5"/>
        </w:rPr>
        <w:t>月毕业于对外经济贸易大学，获得</w:t>
      </w:r>
      <w:r>
        <w:rPr>
          <w:spacing w:val="-45"/>
        </w:rPr>
        <w:t> </w:t>
      </w:r>
      <w:r>
        <w:rPr>
          <w:rFonts w:ascii="宋体" w:hAnsi="宋体" w:cs="宋体" w:eastAsia="宋体" w:hint="default"/>
        </w:rPr>
        <w:t>MBA</w:t>
      </w:r>
      <w:r>
        <w:rPr>
          <w:rFonts w:ascii="宋体" w:hAnsi="宋体" w:cs="宋体" w:eastAsia="宋体" w:hint="default"/>
          <w:spacing w:val="-48"/>
        </w:rPr>
        <w:t> </w:t>
      </w:r>
      <w:r>
        <w:rPr>
          <w:spacing w:val="-7"/>
        </w:rPr>
        <w:t>学位。</w:t>
      </w:r>
      <w:r>
        <w:rPr>
          <w:rFonts w:ascii="宋体" w:hAnsi="宋体" w:cs="宋体" w:eastAsia="宋体" w:hint="default"/>
          <w:spacing w:val="-7"/>
        </w:rPr>
        <w:t>1996</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52"/>
        </w:rPr>
        <w:t> </w:t>
      </w:r>
      <w:r>
        <w:rPr/>
        <w:t>月至</w:t>
      </w:r>
      <w:r>
        <w:rPr>
          <w:spacing w:val="-48"/>
        </w:rPr>
        <w:t> </w:t>
      </w:r>
      <w:r>
        <w:rPr>
          <w:rFonts w:ascii="宋体" w:hAnsi="宋体" w:cs="宋体" w:eastAsia="宋体" w:hint="default"/>
        </w:rPr>
        <w:t>1998</w:t>
      </w:r>
      <w:r>
        <w:rPr>
          <w:rFonts w:ascii="宋体" w:hAnsi="宋体" w:cs="宋体" w:eastAsia="宋体" w:hint="default"/>
          <w:spacing w:val="-52"/>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spacing w:val="-5"/>
        </w:rPr>
        <w:t>月，</w:t>
      </w:r>
      <w:r>
        <w:rPr/>
      </w:r>
    </w:p>
    <w:p>
      <w:pPr>
        <w:pStyle w:val="BodyText"/>
        <w:spacing w:line="240" w:lineRule="auto" w:before="33"/>
        <w:ind w:right="0"/>
        <w:jc w:val="both"/>
        <w:rPr>
          <w:rFonts w:ascii="宋体" w:hAnsi="宋体" w:cs="宋体" w:eastAsia="宋体" w:hint="default"/>
        </w:rPr>
      </w:pPr>
      <w:r>
        <w:rPr/>
        <w:t>任普尔斯马特高级商品总监；</w:t>
      </w:r>
      <w:r>
        <w:rPr>
          <w:rFonts w:ascii="宋体" w:hAnsi="宋体" w:cs="宋体" w:eastAsia="宋体" w:hint="default"/>
        </w:rPr>
        <w:t>1998</w:t>
      </w:r>
      <w:r>
        <w:rPr>
          <w:rFonts w:ascii="宋体" w:hAnsi="宋体" w:cs="宋体" w:eastAsia="宋体" w:hint="default"/>
          <w:spacing w:val="-52"/>
        </w:rPr>
        <w:t> </w:t>
      </w:r>
      <w:r>
        <w:rPr/>
        <w:t>年</w:t>
      </w:r>
      <w:r>
        <w:rPr>
          <w:spacing w:val="-46"/>
        </w:rPr>
        <w:t> </w:t>
      </w:r>
      <w:r>
        <w:rPr>
          <w:rFonts w:ascii="宋体" w:hAnsi="宋体" w:cs="宋体" w:eastAsia="宋体" w:hint="default"/>
          <w:spacing w:val="-3"/>
        </w:rPr>
        <w:t>12</w:t>
      </w:r>
      <w:r>
        <w:rPr>
          <w:rFonts w:ascii="宋体" w:hAnsi="宋体" w:cs="宋体" w:eastAsia="宋体" w:hint="default"/>
          <w:spacing w:val="-47"/>
        </w:rPr>
        <w:t> </w:t>
      </w:r>
      <w:r>
        <w:rPr>
          <w:spacing w:val="-3"/>
        </w:rPr>
        <w:t>月至</w:t>
      </w:r>
      <w:r>
        <w:rPr>
          <w:spacing w:val="-47"/>
        </w:rPr>
        <w:t> </w:t>
      </w:r>
      <w:r>
        <w:rPr>
          <w:rFonts w:ascii="宋体" w:hAnsi="宋体" w:cs="宋体" w:eastAsia="宋体" w:hint="default"/>
        </w:rPr>
        <w:t>2000</w:t>
      </w:r>
      <w:r>
        <w:rPr>
          <w:rFonts w:ascii="宋体" w:hAnsi="宋体" w:cs="宋体" w:eastAsia="宋体" w:hint="default"/>
          <w:spacing w:val="-51"/>
        </w:rPr>
        <w:t> </w:t>
      </w:r>
      <w:r>
        <w:rPr/>
        <w:t>年</w:t>
      </w:r>
      <w:r>
        <w:rPr>
          <w:spacing w:val="-47"/>
        </w:rPr>
        <w:t> </w:t>
      </w:r>
      <w:r>
        <w:rPr>
          <w:rFonts w:ascii="宋体" w:hAnsi="宋体" w:cs="宋体" w:eastAsia="宋体" w:hint="default"/>
        </w:rPr>
        <w:t>4</w:t>
      </w:r>
      <w:r>
        <w:rPr>
          <w:rFonts w:ascii="宋体" w:hAnsi="宋体" w:cs="宋体" w:eastAsia="宋体" w:hint="default"/>
          <w:spacing w:val="-52"/>
        </w:rPr>
        <w:t> </w:t>
      </w:r>
      <w:r>
        <w:rPr/>
        <w:t>月，任物美集团高级副总裁；</w:t>
      </w:r>
      <w:r>
        <w:rPr>
          <w:rFonts w:ascii="宋体" w:hAnsi="宋体" w:cs="宋体" w:eastAsia="宋体" w:hint="default"/>
        </w:rPr>
        <w:t>2000</w:t>
      </w:r>
      <w:r>
        <w:rPr>
          <w:rFonts w:ascii="宋体" w:hAnsi="宋体" w:cs="宋体" w:eastAsia="宋体" w:hint="default"/>
          <w:spacing w:val="-46"/>
        </w:rPr>
        <w:t> </w:t>
      </w:r>
      <w:r>
        <w:rPr/>
        <w:t>年</w:t>
      </w:r>
      <w:r>
        <w:rPr>
          <w:spacing w:val="-52"/>
        </w:rPr>
        <w:t> </w:t>
      </w:r>
      <w:r>
        <w:rPr>
          <w:rFonts w:ascii="宋体" w:hAnsi="宋体" w:cs="宋体" w:eastAsia="宋体" w:hint="default"/>
        </w:rPr>
        <w:t>4</w:t>
      </w:r>
      <w:r>
        <w:rPr>
          <w:rFonts w:ascii="宋体" w:hAnsi="宋体" w:cs="宋体" w:eastAsia="宋体" w:hint="default"/>
          <w:spacing w:val="-47"/>
        </w:rPr>
        <w:t> </w:t>
      </w:r>
      <w:r>
        <w:rPr>
          <w:spacing w:val="-3"/>
        </w:rPr>
        <w:t>月至</w:t>
      </w:r>
      <w:r>
        <w:rPr>
          <w:spacing w:val="-47"/>
        </w:rPr>
        <w:t> </w:t>
      </w:r>
      <w:r>
        <w:rPr>
          <w:rFonts w:ascii="宋体" w:hAnsi="宋体" w:cs="宋体" w:eastAsia="宋体" w:hint="default"/>
        </w:rPr>
        <w:t>2003</w:t>
      </w:r>
    </w:p>
    <w:p>
      <w:pPr>
        <w:pStyle w:val="BodyText"/>
        <w:spacing w:line="240" w:lineRule="auto" w:before="133"/>
        <w:ind w:right="0"/>
        <w:jc w:val="both"/>
        <w:rPr>
          <w:rFonts w:ascii="宋体" w:hAnsi="宋体" w:cs="宋体" w:eastAsia="宋体" w:hint="default"/>
        </w:rPr>
      </w:pPr>
      <w:r>
        <w:rPr/>
        <w:t>年</w:t>
      </w:r>
      <w:r>
        <w:rPr>
          <w:spacing w:val="-38"/>
        </w:rPr>
        <w:t> </w:t>
      </w:r>
      <w:r>
        <w:rPr>
          <w:rFonts w:ascii="宋体" w:hAnsi="宋体" w:cs="宋体" w:eastAsia="宋体" w:hint="default"/>
        </w:rPr>
        <w:t>4</w:t>
      </w:r>
      <w:r>
        <w:rPr>
          <w:rFonts w:ascii="宋体" w:hAnsi="宋体" w:cs="宋体" w:eastAsia="宋体" w:hint="default"/>
          <w:spacing w:val="-43"/>
        </w:rPr>
        <w:t> </w:t>
      </w:r>
      <w:r>
        <w:rPr/>
        <w:t>月，任罗兰贝格合伙人、副总裁；</w:t>
      </w:r>
      <w:r>
        <w:rPr>
          <w:rFonts w:ascii="宋体" w:hAnsi="宋体" w:cs="宋体" w:eastAsia="宋体" w:hint="default"/>
        </w:rPr>
        <w:t>2003</w:t>
      </w:r>
      <w:r>
        <w:rPr>
          <w:rFonts w:ascii="宋体" w:hAnsi="宋体" w:cs="宋体" w:eastAsia="宋体" w:hint="default"/>
          <w:spacing w:val="-43"/>
        </w:rPr>
        <w:t> </w:t>
      </w:r>
      <w:r>
        <w:rPr/>
        <w:t>年</w:t>
      </w:r>
      <w:r>
        <w:rPr>
          <w:spacing w:val="-43"/>
        </w:rPr>
        <w:t> </w:t>
      </w:r>
      <w:r>
        <w:rPr>
          <w:rFonts w:ascii="宋体" w:hAnsi="宋体" w:cs="宋体" w:eastAsia="宋体" w:hint="default"/>
        </w:rPr>
        <w:t>4</w:t>
      </w:r>
      <w:r>
        <w:rPr>
          <w:rFonts w:ascii="宋体" w:hAnsi="宋体" w:cs="宋体" w:eastAsia="宋体" w:hint="default"/>
          <w:spacing w:val="-38"/>
        </w:rPr>
        <w:t> </w:t>
      </w:r>
      <w:r>
        <w:rPr>
          <w:spacing w:val="-3"/>
        </w:rPr>
        <w:t>月至</w:t>
      </w:r>
      <w:r>
        <w:rPr>
          <w:spacing w:val="-38"/>
        </w:rPr>
        <w:t> </w:t>
      </w:r>
      <w:r>
        <w:rPr>
          <w:rFonts w:ascii="宋体" w:hAnsi="宋体" w:cs="宋体" w:eastAsia="宋体" w:hint="default"/>
        </w:rPr>
        <w:t>2006</w:t>
      </w:r>
      <w:r>
        <w:rPr>
          <w:rFonts w:ascii="宋体" w:hAnsi="宋体" w:cs="宋体" w:eastAsia="宋体" w:hint="default"/>
          <w:spacing w:val="-43"/>
        </w:rPr>
        <w:t> </w:t>
      </w:r>
      <w:r>
        <w:rPr/>
        <w:t>年</w:t>
      </w:r>
      <w:r>
        <w:rPr>
          <w:spacing w:val="-38"/>
        </w:rPr>
        <w:t> </w:t>
      </w:r>
      <w:r>
        <w:rPr>
          <w:rFonts w:ascii="宋体" w:hAnsi="宋体" w:cs="宋体" w:eastAsia="宋体" w:hint="default"/>
        </w:rPr>
        <w:t>12</w:t>
      </w:r>
      <w:r>
        <w:rPr>
          <w:rFonts w:ascii="宋体" w:hAnsi="宋体" w:cs="宋体" w:eastAsia="宋体" w:hint="default"/>
          <w:spacing w:val="-43"/>
        </w:rPr>
        <w:t> </w:t>
      </w:r>
      <w:r>
        <w:rPr/>
        <w:t>月，任华润万家首席运营官；</w:t>
      </w:r>
      <w:r>
        <w:rPr>
          <w:rFonts w:ascii="宋体" w:hAnsi="宋体" w:cs="宋体" w:eastAsia="宋体" w:hint="default"/>
        </w:rPr>
        <w:t>2007</w:t>
      </w:r>
      <w:r>
        <w:rPr>
          <w:rFonts w:ascii="宋体" w:hAnsi="宋体" w:cs="宋体" w:eastAsia="宋体" w:hint="default"/>
          <w:spacing w:val="-38"/>
        </w:rPr>
        <w:t> </w:t>
      </w:r>
      <w:r>
        <w:rPr/>
        <w:t>年</w:t>
      </w:r>
      <w:r>
        <w:rPr>
          <w:spacing w:val="-43"/>
        </w:rPr>
        <w:t> </w:t>
      </w:r>
      <w:r>
        <w:rPr>
          <w:rFonts w:ascii="宋体" w:hAnsi="宋体" w:cs="宋体" w:eastAsia="宋体" w:hint="default"/>
        </w:rPr>
        <w:t>1</w:t>
      </w:r>
    </w:p>
    <w:p>
      <w:pPr>
        <w:pStyle w:val="BodyText"/>
        <w:spacing w:line="240" w:lineRule="auto" w:before="138"/>
        <w:ind w:right="0"/>
        <w:jc w:val="both"/>
      </w:pPr>
      <w:r>
        <w:rPr/>
        <w:t>月至</w:t>
      </w:r>
      <w:r>
        <w:rPr>
          <w:spacing w:val="-46"/>
        </w:rPr>
        <w:t> </w:t>
      </w:r>
      <w:r>
        <w:rPr>
          <w:rFonts w:ascii="宋体" w:hAnsi="宋体" w:cs="宋体" w:eastAsia="宋体" w:hint="default"/>
        </w:rPr>
        <w:t>2009</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6"/>
        </w:rPr>
        <w:t> </w:t>
      </w:r>
      <w:r>
        <w:rPr/>
        <w:t>月任宏梦卡通集团</w:t>
      </w:r>
      <w:r>
        <w:rPr>
          <w:spacing w:val="-45"/>
        </w:rPr>
        <w:t> </w:t>
      </w:r>
      <w:r>
        <w:rPr>
          <w:rFonts w:ascii="宋体" w:hAnsi="宋体" w:cs="宋体" w:eastAsia="宋体" w:hint="default"/>
        </w:rPr>
        <w:t>CEO</w:t>
      </w:r>
      <w:r>
        <w:rPr/>
        <w:t>；</w:t>
      </w:r>
      <w:r>
        <w:rPr>
          <w:rFonts w:ascii="宋体" w:hAnsi="宋体" w:cs="宋体" w:eastAsia="宋体" w:hint="default"/>
        </w:rPr>
        <w:t>2009</w:t>
      </w:r>
      <w:r>
        <w:rPr>
          <w:rFonts w:ascii="宋体" w:hAnsi="宋体" w:cs="宋体" w:eastAsia="宋体" w:hint="default"/>
          <w:spacing w:val="-46"/>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月至</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月，任九洲远景商业顾问有限公司董事</w:t>
      </w:r>
    </w:p>
    <w:p>
      <w:pPr>
        <w:pStyle w:val="BodyText"/>
        <w:spacing w:line="355" w:lineRule="auto" w:before="133"/>
        <w:ind w:right="1122"/>
        <w:jc w:val="both"/>
      </w:pPr>
      <w:r>
        <w:rPr/>
        <w:t>长；</w:t>
      </w:r>
      <w:r>
        <w:rPr>
          <w:rFonts w:ascii="宋体" w:hAnsi="宋体" w:cs="宋体" w:eastAsia="宋体" w:hint="default"/>
        </w:rPr>
        <w:t>2017</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月至</w:t>
      </w:r>
      <w:r>
        <w:rPr>
          <w:spacing w:val="-52"/>
        </w:rPr>
        <w:t> </w:t>
      </w:r>
      <w:r>
        <w:rPr>
          <w:rFonts w:ascii="宋体" w:hAnsi="宋体" w:cs="宋体" w:eastAsia="宋体" w:hint="default"/>
        </w:rPr>
        <w:t>2018</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t>月，任北京优集客科技有限公司</w:t>
      </w:r>
      <w:r>
        <w:rPr>
          <w:spacing w:val="-51"/>
        </w:rPr>
        <w:t> </w:t>
      </w:r>
      <w:r>
        <w:rPr>
          <w:rFonts w:ascii="宋体" w:hAnsi="宋体" w:cs="宋体" w:eastAsia="宋体" w:hint="default"/>
        </w:rPr>
        <w:t>CEO</w:t>
      </w:r>
      <w:r>
        <w:rPr/>
        <w:t>；</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月至</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1"/>
        </w:rPr>
        <w:t> </w:t>
      </w:r>
      <w:r>
        <w:rPr>
          <w:rFonts w:ascii="宋体" w:hAnsi="宋体" w:cs="宋体" w:eastAsia="宋体" w:hint="default"/>
        </w:rPr>
        <w:t>4</w:t>
      </w:r>
      <w:r>
        <w:rPr>
          <w:rFonts w:ascii="宋体" w:hAnsi="宋体" w:cs="宋体" w:eastAsia="宋体" w:hint="default"/>
          <w:spacing w:val="-52"/>
        </w:rPr>
        <w:t> </w:t>
      </w:r>
      <w:r>
        <w:rPr/>
        <w:t>月，任京东</w:t>
      </w:r>
      <w:r>
        <w:rPr>
          <w:w w:val="100"/>
        </w:rPr>
        <w:t> </w:t>
      </w:r>
      <w:r>
        <w:rPr/>
        <w:t>集团</w:t>
      </w:r>
      <w:r>
        <w:rPr>
          <w:spacing w:val="-54"/>
        </w:rPr>
        <w:t> </w:t>
      </w:r>
      <w:r>
        <w:rPr>
          <w:rFonts w:ascii="宋体" w:hAnsi="宋体" w:cs="宋体" w:eastAsia="宋体" w:hint="default"/>
        </w:rPr>
        <w:t>7FRESH</w:t>
      </w:r>
      <w:r>
        <w:rPr>
          <w:rFonts w:ascii="宋体" w:hAnsi="宋体" w:cs="宋体" w:eastAsia="宋体" w:hint="default"/>
          <w:spacing w:val="-58"/>
        </w:rPr>
        <w:t> </w:t>
      </w:r>
      <w:r>
        <w:rPr/>
        <w:t>业务部首席战略官；</w:t>
      </w:r>
      <w:r>
        <w:rPr>
          <w:rFonts w:ascii="宋体" w:hAnsi="宋体" w:cs="宋体" w:eastAsia="宋体" w:hint="default"/>
        </w:rPr>
        <w:t>2019</w:t>
      </w:r>
      <w:r>
        <w:rPr>
          <w:rFonts w:ascii="宋体" w:hAnsi="宋体" w:cs="宋体" w:eastAsia="宋体" w:hint="default"/>
          <w:spacing w:val="-58"/>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月至今，任京东集团副总裁、</w:t>
      </w:r>
      <w:r>
        <w:rPr>
          <w:rFonts w:ascii="宋体" w:hAnsi="宋体" w:cs="宋体" w:eastAsia="宋体" w:hint="default"/>
        </w:rPr>
        <w:t>7FRESH</w:t>
      </w:r>
      <w:r>
        <w:rPr>
          <w:rFonts w:ascii="宋体" w:hAnsi="宋体" w:cs="宋体" w:eastAsia="宋体" w:hint="default"/>
          <w:spacing w:val="-58"/>
        </w:rPr>
        <w:t> </w:t>
      </w:r>
      <w:r>
        <w:rPr/>
        <w:t>业务部负责人。现任创业</w:t>
      </w:r>
      <w:r>
        <w:rPr>
          <w:w w:val="100"/>
        </w:rPr>
        <w:t> </w:t>
      </w:r>
      <w:r>
        <w:rPr/>
        <w:t>黑马独立董事。</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、第二届监事会监事简介</w:t>
      </w:r>
    </w:p>
    <w:p>
      <w:pPr>
        <w:spacing w:line="240" w:lineRule="auto" w:before="4"/>
        <w:rPr>
          <w:rFonts w:ascii="宋体" w:hAnsi="宋体" w:cs="宋体" w:eastAsia="宋体" w:hint="default"/>
          <w:sz w:val="22"/>
          <w:szCs w:val="22"/>
        </w:rPr>
      </w:pPr>
    </w:p>
    <w:p>
      <w:pPr>
        <w:pStyle w:val="BodyText"/>
        <w:spacing w:line="240" w:lineRule="auto"/>
        <w:ind w:left="575" w:right="0"/>
        <w:jc w:val="left"/>
      </w:pPr>
      <w:r>
        <w:rPr/>
        <w:t>曹国熊先生，中国国籍，无境外永久居留权，</w:t>
      </w:r>
      <w:r>
        <w:rPr>
          <w:rFonts w:ascii="宋体" w:hAnsi="宋体" w:cs="宋体" w:eastAsia="宋体" w:hint="default"/>
        </w:rPr>
        <w:t>1973</w:t>
      </w:r>
      <w:r>
        <w:rPr>
          <w:rFonts w:ascii="宋体" w:hAnsi="宋体" w:cs="宋体" w:eastAsia="宋体" w:hint="default"/>
          <w:spacing w:val="-54"/>
        </w:rPr>
        <w:t> </w:t>
      </w:r>
      <w:r>
        <w:rPr/>
        <w:t>年生，</w:t>
      </w:r>
      <w:r>
        <w:rPr>
          <w:rFonts w:ascii="宋体" w:hAnsi="宋体" w:cs="宋体" w:eastAsia="宋体" w:hint="default"/>
        </w:rPr>
        <w:t>1991</w:t>
      </w:r>
      <w:r>
        <w:rPr>
          <w:rFonts w:ascii="宋体" w:hAnsi="宋体" w:cs="宋体" w:eastAsia="宋体" w:hint="default"/>
          <w:spacing w:val="-58"/>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月至</w:t>
      </w:r>
      <w:r>
        <w:rPr>
          <w:spacing w:val="-53"/>
        </w:rPr>
        <w:t> </w:t>
      </w:r>
      <w:r>
        <w:rPr>
          <w:rFonts w:ascii="宋体" w:hAnsi="宋体" w:cs="宋体" w:eastAsia="宋体" w:hint="default"/>
        </w:rPr>
        <w:t>1995</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8"/>
        </w:rPr>
        <w:t> </w:t>
      </w:r>
      <w:r>
        <w:rPr/>
        <w:t>月毕业于浙江财经</w:t>
      </w:r>
    </w:p>
    <w:p>
      <w:pPr>
        <w:pStyle w:val="BodyText"/>
        <w:spacing w:line="240" w:lineRule="auto" w:before="133"/>
        <w:ind w:right="0"/>
        <w:jc w:val="both"/>
      </w:pPr>
      <w:r>
        <w:rPr>
          <w:spacing w:val="-8"/>
        </w:rPr>
        <w:t>学院，获得会计学学士学位；</w:t>
      </w:r>
      <w:r>
        <w:rPr>
          <w:rFonts w:ascii="宋体" w:hAnsi="宋体" w:cs="宋体" w:eastAsia="宋体" w:hint="default"/>
          <w:spacing w:val="-8"/>
        </w:rPr>
        <w:t>1998</w:t>
      </w:r>
      <w:r>
        <w:rPr>
          <w:rFonts w:ascii="宋体" w:hAnsi="宋体" w:cs="宋体" w:eastAsia="宋体" w:hint="default"/>
          <w:spacing w:val="-45"/>
        </w:rPr>
        <w:t> </w:t>
      </w:r>
      <w:r>
        <w:rPr/>
        <w:t>年</w:t>
      </w:r>
      <w:r>
        <w:rPr>
          <w:spacing w:val="-44"/>
        </w:rPr>
        <w:t> </w:t>
      </w:r>
      <w:r>
        <w:rPr>
          <w:rFonts w:ascii="宋体" w:hAnsi="宋体" w:cs="宋体" w:eastAsia="宋体" w:hint="default"/>
        </w:rPr>
        <w:t>9</w:t>
      </w:r>
      <w:r>
        <w:rPr>
          <w:rFonts w:ascii="宋体" w:hAnsi="宋体" w:cs="宋体" w:eastAsia="宋体" w:hint="default"/>
          <w:spacing w:val="-50"/>
        </w:rPr>
        <w:t> </w:t>
      </w:r>
      <w:r>
        <w:rPr/>
        <w:t>月至</w:t>
      </w:r>
      <w:r>
        <w:rPr>
          <w:spacing w:val="-45"/>
        </w:rPr>
        <w:t> </w:t>
      </w:r>
      <w:r>
        <w:rPr>
          <w:rFonts w:ascii="宋体" w:hAnsi="宋体" w:cs="宋体" w:eastAsia="宋体" w:hint="default"/>
        </w:rPr>
        <w:t>2000</w:t>
      </w:r>
      <w:r>
        <w:rPr>
          <w:rFonts w:ascii="宋体" w:hAnsi="宋体" w:cs="宋体" w:eastAsia="宋体" w:hint="default"/>
          <w:spacing w:val="-45"/>
        </w:rPr>
        <w:t> </w:t>
      </w:r>
      <w:r>
        <w:rPr/>
        <w:t>年</w:t>
      </w:r>
      <w:r>
        <w:rPr>
          <w:spacing w:val="-44"/>
        </w:rPr>
        <w:t> </w:t>
      </w:r>
      <w:r>
        <w:rPr>
          <w:rFonts w:ascii="宋体" w:hAnsi="宋体" w:cs="宋体" w:eastAsia="宋体" w:hint="default"/>
        </w:rPr>
        <w:t>3</w:t>
      </w:r>
      <w:r>
        <w:rPr>
          <w:rFonts w:ascii="宋体" w:hAnsi="宋体" w:cs="宋体" w:eastAsia="宋体" w:hint="default"/>
          <w:spacing w:val="-50"/>
        </w:rPr>
        <w:t> </w:t>
      </w:r>
      <w:r>
        <w:rPr>
          <w:spacing w:val="-4"/>
        </w:rPr>
        <w:t>月毕业于中南财经政法大学，获得会计学硕士学位。</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1995</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0"/>
        </w:rPr>
        <w:t> </w:t>
      </w:r>
      <w:r>
        <w:rPr>
          <w:spacing w:val="-3"/>
        </w:rPr>
        <w:t>月至</w:t>
      </w:r>
      <w:r>
        <w:rPr>
          <w:spacing w:val="-41"/>
        </w:rPr>
        <w:t> </w:t>
      </w:r>
      <w:r>
        <w:rPr>
          <w:rFonts w:ascii="宋体" w:hAnsi="宋体" w:cs="宋体" w:eastAsia="宋体" w:hint="default"/>
        </w:rPr>
        <w:t>1998</w:t>
      </w:r>
      <w:r>
        <w:rPr>
          <w:rFonts w:ascii="宋体" w:hAnsi="宋体" w:cs="宋体" w:eastAsia="宋体" w:hint="default"/>
          <w:spacing w:val="-46"/>
        </w:rPr>
        <w:t> </w:t>
      </w:r>
      <w:r>
        <w:rPr/>
        <w:t>年</w:t>
      </w:r>
      <w:r>
        <w:rPr>
          <w:spacing w:val="-40"/>
        </w:rPr>
        <w:t> </w:t>
      </w:r>
      <w:r>
        <w:rPr>
          <w:rFonts w:ascii="宋体" w:hAnsi="宋体" w:cs="宋体" w:eastAsia="宋体" w:hint="default"/>
        </w:rPr>
        <w:t>12</w:t>
      </w:r>
      <w:r>
        <w:rPr>
          <w:rFonts w:ascii="宋体" w:hAnsi="宋体" w:cs="宋体" w:eastAsia="宋体" w:hint="default"/>
          <w:spacing w:val="-41"/>
        </w:rPr>
        <w:t> </w:t>
      </w:r>
      <w:r>
        <w:rPr>
          <w:spacing w:val="-4"/>
        </w:rPr>
        <w:t>月，先后任浙江省机械工业厅科员、浙江省机械设备进出口公司财务科长；</w:t>
      </w:r>
      <w:r>
        <w:rPr>
          <w:rFonts w:ascii="宋体" w:hAnsi="宋体" w:cs="宋体" w:eastAsia="宋体" w:hint="default"/>
          <w:spacing w:val="-4"/>
        </w:rPr>
        <w:t>1998</w:t>
      </w:r>
    </w:p>
    <w:p>
      <w:pPr>
        <w:spacing w:after="0" w:line="240" w:lineRule="auto"/>
        <w:jc w:val="both"/>
        <w:rPr>
          <w:rFonts w:ascii="宋体" w:hAnsi="宋体" w:cs="宋体" w:eastAsia="宋体" w:hint="default"/>
        </w:rPr>
        <w:sectPr>
          <w:pgSz w:w="11910" w:h="16840"/>
          <w:pgMar w:header="741" w:footer="979" w:top="1060" w:bottom="1160" w:left="980" w:right="0"/>
        </w:sectPr>
      </w:pPr>
    </w:p>
    <w:p>
      <w:pPr>
        <w:spacing w:line="240" w:lineRule="auto" w:before="6"/>
        <w:rPr>
          <w:rFonts w:ascii="宋体" w:hAnsi="宋体" w:cs="宋体" w:eastAsia="宋体" w:hint="default"/>
          <w:sz w:val="23"/>
          <w:szCs w:val="23"/>
        </w:rPr>
      </w:pPr>
    </w:p>
    <w:p>
      <w:pPr>
        <w:pStyle w:val="BodyText"/>
        <w:spacing w:line="355" w:lineRule="auto" w:before="36"/>
        <w:ind w:right="1127"/>
        <w:jc w:val="both"/>
      </w:pPr>
      <w:r>
        <w:rPr/>
        <w:t>年</w:t>
      </w:r>
      <w:r>
        <w:rPr>
          <w:spacing w:val="-48"/>
        </w:rPr>
        <w:t> </w:t>
      </w:r>
      <w:r>
        <w:rPr>
          <w:rFonts w:ascii="宋体" w:hAnsi="宋体" w:cs="宋体" w:eastAsia="宋体" w:hint="default"/>
        </w:rPr>
        <w:t>12</w:t>
      </w:r>
      <w:r>
        <w:rPr>
          <w:rFonts w:ascii="宋体" w:hAnsi="宋体" w:cs="宋体" w:eastAsia="宋体" w:hint="default"/>
          <w:spacing w:val="-48"/>
        </w:rPr>
        <w:t> </w:t>
      </w:r>
      <w:r>
        <w:rPr>
          <w:spacing w:val="-3"/>
        </w:rPr>
        <w:t>月至</w:t>
      </w:r>
      <w:r>
        <w:rPr>
          <w:spacing w:val="-47"/>
        </w:rPr>
        <w:t> </w:t>
      </w:r>
      <w:r>
        <w:rPr>
          <w:rFonts w:ascii="宋体" w:hAnsi="宋体" w:cs="宋体" w:eastAsia="宋体" w:hint="default"/>
        </w:rPr>
        <w:t>2002</w:t>
      </w:r>
      <w:r>
        <w:rPr>
          <w:rFonts w:ascii="宋体" w:hAnsi="宋体" w:cs="宋体" w:eastAsia="宋体" w:hint="default"/>
          <w:spacing w:val="-53"/>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月，先后任郎新信息科技公司经理、香港联侨国际集团经理；</w:t>
      </w:r>
      <w:r>
        <w:rPr>
          <w:rFonts w:ascii="宋体" w:hAnsi="宋体" w:cs="宋体" w:eastAsia="宋体" w:hint="default"/>
        </w:rPr>
        <w:t>2004</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48"/>
        </w:rPr>
        <w:t> </w:t>
      </w:r>
      <w:r>
        <w:rPr/>
        <w:t>月至今，任</w:t>
      </w:r>
      <w:r>
        <w:rPr>
          <w:w w:val="100"/>
        </w:rPr>
        <w:t> </w:t>
      </w:r>
      <w:r>
        <w:rPr>
          <w:spacing w:val="-4"/>
        </w:rPr>
        <w:t>杭州普华投资管理有限公司董事长；</w:t>
      </w:r>
      <w:r>
        <w:rPr>
          <w:rFonts w:ascii="宋体" w:hAnsi="宋体" w:cs="宋体" w:eastAsia="宋体" w:hint="default"/>
          <w:spacing w:val="-4"/>
        </w:rPr>
        <w:t>2010</w:t>
      </w:r>
      <w:r>
        <w:rPr>
          <w:rFonts w:ascii="宋体" w:hAnsi="宋体" w:cs="宋体" w:eastAsia="宋体" w:hint="default"/>
          <w:spacing w:val="-28"/>
        </w:rPr>
        <w:t> </w:t>
      </w:r>
      <w:r>
        <w:rPr/>
        <w:t>年</w:t>
      </w:r>
      <w:r>
        <w:rPr>
          <w:spacing w:val="-28"/>
        </w:rPr>
        <w:t> </w:t>
      </w:r>
      <w:r>
        <w:rPr>
          <w:rFonts w:ascii="宋体" w:hAnsi="宋体" w:cs="宋体" w:eastAsia="宋体" w:hint="default"/>
        </w:rPr>
        <w:t>1</w:t>
      </w:r>
      <w:r>
        <w:rPr>
          <w:rFonts w:ascii="宋体" w:hAnsi="宋体" w:cs="宋体" w:eastAsia="宋体" w:hint="default"/>
          <w:spacing w:val="-28"/>
        </w:rPr>
        <w:t> </w:t>
      </w:r>
      <w:r>
        <w:rPr>
          <w:spacing w:val="-10"/>
        </w:rPr>
        <w:t>月至今，任经纬（杭州）投资管理有限公司管理合伙人；</w:t>
      </w:r>
      <w:r>
        <w:rPr>
          <w:rFonts w:ascii="宋体" w:hAnsi="宋体" w:cs="宋体" w:eastAsia="宋体" w:hint="default"/>
          <w:spacing w:val="-10"/>
        </w:rPr>
        <w:t>2015</w:t>
      </w:r>
      <w:r>
        <w:rPr>
          <w:rFonts w:ascii="宋体" w:hAnsi="宋体" w:cs="宋体" w:eastAsia="宋体" w:hint="default"/>
          <w:spacing w:val="-98"/>
        </w:rPr>
        <w:t> </w:t>
      </w:r>
      <w:r>
        <w:rPr>
          <w:rFonts w:ascii="宋体" w:hAnsi="宋体" w:cs="宋体" w:eastAsia="宋体" w:hint="default"/>
          <w:spacing w:val="-98"/>
        </w:rPr>
      </w:r>
      <w:r>
        <w:rPr/>
        <w:t>年</w:t>
      </w:r>
      <w:r>
        <w:rPr>
          <w:spacing w:val="-51"/>
        </w:rPr>
        <w:t> </w:t>
      </w:r>
      <w:r>
        <w:rPr>
          <w:rFonts w:ascii="宋体" w:hAnsi="宋体" w:cs="宋体" w:eastAsia="宋体" w:hint="default"/>
        </w:rPr>
        <w:t>5</w:t>
      </w:r>
      <w:r>
        <w:rPr>
          <w:rFonts w:ascii="宋体" w:hAnsi="宋体" w:cs="宋体" w:eastAsia="宋体" w:hint="default"/>
          <w:spacing w:val="-51"/>
        </w:rPr>
        <w:t> </w:t>
      </w:r>
      <w:r>
        <w:rPr/>
        <w:t>月至今，任杭州大头投资管理有限公司基金创始人及管理合伙人。现任创业黑马监事会主席。</w:t>
      </w:r>
    </w:p>
    <w:p>
      <w:pPr>
        <w:spacing w:line="240" w:lineRule="auto" w:before="13"/>
        <w:rPr>
          <w:rFonts w:ascii="宋体" w:hAnsi="宋体" w:cs="宋体" w:eastAsia="宋体" w:hint="default"/>
          <w:sz w:val="14"/>
          <w:szCs w:val="14"/>
        </w:rPr>
      </w:pPr>
    </w:p>
    <w:p>
      <w:pPr>
        <w:pStyle w:val="BodyText"/>
        <w:spacing w:line="240" w:lineRule="auto"/>
        <w:ind w:left="575" w:right="0"/>
        <w:jc w:val="left"/>
      </w:pPr>
      <w:r>
        <w:rPr/>
        <w:t>王佳佳女士，中国国籍，无境外永久居留权，</w:t>
      </w:r>
      <w:r>
        <w:rPr>
          <w:rFonts w:ascii="宋体" w:hAnsi="宋体" w:cs="宋体" w:eastAsia="宋体" w:hint="default"/>
        </w:rPr>
        <w:t>1982</w:t>
      </w:r>
      <w:r>
        <w:rPr>
          <w:rFonts w:ascii="宋体" w:hAnsi="宋体" w:cs="宋体" w:eastAsia="宋体" w:hint="default"/>
          <w:spacing w:val="-41"/>
        </w:rPr>
        <w:t> </w:t>
      </w:r>
      <w:r>
        <w:rPr/>
        <w:t>年生，大专学历。</w:t>
      </w:r>
      <w:r>
        <w:rPr>
          <w:rFonts w:ascii="宋体" w:hAnsi="宋体" w:cs="宋体" w:eastAsia="宋体" w:hint="default"/>
        </w:rPr>
        <w:t>2001</w:t>
      </w:r>
      <w:r>
        <w:rPr>
          <w:rFonts w:ascii="宋体" w:hAnsi="宋体" w:cs="宋体" w:eastAsia="宋体" w:hint="default"/>
          <w:spacing w:val="-40"/>
        </w:rPr>
        <w:t> </w:t>
      </w:r>
      <w:r>
        <w:rPr/>
        <w:t>年</w:t>
      </w:r>
      <w:r>
        <w:rPr>
          <w:spacing w:val="-41"/>
        </w:rPr>
        <w:t> </w:t>
      </w:r>
      <w:r>
        <w:rPr>
          <w:rFonts w:ascii="宋体" w:hAnsi="宋体" w:cs="宋体" w:eastAsia="宋体" w:hint="default"/>
        </w:rPr>
        <w:t>7</w:t>
      </w:r>
      <w:r>
        <w:rPr>
          <w:rFonts w:ascii="宋体" w:hAnsi="宋体" w:cs="宋体" w:eastAsia="宋体" w:hint="default"/>
          <w:spacing w:val="-47"/>
        </w:rPr>
        <w:t> </w:t>
      </w:r>
      <w:r>
        <w:rPr/>
        <w:t>月至</w:t>
      </w:r>
      <w:r>
        <w:rPr>
          <w:spacing w:val="-41"/>
        </w:rPr>
        <w:t> </w:t>
      </w:r>
      <w:r>
        <w:rPr>
          <w:rFonts w:ascii="宋体" w:hAnsi="宋体" w:cs="宋体" w:eastAsia="宋体" w:hint="default"/>
        </w:rPr>
        <w:t>2005</w:t>
      </w:r>
      <w:r>
        <w:rPr>
          <w:rFonts w:ascii="宋体" w:hAnsi="宋体" w:cs="宋体" w:eastAsia="宋体" w:hint="default"/>
          <w:spacing w:val="-41"/>
        </w:rPr>
        <w:t> </w:t>
      </w:r>
      <w:r>
        <w:rPr/>
        <w:t>年</w:t>
      </w:r>
      <w:r>
        <w:rPr>
          <w:spacing w:val="-47"/>
        </w:rPr>
        <w:t> </w:t>
      </w:r>
      <w:r>
        <w:rPr>
          <w:rFonts w:ascii="宋体" w:hAnsi="宋体" w:cs="宋体" w:eastAsia="宋体" w:hint="default"/>
        </w:rPr>
        <w:t>11</w:t>
      </w:r>
      <w:r>
        <w:rPr>
          <w:rFonts w:ascii="宋体" w:hAnsi="宋体" w:cs="宋体" w:eastAsia="宋体" w:hint="default"/>
          <w:spacing w:val="-41"/>
        </w:rPr>
        <w:t> </w:t>
      </w:r>
      <w:r>
        <w:rPr/>
        <w:t>月，</w:t>
      </w:r>
    </w:p>
    <w:p>
      <w:pPr>
        <w:pStyle w:val="BodyText"/>
        <w:spacing w:line="240" w:lineRule="auto" w:before="133"/>
        <w:ind w:right="0"/>
        <w:jc w:val="both"/>
      </w:pPr>
      <w:r>
        <w:rPr/>
        <w:t>任瑞海姆田园度假村销售经理；</w:t>
      </w:r>
      <w:r>
        <w:rPr>
          <w:rFonts w:ascii="宋体" w:hAnsi="宋体" w:cs="宋体" w:eastAsia="宋体" w:hint="default"/>
        </w:rPr>
        <w:t>2006</w:t>
      </w:r>
      <w:r>
        <w:rPr>
          <w:rFonts w:ascii="宋体" w:hAnsi="宋体" w:cs="宋体" w:eastAsia="宋体" w:hint="default"/>
          <w:spacing w:val="-46"/>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月至</w:t>
      </w:r>
      <w:r>
        <w:rPr>
          <w:spacing w:val="-47"/>
        </w:rPr>
        <w:t> </w:t>
      </w:r>
      <w:r>
        <w:rPr>
          <w:rFonts w:ascii="宋体" w:hAnsi="宋体" w:cs="宋体" w:eastAsia="宋体" w:hint="default"/>
        </w:rPr>
        <w:t>2008</w:t>
      </w:r>
      <w:r>
        <w:rPr>
          <w:rFonts w:ascii="宋体" w:hAnsi="宋体" w:cs="宋体" w:eastAsia="宋体" w:hint="default"/>
          <w:spacing w:val="-47"/>
        </w:rPr>
        <w:t> </w:t>
      </w:r>
      <w:r>
        <w:rPr/>
        <w:t>年，任中青旅联科公关顾问有限公司项目经理；王佳</w:t>
      </w:r>
    </w:p>
    <w:p>
      <w:pPr>
        <w:pStyle w:val="BodyText"/>
        <w:spacing w:line="240" w:lineRule="auto" w:before="128"/>
        <w:ind w:right="0"/>
        <w:jc w:val="both"/>
      </w:pPr>
      <w:r>
        <w:rPr/>
        <w:t>佳女士</w:t>
      </w:r>
      <w:r>
        <w:rPr>
          <w:spacing w:val="-50"/>
        </w:rPr>
        <w:t> </w:t>
      </w:r>
      <w:r>
        <w:rPr>
          <w:rFonts w:ascii="宋体" w:hAnsi="宋体" w:cs="宋体" w:eastAsia="宋体" w:hint="default"/>
        </w:rPr>
        <w:t>2011</w:t>
      </w:r>
      <w:r>
        <w:rPr>
          <w:rFonts w:ascii="宋体" w:hAnsi="宋体" w:cs="宋体" w:eastAsia="宋体" w:hint="default"/>
          <w:spacing w:val="-54"/>
        </w:rPr>
        <w:t> </w:t>
      </w:r>
      <w:r>
        <w:rPr/>
        <w:t>年加入创业黑马，现任大客户总监、职工监事。</w:t>
      </w:r>
    </w:p>
    <w:p>
      <w:pPr>
        <w:spacing w:line="240" w:lineRule="auto" w:before="9"/>
        <w:rPr>
          <w:rFonts w:ascii="宋体" w:hAnsi="宋体" w:cs="宋体" w:eastAsia="宋体" w:hint="default"/>
          <w:sz w:val="22"/>
          <w:szCs w:val="22"/>
        </w:rPr>
      </w:pPr>
    </w:p>
    <w:p>
      <w:pPr>
        <w:pStyle w:val="BodyText"/>
        <w:spacing w:line="352" w:lineRule="auto"/>
        <w:ind w:right="1123" w:firstLine="422"/>
        <w:jc w:val="both"/>
      </w:pPr>
      <w:r>
        <w:rPr>
          <w:spacing w:val="-3"/>
        </w:rPr>
        <w:t>李雁宾女士，中国国籍，无永久境外居留权，</w:t>
      </w:r>
      <w:r>
        <w:rPr>
          <w:rFonts w:ascii="宋体" w:hAnsi="宋体" w:cs="宋体" w:eastAsia="宋体" w:hint="default"/>
          <w:spacing w:val="-3"/>
        </w:rPr>
        <w:t>1978</w:t>
      </w:r>
      <w:r>
        <w:rPr>
          <w:rFonts w:ascii="宋体" w:hAnsi="宋体" w:cs="宋体" w:eastAsia="宋体" w:hint="default"/>
          <w:spacing w:val="-5"/>
        </w:rPr>
        <w:t> </w:t>
      </w:r>
      <w:r>
        <w:rPr>
          <w:spacing w:val="-3"/>
        </w:rPr>
        <w:t>年生，本科学历。曾就职于北京平治东方科技有限</w:t>
      </w:r>
      <w:r>
        <w:rPr>
          <w:w w:val="100"/>
        </w:rPr>
        <w:t> </w:t>
      </w:r>
      <w:r>
        <w:rPr/>
        <w:t>公司。现任公司财务部会计、职工监事。</w:t>
      </w:r>
    </w:p>
    <w:p>
      <w:pPr>
        <w:spacing w:line="240" w:lineRule="auto" w:before="5"/>
        <w:rPr>
          <w:rFonts w:ascii="宋体" w:hAnsi="宋体" w:cs="宋体" w:eastAsia="宋体" w:hint="default"/>
          <w:sz w:val="14"/>
          <w:szCs w:val="14"/>
        </w:rPr>
      </w:pPr>
    </w:p>
    <w:p>
      <w:pPr>
        <w:pStyle w:val="BodyText"/>
        <w:spacing w:line="494" w:lineRule="auto"/>
        <w:ind w:left="575" w:right="2115"/>
        <w:jc w:val="left"/>
      </w:pPr>
      <w:r>
        <w:rPr>
          <w:rFonts w:ascii="宋体" w:hAnsi="宋体" w:cs="宋体" w:eastAsia="宋体" w:hint="default"/>
        </w:rPr>
        <w:t>3</w:t>
      </w:r>
      <w:r>
        <w:rPr/>
        <w:t>、高级管理人员简介</w:t>
      </w:r>
      <w:r>
        <w:rPr>
          <w:spacing w:val="-99"/>
        </w:rPr>
        <w:t> </w:t>
      </w:r>
      <w:r>
        <w:rPr>
          <w:spacing w:val="-99"/>
        </w:rPr>
      </w:r>
      <w:r>
        <w:rPr/>
        <w:t>牛文文先生，董事长、总经理，简历情况详见“第二届董事会董事简介”内容。</w:t>
      </w:r>
      <w:r>
        <w:rPr>
          <w:spacing w:val="-101"/>
        </w:rPr>
        <w:t> </w:t>
      </w:r>
      <w:r>
        <w:rPr>
          <w:spacing w:val="-101"/>
        </w:rPr>
      </w:r>
      <w:r>
        <w:rPr/>
        <w:t>刘义伟女士，董事、副总经理，简历情况详见“第二届董事会董事简介”内容。</w:t>
      </w:r>
    </w:p>
    <w:p>
      <w:pPr>
        <w:pStyle w:val="BodyText"/>
        <w:spacing w:line="357" w:lineRule="auto" w:before="69"/>
        <w:ind w:right="1123" w:firstLine="422"/>
        <w:jc w:val="both"/>
      </w:pPr>
      <w:r>
        <w:rPr>
          <w:spacing w:val="-3"/>
        </w:rPr>
        <w:t>张东先生，中国国籍，无永久境外居留权，</w:t>
      </w:r>
      <w:r>
        <w:rPr>
          <w:rFonts w:ascii="宋体" w:hAnsi="宋体" w:cs="宋体" w:eastAsia="宋体" w:hint="default"/>
          <w:spacing w:val="-3"/>
        </w:rPr>
        <w:t>1976 </w:t>
      </w:r>
      <w:r>
        <w:rPr>
          <w:spacing w:val="-3"/>
        </w:rPr>
        <w:t>年生，大学本科学历。拥有中国注册会计师及美国注</w:t>
      </w:r>
      <w:r>
        <w:rPr>
          <w:w w:val="100"/>
        </w:rPr>
        <w:t> </w:t>
      </w:r>
      <w:r>
        <w:rPr/>
        <w:t>册会计师资格。曾任普华永道会计师事务所审计高级经理；</w:t>
      </w:r>
      <w:r>
        <w:rPr>
          <w:rFonts w:ascii="宋体" w:hAnsi="宋体" w:cs="宋体" w:eastAsia="宋体" w:hint="default"/>
        </w:rPr>
        <w:t>2013</w:t>
      </w:r>
      <w:r>
        <w:rPr>
          <w:rFonts w:ascii="宋体" w:hAnsi="宋体" w:cs="宋体" w:eastAsia="宋体" w:hint="default"/>
          <w:spacing w:val="-40"/>
        </w:rPr>
        <w:t> </w:t>
      </w:r>
      <w:r>
        <w:rPr>
          <w:spacing w:val="-3"/>
        </w:rPr>
        <w:t>年至</w:t>
      </w:r>
      <w:r>
        <w:rPr>
          <w:spacing w:val="-40"/>
        </w:rPr>
        <w:t> </w:t>
      </w:r>
      <w:r>
        <w:rPr>
          <w:rFonts w:ascii="宋体" w:hAnsi="宋体" w:cs="宋体" w:eastAsia="宋体" w:hint="default"/>
        </w:rPr>
        <w:t>2018</w:t>
      </w:r>
      <w:r>
        <w:rPr>
          <w:rFonts w:ascii="宋体" w:hAnsi="宋体" w:cs="宋体" w:eastAsia="宋体" w:hint="default"/>
          <w:spacing w:val="-40"/>
        </w:rPr>
        <w:t> </w:t>
      </w:r>
      <w:r>
        <w:rPr/>
        <w:t>年曾分别担任北京蓝色光标数</w:t>
      </w:r>
      <w:r>
        <w:rPr>
          <w:w w:val="100"/>
        </w:rPr>
        <w:t> </w:t>
      </w:r>
      <w:r>
        <w:rPr>
          <w:spacing w:val="-3"/>
        </w:rPr>
        <w:t>据科技股份有限公司财务总监、董事。</w:t>
      </w:r>
      <w:r>
        <w:rPr>
          <w:rFonts w:ascii="宋体" w:hAnsi="宋体" w:cs="宋体" w:eastAsia="宋体" w:hint="default"/>
          <w:spacing w:val="-3"/>
        </w:rPr>
        <w:t>2018</w:t>
      </w:r>
      <w:r>
        <w:rPr>
          <w:rFonts w:ascii="宋体" w:hAnsi="宋体" w:cs="宋体" w:eastAsia="宋体" w:hint="default"/>
          <w:spacing w:val="-44"/>
        </w:rPr>
        <w:t> </w:t>
      </w:r>
      <w:r>
        <w:rPr/>
        <w:t>年</w:t>
      </w:r>
      <w:r>
        <w:rPr>
          <w:spacing w:val="-44"/>
        </w:rPr>
        <w:t> </w:t>
      </w:r>
      <w:r>
        <w:rPr>
          <w:rFonts w:ascii="宋体" w:hAnsi="宋体" w:cs="宋体" w:eastAsia="宋体" w:hint="default"/>
        </w:rPr>
        <w:t>11</w:t>
      </w:r>
      <w:r>
        <w:rPr>
          <w:rFonts w:ascii="宋体" w:hAnsi="宋体" w:cs="宋体" w:eastAsia="宋体" w:hint="default"/>
          <w:spacing w:val="-49"/>
        </w:rPr>
        <w:t> </w:t>
      </w:r>
      <w:r>
        <w:rPr>
          <w:spacing w:val="-4"/>
        </w:rPr>
        <w:t>月加入创业黑马，现任公司财务总监，自</w:t>
      </w:r>
      <w:r>
        <w:rPr>
          <w:spacing w:val="-42"/>
        </w:rPr>
        <w:t> </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9"/>
        </w:rPr>
        <w:t> </w:t>
      </w:r>
      <w:r>
        <w:rPr/>
        <w:t>月起</w:t>
      </w:r>
      <w:r>
        <w:rPr>
          <w:spacing w:val="-102"/>
        </w:rPr>
        <w:t> </w:t>
      </w:r>
      <w:r>
        <w:rPr/>
        <w:t>担任公司董事会秘书。</w:t>
      </w:r>
    </w:p>
    <w:p>
      <w:pPr>
        <w:spacing w:line="240" w:lineRule="auto" w:before="3"/>
        <w:rPr>
          <w:rFonts w:ascii="宋体" w:hAnsi="宋体" w:cs="宋体" w:eastAsia="宋体" w:hint="default"/>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5"/>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01"/>
        <w:gridCol w:w="2771"/>
        <w:gridCol w:w="1133"/>
        <w:gridCol w:w="1551"/>
        <w:gridCol w:w="1570"/>
        <w:gridCol w:w="134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103"/>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9" w:right="31" w:hanging="92"/>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北京创业嘉乐文化传媒交流中心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80"/>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0" w:space="0" w:color="D2D2D2"/>
              <w:bottom w:val="single" w:sz="4" w:space="0" w:color="000000"/>
              <w:right w:val="single" w:sz="4" w:space="0" w:color="000000"/>
            </w:tcBorders>
          </w:tcPr>
          <w:p>
            <w:pPr>
              <w:pStyle w:val="TableParagraph"/>
              <w:spacing w:line="321" w:lineRule="auto" w:before="54"/>
              <w:ind w:left="16" w:right="52"/>
              <w:jc w:val="left"/>
              <w:rPr>
                <w:rFonts w:ascii="宋体" w:hAnsi="宋体" w:cs="宋体" w:eastAsia="宋体" w:hint="default"/>
                <w:sz w:val="18"/>
                <w:szCs w:val="18"/>
              </w:rPr>
            </w:pPr>
            <w:r>
              <w:rPr>
                <w:rFonts w:ascii="宋体" w:hAnsi="宋体" w:cs="宋体" w:eastAsia="宋体" w:hint="default"/>
                <w:spacing w:val="-3"/>
                <w:sz w:val="18"/>
                <w:szCs w:val="18"/>
              </w:rPr>
              <w:t>北京创业嘉乐文化传媒交流中心（有限合伙）为牛文文实际控制的有限合伙企业，除对创业黑马的股权投</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资外，未从事其他经营活动。</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01"/>
        <w:gridCol w:w="2771"/>
        <w:gridCol w:w="1133"/>
        <w:gridCol w:w="1551"/>
        <w:gridCol w:w="1570"/>
        <w:gridCol w:w="1344"/>
      </w:tblGrid>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4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5" w:right="103"/>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29" w:right="31"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北京原投时创文化传媒有限公司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黑马原投</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北京牛投科技有限公司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黑马金服（北京）科技有限公司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北京非勒电子工程有限公司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星光农机股份有限公司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01"/>
        <w:gridCol w:w="2771"/>
        <w:gridCol w:w="1133"/>
        <w:gridCol w:w="1551"/>
        <w:gridCol w:w="1570"/>
        <w:gridCol w:w="1344"/>
      </w:tblGrid>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北京元培世纪翻译有限公司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浙江双飞无油轴承股份有限公司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湖南利洁生物集团股份有限公司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上海艾瑞市场咨询股份有限公司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上海艾想实业发展有限公司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西域供应链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上海企源科技股份有限公司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上海通路快建网络服务外包有限公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上海童石网络科技股份有限公司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广州尚品宅配家居股份有限公司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上海四维文化传媒股份有限公司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唯美度科技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厦门弘信电子科技股份有限公司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广州移盟数字传媒科技有限公司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上海鸿辉光通科技股份有限公司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天津爱波瑞科技发展有限公司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上海生态家天然日用品有限公司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江苏艾佳家居用品有限公司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北京聚众互动网络科技有限公司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巍家（上海）投资管理有限公司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北京优集客科技有限公司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经理、董事长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纽宾凯商旅文控股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武汉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九洲远景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九洲星城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衍尚（上海）文化发展有限公司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梗有商业管理（上海）有限公司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北京优集客商业管理有限公司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
              <w:jc w:val="left"/>
              <w:rPr>
                <w:rFonts w:ascii="宋体" w:hAnsi="宋体" w:cs="宋体" w:eastAsia="宋体" w:hint="default"/>
                <w:sz w:val="18"/>
                <w:szCs w:val="18"/>
              </w:rPr>
            </w:pPr>
            <w:r>
              <w:rPr>
                <w:rFonts w:ascii="宋体" w:hAnsi="宋体" w:cs="宋体" w:eastAsia="宋体" w:hint="default"/>
                <w:spacing w:val="-2"/>
                <w:sz w:val="18"/>
                <w:szCs w:val="18"/>
              </w:rPr>
              <w:t>执行董事、经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北京唇萃餐饮管理有限公司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2"/>
                <w:sz w:val="18"/>
                <w:szCs w:val="18"/>
              </w:rPr>
              <w:t>执行董事、经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天津优集客商业管理有限公司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2"/>
                <w:sz w:val="18"/>
                <w:szCs w:val="18"/>
              </w:rPr>
              <w:t>执行董事、经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上海食萃商业管理有限公司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上海唇萃餐饮管理有限公司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01"/>
        <w:gridCol w:w="2771"/>
        <w:gridCol w:w="1133"/>
        <w:gridCol w:w="1551"/>
        <w:gridCol w:w="1570"/>
        <w:gridCol w:w="134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广州海珠四季优选信息技术有限公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广东期选信息技术有限公司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云联天地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北京欧通前程国际教育科技有限公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大树聚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2"/>
              <w:jc w:val="left"/>
              <w:rPr>
                <w:rFonts w:ascii="宋体" w:hAnsi="宋体" w:cs="宋体" w:eastAsia="宋体" w:hint="default"/>
                <w:sz w:val="18"/>
                <w:szCs w:val="18"/>
              </w:rPr>
            </w:pPr>
            <w:r>
              <w:rPr>
                <w:rFonts w:ascii="宋体" w:hAnsi="宋体" w:cs="宋体" w:eastAsia="宋体" w:hint="default"/>
                <w:spacing w:val="-3"/>
                <w:sz w:val="18"/>
                <w:szCs w:val="18"/>
              </w:rPr>
              <w:t>成都东方文商企业运营管理有限公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尚正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建筑设计有限公司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青岛中资中程集团股份有限公司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浙江永贵电器股份有限公司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中丝经贸合作进出口有限公司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青矩技术股份有限公司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北京先进数通信息技术股份公司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杭州经纬泽华投资管理有限公司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杭州普华投资管理有限公司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浙江坤元投资咨询有限公司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绍兴柯桥头头是道投资管理有限公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杭州正前方投资有限公司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上海经为股权投资管理有限公司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浙江通策资产管理有限公司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浙江华睿庆余投资有限公司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诸暨贵银投资有限公司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上海亭东影业有限公司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杭州梦工场媒聚沃投资管理有限公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经纬（杭州）投资管理有限公司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互爱（北京）科技股份有限公司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绍兴启鉴文化发展有限公司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01"/>
        <w:gridCol w:w="2771"/>
        <w:gridCol w:w="1133"/>
        <w:gridCol w:w="1551"/>
        <w:gridCol w:w="1570"/>
        <w:gridCol w:w="1344"/>
      </w:tblGrid>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浙江数投资产管理有限公司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杭州胡庆余堂集团有限公司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杭州快点网络科技有限公司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上海证大喜马拉雅网络科技有限公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北京墨迹风云科技股份有限公司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果麦文化传媒股份有限公司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北京泛高影视文化有限公司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杭州大头投资管理有限公司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杭州三仁投资管理有限公司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杭州普健医疗科技有限公司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杭州深睿健洲医疗科技有限公司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北京睦安咨询顾问有限公司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先知数据科技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40" w:lineRule="auto" w:before="10"/>
        <w:rPr>
          <w:rFonts w:ascii="宋体" w:hAnsi="宋体" w:cs="宋体" w:eastAsia="宋体" w:hint="default"/>
          <w:sz w:val="13"/>
          <w:szCs w:val="13"/>
        </w:rPr>
      </w:pPr>
    </w:p>
    <w:p>
      <w:pPr>
        <w:pStyle w:val="BodyText"/>
        <w:spacing w:line="355" w:lineRule="auto"/>
        <w:ind w:right="0" w:firstLine="422"/>
        <w:jc w:val="left"/>
      </w:pPr>
      <w:r>
        <w:rPr>
          <w:spacing w:val="-2"/>
        </w:rPr>
        <w:t>公司董事、监事及高级管理人员报酬的决策程序均依照公司现行公司制度和业绩考核规则为确认基准，</w:t>
      </w:r>
      <w:r>
        <w:rPr>
          <w:w w:val="100"/>
        </w:rPr>
        <w:t> </w:t>
      </w:r>
      <w:r>
        <w:rPr/>
        <w:t>同时根据公司盈利水平及各董事、监事及高级管理人员的分工及履职情况确认，并由董事会薪酬与考核委</w:t>
      </w:r>
      <w:r>
        <w:rPr>
          <w:w w:val="100"/>
        </w:rPr>
        <w:t> </w:t>
      </w:r>
      <w:r>
        <w:rPr>
          <w:spacing w:val="-2"/>
        </w:rPr>
        <w:t>员会根据岗位绩效评价结果及薪酬分配政策核定上述人员的薪酬绩效及奖惩方式，并提交董事会审核批准。</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截至本报告期末，公司现任董事、监事及高级管理人员共</w:t>
      </w:r>
      <w:r>
        <w:rPr>
          <w:spacing w:val="-50"/>
        </w:rPr>
        <w:t> </w:t>
      </w:r>
      <w:r>
        <w:rPr>
          <w:rFonts w:ascii="宋体" w:hAnsi="宋体" w:cs="宋体" w:eastAsia="宋体" w:hint="default"/>
        </w:rPr>
        <w:t>9</w:t>
      </w:r>
      <w:r>
        <w:rPr>
          <w:rFonts w:ascii="宋体" w:hAnsi="宋体" w:cs="宋体" w:eastAsia="宋体" w:hint="default"/>
          <w:spacing w:val="-52"/>
        </w:rPr>
        <w:t> </w:t>
      </w:r>
      <w:r>
        <w:rPr/>
        <w:t>位，各项报酬均已按时支付。</w:t>
      </w:r>
    </w:p>
    <w:p>
      <w:pPr>
        <w:spacing w:line="240" w:lineRule="auto" w:before="7"/>
        <w:rPr>
          <w:rFonts w:ascii="宋体" w:hAnsi="宋体" w:cs="宋体" w:eastAsia="宋体" w:hint="default"/>
          <w:sz w:val="22"/>
          <w:szCs w:val="22"/>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369"/>
        <w:gridCol w:w="1368"/>
        <w:gridCol w:w="1369"/>
        <w:gridCol w:w="1368"/>
        <w:gridCol w:w="1368"/>
        <w:gridCol w:w="1364"/>
        <w:gridCol w:w="1368"/>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1"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369"/>
        <w:gridCol w:w="1368"/>
        <w:gridCol w:w="1369"/>
        <w:gridCol w:w="1368"/>
        <w:gridCol w:w="1368"/>
        <w:gridCol w:w="1364"/>
        <w:gridCol w:w="1368"/>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李雁宾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财务总监、董事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378.20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72"/>
        <w:gridCol w:w="4786"/>
      </w:tblGrid>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34</w:t>
            </w:r>
          </w:p>
        </w:tc>
      </w:tr>
      <w:tr>
        <w:trPr>
          <w:trHeight w:val="40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240</w:t>
            </w:r>
          </w:p>
        </w:tc>
      </w:tr>
      <w:tr>
        <w:trPr>
          <w:trHeight w:val="39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259</w:t>
            </w: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3"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399"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业务运营人员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研发及技术人员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56</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18</w:t>
            </w:r>
          </w:p>
        </w:tc>
      </w:tr>
      <w:tr>
        <w:trPr>
          <w:trHeight w:val="399"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w:t>
            </w: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240</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9"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w:t>
            </w:r>
          </w:p>
        </w:tc>
      </w:tr>
      <w:tr>
        <w:trPr>
          <w:trHeight w:val="399" w:hRule="exact"/>
        </w:trPr>
        <w:tc>
          <w:tcPr>
            <w:tcW w:w="4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pStyle w:val="Heading4"/>
        <w:spacing w:line="240" w:lineRule="auto" w:before="36"/>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22"/>
          <w:szCs w:val="22"/>
        </w:rPr>
      </w:pPr>
    </w:p>
    <w:p>
      <w:pPr>
        <w:pStyle w:val="BodyText"/>
        <w:spacing w:line="352" w:lineRule="auto"/>
        <w:ind w:right="0" w:firstLine="422"/>
        <w:jc w:val="left"/>
      </w:pPr>
      <w:r>
        <w:rPr>
          <w:spacing w:val="-7"/>
          <w:w w:val="100"/>
        </w:rPr>
        <w:t>公司依据《公司法》《证券法》等相关法律法规，结合《公司章程》，在董事会薪酬与考核委员会的监</w:t>
      </w:r>
      <w:r>
        <w:rPr>
          <w:w w:val="100"/>
        </w:rPr>
        <w:t> </w:t>
      </w:r>
      <w:r>
        <w:rPr/>
        <w:t>督指导下，制定并持续完善公司薪酬政策。</w:t>
      </w:r>
    </w:p>
    <w:p>
      <w:pPr>
        <w:spacing w:line="240" w:lineRule="auto" w:before="10"/>
        <w:rPr>
          <w:rFonts w:ascii="宋体" w:hAnsi="宋体" w:cs="宋体" w:eastAsia="宋体" w:hint="default"/>
          <w:sz w:val="14"/>
          <w:szCs w:val="14"/>
        </w:rPr>
      </w:pPr>
    </w:p>
    <w:p>
      <w:pPr>
        <w:pStyle w:val="BodyText"/>
        <w:spacing w:line="357" w:lineRule="auto"/>
        <w:ind w:right="0" w:firstLine="422"/>
        <w:jc w:val="left"/>
      </w:pPr>
      <w:r>
        <w:rPr/>
        <w:t>公司的薪酬政策坚持遵循公平、公证、竞争及激励四项原则，并与公司经营成果及经济效益相结合。</w:t>
      </w:r>
      <w:r>
        <w:rPr>
          <w:w w:val="100"/>
        </w:rPr>
        <w:t> </w:t>
      </w:r>
      <w:r>
        <w:rPr>
          <w:spacing w:val="-2"/>
        </w:rPr>
        <w:t>为有效激励员工，实现公司战略与经营目标，提升企业竞争力和促进组织成长，公司薪酬政策采取员工收</w:t>
      </w:r>
      <w:r>
        <w:rPr>
          <w:spacing w:val="-33"/>
        </w:rPr>
        <w:t> </w:t>
      </w:r>
      <w:r>
        <w:rPr>
          <w:spacing w:val="-33"/>
        </w:rPr>
      </w:r>
      <w:r>
        <w:rPr>
          <w:spacing w:val="-2"/>
        </w:rPr>
        <w:t>入与个人贡献、公司经济效益紧密地结合，有效实施绩效考核，按劳取酬的办法合理有效的共享企业发展</w:t>
      </w:r>
      <w:r>
        <w:rPr>
          <w:spacing w:val="-33"/>
        </w:rPr>
        <w:t> </w:t>
      </w:r>
      <w:r>
        <w:rPr>
          <w:spacing w:val="-33"/>
        </w:rPr>
      </w:r>
      <w:r>
        <w:rPr/>
        <w:t>所带来的收益。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3"/>
          <w:szCs w:val="23"/>
        </w:rPr>
      </w:pPr>
    </w:p>
    <w:p>
      <w:pPr>
        <w:pStyle w:val="BodyText"/>
        <w:spacing w:line="357" w:lineRule="auto"/>
        <w:ind w:right="1124" w:firstLine="422"/>
        <w:jc w:val="both"/>
      </w:pPr>
      <w:r>
        <w:rPr>
          <w:spacing w:val="-2"/>
        </w:rPr>
        <w:t>公司基于自身业务战略发展需求，针对人才的培育和发展已构建有效的培训机制，立足于公司不同业</w:t>
      </w:r>
      <w:r>
        <w:rPr>
          <w:w w:val="100"/>
        </w:rPr>
        <w:t> </w:t>
      </w:r>
      <w:r>
        <w:rPr>
          <w:spacing w:val="-7"/>
        </w:rPr>
        <w:t>务属性需求，结合各业务层级员工在专业水平、管理技能、服务能力等方面及公司整体发展战略规划落实，</w:t>
      </w:r>
      <w:r>
        <w:rPr>
          <w:spacing w:val="-6"/>
        </w:rPr>
        <w:t> </w:t>
      </w:r>
      <w:r>
        <w:rPr>
          <w:spacing w:val="-6"/>
        </w:rPr>
      </w:r>
      <w:r>
        <w:rPr>
          <w:spacing w:val="-2"/>
        </w:rPr>
        <w:t>积极寻求内部各种培训资源和渠道，分阶段、分层次的实施内培和外训，持续提升内部分享交流机制及自</w:t>
      </w:r>
      <w:r>
        <w:rPr>
          <w:spacing w:val="-32"/>
        </w:rPr>
        <w:t> </w:t>
      </w:r>
      <w:r>
        <w:rPr>
          <w:spacing w:val="-32"/>
        </w:rPr>
      </w:r>
      <w:r>
        <w:rPr/>
        <w:t>身培训体系。</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十节公司治理" w:id="131"/>
      <w:bookmarkEnd w:id="131"/>
      <w:r>
        <w:rPr>
          <w:b w:val="0"/>
          <w:bCs w:val="0"/>
        </w:rPr>
      </w:r>
      <w:bookmarkStart w:name="_bookmark9" w:id="132"/>
      <w:bookmarkEnd w:id="132"/>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10"/>
        <w:rPr>
          <w:rFonts w:ascii="宋体" w:hAnsi="宋体" w:cs="宋体" w:eastAsia="宋体" w:hint="default"/>
          <w:b/>
          <w:bCs/>
          <w:sz w:val="23"/>
          <w:szCs w:val="23"/>
        </w:rPr>
      </w:pPr>
    </w:p>
    <w:p>
      <w:pPr>
        <w:pStyle w:val="BodyText"/>
        <w:spacing w:line="355" w:lineRule="auto"/>
        <w:ind w:right="1125" w:firstLine="422"/>
        <w:jc w:val="both"/>
      </w:pPr>
      <w:r>
        <w:rPr>
          <w:spacing w:val="-11"/>
          <w:w w:val="100"/>
        </w:rPr>
        <w:t>报告期内，公司严格按照《公司法》、《证券法》等法律法规，参照《上市公司治理准则》、《深圳证券</w:t>
      </w:r>
      <w:r>
        <w:rPr>
          <w:w w:val="100"/>
        </w:rPr>
        <w:t> </w:t>
      </w:r>
      <w:r>
        <w:rPr>
          <w:spacing w:val="-7"/>
          <w:w w:val="100"/>
        </w:rPr>
        <w:t>交易所创业板上市规则》、《深圳证券交易所创业板上市公司规范运作指引》和中国证监会及深圳证券交易</w:t>
      </w:r>
      <w:r>
        <w:rPr>
          <w:spacing w:val="-64"/>
          <w:w w:val="100"/>
        </w:rPr>
        <w:t> </w:t>
      </w:r>
      <w:r>
        <w:rPr>
          <w:spacing w:val="-64"/>
          <w:w w:val="100"/>
        </w:rPr>
      </w:r>
      <w:r>
        <w:rPr>
          <w:spacing w:val="-2"/>
        </w:rPr>
        <w:t>所其他有关法律法规的要求，不断完善公司的法人治理结构，建立健全内部管理控制体系，促进公司规范</w:t>
      </w:r>
      <w:r>
        <w:rPr>
          <w:spacing w:val="-33"/>
        </w:rPr>
        <w:t> </w:t>
      </w:r>
      <w:r>
        <w:rPr>
          <w:spacing w:val="-33"/>
        </w:rPr>
      </w:r>
      <w:r>
        <w:rPr/>
        <w:t>运作，提供公司治理水平。</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1</w:t>
      </w:r>
      <w:r>
        <w:rPr/>
        <w:t>、公司治理制度建立情况</w:t>
      </w:r>
    </w:p>
    <w:p>
      <w:pPr>
        <w:spacing w:line="240" w:lineRule="auto" w:before="9"/>
        <w:rPr>
          <w:rFonts w:ascii="宋体" w:hAnsi="宋体" w:cs="宋体" w:eastAsia="宋体" w:hint="default"/>
          <w:sz w:val="22"/>
          <w:szCs w:val="22"/>
        </w:rPr>
      </w:pPr>
    </w:p>
    <w:p>
      <w:pPr>
        <w:pStyle w:val="BodyText"/>
        <w:spacing w:line="352" w:lineRule="auto"/>
        <w:ind w:right="1125" w:firstLine="422"/>
        <w:jc w:val="both"/>
      </w:pPr>
      <w:r>
        <w:rPr>
          <w:spacing w:val="-2"/>
        </w:rPr>
        <w:t>报告期内，公司不断建立、健全各项公司治理制度，目前已涵盖经营管理、财务、信息披露、内部审</w:t>
      </w:r>
      <w:r>
        <w:rPr>
          <w:w w:val="100"/>
        </w:rPr>
        <w:t> </w:t>
      </w:r>
      <w:r>
        <w:rPr/>
        <w:t>计、对外投资等各个方面，为公司的规范运作与健康发展提供了良好的制度保障。</w:t>
      </w:r>
    </w:p>
    <w:p>
      <w:pPr>
        <w:spacing w:line="240" w:lineRule="auto" w:before="10"/>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、关于股东与股东大会</w:t>
      </w:r>
    </w:p>
    <w:p>
      <w:pPr>
        <w:spacing w:line="240" w:lineRule="auto" w:before="4"/>
        <w:rPr>
          <w:rFonts w:ascii="宋体" w:hAnsi="宋体" w:cs="宋体" w:eastAsia="宋体" w:hint="default"/>
          <w:sz w:val="22"/>
          <w:szCs w:val="22"/>
        </w:rPr>
      </w:pPr>
    </w:p>
    <w:p>
      <w:pPr>
        <w:pStyle w:val="BodyText"/>
        <w:spacing w:line="357" w:lineRule="auto"/>
        <w:ind w:right="1124" w:firstLine="422"/>
        <w:jc w:val="both"/>
      </w:pPr>
      <w:r>
        <w:rPr>
          <w:spacing w:val="-7"/>
          <w:w w:val="100"/>
        </w:rPr>
        <w:t>报告期内公司股东大会召集召开程序、提案审议程序、决策程序均严格按照《公司章程》、《上市公司</w:t>
      </w:r>
      <w:r>
        <w:rPr>
          <w:w w:val="100"/>
        </w:rPr>
        <w:t> </w:t>
      </w:r>
      <w:r>
        <w:rPr>
          <w:spacing w:val="-2"/>
        </w:rPr>
        <w:t>股东大会规则》和《公司股东大会议事规则》等规定要求执行，确保股东合法行使权益，平等对待所有股</w:t>
      </w:r>
      <w:r>
        <w:rPr>
          <w:spacing w:val="-38"/>
        </w:rPr>
        <w:t> </w:t>
      </w:r>
      <w:r>
        <w:rPr>
          <w:spacing w:val="-38"/>
        </w:rPr>
      </w:r>
      <w:r>
        <w:rPr>
          <w:spacing w:val="-7"/>
        </w:rPr>
        <w:t>东，为股东参加股东大会提供便利，充分保障股东权利的行使。报告期内，公司股东大会均由董事会召集，</w:t>
      </w:r>
      <w:r>
        <w:rPr>
          <w:spacing w:val="-12"/>
        </w:rPr>
        <w:t> </w:t>
      </w:r>
      <w:r>
        <w:rPr>
          <w:spacing w:val="-12"/>
        </w:rPr>
      </w:r>
      <w:r>
        <w:rPr>
          <w:spacing w:val="-2"/>
        </w:rPr>
        <w:t>同时公司聘请专业的律师见证股东大会，确保会议召集召开及表决程序符合相关法律法规的规定，切实维</w:t>
      </w:r>
      <w:r>
        <w:rPr>
          <w:spacing w:val="-32"/>
        </w:rPr>
        <w:t> </w:t>
      </w:r>
      <w:r>
        <w:rPr>
          <w:spacing w:val="-32"/>
        </w:rPr>
      </w:r>
      <w:r>
        <w:rPr/>
        <w:t>护股东合法权益。</w:t>
      </w:r>
    </w:p>
    <w:p>
      <w:pPr>
        <w:spacing w:line="240" w:lineRule="auto" w:before="1"/>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3</w:t>
      </w:r>
      <w:r>
        <w:rPr/>
        <w:t>、关于控股股东与公司的关系</w:t>
      </w:r>
    </w:p>
    <w:p>
      <w:pPr>
        <w:spacing w:line="240" w:lineRule="auto" w:before="9"/>
        <w:rPr>
          <w:rFonts w:ascii="宋体" w:hAnsi="宋体" w:cs="宋体" w:eastAsia="宋体" w:hint="default"/>
          <w:sz w:val="22"/>
          <w:szCs w:val="22"/>
        </w:rPr>
      </w:pPr>
    </w:p>
    <w:p>
      <w:pPr>
        <w:pStyle w:val="BodyText"/>
        <w:spacing w:line="355" w:lineRule="auto"/>
        <w:ind w:right="1125" w:firstLine="422"/>
        <w:jc w:val="both"/>
      </w:pPr>
      <w:r>
        <w:rPr>
          <w:spacing w:val="-2"/>
        </w:rPr>
        <w:t>公司控股股东严格按照法律法规及规范性文件的要求，规范自己行为，同时根据相关法律法规依法行</w:t>
      </w:r>
      <w:r>
        <w:rPr>
          <w:w w:val="100"/>
        </w:rPr>
        <w:t> </w:t>
      </w:r>
      <w:r>
        <w:rPr>
          <w:spacing w:val="-2"/>
        </w:rPr>
        <w:t>使其权利并承担义务，不存在超越公司股东大会直接或间接干预公司的决策和经营活动的情形。公司拥有</w:t>
      </w:r>
      <w:r>
        <w:rPr>
          <w:spacing w:val="-33"/>
        </w:rPr>
        <w:t> </w:t>
      </w:r>
      <w:r>
        <w:rPr>
          <w:spacing w:val="-33"/>
        </w:rPr>
      </w:r>
      <w:r>
        <w:rPr>
          <w:spacing w:val="-2"/>
        </w:rPr>
        <w:t>独立完整的业务和自主经营能力，在业务、资产、人员、机构、财务上独立于控股股东。报告期内，公司</w:t>
      </w:r>
      <w:r>
        <w:rPr>
          <w:spacing w:val="-38"/>
        </w:rPr>
        <w:t> </w:t>
      </w:r>
      <w:r>
        <w:rPr>
          <w:spacing w:val="-38"/>
        </w:rPr>
      </w:r>
      <w:r>
        <w:rPr/>
        <w:t>不存在为控股股东及其关联企业提供担保情形，亦不存在控股股东非经营性占用公司资金的情形。</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4</w:t>
      </w:r>
      <w:r>
        <w:rPr/>
        <w:t>、关于董事与董事会</w:t>
      </w:r>
    </w:p>
    <w:p>
      <w:pPr>
        <w:spacing w:line="240" w:lineRule="auto" w:before="9"/>
        <w:rPr>
          <w:rFonts w:ascii="宋体" w:hAnsi="宋体" w:cs="宋体" w:eastAsia="宋体" w:hint="default"/>
          <w:sz w:val="22"/>
          <w:szCs w:val="22"/>
        </w:rPr>
      </w:pPr>
    </w:p>
    <w:p>
      <w:pPr>
        <w:pStyle w:val="BodyText"/>
        <w:spacing w:line="355" w:lineRule="auto"/>
        <w:ind w:right="0" w:firstLine="422"/>
        <w:jc w:val="left"/>
      </w:pPr>
      <w:r>
        <w:rPr/>
        <w:t>公司董事会设董事</w:t>
      </w:r>
      <w:r>
        <w:rPr>
          <w:spacing w:val="-43"/>
        </w:rPr>
        <w:t> </w:t>
      </w:r>
      <w:r>
        <w:rPr>
          <w:rFonts w:ascii="宋体" w:hAnsi="宋体" w:cs="宋体" w:eastAsia="宋体" w:hint="default"/>
        </w:rPr>
        <w:t>5</w:t>
      </w:r>
      <w:r>
        <w:rPr>
          <w:rFonts w:ascii="宋体" w:hAnsi="宋体" w:cs="宋体" w:eastAsia="宋体" w:hint="default"/>
          <w:spacing w:val="-48"/>
        </w:rPr>
        <w:t> </w:t>
      </w:r>
      <w:r>
        <w:rPr>
          <w:spacing w:val="-9"/>
        </w:rPr>
        <w:t>名，其中独立董事</w:t>
      </w:r>
      <w:r>
        <w:rPr>
          <w:spacing w:val="-43"/>
        </w:rPr>
        <w:t> </w:t>
      </w:r>
      <w:r>
        <w:rPr>
          <w:rFonts w:ascii="宋体" w:hAnsi="宋体" w:cs="宋体" w:eastAsia="宋体" w:hint="default"/>
        </w:rPr>
        <w:t>2</w:t>
      </w:r>
      <w:r>
        <w:rPr>
          <w:rFonts w:ascii="宋体" w:hAnsi="宋体" w:cs="宋体" w:eastAsia="宋体" w:hint="default"/>
          <w:spacing w:val="-44"/>
        </w:rPr>
        <w:t> </w:t>
      </w:r>
      <w:r>
        <w:rPr>
          <w:spacing w:val="-8"/>
        </w:rPr>
        <w:t>名，董事会的人数及人员构成符合法律、法规和《公司章程》</w:t>
      </w:r>
      <w:r>
        <w:rPr>
          <w:w w:val="100"/>
        </w:rPr>
        <w:t> </w:t>
      </w:r>
      <w:r>
        <w:rPr>
          <w:spacing w:val="-7"/>
          <w:w w:val="100"/>
        </w:rPr>
        <w:t>的要求。公司各位董事的任职资格和任免程序严格按照《公司法》、《公司章程》等相关法律法规和公司规</w:t>
      </w:r>
      <w:r>
        <w:rPr>
          <w:spacing w:val="-64"/>
          <w:w w:val="100"/>
        </w:rPr>
        <w:t> </w:t>
      </w:r>
      <w:r>
        <w:rPr>
          <w:spacing w:val="-64"/>
          <w:w w:val="100"/>
        </w:rPr>
      </w:r>
      <w:r>
        <w:rPr>
          <w:spacing w:val="-11"/>
          <w:w w:val="100"/>
        </w:rPr>
        <w:t>定执行，符合法定程序。公司董事能够依据《董事会议事规则》、《独立董事工作制度》、《深圳证券交易所</w:t>
      </w:r>
      <w:r>
        <w:rPr>
          <w:spacing w:val="-82"/>
          <w:w w:val="100"/>
        </w:rPr>
        <w:t> </w:t>
      </w:r>
      <w:r>
        <w:rPr>
          <w:spacing w:val="-82"/>
          <w:w w:val="100"/>
        </w:rPr>
      </w:r>
      <w:r>
        <w:rPr>
          <w:spacing w:val="-2"/>
        </w:rPr>
        <w:t>创业板上市公司规范运作指引》的要求，能够勤勉尽责，忠实履行董事职责与义务，对公司的重大事项均</w:t>
      </w:r>
      <w:r>
        <w:rPr>
          <w:spacing w:val="-33"/>
        </w:rPr>
        <w:t> </w:t>
      </w:r>
      <w:r>
        <w:rPr>
          <w:spacing w:val="-33"/>
        </w:rPr>
      </w:r>
      <w:r>
        <w:rPr/>
        <w:t>能认真审核并提出意见和建议，切实有效地维护公司和全体股东的权益。公司董事会下设有审计委员会、</w:t>
      </w:r>
      <w:r>
        <w:rPr>
          <w:spacing w:val="-30"/>
        </w:rPr>
        <w:t> </w:t>
      </w:r>
      <w:r>
        <w:rPr>
          <w:spacing w:val="-30"/>
        </w:rPr>
      </w:r>
      <w:r>
        <w:rPr>
          <w:spacing w:val="-2"/>
        </w:rPr>
        <w:t>薪酬与考核委员会、提名委员会和战略委员会四个专门委员会。专门委员会严格按照有关法律法规及各专</w:t>
      </w:r>
      <w:r>
        <w:rPr>
          <w:spacing w:val="-30"/>
        </w:rPr>
        <w:t> </w:t>
      </w:r>
      <w:r>
        <w:rPr>
          <w:spacing w:val="-30"/>
        </w:rPr>
      </w:r>
      <w:r>
        <w:rPr/>
        <w:t>门委员会实施细则等制度履行其职责，为公司董事会的科学决策提供了专业意见和参考依据</w:t>
      </w:r>
    </w:p>
    <w:p>
      <w:pPr>
        <w:spacing w:after="0" w:line="355" w:lineRule="auto"/>
        <w:jc w:val="left"/>
        <w:sectPr>
          <w:pgSz w:w="11910" w:h="16840"/>
          <w:pgMar w:header="741" w:footer="979" w:top="1060" w:bottom="1160" w:left="980" w:right="0"/>
        </w:sectPr>
      </w:pPr>
    </w:p>
    <w:p>
      <w:pPr>
        <w:spacing w:line="240" w:lineRule="auto" w:before="1"/>
        <w:rPr>
          <w:rFonts w:ascii="宋体" w:hAnsi="宋体" w:cs="宋体" w:eastAsia="宋体" w:hint="default"/>
          <w:sz w:val="23"/>
          <w:szCs w:val="23"/>
        </w:rPr>
      </w:pPr>
    </w:p>
    <w:p>
      <w:pPr>
        <w:pStyle w:val="BodyText"/>
        <w:spacing w:line="240" w:lineRule="auto" w:before="36"/>
        <w:ind w:left="575" w:right="0"/>
        <w:jc w:val="left"/>
      </w:pPr>
      <w:r>
        <w:rPr>
          <w:rFonts w:ascii="宋体" w:hAnsi="宋体" w:cs="宋体" w:eastAsia="宋体" w:hint="default"/>
        </w:rPr>
        <w:t>5</w:t>
      </w:r>
      <w:r>
        <w:rPr/>
        <w:t>、关于监事与监事会</w:t>
      </w:r>
    </w:p>
    <w:p>
      <w:pPr>
        <w:spacing w:line="240" w:lineRule="auto" w:before="9"/>
        <w:rPr>
          <w:rFonts w:ascii="宋体" w:hAnsi="宋体" w:cs="宋体" w:eastAsia="宋体" w:hint="default"/>
          <w:sz w:val="22"/>
          <w:szCs w:val="22"/>
        </w:rPr>
      </w:pPr>
    </w:p>
    <w:p>
      <w:pPr>
        <w:pStyle w:val="BodyText"/>
        <w:spacing w:line="355" w:lineRule="auto"/>
        <w:ind w:right="1118" w:firstLine="422"/>
        <w:jc w:val="both"/>
      </w:pPr>
      <w:r>
        <w:rPr/>
        <w:t>公司监事会设监事</w:t>
      </w:r>
      <w:r>
        <w:rPr>
          <w:spacing w:val="-50"/>
        </w:rPr>
        <w:t> </w:t>
      </w:r>
      <w:r>
        <w:rPr>
          <w:rFonts w:ascii="宋体" w:hAnsi="宋体" w:cs="宋体" w:eastAsia="宋体" w:hint="default"/>
        </w:rPr>
        <w:t>3</w:t>
      </w:r>
      <w:r>
        <w:rPr>
          <w:rFonts w:ascii="宋体" w:hAnsi="宋体" w:cs="宋体" w:eastAsia="宋体" w:hint="default"/>
          <w:spacing w:val="-55"/>
        </w:rPr>
        <w:t> </w:t>
      </w:r>
      <w:r>
        <w:rPr>
          <w:spacing w:val="-3"/>
        </w:rPr>
        <w:t>名，其中职工监事</w:t>
      </w:r>
      <w:r>
        <w:rPr>
          <w:spacing w:val="-50"/>
        </w:rPr>
        <w:t> </w:t>
      </w:r>
      <w:r>
        <w:rPr>
          <w:rFonts w:ascii="宋体" w:hAnsi="宋体" w:cs="宋体" w:eastAsia="宋体" w:hint="default"/>
        </w:rPr>
        <w:t>2</w:t>
      </w:r>
      <w:r>
        <w:rPr>
          <w:rFonts w:ascii="宋体" w:hAnsi="宋体" w:cs="宋体" w:eastAsia="宋体" w:hint="default"/>
          <w:spacing w:val="-51"/>
        </w:rPr>
        <w:t> </w:t>
      </w:r>
      <w:r>
        <w:rPr/>
        <w:t>名，监事的人数和构成符合有关法律法规和规范性文件的要</w:t>
      </w:r>
      <w:r>
        <w:rPr>
          <w:w w:val="100"/>
        </w:rPr>
        <w:t> </w:t>
      </w:r>
      <w:r>
        <w:rPr>
          <w:spacing w:val="-7"/>
          <w:w w:val="100"/>
        </w:rPr>
        <w:t>求。所有监事均能按照《公司法》、《公司章程》等的要求，认真履行自己的职责，对公司重大事项、财务</w:t>
      </w:r>
      <w:r>
        <w:rPr>
          <w:spacing w:val="-69"/>
          <w:w w:val="100"/>
        </w:rPr>
        <w:t> </w:t>
      </w:r>
      <w:r>
        <w:rPr>
          <w:spacing w:val="-69"/>
          <w:w w:val="100"/>
        </w:rPr>
      </w:r>
      <w:r>
        <w:rPr/>
        <w:t>状况及董事和高级管理人员履行职责的合法合规性进行有效监督。</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6</w:t>
      </w:r>
      <w:r>
        <w:rPr/>
        <w:t>、关于信息披露与透明度</w:t>
      </w:r>
    </w:p>
    <w:p>
      <w:pPr>
        <w:spacing w:line="240" w:lineRule="auto" w:before="9"/>
        <w:rPr>
          <w:rFonts w:ascii="宋体" w:hAnsi="宋体" w:cs="宋体" w:eastAsia="宋体" w:hint="default"/>
          <w:sz w:val="22"/>
          <w:szCs w:val="22"/>
        </w:rPr>
      </w:pPr>
    </w:p>
    <w:p>
      <w:pPr>
        <w:pStyle w:val="BodyText"/>
        <w:spacing w:line="357" w:lineRule="auto"/>
        <w:ind w:right="1120" w:firstLine="422"/>
        <w:jc w:val="both"/>
      </w:pPr>
      <w:r>
        <w:rPr>
          <w:spacing w:val="-7"/>
          <w:w w:val="100"/>
        </w:rPr>
        <w:t>公司高度重视信息披露与投资者关系管理工作，严格按照《上市公司信息披露管理办法》、《深圳证券</w:t>
      </w:r>
      <w:r>
        <w:rPr>
          <w:w w:val="100"/>
        </w:rPr>
        <w:t> </w:t>
      </w:r>
      <w:r>
        <w:rPr>
          <w:spacing w:val="-7"/>
          <w:w w:val="100"/>
        </w:rPr>
        <w:t>交易所创业板上市公司的信息披露格式指引》等规定以及公司制定的《信息披露管理制度》、《投资者关系</w:t>
      </w:r>
      <w:r>
        <w:rPr>
          <w:spacing w:val="-64"/>
          <w:w w:val="100"/>
        </w:rPr>
        <w:t> </w:t>
      </w:r>
      <w:r>
        <w:rPr>
          <w:spacing w:val="-64"/>
          <w:w w:val="100"/>
        </w:rPr>
      </w:r>
      <w:r>
        <w:rPr>
          <w:spacing w:val="-7"/>
          <w:w w:val="100"/>
        </w:rPr>
        <w:t>管理制度》、《内幕信息知情人登记管理制度》等操作文件的要求，认真履行信息披露义务。公司指定《证</w:t>
      </w:r>
      <w:r>
        <w:rPr>
          <w:spacing w:val="-69"/>
          <w:w w:val="100"/>
        </w:rPr>
        <w:t> </w:t>
      </w:r>
      <w:r>
        <w:rPr>
          <w:spacing w:val="-69"/>
          <w:w w:val="100"/>
        </w:rPr>
      </w:r>
      <w:r>
        <w:rPr>
          <w:spacing w:val="-11"/>
          <w:w w:val="100"/>
        </w:rPr>
        <w:t>券时报》、《中国证券报》、《证券日报》、《上海证券报》及巨潮资讯网（</w:t>
      </w:r>
      <w:hyperlink r:id="rId11">
        <w:r>
          <w:rPr>
            <w:rFonts w:ascii="宋体" w:hAnsi="宋体" w:cs="宋体" w:eastAsia="宋体" w:hint="default"/>
            <w:spacing w:val="-11"/>
            <w:w w:val="100"/>
          </w:rPr>
          <w:t>www.cninfo.com.cn</w:t>
        </w:r>
      </w:hyperlink>
      <w:r>
        <w:rPr>
          <w:spacing w:val="-11"/>
          <w:w w:val="100"/>
        </w:rPr>
        <w:t>）为公司信息</w:t>
      </w:r>
      <w:r>
        <w:rPr>
          <w:spacing w:val="-87"/>
          <w:w w:val="100"/>
        </w:rPr>
        <w:t> </w:t>
      </w:r>
      <w:r>
        <w:rPr>
          <w:spacing w:val="-2"/>
        </w:rPr>
        <w:t>披露的报纸和网站。保证公司信息披露的真实、准确、完整、及时，并确保所有股东有平等的机会获得信</w:t>
      </w:r>
      <w:r>
        <w:rPr>
          <w:spacing w:val="-38"/>
        </w:rPr>
        <w:t> </w:t>
      </w:r>
      <w:r>
        <w:rPr>
          <w:spacing w:val="-38"/>
        </w:rPr>
      </w:r>
      <w:r>
        <w:rPr/>
        <w:t>息。</w:t>
      </w:r>
    </w:p>
    <w:p>
      <w:pPr>
        <w:spacing w:line="240" w:lineRule="auto" w:before="3"/>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38" w:lineRule="auto" w:before="119"/>
        <w:ind w:left="153" w:right="29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23"/>
          <w:szCs w:val="23"/>
        </w:rPr>
      </w:pPr>
    </w:p>
    <w:p>
      <w:pPr>
        <w:pStyle w:val="BodyText"/>
        <w:spacing w:line="352" w:lineRule="auto"/>
        <w:ind w:right="1126" w:firstLine="422"/>
        <w:jc w:val="both"/>
      </w:pPr>
      <w:r>
        <w:rPr>
          <w:spacing w:val="-2"/>
        </w:rPr>
        <w:t>公司在业务、人员、资产、机构、财务等方面与公司控股股东之间相互独立，具有独立完整的资产和</w:t>
      </w:r>
      <w:r>
        <w:rPr>
          <w:w w:val="100"/>
        </w:rPr>
        <w:t> </w:t>
      </w:r>
      <w:r>
        <w:rPr/>
        <w:t>业务及面向市场自主经营的能力。</w:t>
      </w:r>
    </w:p>
    <w:p>
      <w:pPr>
        <w:spacing w:line="240" w:lineRule="auto" w:before="2"/>
        <w:rPr>
          <w:rFonts w:ascii="宋体" w:hAnsi="宋体" w:cs="宋体" w:eastAsia="宋体" w:hint="default"/>
          <w:sz w:val="15"/>
          <w:szCs w:val="15"/>
        </w:rPr>
      </w:pPr>
    </w:p>
    <w:p>
      <w:pPr>
        <w:pStyle w:val="BodyText"/>
        <w:spacing w:line="352" w:lineRule="auto"/>
        <w:ind w:right="1126" w:firstLine="422"/>
        <w:jc w:val="both"/>
      </w:pPr>
      <w:r>
        <w:rPr>
          <w:spacing w:val="-7"/>
          <w:w w:val="100"/>
        </w:rPr>
        <w:t>报告期内，公司持续严格按照《公司法》、《证券法》等有关法律、法规和《公司章程》的要求规范运</w:t>
      </w:r>
      <w:r>
        <w:rPr>
          <w:w w:val="100"/>
        </w:rPr>
        <w:t> </w:t>
      </w:r>
      <w:r>
        <w:rPr/>
        <w:t>营。</w:t>
      </w:r>
    </w:p>
    <w:p>
      <w:pPr>
        <w:spacing w:line="240" w:lineRule="auto" w:before="10"/>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1</w:t>
      </w:r>
      <w:r>
        <w:rPr/>
        <w:t>、业务独立情况</w:t>
      </w:r>
    </w:p>
    <w:p>
      <w:pPr>
        <w:spacing w:line="240" w:lineRule="auto" w:before="4"/>
        <w:rPr>
          <w:rFonts w:ascii="宋体" w:hAnsi="宋体" w:cs="宋体" w:eastAsia="宋体" w:hint="default"/>
          <w:sz w:val="22"/>
          <w:szCs w:val="22"/>
        </w:rPr>
      </w:pPr>
    </w:p>
    <w:p>
      <w:pPr>
        <w:pStyle w:val="BodyText"/>
        <w:spacing w:line="352" w:lineRule="auto"/>
        <w:ind w:right="1125" w:firstLine="422"/>
        <w:jc w:val="both"/>
      </w:pPr>
      <w:r>
        <w:rPr>
          <w:spacing w:val="-2"/>
        </w:rPr>
        <w:t>公司拥有独立完整的业务体系和自主经营能力，具有完整独立的运营管理团队和服务系统，控股股东</w:t>
      </w:r>
      <w:r>
        <w:rPr>
          <w:w w:val="100"/>
        </w:rPr>
        <w:t> </w:t>
      </w:r>
      <w:r>
        <w:rPr/>
        <w:t>按照承诺为从事于公司业务相同或相近的业务活动。</w:t>
      </w:r>
    </w:p>
    <w:p>
      <w:pPr>
        <w:spacing w:line="240" w:lineRule="auto" w:before="10"/>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、人员独立情况</w:t>
      </w:r>
    </w:p>
    <w:p>
      <w:pPr>
        <w:spacing w:line="240" w:lineRule="auto" w:before="4"/>
        <w:rPr>
          <w:rFonts w:ascii="宋体" w:hAnsi="宋体" w:cs="宋体" w:eastAsia="宋体" w:hint="default"/>
          <w:sz w:val="22"/>
          <w:szCs w:val="22"/>
        </w:rPr>
      </w:pPr>
    </w:p>
    <w:p>
      <w:pPr>
        <w:pStyle w:val="BodyText"/>
        <w:spacing w:line="355" w:lineRule="auto"/>
        <w:ind w:right="1027" w:firstLine="422"/>
        <w:jc w:val="both"/>
      </w:pPr>
      <w:r>
        <w:rPr>
          <w:spacing w:val="-2"/>
        </w:rPr>
        <w:t>公司董事、监事、高级管理人员均依据相关法律法规的有关规定选举或聘任，不存在控股股东超越本</w:t>
      </w:r>
      <w:r>
        <w:rPr>
          <w:w w:val="100"/>
        </w:rPr>
        <w:t> </w:t>
      </w:r>
      <w:r>
        <w:rPr>
          <w:spacing w:val="-2"/>
        </w:rPr>
        <w:t>公司董事会和股东大会做出人事任免决定的情况。公司总经理、副总经理、财务负责人、董事会秘书等高</w:t>
      </w:r>
      <w:r>
        <w:rPr>
          <w:spacing w:val="-33"/>
        </w:rPr>
        <w:t> </w:t>
      </w:r>
      <w:r>
        <w:rPr>
          <w:spacing w:val="-33"/>
        </w:rPr>
      </w:r>
      <w:r>
        <w:rPr/>
        <w:t>级管理人员均在本公司工作并领取报酬。公司拥有独立完整的人事和薪酬管理体系，完全独立于各股东。</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3</w:t>
      </w:r>
      <w:r>
        <w:rPr/>
        <w:t>、资产完整情况</w:t>
      </w:r>
    </w:p>
    <w:p>
      <w:pPr>
        <w:spacing w:line="240" w:lineRule="auto" w:before="9"/>
        <w:rPr>
          <w:rFonts w:ascii="宋体" w:hAnsi="宋体" w:cs="宋体" w:eastAsia="宋体" w:hint="default"/>
          <w:sz w:val="22"/>
          <w:szCs w:val="22"/>
        </w:rPr>
      </w:pPr>
    </w:p>
    <w:p>
      <w:pPr>
        <w:pStyle w:val="BodyText"/>
        <w:spacing w:line="352" w:lineRule="auto"/>
        <w:ind w:right="1026" w:firstLine="422"/>
        <w:jc w:val="both"/>
      </w:pPr>
      <w:r>
        <w:rPr/>
        <w:t>公司拥有独立于股东单位及其他关联方的房屋、设备等固定资产，也独立拥有注册商标等无形资产，</w:t>
      </w:r>
      <w:r>
        <w:rPr>
          <w:w w:val="100"/>
        </w:rPr>
        <w:t> </w:t>
      </w:r>
      <w:r>
        <w:rPr/>
        <w:t>公司对所有资产拥有全球的控制和支配权。</w:t>
      </w:r>
    </w:p>
    <w:p>
      <w:pPr>
        <w:spacing w:after="0" w:line="352" w:lineRule="auto"/>
        <w:jc w:val="both"/>
        <w:sectPr>
          <w:pgSz w:w="11910" w:h="16840"/>
          <w:pgMar w:header="741" w:footer="979" w:top="1060" w:bottom="1160" w:left="980" w:right="0"/>
        </w:sectPr>
      </w:pPr>
    </w:p>
    <w:p>
      <w:pPr>
        <w:spacing w:line="240" w:lineRule="auto" w:before="1"/>
        <w:rPr>
          <w:rFonts w:ascii="宋体" w:hAnsi="宋体" w:cs="宋体" w:eastAsia="宋体" w:hint="default"/>
          <w:sz w:val="23"/>
          <w:szCs w:val="23"/>
        </w:rPr>
      </w:pPr>
    </w:p>
    <w:p>
      <w:pPr>
        <w:pStyle w:val="BodyText"/>
        <w:spacing w:line="240" w:lineRule="auto" w:before="36"/>
        <w:ind w:left="575" w:right="0"/>
        <w:jc w:val="left"/>
      </w:pPr>
      <w:r>
        <w:rPr>
          <w:rFonts w:ascii="宋体" w:hAnsi="宋体" w:cs="宋体" w:eastAsia="宋体" w:hint="default"/>
        </w:rPr>
        <w:t>4</w:t>
      </w:r>
      <w:r>
        <w:rPr/>
        <w:t>、机构独立情况</w:t>
      </w:r>
    </w:p>
    <w:p>
      <w:pPr>
        <w:spacing w:line="240" w:lineRule="auto" w:before="9"/>
        <w:rPr>
          <w:rFonts w:ascii="宋体" w:hAnsi="宋体" w:cs="宋体" w:eastAsia="宋体" w:hint="default"/>
          <w:sz w:val="22"/>
          <w:szCs w:val="22"/>
        </w:rPr>
      </w:pPr>
    </w:p>
    <w:p>
      <w:pPr>
        <w:pStyle w:val="BodyText"/>
        <w:spacing w:line="355" w:lineRule="auto"/>
        <w:ind w:right="1120" w:firstLine="422"/>
        <w:jc w:val="both"/>
      </w:pPr>
      <w:r>
        <w:rPr>
          <w:spacing w:val="-2"/>
        </w:rPr>
        <w:t>公司各部门独立履行其职责，负责公司的生产经营活动，其履行职能不受控股股东、其他有关部门或</w:t>
      </w:r>
      <w:r>
        <w:rPr>
          <w:w w:val="100"/>
        </w:rPr>
        <w:t> </w:t>
      </w:r>
      <w:r>
        <w:rPr>
          <w:spacing w:val="-2"/>
        </w:rPr>
        <w:t>单位、个人的干预，并且与控股股东及其职能部门之间不存在隶属关系，公司办公场所与股东单位完全分</w:t>
      </w:r>
      <w:r>
        <w:rPr>
          <w:spacing w:val="-33"/>
        </w:rPr>
        <w:t> </w:t>
      </w:r>
      <w:r>
        <w:rPr>
          <w:spacing w:val="-33"/>
        </w:rPr>
      </w:r>
      <w:r>
        <w:rPr/>
        <w:t>开，不存在混合经营、合署办公的情况。</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5</w:t>
      </w:r>
      <w:r>
        <w:rPr/>
        <w:t>、财务独立情况</w:t>
      </w:r>
    </w:p>
    <w:p>
      <w:pPr>
        <w:spacing w:line="240" w:lineRule="auto" w:before="9"/>
        <w:rPr>
          <w:rFonts w:ascii="宋体" w:hAnsi="宋体" w:cs="宋体" w:eastAsia="宋体" w:hint="default"/>
          <w:sz w:val="22"/>
          <w:szCs w:val="22"/>
        </w:rPr>
      </w:pPr>
    </w:p>
    <w:p>
      <w:pPr>
        <w:pStyle w:val="BodyText"/>
        <w:spacing w:line="352" w:lineRule="auto"/>
        <w:ind w:right="0" w:firstLine="422"/>
        <w:jc w:val="left"/>
      </w:pPr>
      <w:r>
        <w:rPr>
          <w:spacing w:val="-2"/>
        </w:rPr>
        <w:t>公司设有完整、独立的财务机构，配备了充足的专职专业财务会计人员，拥有符合自身特点的独立的</w:t>
      </w:r>
      <w:r>
        <w:rPr>
          <w:w w:val="100"/>
        </w:rPr>
        <w:t> </w:t>
      </w:r>
      <w:r>
        <w:rPr/>
        <w:t>会计核算体系和财务管理制度，并独立开设银行账户、独立纳税及独立做出财务决策。</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432" w:right="46"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right="8"/>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705" w:right="46" w:hanging="6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8"/>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432" w:right="46" w:hanging="3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right="8"/>
              <w:jc w:val="center"/>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1426"/>
        <w:gridCol w:w="1167"/>
        <w:gridCol w:w="1162"/>
        <w:gridCol w:w="1167"/>
        <w:gridCol w:w="1162"/>
        <w:gridCol w:w="1162"/>
        <w:gridCol w:w="1167"/>
        <w:gridCol w:w="1162"/>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31"/>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未亲自参加董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98"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z w:val="18"/>
              </w:rPr>
              <w:t>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3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pStyle w:val="BodyText"/>
        <w:spacing w:line="357" w:lineRule="auto" w:before="107"/>
        <w:ind w:right="1020" w:firstLine="422"/>
        <w:jc w:val="both"/>
      </w:pPr>
      <w:r>
        <w:rPr>
          <w:spacing w:val="-16"/>
          <w:w w:val="100"/>
        </w:rPr>
        <w:t>报告期内，公司独立董事按照《公司法》、《证券法》、《深圳证券交易所创业板股票上市规则》、《深圳</w:t>
      </w:r>
      <w:r>
        <w:rPr>
          <w:w w:val="100"/>
        </w:rPr>
        <w:t> </w:t>
      </w:r>
      <w:r>
        <w:rPr>
          <w:spacing w:val="-7"/>
          <w:w w:val="100"/>
        </w:rPr>
        <w:t>证券交易所创业板上市公司规范运作指引》、《上市公司治理准则》和《公司章程》及《独立董事制度》等</w:t>
      </w:r>
      <w:r>
        <w:rPr>
          <w:spacing w:val="-69"/>
          <w:w w:val="100"/>
        </w:rPr>
        <w:t> </w:t>
      </w:r>
      <w:r>
        <w:rPr>
          <w:spacing w:val="-69"/>
          <w:w w:val="100"/>
        </w:rPr>
      </w:r>
      <w:r>
        <w:rPr/>
        <w:t>法律、法规等有关规则制度的要求，认真开展工作履行独立董事职责，并就公司各重大事项发表了独立意</w:t>
      </w:r>
      <w:r>
        <w:rPr>
          <w:w w:val="100"/>
        </w:rPr>
        <w:t> </w:t>
      </w:r>
      <w:r>
        <w:rPr/>
        <w:t>见，保障了董事会决策的科学性，对公司持续完善治理结构、制定公司发展战略、发展计划和生产经营决</w:t>
      </w:r>
      <w:r>
        <w:rPr>
          <w:w w:val="100"/>
        </w:rPr>
        <w:t> </w:t>
      </w:r>
      <w:r>
        <w:rPr>
          <w:spacing w:val="-4"/>
        </w:rPr>
        <w:t>策等方面发挥了积极良好的作用，有力保障了公司经营决策的科学性和公正性，切实维护中小股东的权益。</w:t>
      </w: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23"/>
          <w:szCs w:val="23"/>
        </w:rPr>
      </w:pPr>
    </w:p>
    <w:p>
      <w:pPr>
        <w:pStyle w:val="BodyText"/>
        <w:spacing w:line="355" w:lineRule="auto"/>
        <w:ind w:right="1125" w:firstLine="422"/>
        <w:jc w:val="both"/>
      </w:pPr>
      <w:r>
        <w:rPr>
          <w:spacing w:val="-2"/>
        </w:rPr>
        <w:t>公司董事会下设审计委员会、提名委员会、薪酬与考核委员会、战略委员会，报告期内公司董事会下</w:t>
      </w:r>
      <w:r>
        <w:rPr>
          <w:w w:val="100"/>
        </w:rPr>
        <w:t> </w:t>
      </w:r>
      <w:r>
        <w:rPr>
          <w:spacing w:val="-7"/>
          <w:w w:val="100"/>
        </w:rPr>
        <w:t>设的四个专门委员会严格按照《公司章程》、《董事会议事规则》及各专门委员会的实施细则等相关规定履</w:t>
      </w:r>
      <w:r>
        <w:rPr>
          <w:spacing w:val="-64"/>
          <w:w w:val="100"/>
        </w:rPr>
        <w:t> </w:t>
      </w:r>
      <w:r>
        <w:rPr>
          <w:spacing w:val="-64"/>
          <w:w w:val="100"/>
        </w:rPr>
      </w:r>
      <w:r>
        <w:rPr/>
        <w:t>行各项职责</w:t>
      </w:r>
      <w:r>
        <w:rPr>
          <w:rFonts w:ascii="宋体" w:hAnsi="宋体" w:cs="宋体" w:eastAsia="宋体" w:hint="default"/>
        </w:rPr>
        <w:t>,</w:t>
      </w:r>
      <w:r>
        <w:rPr/>
        <w:t>报告期内各委员会履行职责情况如下：</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1</w:t>
      </w:r>
      <w:r>
        <w:rPr/>
        <w:t>、审计委员会</w:t>
      </w:r>
    </w:p>
    <w:p>
      <w:pPr>
        <w:spacing w:line="240" w:lineRule="auto" w:before="9"/>
        <w:rPr>
          <w:rFonts w:ascii="宋体" w:hAnsi="宋体" w:cs="宋体" w:eastAsia="宋体" w:hint="default"/>
          <w:sz w:val="22"/>
          <w:szCs w:val="22"/>
        </w:rPr>
      </w:pPr>
    </w:p>
    <w:p>
      <w:pPr>
        <w:pStyle w:val="BodyText"/>
        <w:spacing w:line="355" w:lineRule="auto"/>
        <w:ind w:right="0" w:firstLine="422"/>
        <w:jc w:val="left"/>
      </w:pPr>
      <w:r>
        <w:rPr>
          <w:spacing w:val="-7"/>
          <w:w w:val="100"/>
        </w:rPr>
        <w:t>报告期内，公司审计委员会严格按照相关法律法规及《公司章程》、《董事会议事规则》及《董事会审</w:t>
      </w:r>
      <w:r>
        <w:rPr>
          <w:w w:val="100"/>
        </w:rPr>
        <w:t> </w:t>
      </w:r>
      <w:r>
        <w:rPr/>
        <w:t>计委员会工作细则》的相关规定履行其职责，充分发挥督促和指导公司审计部门对公司财务管理运行情况</w:t>
      </w:r>
      <w:r>
        <w:rPr>
          <w:w w:val="100"/>
        </w:rPr>
        <w:t> </w:t>
      </w:r>
      <w:r>
        <w:rPr>
          <w:spacing w:val="-4"/>
        </w:rPr>
        <w:t>进行定期和不定期的检查和评估，审查了公司内部控制制度及执行情况，审核了公司所有重要的会计政策，</w:t>
      </w:r>
      <w:r>
        <w:rPr>
          <w:spacing w:val="-39"/>
        </w:rPr>
        <w:t> </w:t>
      </w:r>
      <w:r>
        <w:rPr>
          <w:spacing w:val="-39"/>
        </w:rPr>
      </w:r>
      <w:r>
        <w:rPr>
          <w:spacing w:val="-7"/>
        </w:rPr>
        <w:t>定期了解公司财务状况和经营情况，委员会认为公司内控制度体系符合法律、法规及《公司章程》的要求， </w:t>
      </w:r>
      <w:r>
        <w:rPr>
          <w:spacing w:val="-7"/>
        </w:rPr>
      </w:r>
      <w:r>
        <w:rPr/>
        <w:t>适应当前公司生产经营实际情况的需要。</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2</w:t>
      </w:r>
      <w:r>
        <w:rPr/>
        <w:t>、提名委员会</w:t>
      </w:r>
    </w:p>
    <w:p>
      <w:pPr>
        <w:spacing w:line="240" w:lineRule="auto" w:before="4"/>
        <w:rPr>
          <w:rFonts w:ascii="宋体" w:hAnsi="宋体" w:cs="宋体" w:eastAsia="宋体" w:hint="default"/>
          <w:sz w:val="22"/>
          <w:szCs w:val="22"/>
        </w:rPr>
      </w:pPr>
    </w:p>
    <w:p>
      <w:pPr>
        <w:pStyle w:val="BodyText"/>
        <w:spacing w:line="357" w:lineRule="auto"/>
        <w:ind w:right="1125" w:firstLine="422"/>
        <w:jc w:val="both"/>
      </w:pPr>
      <w:r>
        <w:rPr>
          <w:spacing w:val="-2"/>
        </w:rPr>
        <w:t>报告期内，提名委员会根据《董事会提名委员会工作细则》及其他有关规定积极开展工作，认真履行</w:t>
      </w:r>
      <w:r>
        <w:rPr>
          <w:w w:val="100"/>
        </w:rPr>
        <w:t> </w:t>
      </w:r>
      <w:r>
        <w:rPr>
          <w:spacing w:val="-2"/>
        </w:rPr>
        <w:t>职责。报告期内，提名委员会对公司董事会规模和人员结构的情况、董事和高级管理人员的任职资格等相</w:t>
      </w:r>
      <w:r>
        <w:rPr>
          <w:spacing w:val="-33"/>
        </w:rPr>
        <w:t> </w:t>
      </w:r>
      <w:r>
        <w:rPr>
          <w:spacing w:val="-33"/>
        </w:rPr>
      </w:r>
      <w:r>
        <w:rPr>
          <w:spacing w:val="-2"/>
        </w:rPr>
        <w:t>关事宜进行了认真的评审，认为公司董事、高级管理人员具有丰富的行业经验和管理经验，完全胜任各自</w:t>
      </w:r>
      <w:r>
        <w:rPr>
          <w:spacing w:val="-33"/>
        </w:rPr>
        <w:t> </w:t>
      </w:r>
      <w:r>
        <w:rPr>
          <w:spacing w:val="-33"/>
        </w:rPr>
      </w:r>
      <w:r>
        <w:rPr/>
        <w:t>的工作。</w:t>
      </w:r>
    </w:p>
    <w:p>
      <w:pPr>
        <w:spacing w:after="0" w:line="357" w:lineRule="auto"/>
        <w:jc w:val="both"/>
        <w:sectPr>
          <w:pgSz w:w="11910" w:h="16840"/>
          <w:pgMar w:header="741" w:footer="979" w:top="1060" w:bottom="1160" w:left="980" w:right="0"/>
        </w:sectPr>
      </w:pPr>
    </w:p>
    <w:p>
      <w:pPr>
        <w:spacing w:line="240" w:lineRule="auto" w:before="1"/>
        <w:rPr>
          <w:rFonts w:ascii="宋体" w:hAnsi="宋体" w:cs="宋体" w:eastAsia="宋体" w:hint="default"/>
          <w:sz w:val="23"/>
          <w:szCs w:val="23"/>
        </w:rPr>
      </w:pPr>
    </w:p>
    <w:p>
      <w:pPr>
        <w:pStyle w:val="BodyText"/>
        <w:spacing w:line="240" w:lineRule="auto" w:before="36"/>
        <w:ind w:left="575" w:right="0"/>
        <w:jc w:val="left"/>
      </w:pPr>
      <w:r>
        <w:rPr>
          <w:rFonts w:ascii="宋体" w:hAnsi="宋体" w:cs="宋体" w:eastAsia="宋体" w:hint="default"/>
        </w:rPr>
        <w:t>3</w:t>
      </w:r>
      <w:r>
        <w:rPr/>
        <w:t>、薪酬与考核委员会</w:t>
      </w:r>
    </w:p>
    <w:p>
      <w:pPr>
        <w:spacing w:line="240" w:lineRule="auto" w:before="9"/>
        <w:rPr>
          <w:rFonts w:ascii="宋体" w:hAnsi="宋体" w:cs="宋体" w:eastAsia="宋体" w:hint="default"/>
          <w:sz w:val="22"/>
          <w:szCs w:val="22"/>
        </w:rPr>
      </w:pPr>
    </w:p>
    <w:p>
      <w:pPr>
        <w:pStyle w:val="BodyText"/>
        <w:spacing w:line="355" w:lineRule="auto"/>
        <w:ind w:right="1125" w:firstLine="422"/>
        <w:jc w:val="both"/>
      </w:pPr>
      <w:r>
        <w:rPr>
          <w:spacing w:val="-2"/>
        </w:rPr>
        <w:t>报告期内，薪酬与考核委员会根据《董事会薪酬和考核委员会工作细则》及其他有关规定积极开展工</w:t>
      </w:r>
      <w:r>
        <w:rPr>
          <w:w w:val="100"/>
        </w:rPr>
        <w:t> </w:t>
      </w:r>
      <w:r>
        <w:rPr>
          <w:spacing w:val="-2"/>
        </w:rPr>
        <w:t>作，认真履行职责。报告期内，薪酬与考核委员会对公司董事和高级管理人员的薪酬情况进行了审核，认</w:t>
      </w:r>
      <w:r>
        <w:rPr>
          <w:spacing w:val="-33"/>
        </w:rPr>
        <w:t> </w:t>
      </w:r>
      <w:r>
        <w:rPr>
          <w:spacing w:val="-33"/>
        </w:rPr>
      </w:r>
      <w:r>
        <w:rPr/>
        <w:t>为其薪酬标准和年度薪酬总额的确定符合公司相关薪酬管理制度的规定。</w:t>
      </w:r>
    </w:p>
    <w:p>
      <w:pPr>
        <w:spacing w:line="240" w:lineRule="auto" w:before="3"/>
        <w:rPr>
          <w:rFonts w:ascii="宋体" w:hAnsi="宋体" w:cs="宋体" w:eastAsia="宋体" w:hint="default"/>
          <w:sz w:val="14"/>
          <w:szCs w:val="14"/>
        </w:rPr>
      </w:pPr>
    </w:p>
    <w:p>
      <w:pPr>
        <w:pStyle w:val="BodyText"/>
        <w:spacing w:line="240" w:lineRule="auto"/>
        <w:ind w:left="575" w:right="0"/>
        <w:jc w:val="left"/>
      </w:pPr>
      <w:r>
        <w:rPr>
          <w:rFonts w:ascii="宋体" w:hAnsi="宋体" w:cs="宋体" w:eastAsia="宋体" w:hint="default"/>
        </w:rPr>
        <w:t>4</w:t>
      </w:r>
      <w:r>
        <w:rPr/>
        <w:t>、战略委员会</w:t>
      </w:r>
    </w:p>
    <w:p>
      <w:pPr>
        <w:spacing w:line="240" w:lineRule="auto" w:before="9"/>
        <w:rPr>
          <w:rFonts w:ascii="宋体" w:hAnsi="宋体" w:cs="宋体" w:eastAsia="宋体" w:hint="default"/>
          <w:sz w:val="22"/>
          <w:szCs w:val="22"/>
        </w:rPr>
      </w:pPr>
    </w:p>
    <w:p>
      <w:pPr>
        <w:pStyle w:val="BodyText"/>
        <w:spacing w:line="355" w:lineRule="auto"/>
        <w:ind w:right="1122" w:firstLine="422"/>
        <w:jc w:val="both"/>
      </w:pPr>
      <w:r>
        <w:rPr>
          <w:spacing w:val="-2"/>
        </w:rPr>
        <w:t>报告期内，战略发展委员会根据《董事会战略委员会工作细则》及其他有关规定积极开展工作，认真</w:t>
      </w:r>
      <w:r>
        <w:rPr>
          <w:w w:val="100"/>
        </w:rPr>
        <w:t> </w:t>
      </w:r>
      <w:r>
        <w:rPr>
          <w:spacing w:val="-2"/>
        </w:rPr>
        <w:t>履行职责。结合国内外经济形势和公司细分行业特点，对公司经营状况和发展前景进行了深入地分析，为</w:t>
      </w:r>
      <w:r>
        <w:rPr>
          <w:spacing w:val="-33"/>
        </w:rPr>
        <w:t> </w:t>
      </w:r>
      <w:r>
        <w:rPr>
          <w:spacing w:val="-33"/>
        </w:rPr>
      </w:r>
      <w:r>
        <w:rPr>
          <w:spacing w:val="-2"/>
        </w:rPr>
        <w:t>公司战略发展的实施提出来了宝贵的建议，保证了公司发展规划和战略决策的科学性，为公司持续、稳健</w:t>
      </w:r>
      <w:r>
        <w:rPr>
          <w:spacing w:val="-30"/>
        </w:rPr>
        <w:t> </w:t>
      </w:r>
      <w:r>
        <w:rPr>
          <w:spacing w:val="-30"/>
        </w:rPr>
      </w:r>
      <w:r>
        <w:rPr/>
        <w:t>发展提供了战略层面的支持。</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5"/>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公司监事会对报告期内的监督事项无异议。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23"/>
          <w:szCs w:val="23"/>
        </w:rPr>
      </w:pPr>
    </w:p>
    <w:p>
      <w:pPr>
        <w:pStyle w:val="BodyText"/>
        <w:spacing w:line="355" w:lineRule="auto"/>
        <w:ind w:right="1121" w:firstLine="422"/>
        <w:jc w:val="both"/>
      </w:pPr>
      <w:r>
        <w:rPr>
          <w:spacing w:val="-2"/>
        </w:rPr>
        <w:t>根据公司已建立的绩效考核体系，公司对高级管理人员的绩效考评实行工作绩效与薪酬政策挂钩的激</w:t>
      </w:r>
      <w:r>
        <w:rPr>
          <w:w w:val="100"/>
        </w:rPr>
        <w:t> </w:t>
      </w:r>
      <w:r>
        <w:rPr>
          <w:spacing w:val="-2"/>
        </w:rPr>
        <w:t>励与约束机制。公司董事会年末根据当年度经营目标实现情况及高级管理人员的工作业绩，由董事会薪酬</w:t>
      </w:r>
      <w:r>
        <w:rPr>
          <w:spacing w:val="-33"/>
        </w:rPr>
        <w:t> </w:t>
      </w:r>
      <w:r>
        <w:rPr>
          <w:spacing w:val="-33"/>
        </w:rPr>
      </w:r>
      <w:r>
        <w:rPr>
          <w:spacing w:val="-2"/>
        </w:rPr>
        <w:t>与考核委员会对高级管理人员的工作能力、履职情况、责任目标完成情况等方面进行年度绩效考核，并监</w:t>
      </w:r>
      <w:r>
        <w:rPr>
          <w:spacing w:val="-33"/>
        </w:rPr>
        <w:t> </w:t>
      </w:r>
      <w:r>
        <w:rPr>
          <w:spacing w:val="-33"/>
        </w:rPr>
      </w:r>
      <w:r>
        <w:rPr/>
        <w:t>督薪酬制度执行情况。公司根据绩效考核结果兑现其绩效年薪，并进行奖惩。</w:t>
      </w:r>
    </w:p>
    <w:p>
      <w:pPr>
        <w:spacing w:line="240" w:lineRule="auto" w:before="12"/>
        <w:rPr>
          <w:rFonts w:ascii="宋体" w:hAnsi="宋体" w:cs="宋体" w:eastAsia="宋体" w:hint="default"/>
          <w:sz w:val="14"/>
          <w:szCs w:val="14"/>
        </w:rPr>
      </w:pPr>
    </w:p>
    <w:p>
      <w:pPr>
        <w:pStyle w:val="BodyText"/>
        <w:spacing w:line="355" w:lineRule="auto"/>
        <w:ind w:right="589" w:firstLine="422"/>
        <w:jc w:val="left"/>
      </w:pPr>
      <w:r>
        <w:rPr>
          <w:spacing w:val="-2"/>
        </w:rPr>
        <w:t>公司董事会薪酬与考核委员会根据报告期内实际经营情况，对公司高级管理人员进行考核后一致认为：</w:t>
      </w:r>
      <w:r>
        <w:rPr>
          <w:w w:val="100"/>
        </w:rPr>
        <w:t> </w:t>
      </w:r>
      <w:r>
        <w:rPr/>
        <w:t>公司 </w:t>
      </w:r>
      <w:r>
        <w:rPr>
          <w:rFonts w:ascii="宋体" w:hAnsi="宋体" w:cs="宋体" w:eastAsia="宋体" w:hint="default"/>
        </w:rPr>
        <w:t>2019</w:t>
      </w:r>
      <w:r>
        <w:rPr>
          <w:rFonts w:ascii="宋体" w:hAnsi="宋体" w:cs="宋体" w:eastAsia="宋体" w:hint="default"/>
          <w:spacing w:val="-19"/>
        </w:rPr>
        <w:t> </w:t>
      </w:r>
      <w:r>
        <w:rPr/>
        <w:t>年度高级管理人员薪酬方案严格执行了公司薪酬考核制度，薪酬方案合理，薪酬发放的程序符</w:t>
      </w:r>
      <w:r>
        <w:rPr>
          <w:w w:val="100"/>
        </w:rPr>
        <w:t> </w:t>
      </w:r>
      <w:r>
        <w:rPr/>
        <w:t>合法律法规及公司制度的规定。</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46"/>
        <w:ind w:left="0" w:right="1161" w:firstLine="0"/>
        <w:jc w:val="right"/>
        <w:rPr>
          <w:rFonts w:ascii="宋体" w:hAnsi="宋体" w:cs="宋体" w:eastAsia="宋体" w:hint="default"/>
          <w:sz w:val="18"/>
          <w:szCs w:val="18"/>
        </w:rPr>
      </w:pPr>
      <w:r>
        <w:rPr/>
        <w:pict>
          <v:shape style="position:absolute;margin-left:55.344002pt;margin-top:-386.668274pt;width:478.65pt;height:654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4"/>
                    <w:gridCol w:w="3988"/>
                    <w:gridCol w:w="4026"/>
                  </w:tblGrid>
                  <w:tr>
                    <w:trPr>
                      <w:trHeight w:val="716"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75"/>
                          <w:jc w:val="left"/>
                          <w:rPr>
                            <w:rFonts w:ascii="宋体" w:hAnsi="宋体" w:cs="宋体" w:eastAsia="宋体" w:hint="default"/>
                            <w:sz w:val="18"/>
                            <w:szCs w:val="18"/>
                          </w:rPr>
                        </w:pPr>
                        <w:r>
                          <w:rPr>
                            <w:rFonts w:ascii="宋体" w:hAnsi="宋体" w:cs="宋体" w:eastAsia="宋体" w:hint="default"/>
                            <w:spacing w:val="-2"/>
                            <w:sz w:val="18"/>
                            <w:szCs w:val="18"/>
                          </w:rPr>
                          <w:t>内部控制评价报告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全文披露日期</w:t>
                        </w:r>
                      </w:p>
                    </w:tc>
                    <w:tc>
                      <w:tcPr>
                        <w:tcW w:w="8014"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0"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jc w:val="left"/>
                          <w:rPr>
                            <w:rFonts w:ascii="宋体" w:hAnsi="宋体" w:cs="宋体" w:eastAsia="宋体" w:hint="default"/>
                            <w:sz w:val="18"/>
                            <w:szCs w:val="18"/>
                          </w:rPr>
                        </w:pPr>
                        <w:r>
                          <w:rPr>
                            <w:rFonts w:ascii="宋体" w:hAnsi="宋体" w:cs="宋体" w:eastAsia="宋体" w:hint="default"/>
                            <w:spacing w:val="-2"/>
                            <w:sz w:val="18"/>
                            <w:szCs w:val="18"/>
                          </w:rPr>
                          <w:t>内部控制评价报告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全文披露索引</w:t>
                        </w:r>
                      </w:p>
                    </w:tc>
                    <w:tc>
                      <w:tcPr>
                        <w:tcW w:w="8014"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67"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1340"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75"/>
                          <w:jc w:val="both"/>
                          <w:rPr>
                            <w:rFonts w:ascii="宋体" w:hAnsi="宋体" w:cs="宋体" w:eastAsia="宋体" w:hint="default"/>
                            <w:sz w:val="18"/>
                            <w:szCs w:val="18"/>
                          </w:rPr>
                        </w:pPr>
                        <w:r>
                          <w:rPr>
                            <w:rFonts w:ascii="宋体" w:hAnsi="宋体" w:cs="宋体" w:eastAsia="宋体" w:hint="default"/>
                            <w:spacing w:val="-2"/>
                            <w:sz w:val="18"/>
                            <w:szCs w:val="18"/>
                          </w:rPr>
                          <w:t>纳入评价范围单位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资产总额占公司合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并财务报表资产总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额的比例</w:t>
                        </w:r>
                      </w:p>
                    </w:tc>
                    <w:tc>
                      <w:tcPr>
                        <w:tcW w:w="8014"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1340"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75"/>
                          <w:jc w:val="both"/>
                          <w:rPr>
                            <w:rFonts w:ascii="宋体" w:hAnsi="宋体" w:cs="宋体" w:eastAsia="宋体" w:hint="default"/>
                            <w:sz w:val="18"/>
                            <w:szCs w:val="18"/>
                          </w:rPr>
                        </w:pPr>
                        <w:r>
                          <w:rPr>
                            <w:rFonts w:ascii="宋体" w:hAnsi="宋体" w:cs="宋体" w:eastAsia="宋体" w:hint="default"/>
                            <w:spacing w:val="-2"/>
                            <w:sz w:val="18"/>
                            <w:szCs w:val="18"/>
                          </w:rPr>
                          <w:t>纳入评价范围单位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营业收入占公司合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并财务报表营业收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入的比例</w:t>
                        </w:r>
                      </w:p>
                    </w:tc>
                    <w:tc>
                      <w:tcPr>
                        <w:tcW w:w="8014"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1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8" w:type="dxa"/>
                        <w:vMerge w:val="restart"/>
                        <w:tcBorders>
                          <w:top w:val="single" w:sz="4" w:space="0" w:color="000000"/>
                          <w:left w:val="single" w:sz="8" w:space="0" w:color="D2D2D2"/>
                          <w:right w:val="single" w:sz="13" w:space="0" w:color="FFFFFF"/>
                        </w:tcBorders>
                      </w:tcPr>
                      <w:p>
                        <w:pPr>
                          <w:pStyle w:val="TableParagraph"/>
                          <w:spacing w:line="307" w:lineRule="auto" w:before="53"/>
                          <w:ind w:left="23" w:right="-34"/>
                          <w:jc w:val="left"/>
                          <w:rPr>
                            <w:rFonts w:ascii="宋体" w:hAnsi="宋体" w:cs="宋体" w:eastAsia="宋体" w:hint="default"/>
                            <w:sz w:val="18"/>
                            <w:szCs w:val="18"/>
                          </w:rPr>
                        </w:pP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、重大缺陷：（</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）董事、监事和高级管理人员舞</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9"/>
                            <w:w w:val="101"/>
                            <w:sz w:val="18"/>
                            <w:szCs w:val="18"/>
                          </w:rPr>
                          <w:t>弊；（</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）对已经公告的财务报告出现的重大差错进</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5"/>
                            <w:sz w:val="18"/>
                            <w:szCs w:val="18"/>
                          </w:rPr>
                          <w:t>行错报更正（由于政策变化或其他客观因素变化导</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0"/>
                            <w:w w:val="101"/>
                            <w:sz w:val="18"/>
                            <w:szCs w:val="18"/>
                          </w:rPr>
                          <w:t>致的对以前年度的追溯调整除外）；（</w:t>
                        </w:r>
                        <w:r>
                          <w:rPr>
                            <w:rFonts w:ascii="Times New Roman" w:hAnsi="Times New Roman" w:cs="Times New Roman" w:eastAsia="Times New Roman" w:hint="default"/>
                            <w:spacing w:val="-10"/>
                            <w:w w:val="101"/>
                            <w:sz w:val="18"/>
                            <w:szCs w:val="18"/>
                          </w:rPr>
                          <w:t>3</w:t>
                        </w:r>
                        <w:r>
                          <w:rPr>
                            <w:rFonts w:ascii="宋体" w:hAnsi="宋体" w:cs="宋体" w:eastAsia="宋体" w:hint="default"/>
                            <w:spacing w:val="-10"/>
                            <w:w w:val="101"/>
                            <w:sz w:val="18"/>
                            <w:szCs w:val="18"/>
                          </w:rPr>
                          <w:t>）当期财务</w:t>
                        </w:r>
                        <w:r>
                          <w:rPr>
                            <w:rFonts w:ascii="宋体" w:hAnsi="宋体" w:cs="宋体" w:eastAsia="宋体" w:hint="default"/>
                            <w:w w:val="101"/>
                            <w:sz w:val="18"/>
                            <w:szCs w:val="18"/>
                          </w:rPr>
                          <w:t> </w:t>
                        </w:r>
                        <w:r>
                          <w:rPr>
                            <w:rFonts w:ascii="宋体" w:hAnsi="宋体" w:cs="宋体" w:eastAsia="宋体" w:hint="default"/>
                            <w:spacing w:val="-5"/>
                            <w:sz w:val="18"/>
                            <w:szCs w:val="18"/>
                          </w:rPr>
                          <w:t>报告存在重大错报，而内部控制在运行过程中未能</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9"/>
                            <w:w w:val="101"/>
                            <w:sz w:val="18"/>
                            <w:szCs w:val="18"/>
                          </w:rPr>
                          <w:t>发现该错报；（</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）审计委员会以及内部审计部门对</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7"/>
                            <w:w w:val="101"/>
                            <w:sz w:val="18"/>
                            <w:szCs w:val="18"/>
                          </w:rPr>
                          <w:t>财务报告内部控制监督无效。</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、重要缺陷：（</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w:t>
                        </w:r>
                        <w:r>
                          <w:rPr>
                            <w:rFonts w:ascii="宋体" w:hAnsi="宋体" w:cs="宋体" w:eastAsia="宋体" w:hint="default"/>
                            <w:spacing w:val="-73"/>
                            <w:w w:val="101"/>
                            <w:sz w:val="18"/>
                            <w:szCs w:val="18"/>
                          </w:rPr>
                          <w:t> </w:t>
                        </w:r>
                        <w:r>
                          <w:rPr>
                            <w:rFonts w:ascii="宋体" w:hAnsi="宋体" w:cs="宋体" w:eastAsia="宋体" w:hint="default"/>
                            <w:spacing w:val="-10"/>
                            <w:w w:val="101"/>
                            <w:sz w:val="18"/>
                            <w:szCs w:val="18"/>
                          </w:rPr>
                          <w:t>未依照公认会计准则选择和应用会计政策；（</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）未</w:t>
                        </w:r>
                        <w:r>
                          <w:rPr>
                            <w:rFonts w:ascii="宋体" w:hAnsi="宋体" w:cs="宋体" w:eastAsia="宋体" w:hint="default"/>
                            <w:spacing w:val="-80"/>
                            <w:w w:val="101"/>
                            <w:sz w:val="18"/>
                            <w:szCs w:val="18"/>
                          </w:rPr>
                          <w:t> </w:t>
                        </w:r>
                        <w:r>
                          <w:rPr>
                            <w:rFonts w:ascii="宋体" w:hAnsi="宋体" w:cs="宋体" w:eastAsia="宋体" w:hint="default"/>
                            <w:spacing w:val="-9"/>
                            <w:w w:val="101"/>
                            <w:sz w:val="18"/>
                            <w:szCs w:val="18"/>
                          </w:rPr>
                          <w:t>建立反舞弊程序和控制措施；（</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）对于非常规或特</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殊交易的账务处理没有建立相应的控制机制或没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9"/>
                            <w:w w:val="101"/>
                            <w:sz w:val="18"/>
                            <w:szCs w:val="18"/>
                          </w:rPr>
                          <w:t>有实施且没有相应的补偿性控制；（</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）对于期末财</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务报告过程的控制存在一项或多项缺陷且不能合</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sz w:val="18"/>
                            <w:szCs w:val="18"/>
                          </w:rPr>
                          <w:t>理保证编制的财务报表达到真实、准确的目标。</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34"/>
                            <w:sz w:val="18"/>
                            <w:szCs w:val="18"/>
                          </w:rPr>
                          <w:t> </w:t>
                        </w:r>
                        <w:r>
                          <w:rPr>
                            <w:rFonts w:ascii="宋体" w:hAnsi="宋体" w:cs="宋体" w:eastAsia="宋体" w:hint="default"/>
                            <w:spacing w:val="-5"/>
                            <w:sz w:val="18"/>
                            <w:szCs w:val="18"/>
                          </w:rPr>
                          <w:t>一般缺陷：除重大缺陷和重要缺陷之外的其他控制</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缺陷。</w:t>
                        </w:r>
                      </w:p>
                    </w:tc>
                    <w:tc>
                      <w:tcPr>
                        <w:tcW w:w="4026" w:type="dxa"/>
                        <w:vMerge w:val="restart"/>
                        <w:tcBorders>
                          <w:top w:val="single" w:sz="4" w:space="0" w:color="000000"/>
                          <w:left w:val="single" w:sz="13" w:space="0" w:color="FFFFFF"/>
                          <w:right w:val="single" w:sz="4" w:space="0" w:color="000000"/>
                        </w:tcBorders>
                      </w:tcPr>
                      <w:p>
                        <w:pPr>
                          <w:pStyle w:val="TableParagraph"/>
                          <w:spacing w:line="302" w:lineRule="auto" w:before="53"/>
                          <w:ind w:right="12"/>
                          <w:jc w:val="both"/>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、具有以下特征的缺陷，认定为重大缺陷：（</w:t>
                        </w: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）公</w:t>
                        </w:r>
                        <w:r>
                          <w:rPr>
                            <w:rFonts w:ascii="宋体" w:hAnsi="宋体" w:cs="宋体" w:eastAsia="宋体" w:hint="default"/>
                            <w:spacing w:val="-78"/>
                            <w:w w:val="101"/>
                            <w:sz w:val="18"/>
                            <w:szCs w:val="18"/>
                          </w:rPr>
                          <w:t> </w:t>
                        </w:r>
                        <w:r>
                          <w:rPr>
                            <w:rFonts w:ascii="宋体" w:hAnsi="宋体" w:cs="宋体" w:eastAsia="宋体" w:hint="default"/>
                            <w:spacing w:val="-7"/>
                            <w:w w:val="101"/>
                            <w:sz w:val="18"/>
                            <w:szCs w:val="18"/>
                          </w:rPr>
                          <w:t>司决策程序导致重大损失；（</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）严重违反法律、法</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z w:val="18"/>
                            <w:szCs w:val="18"/>
                          </w:rPr>
                          <w:t>规；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）公司高级管理人员和高级技术人员流失</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7"/>
                            <w:w w:val="101"/>
                            <w:sz w:val="18"/>
                            <w:szCs w:val="18"/>
                          </w:rPr>
                          <w:t>严重；（</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）媒体频现负面新闻，涉及面广且对公司</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3"/>
                            <w:sz w:val="18"/>
                            <w:szCs w:val="18"/>
                          </w:rPr>
                          <w:t>声誉造成重大损害；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）公司重要业务缺乏制度</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控制或制度体系失效，重要的经济业务虽有内控制</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度，但没有有效的运行；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）公司内部控制重大</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7"/>
                            <w:w w:val="101"/>
                            <w:sz w:val="18"/>
                            <w:szCs w:val="18"/>
                          </w:rPr>
                          <w:t>或重要缺陷未得到整改；（</w:t>
                        </w:r>
                        <w:r>
                          <w:rPr>
                            <w:rFonts w:ascii="Times New Roman" w:hAnsi="Times New Roman" w:cs="Times New Roman" w:eastAsia="Times New Roman" w:hint="default"/>
                            <w:spacing w:val="-7"/>
                            <w:w w:val="101"/>
                            <w:sz w:val="18"/>
                            <w:szCs w:val="18"/>
                          </w:rPr>
                          <w:t>7</w:t>
                        </w:r>
                        <w:r>
                          <w:rPr>
                            <w:rFonts w:ascii="宋体" w:hAnsi="宋体" w:cs="宋体" w:eastAsia="宋体" w:hint="default"/>
                            <w:spacing w:val="-7"/>
                            <w:w w:val="101"/>
                            <w:sz w:val="18"/>
                            <w:szCs w:val="18"/>
                          </w:rPr>
                          <w:t>）公司遭受证监会处罚</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6"/>
                            <w:sz w:val="18"/>
                            <w:szCs w:val="18"/>
                          </w:rPr>
                          <w:t>或证券交易所警告。</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、具有以下特征的缺陷，认定</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9"/>
                            <w:w w:val="101"/>
                            <w:sz w:val="18"/>
                            <w:szCs w:val="18"/>
                          </w:rPr>
                          <w:t>为重要缺陷：（</w:t>
                        </w: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）公司决策程序导致出现重大失误</w:t>
                        </w:r>
                        <w:r>
                          <w:rPr>
                            <w:rFonts w:ascii="宋体" w:hAnsi="宋体" w:cs="宋体" w:eastAsia="宋体" w:hint="default"/>
                            <w:spacing w:val="-9"/>
                            <w:sz w:val="18"/>
                            <w:szCs w:val="18"/>
                          </w:rPr>
                        </w:r>
                      </w:p>
                      <w:p>
                        <w:pPr>
                          <w:pStyle w:val="TableParagraph"/>
                          <w:spacing w:line="302" w:lineRule="auto" w:before="11"/>
                          <w:ind w:right="12"/>
                          <w:jc w:val="both"/>
                          <w:rPr>
                            <w:rFonts w:ascii="宋体" w:hAnsi="宋体" w:cs="宋体" w:eastAsia="宋体" w:hint="default"/>
                            <w:sz w:val="18"/>
                            <w:szCs w:val="18"/>
                          </w:rPr>
                        </w:pP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）公司关键岗位业务人员流失严重；（</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）媒体出</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7"/>
                            <w:w w:val="101"/>
                            <w:sz w:val="18"/>
                            <w:szCs w:val="18"/>
                          </w:rPr>
                          <w:t>现负面新闻，波及局部区域；（</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）公司重要业务制</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7"/>
                            <w:w w:val="101"/>
                            <w:sz w:val="18"/>
                            <w:szCs w:val="18"/>
                          </w:rPr>
                          <w:t>度或系统存在缺陷；（</w:t>
                        </w:r>
                        <w:r>
                          <w:rPr>
                            <w:rFonts w:ascii="Times New Roman" w:hAnsi="Times New Roman" w:cs="Times New Roman" w:eastAsia="Times New Roman" w:hint="default"/>
                            <w:spacing w:val="-7"/>
                            <w:w w:val="101"/>
                            <w:sz w:val="18"/>
                            <w:szCs w:val="18"/>
                          </w:rPr>
                          <w:t>5</w:t>
                        </w:r>
                        <w:r>
                          <w:rPr>
                            <w:rFonts w:ascii="宋体" w:hAnsi="宋体" w:cs="宋体" w:eastAsia="宋体" w:hint="default"/>
                            <w:spacing w:val="-7"/>
                            <w:w w:val="101"/>
                            <w:sz w:val="18"/>
                            <w:szCs w:val="18"/>
                          </w:rPr>
                          <w:t>）公司内部控制重要缺陷未</w:t>
                        </w:r>
                        <w:r>
                          <w:rPr>
                            <w:rFonts w:ascii="宋体" w:hAnsi="宋体" w:cs="宋体" w:eastAsia="宋体" w:hint="default"/>
                            <w:spacing w:val="-72"/>
                            <w:w w:val="101"/>
                            <w:sz w:val="18"/>
                            <w:szCs w:val="18"/>
                          </w:rPr>
                          <w:t> </w:t>
                        </w:r>
                        <w:r>
                          <w:rPr>
                            <w:rFonts w:ascii="宋体" w:hAnsi="宋体" w:cs="宋体" w:eastAsia="宋体" w:hint="default"/>
                            <w:spacing w:val="-72"/>
                            <w:w w:val="101"/>
                            <w:sz w:val="18"/>
                            <w:szCs w:val="18"/>
                          </w:rPr>
                        </w:r>
                        <w:r>
                          <w:rPr>
                            <w:rFonts w:ascii="宋体" w:hAnsi="宋体" w:cs="宋体" w:eastAsia="宋体" w:hint="default"/>
                            <w:spacing w:val="-6"/>
                            <w:sz w:val="18"/>
                            <w:szCs w:val="18"/>
                          </w:rPr>
                          <w:t>在合理期间内得到整改。</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、一般缺陷是指除上述重</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大缺陷、重要缺陷之外的其他控制缺陷。</w:t>
                        </w:r>
                      </w:p>
                    </w:tc>
                  </w:tr>
                  <w:tr>
                    <w:trPr>
                      <w:trHeight w:val="394" w:hRule="exact"/>
                    </w:trPr>
                    <w:tc>
                      <w:tcPr>
                        <w:tcW w:w="1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88" w:type="dxa"/>
                        <w:vMerge/>
                        <w:tcBorders>
                          <w:left w:val="single" w:sz="8" w:space="0" w:color="D2D2D2"/>
                          <w:right w:val="single" w:sz="13" w:space="0" w:color="FFFFFF"/>
                        </w:tcBorders>
                      </w:tcPr>
                      <w:p>
                        <w:pPr/>
                      </w:p>
                    </w:tc>
                    <w:tc>
                      <w:tcPr>
                        <w:tcW w:w="4026" w:type="dxa"/>
                        <w:vMerge/>
                        <w:tcBorders>
                          <w:left w:val="single" w:sz="13" w:space="0" w:color="FFFFFF"/>
                          <w:right w:val="single" w:sz="4" w:space="0" w:color="000000"/>
                        </w:tcBorders>
                      </w:tcPr>
                      <w:p>
                        <w:pPr/>
                      </w:p>
                    </w:tc>
                  </w:tr>
                  <w:tr>
                    <w:trPr>
                      <w:trHeight w:val="2189" w:hRule="exact"/>
                    </w:trPr>
                    <w:tc>
                      <w:tcPr>
                        <w:tcW w:w="1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8" w:type="dxa"/>
                        <w:vMerge/>
                        <w:tcBorders>
                          <w:left w:val="single" w:sz="8" w:space="0" w:color="D2D2D2"/>
                          <w:bottom w:val="single" w:sz="4" w:space="0" w:color="000000"/>
                          <w:right w:val="single" w:sz="13" w:space="0" w:color="FFFFFF"/>
                        </w:tcBorders>
                      </w:tcPr>
                      <w:p>
                        <w:pPr/>
                      </w:p>
                    </w:tc>
                    <w:tc>
                      <w:tcPr>
                        <w:tcW w:w="4026" w:type="dxa"/>
                        <w:vMerge/>
                        <w:tcBorders>
                          <w:left w:val="single" w:sz="13" w:space="0" w:color="FFFFFF"/>
                          <w:bottom w:val="single" w:sz="4" w:space="0" w:color="000000"/>
                          <w:right w:val="single" w:sz="4" w:space="0" w:color="000000"/>
                        </w:tcBorders>
                      </w:tcPr>
                      <w:p>
                        <w:pPr/>
                      </w:p>
                    </w:tc>
                  </w:tr>
                  <w:tr>
                    <w:trPr>
                      <w:trHeight w:val="787" w:hRule="exact"/>
                    </w:trPr>
                    <w:tc>
                      <w:tcPr>
                        <w:tcW w:w="1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8" w:type="dxa"/>
                        <w:vMerge w:val="restart"/>
                        <w:tcBorders>
                          <w:top w:val="single" w:sz="4" w:space="0" w:color="000000"/>
                          <w:left w:val="single" w:sz="8" w:space="0" w:color="D2D2D2"/>
                          <w:right w:val="single" w:sz="4" w:space="0" w:color="000000"/>
                        </w:tcBorders>
                      </w:tcPr>
                      <w:p>
                        <w:pPr>
                          <w:pStyle w:val="TableParagraph"/>
                          <w:spacing w:line="300" w:lineRule="auto" w:before="53"/>
                          <w:ind w:left="23" w:right="-41"/>
                          <w:jc w:val="left"/>
                          <w:rPr>
                            <w:rFonts w:ascii="宋体" w:hAnsi="宋体" w:cs="宋体" w:eastAsia="宋体" w:hint="default"/>
                            <w:sz w:val="18"/>
                            <w:szCs w:val="18"/>
                          </w:rPr>
                        </w:pPr>
                        <w:r>
                          <w:rPr>
                            <w:rFonts w:ascii="宋体" w:hAnsi="宋体" w:cs="宋体" w:eastAsia="宋体" w:hint="default"/>
                            <w:spacing w:val="-3"/>
                            <w:sz w:val="18"/>
                            <w:szCs w:val="18"/>
                          </w:rPr>
                          <w:t>资产类定量标准，重大缺陷：错报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71"/>
                            <w:sz w:val="18"/>
                            <w:szCs w:val="18"/>
                          </w:rPr>
                          <w:t> </w:t>
                        </w:r>
                        <w:r>
                          <w:rPr>
                            <w:rFonts w:ascii="宋体" w:hAnsi="宋体" w:cs="宋体" w:eastAsia="宋体" w:hint="default"/>
                            <w:spacing w:val="-5"/>
                            <w:sz w:val="18"/>
                            <w:szCs w:val="18"/>
                          </w:rPr>
                          <w:t>重要缺陷：资产总额</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3%&gt;</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w:t>
                        </w:r>
                        <w:r>
                          <w:rPr>
                            <w:rFonts w:ascii="宋体" w:hAnsi="宋体" w:cs="宋体" w:eastAsia="宋体" w:hint="default"/>
                            <w:spacing w:val="-35"/>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；一</w:t>
                        </w:r>
                        <w:r>
                          <w:rPr>
                            <w:rFonts w:ascii="宋体" w:hAnsi="宋体" w:cs="宋体" w:eastAsia="宋体" w:hint="default"/>
                            <w:spacing w:val="-54"/>
                            <w:sz w:val="18"/>
                            <w:szCs w:val="18"/>
                          </w:rPr>
                          <w:t> </w:t>
                        </w:r>
                        <w:r>
                          <w:rPr>
                            <w:rFonts w:ascii="宋体" w:hAnsi="宋体" w:cs="宋体" w:eastAsia="宋体" w:hint="default"/>
                            <w:sz w:val="18"/>
                            <w:szCs w:val="18"/>
                          </w:rPr>
                          <w:t>般缺陷：资产总额</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0.5%&gt;</w:t>
                        </w:r>
                        <w:r>
                          <w:rPr>
                            <w:rFonts w:ascii="宋体" w:hAnsi="宋体" w:cs="宋体" w:eastAsia="宋体" w:hint="default"/>
                            <w:spacing w:val="-3"/>
                            <w:sz w:val="18"/>
                            <w:szCs w:val="18"/>
                          </w:rPr>
                          <w:t>错报。损益类定量标准，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重大缺陷：错报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；重要缺陷：利润</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总额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；一般缺陷：利润总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5%&gt;</w:t>
                        </w:r>
                        <w:r>
                          <w:rPr>
                            <w:rFonts w:ascii="宋体" w:hAnsi="宋体" w:cs="宋体" w:eastAsia="宋体" w:hint="default"/>
                            <w:sz w:val="18"/>
                            <w:szCs w:val="18"/>
                          </w:rPr>
                          <w:t>错报。</w:t>
                        </w:r>
                      </w:p>
                    </w:tc>
                    <w:tc>
                      <w:tcPr>
                        <w:tcW w:w="4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 w:right="0"/>
                          <w:jc w:val="left"/>
                          <w:rPr>
                            <w:rFonts w:ascii="宋体" w:hAnsi="宋体" w:cs="宋体" w:eastAsia="宋体" w:hint="default"/>
                            <w:sz w:val="18"/>
                            <w:szCs w:val="18"/>
                          </w:rPr>
                        </w:pPr>
                        <w:r>
                          <w:rPr>
                            <w:rFonts w:ascii="宋体" w:hAnsi="宋体" w:cs="宋体" w:eastAsia="宋体" w:hint="default"/>
                            <w:spacing w:val="-3"/>
                            <w:sz w:val="18"/>
                            <w:szCs w:val="18"/>
                          </w:rPr>
                          <w:t>同财务报告内部控制缺陷评价定量认定标准。</w:t>
                        </w:r>
                      </w:p>
                    </w:tc>
                  </w:tr>
                  <w:tr>
                    <w:trPr>
                      <w:trHeight w:val="389" w:hRule="exact"/>
                    </w:trPr>
                    <w:tc>
                      <w:tcPr>
                        <w:tcW w:w="1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88" w:type="dxa"/>
                        <w:vMerge/>
                        <w:tcBorders>
                          <w:left w:val="single" w:sz="8" w:space="0" w:color="D2D2D2"/>
                          <w:right w:val="single" w:sz="4" w:space="0" w:color="000000"/>
                        </w:tcBorders>
                      </w:tcPr>
                      <w:p>
                        <w:pPr/>
                      </w:p>
                    </w:tc>
                    <w:tc>
                      <w:tcPr>
                        <w:tcW w:w="4026" w:type="dxa"/>
                        <w:vMerge/>
                        <w:tcBorders>
                          <w:left w:val="single" w:sz="4" w:space="0" w:color="000000"/>
                          <w:right w:val="single" w:sz="4" w:space="0" w:color="000000"/>
                        </w:tcBorders>
                      </w:tcPr>
                      <w:p>
                        <w:pPr/>
                      </w:p>
                    </w:tc>
                  </w:tr>
                  <w:tr>
                    <w:trPr>
                      <w:trHeight w:val="787" w:hRule="exact"/>
                    </w:trPr>
                    <w:tc>
                      <w:tcPr>
                        <w:tcW w:w="1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8" w:type="dxa"/>
                        <w:vMerge/>
                        <w:tcBorders>
                          <w:left w:val="single" w:sz="8" w:space="0" w:color="D2D2D2"/>
                          <w:bottom w:val="single" w:sz="4" w:space="0" w:color="000000"/>
                          <w:right w:val="single" w:sz="4" w:space="0" w:color="000000"/>
                        </w:tcBorders>
                      </w:tcPr>
                      <w:p>
                        <w:pPr/>
                      </w:p>
                    </w:tc>
                    <w:tc>
                      <w:tcPr>
                        <w:tcW w:w="4026" w:type="dxa"/>
                        <w:vMerge/>
                        <w:tcBorders>
                          <w:left w:val="single" w:sz="4" w:space="0" w:color="000000"/>
                          <w:bottom w:val="single" w:sz="4" w:space="0" w:color="000000"/>
                          <w:right w:val="single" w:sz="4" w:space="0" w:color="000000"/>
                        </w:tcBorders>
                      </w:tcPr>
                      <w:p>
                        <w:pPr/>
                      </w:p>
                    </w:tc>
                  </w:tr>
                  <w:tr>
                    <w:trPr>
                      <w:trHeight w:val="711"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jc w:val="left"/>
                          <w:rPr>
                            <w:rFonts w:ascii="宋体" w:hAnsi="宋体" w:cs="宋体" w:eastAsia="宋体" w:hint="default"/>
                            <w:sz w:val="18"/>
                            <w:szCs w:val="18"/>
                          </w:rPr>
                        </w:pPr>
                        <w:r>
                          <w:rPr>
                            <w:rFonts w:ascii="宋体" w:hAnsi="宋体" w:cs="宋体" w:eastAsia="宋体" w:hint="default"/>
                            <w:spacing w:val="-2"/>
                            <w:sz w:val="18"/>
                            <w:szCs w:val="18"/>
                          </w:rPr>
                          <w:t>财务报告重大缺陷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数量（个）</w:t>
                        </w:r>
                      </w:p>
                    </w:tc>
                    <w:tc>
                      <w:tcPr>
                        <w:tcW w:w="8014"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jc w:val="left"/>
                          <w:rPr>
                            <w:rFonts w:ascii="宋体" w:hAnsi="宋体" w:cs="宋体" w:eastAsia="宋体" w:hint="default"/>
                            <w:sz w:val="18"/>
                            <w:szCs w:val="18"/>
                          </w:rPr>
                        </w:pPr>
                        <w:r>
                          <w:rPr>
                            <w:rFonts w:ascii="宋体" w:hAnsi="宋体" w:cs="宋体" w:eastAsia="宋体" w:hint="default"/>
                            <w:spacing w:val="-2"/>
                            <w:sz w:val="18"/>
                            <w:szCs w:val="18"/>
                          </w:rPr>
                          <w:t>非财务报告重大缺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陷数量（个）</w:t>
                        </w:r>
                      </w:p>
                    </w:tc>
                    <w:tc>
                      <w:tcPr>
                        <w:tcW w:w="8014"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312" w:lineRule="exact"/>
        <w:ind w:left="568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99.3pt;height:15.65pt;mso-position-horizontal-relative:char;mso-position-vertical-relative:line" coordorigin="0,0" coordsize="3986,313">
            <v:group style="position:absolute;left:0;top:0;width:3986;height:313" coordorigin="0,0" coordsize="3986,313">
              <v:shape style="position:absolute;left:0;top:0;width:3986;height:313" coordorigin="0,0" coordsize="3986,313" path="m0,312l3985,312,398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782" w:lineRule="exact"/>
        <w:ind w:left="565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201.7pt;height:39.15pt;mso-position-horizontal-relative:char;mso-position-vertical-relative:line" coordorigin="0,0" coordsize="4034,783">
            <v:group style="position:absolute;left:0;top:0;width:4034;height:783" coordorigin="0,0" coordsize="4034,783">
              <v:shape style="position:absolute;left:0;top:0;width:4034;height:783" coordorigin="0,0" coordsize="4034,783" path="m0,782l4033,782,4033,0,0,0,0,782xe" filled="true" fillcolor="#ffffff" stroked="false">
                <v:path arrowok="t"/>
                <v:fill type="solid"/>
              </v:shape>
            </v:group>
          </v:group>
        </w:pict>
      </w:r>
      <w:r>
        <w:rPr>
          <w:rFonts w:ascii="宋体" w:hAnsi="宋体" w:cs="宋体" w:eastAsia="宋体" w:hint="default"/>
          <w:position w:val="-15"/>
          <w:sz w:val="20"/>
          <w:szCs w:val="20"/>
        </w:rPr>
      </w:r>
    </w:p>
    <w:p>
      <w:pPr>
        <w:spacing w:after="0" w:line="782" w:lineRule="exact"/>
        <w:rPr>
          <w:rFonts w:ascii="宋体" w:hAnsi="宋体" w:cs="宋体" w:eastAsia="宋体" w:hint="default"/>
          <w:sz w:val="20"/>
          <w:szCs w:val="20"/>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551"/>
        <w:gridCol w:w="8019"/>
      </w:tblGrid>
      <w:tr>
        <w:trPr>
          <w:trHeight w:val="715"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财务报告重要缺陷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数量（个）</w:t>
            </w:r>
          </w:p>
        </w:tc>
        <w:tc>
          <w:tcPr>
            <w:tcW w:w="80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非财务报告重要缺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陷数量（个）</w:t>
            </w:r>
          </w:p>
        </w:tc>
        <w:tc>
          <w:tcPr>
            <w:tcW w:w="801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665"/>
        <w:gridCol w:w="6905"/>
      </w:tblGrid>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我们认为，创业黑马公司按照《企业内部控制基本规范》及相关规定于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日在所有重大方面保持了有效的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与财务报告有关的内部控制。</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7"/>
                <w:sz w:val="18"/>
                <w:szCs w:val="18"/>
              </w:rPr>
              <w:t> </w:t>
            </w:r>
            <w:hyperlink r:id="rId11">
              <w:r>
                <w:rPr>
                  <w:rFonts w:ascii="Times New Roman" w:hAnsi="Times New Roman" w:cs="Times New Roman" w:eastAsia="Times New Roman" w:hint="default"/>
                  <w:spacing w:val="-3"/>
                  <w:sz w:val="18"/>
                  <w:szCs w:val="18"/>
                </w:rPr>
                <w:t>www.cninfo.com.cn</w:t>
              </w:r>
            </w:hyperlink>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会计师事务所是否出具非标准意见的内部控制鉴证报告</w:t>
      </w:r>
    </w:p>
    <w:p>
      <w:pPr>
        <w:spacing w:line="343" w:lineRule="auto" w:before="115"/>
        <w:ind w:left="153" w:right="4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会计师事务所出具的内部控制鉴证报告与董事会的自我评价报告意见是否一致</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50"/>
      <w:bookmarkEnd w:id="150"/>
      <w:r>
        <w:rPr>
          <w:b w:val="0"/>
          <w:bCs w:val="0"/>
        </w:rPr>
      </w:r>
      <w:bookmarkStart w:name="_bookmark10" w:id="151"/>
      <w:bookmarkEnd w:id="151"/>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74"/>
        <w:jc w:val="center"/>
        <w:rPr>
          <w:b w:val="0"/>
          <w:bCs w:val="0"/>
        </w:rPr>
      </w:pPr>
      <w:bookmarkStart w:name="第十二节财务报告" w:id="152"/>
      <w:bookmarkEnd w:id="152"/>
      <w:r>
        <w:rPr>
          <w:b w:val="0"/>
          <w:bCs w:val="0"/>
        </w:rPr>
      </w:r>
      <w:bookmarkStart w:name="_bookmark11" w:id="153"/>
      <w:bookmarkEnd w:id="153"/>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[2020]14672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闫磊、梅亚运</w:t>
            </w:r>
          </w:p>
        </w:tc>
      </w:tr>
    </w:tbl>
    <w:p>
      <w:pPr>
        <w:spacing w:before="53"/>
        <w:ind w:left="0" w:right="97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
        <w:rPr>
          <w:rFonts w:ascii="宋体" w:hAnsi="宋体" w:cs="宋体" w:eastAsia="宋体" w:hint="default"/>
          <w:sz w:val="29"/>
          <w:szCs w:val="29"/>
        </w:rPr>
      </w:pPr>
    </w:p>
    <w:p>
      <w:pPr>
        <w:pStyle w:val="BodyText"/>
        <w:spacing w:line="240" w:lineRule="auto" w:before="36"/>
        <w:ind w:right="0"/>
        <w:jc w:val="left"/>
      </w:pPr>
      <w:r>
        <w:rPr/>
        <w:t>创业黑马科技集团股份有限公司全体股东：</w:t>
      </w:r>
    </w:p>
    <w:p>
      <w:pPr>
        <w:spacing w:line="240" w:lineRule="auto" w:before="1"/>
        <w:rPr>
          <w:rFonts w:ascii="宋体" w:hAnsi="宋体" w:cs="宋体" w:eastAsia="宋体" w:hint="default"/>
          <w:sz w:val="28"/>
          <w:szCs w:val="28"/>
        </w:rPr>
      </w:pPr>
    </w:p>
    <w:p>
      <w:pPr>
        <w:pStyle w:val="Heading2"/>
        <w:spacing w:line="240" w:lineRule="auto"/>
        <w:ind w:left="633" w:right="0"/>
        <w:jc w:val="left"/>
        <w:rPr>
          <w:rFonts w:ascii="黑体" w:hAnsi="黑体" w:cs="黑体" w:eastAsia="黑体" w:hint="default"/>
          <w:b w:val="0"/>
          <w:bCs w:val="0"/>
        </w:rPr>
      </w:pPr>
      <w:r>
        <w:rPr>
          <w:rFonts w:ascii="黑体" w:hAnsi="黑体" w:cs="黑体" w:eastAsia="黑体" w:hint="default"/>
        </w:rPr>
        <w:t>一、审计意见</w:t>
      </w:r>
      <w:r>
        <w:rPr>
          <w:rFonts w:ascii="黑体" w:hAnsi="黑体" w:cs="黑体" w:eastAsia="黑体" w:hint="default"/>
          <w:b w:val="0"/>
          <w:bCs w:val="0"/>
        </w:rPr>
      </w:r>
    </w:p>
    <w:p>
      <w:pPr>
        <w:spacing w:line="240" w:lineRule="auto" w:before="1"/>
        <w:rPr>
          <w:rFonts w:ascii="黑体" w:hAnsi="黑体" w:cs="黑体" w:eastAsia="黑体" w:hint="default"/>
          <w:b/>
          <w:bCs/>
          <w:sz w:val="30"/>
          <w:szCs w:val="30"/>
        </w:rPr>
      </w:pPr>
    </w:p>
    <w:p>
      <w:pPr>
        <w:pStyle w:val="BodyText"/>
        <w:spacing w:line="312" w:lineRule="auto"/>
        <w:ind w:right="1122" w:firstLine="422"/>
        <w:jc w:val="both"/>
      </w:pPr>
      <w:r>
        <w:rPr/>
        <w:t>我们审计了创业黑马科技集团股份有限公司（以下简称创业黑马）财务报表，包括</w:t>
      </w:r>
      <w:r>
        <w:rPr>
          <w:spacing w:val="-20"/>
        </w:rPr>
        <w:t> </w:t>
      </w:r>
      <w:r>
        <w:rPr>
          <w:rFonts w:ascii="宋体" w:hAnsi="宋体" w:cs="宋体" w:eastAsia="宋体" w:hint="default"/>
        </w:rPr>
        <w:t>2019</w:t>
      </w:r>
      <w:r>
        <w:rPr>
          <w:rFonts w:ascii="宋体" w:hAnsi="宋体" w:cs="宋体" w:eastAsia="宋体" w:hint="default"/>
          <w:spacing w:val="-23"/>
        </w:rPr>
        <w:t> </w:t>
      </w:r>
      <w:r>
        <w:rPr/>
        <w:t>年</w:t>
      </w:r>
      <w:r>
        <w:rPr>
          <w:spacing w:val="-24"/>
        </w:rPr>
        <w:t> </w:t>
      </w:r>
      <w:r>
        <w:rPr>
          <w:rFonts w:ascii="宋体" w:hAnsi="宋体" w:cs="宋体" w:eastAsia="宋体" w:hint="default"/>
          <w:spacing w:val="-3"/>
        </w:rPr>
        <w:t>12</w:t>
      </w:r>
      <w:r>
        <w:rPr>
          <w:rFonts w:ascii="宋体" w:hAnsi="宋体" w:cs="宋体" w:eastAsia="宋体" w:hint="default"/>
          <w:spacing w:val="-29"/>
        </w:rPr>
        <w:t> </w:t>
      </w:r>
      <w:r>
        <w:rPr/>
        <w:t>月</w:t>
      </w:r>
      <w:r>
        <w:rPr>
          <w:spacing w:val="-24"/>
        </w:rPr>
        <w:t> </w:t>
      </w:r>
      <w:r>
        <w:rPr>
          <w:rFonts w:ascii="宋体" w:hAnsi="宋体" w:cs="宋体" w:eastAsia="宋体" w:hint="default"/>
        </w:rPr>
        <w:t>31</w:t>
      </w:r>
      <w:r>
        <w:rPr>
          <w:rFonts w:ascii="宋体" w:hAnsi="宋体" w:cs="宋体" w:eastAsia="宋体" w:hint="default"/>
          <w:w w:val="100"/>
        </w:rPr>
        <w:t> </w:t>
      </w:r>
      <w:r>
        <w:rPr>
          <w:spacing w:val="-3"/>
        </w:rPr>
        <w:t>日的合并及母公司资产负债表，</w:t>
      </w:r>
      <w:r>
        <w:rPr>
          <w:rFonts w:ascii="宋体" w:hAnsi="宋体" w:cs="宋体" w:eastAsia="宋体" w:hint="default"/>
          <w:spacing w:val="-3"/>
        </w:rPr>
        <w:t>2019 </w:t>
      </w:r>
      <w:r>
        <w:rPr>
          <w:spacing w:val="-3"/>
        </w:rPr>
        <w:t>年度的合并及母公司利润表、合并及母公司现金流量表、合并及母公</w:t>
      </w:r>
      <w:r>
        <w:rPr>
          <w:spacing w:val="-83"/>
        </w:rPr>
        <w:t> </w:t>
      </w:r>
      <w:r>
        <w:rPr>
          <w:spacing w:val="-83"/>
        </w:rPr>
      </w:r>
      <w:r>
        <w:rPr/>
        <w:t>司股东权益变动表，以及财务报表附注。</w:t>
      </w:r>
    </w:p>
    <w:p>
      <w:pPr>
        <w:spacing w:line="240" w:lineRule="auto" w:before="10"/>
        <w:rPr>
          <w:rFonts w:ascii="宋体" w:hAnsi="宋体" w:cs="宋体" w:eastAsia="宋体" w:hint="default"/>
          <w:sz w:val="13"/>
          <w:szCs w:val="13"/>
        </w:rPr>
      </w:pPr>
    </w:p>
    <w:p>
      <w:pPr>
        <w:pStyle w:val="BodyText"/>
        <w:spacing w:line="240" w:lineRule="auto"/>
        <w:ind w:left="575" w:right="0"/>
        <w:jc w:val="left"/>
        <w:rPr>
          <w:rFonts w:ascii="宋体" w:hAnsi="宋体" w:cs="宋体" w:eastAsia="宋体" w:hint="default"/>
        </w:rPr>
      </w:pPr>
      <w:r>
        <w:rPr>
          <w:spacing w:val="-4"/>
        </w:rPr>
        <w:t>我们认为，后附的财务报表在所有重大方面按照企业会计准则的规定编制，公允反映了创业黑马</w:t>
      </w:r>
      <w:r>
        <w:rPr>
          <w:spacing w:val="43"/>
        </w:rPr>
        <w:t> </w:t>
      </w:r>
      <w:r>
        <w:rPr>
          <w:rFonts w:ascii="宋体" w:hAnsi="宋体" w:cs="宋体" w:eastAsia="宋体" w:hint="default"/>
        </w:rPr>
        <w:t>2019</w:t>
      </w:r>
    </w:p>
    <w:p>
      <w:pPr>
        <w:pStyle w:val="BodyText"/>
        <w:spacing w:line="240" w:lineRule="auto" w:before="80"/>
        <w:ind w:right="0"/>
        <w:jc w:val="left"/>
      </w:pP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7"/>
        </w:rPr>
        <w:t> </w:t>
      </w:r>
      <w:r>
        <w:rPr/>
        <w:t>日的合并及母公司财务状况以及</w:t>
      </w:r>
      <w:r>
        <w:rPr>
          <w:spacing w:val="-52"/>
        </w:rPr>
        <w:t> </w:t>
      </w:r>
      <w:r>
        <w:rPr>
          <w:rFonts w:ascii="宋体" w:hAnsi="宋体" w:cs="宋体" w:eastAsia="宋体" w:hint="default"/>
        </w:rPr>
        <w:t>2019</w:t>
      </w:r>
      <w:r>
        <w:rPr>
          <w:rFonts w:ascii="宋体" w:hAnsi="宋体" w:cs="宋体" w:eastAsia="宋体" w:hint="default"/>
          <w:spacing w:val="-53"/>
        </w:rPr>
        <w:t> </w:t>
      </w:r>
      <w:r>
        <w:rPr/>
        <w:t>年度的合并及母公司经营成果和现金流量。</w:t>
      </w:r>
    </w:p>
    <w:p>
      <w:pPr>
        <w:spacing w:line="240" w:lineRule="auto" w:before="1"/>
        <w:rPr>
          <w:rFonts w:ascii="宋体" w:hAnsi="宋体" w:cs="宋体" w:eastAsia="宋体" w:hint="default"/>
          <w:sz w:val="28"/>
          <w:szCs w:val="28"/>
        </w:rPr>
      </w:pPr>
    </w:p>
    <w:p>
      <w:pPr>
        <w:pStyle w:val="Heading2"/>
        <w:spacing w:line="240" w:lineRule="auto"/>
        <w:ind w:left="633" w:right="0"/>
        <w:jc w:val="left"/>
        <w:rPr>
          <w:rFonts w:ascii="黑体" w:hAnsi="黑体" w:cs="黑体" w:eastAsia="黑体" w:hint="default"/>
          <w:b w:val="0"/>
          <w:bCs w:val="0"/>
        </w:rPr>
      </w:pPr>
      <w:r>
        <w:rPr>
          <w:rFonts w:ascii="黑体" w:hAnsi="黑体" w:cs="黑体" w:eastAsia="黑体" w:hint="default"/>
        </w:rPr>
        <w:t>二、形成审计意见的基础</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312" w:lineRule="auto"/>
        <w:ind w:right="1125" w:firstLine="422"/>
        <w:jc w:val="both"/>
      </w:pPr>
      <w:r>
        <w:rPr>
          <w:spacing w:val="-2"/>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的责任”部分进一步阐述了我们在这些准则下的责任。按照中国注册会计师职业道德守则，我们独立于创</w:t>
      </w:r>
      <w:r>
        <w:rPr>
          <w:spacing w:val="-33"/>
        </w:rPr>
        <w:t> </w:t>
      </w:r>
      <w:r>
        <w:rPr>
          <w:spacing w:val="-33"/>
        </w:rPr>
      </w:r>
      <w:r>
        <w:rPr>
          <w:spacing w:val="-2"/>
        </w:rPr>
        <w:t>业黑马，并履行了职业道德方面的其他责任。我们相信，我们获取的审计证据是充分、适当的，为发表审</w:t>
      </w:r>
      <w:r>
        <w:rPr>
          <w:spacing w:val="-38"/>
        </w:rPr>
        <w:t> </w:t>
      </w:r>
      <w:r>
        <w:rPr>
          <w:spacing w:val="-38"/>
        </w:rPr>
      </w:r>
      <w:r>
        <w:rPr/>
        <w:t>计意见提供了基础。</w:t>
      </w:r>
    </w:p>
    <w:p>
      <w:pPr>
        <w:spacing w:line="240" w:lineRule="auto" w:before="3"/>
        <w:rPr>
          <w:rFonts w:ascii="宋体" w:hAnsi="宋体" w:cs="宋体" w:eastAsia="宋体" w:hint="default"/>
          <w:sz w:val="23"/>
          <w:szCs w:val="23"/>
        </w:rPr>
      </w:pPr>
    </w:p>
    <w:p>
      <w:pPr>
        <w:pStyle w:val="Heading2"/>
        <w:spacing w:line="240" w:lineRule="auto"/>
        <w:ind w:left="633" w:right="0"/>
        <w:jc w:val="left"/>
        <w:rPr>
          <w:rFonts w:ascii="黑体" w:hAnsi="黑体" w:cs="黑体" w:eastAsia="黑体" w:hint="default"/>
          <w:b w:val="0"/>
          <w:bCs w:val="0"/>
        </w:rPr>
      </w:pPr>
      <w:r>
        <w:rPr>
          <w:rFonts w:ascii="黑体" w:hAnsi="黑体" w:cs="黑体" w:eastAsia="黑体" w:hint="default"/>
        </w:rPr>
        <w:t>三、关键审计事项</w:t>
      </w:r>
      <w:r>
        <w:rPr>
          <w:rFonts w:ascii="黑体" w:hAnsi="黑体" w:cs="黑体" w:eastAsia="黑体" w:hint="default"/>
          <w:b w:val="0"/>
          <w:bCs w:val="0"/>
        </w:rPr>
      </w:r>
    </w:p>
    <w:p>
      <w:pPr>
        <w:spacing w:line="240" w:lineRule="auto" w:before="1"/>
        <w:rPr>
          <w:rFonts w:ascii="黑体" w:hAnsi="黑体" w:cs="黑体" w:eastAsia="黑体" w:hint="default"/>
          <w:b/>
          <w:bCs/>
          <w:sz w:val="30"/>
          <w:szCs w:val="30"/>
        </w:rPr>
      </w:pPr>
    </w:p>
    <w:p>
      <w:pPr>
        <w:pStyle w:val="BodyText"/>
        <w:spacing w:line="309" w:lineRule="auto"/>
        <w:ind w:right="1125" w:firstLine="422"/>
        <w:jc w:val="both"/>
      </w:pPr>
      <w:r>
        <w:rPr>
          <w:spacing w:val="-2"/>
        </w:rPr>
        <w:t>关键审计事项是我们根据职业判断，认为对本期财务报表审计最为重要的事项。这些事项的应对以对</w:t>
      </w:r>
      <w:r>
        <w:rPr>
          <w:w w:val="100"/>
        </w:rPr>
        <w:t> </w:t>
      </w:r>
      <w:r>
        <w:rPr/>
        <w:t>财务报表整体进行审计并形成审计意见为背景，我们不对这些事项单独发表意见。</w:t>
      </w:r>
    </w:p>
    <w:p>
      <w:pPr>
        <w:spacing w:after="0" w:line="309" w:lineRule="auto"/>
        <w:jc w:val="both"/>
        <w:sectPr>
          <w:pgSz w:w="11910" w:h="16840"/>
          <w:pgMar w:header="741" w:footer="979" w:top="1060" w:bottom="1160" w:left="980" w:right="0"/>
        </w:sectPr>
      </w:pPr>
    </w:p>
    <w:p>
      <w:pPr>
        <w:spacing w:line="240" w:lineRule="auto" w:before="12"/>
        <w:rPr>
          <w:rFonts w:ascii="宋体" w:hAnsi="宋体" w:cs="宋体" w:eastAsia="宋体" w:hint="default"/>
          <w:sz w:val="28"/>
          <w:szCs w:val="28"/>
        </w:rPr>
      </w:pPr>
      <w:r>
        <w:rPr/>
        <w:pict>
          <v:group style="position:absolute;margin-left:50.664009pt;margin-top:756.455994pt;width:234.1pt;height:.5pt;mso-position-horizontal-relative:page;mso-position-vertical-relative:page;z-index:-924760" coordorigin="1013,15129" coordsize="4682,10">
            <v:shape style="position:absolute;left:1018;top:15129;width:10;height:10" type="#_x0000_t75" stroked="false">
              <v:imagedata r:id="rId14" o:title=""/>
            </v:shape>
            <v:shape style="position:absolute;left:1013;top:15129;width:4682;height:10" type="#_x0000_t75" stroked="false">
              <v:imagedata r:id="rId15" o:title=""/>
            </v:shape>
            <w10:wrap type="none"/>
          </v:group>
        </w:pict>
      </w:r>
      <w:r>
        <w:rPr/>
        <w:pict>
          <v:group style="position:absolute;margin-left:285.239990pt;margin-top:751.895935pt;width:234.55pt;height:5.05pt;mso-position-horizontal-relative:page;mso-position-vertical-relative:page;z-index:-924736" coordorigin="5705,15038" coordsize="4691,101">
            <v:shape style="position:absolute;left:5705;top:15038;width:4691;height:101" type="#_x0000_t75" stroked="false">
              <v:imagedata r:id="rId16" o:title=""/>
            </v:shape>
            <v:group style="position:absolute;left:10377;top:15134;width:10;height:2" coordorigin="10377,15134" coordsize="10,2">
              <v:shape style="position:absolute;left:10377;top:15134;width:10;height:2" coordorigin="10377,15134" coordsize="10,0" path="m10377,15134l10386,15134e" filled="false" stroked="true" strokeweight=".47998pt" strokecolor="#000000">
                <v:path arrowok="t"/>
              </v:shape>
            </v:group>
            <w10:wrap type="none"/>
          </v:group>
        </w:pict>
      </w:r>
    </w:p>
    <w:p>
      <w:pPr>
        <w:pStyle w:val="BodyText"/>
        <w:spacing w:line="240" w:lineRule="auto" w:before="36"/>
        <w:ind w:left="233" w:right="1115"/>
        <w:jc w:val="left"/>
      </w:pPr>
      <w:r>
        <w:rPr/>
        <w:t>审计报告（续）</w:t>
      </w:r>
    </w:p>
    <w:p>
      <w:pPr>
        <w:spacing w:line="240" w:lineRule="auto" w:before="11"/>
        <w:rPr>
          <w:rFonts w:ascii="宋体" w:hAnsi="宋体" w:cs="宋体" w:eastAsia="宋体" w:hint="default"/>
          <w:sz w:val="15"/>
          <w:szCs w:val="15"/>
        </w:rPr>
      </w:pPr>
    </w:p>
    <w:p>
      <w:pPr>
        <w:pStyle w:val="BodyText"/>
        <w:spacing w:line="240" w:lineRule="auto" w:before="36"/>
        <w:ind w:left="0" w:right="1122"/>
        <w:jc w:val="right"/>
      </w:pPr>
      <w:r>
        <w:rPr/>
        <w:pict>
          <v:group style="position:absolute;margin-left:50.423988pt;margin-top:47.213688pt;width:468.9pt;height:3.6pt;mso-position-horizontal-relative:page;mso-position-vertical-relative:paragraph;z-index:-924808" coordorigin="1008,944" coordsize="9378,72">
            <v:shape style="position:absolute;left:1008;top:944;width:4687;height:72" type="#_x0000_t75" stroked="false">
              <v:imagedata r:id="rId17" o:title=""/>
            </v:shape>
            <v:shape style="position:absolute;left:5666;top:944;width:4720;height:72" type="#_x0000_t75" stroked="false">
              <v:imagedata r:id="rId18" o:title=""/>
            </v:shape>
            <w10:wrap type="none"/>
          </v:group>
        </w:pict>
      </w:r>
      <w:r>
        <w:rPr/>
        <w:pict>
          <v:group style="position:absolute;margin-left:51.383999pt;margin-top:65.693642pt;width:467.45pt;height:.5pt;mso-position-horizontal-relative:page;mso-position-vertical-relative:paragraph;z-index:-924784" coordorigin="1028,1314" coordsize="9349,10">
            <v:shape style="position:absolute;left:1028;top:1314;width:4668;height:10" type="#_x0000_t75" stroked="false">
              <v:imagedata r:id="rId19" o:title=""/>
            </v:shape>
            <v:shape style="position:absolute;left:5690;top:1314;width:4686;height:10" type="#_x0000_t75" stroked="false">
              <v:imagedata r:id="rId20" o:title=""/>
            </v:shape>
            <w10:wrap type="none"/>
          </v:group>
        </w:pict>
      </w:r>
      <w:r>
        <w:rPr/>
        <w:t>天职业字</w:t>
      </w:r>
      <w:r>
        <w:rPr>
          <w:rFonts w:ascii="宋体" w:hAnsi="宋体" w:cs="宋体" w:eastAsia="宋体" w:hint="default"/>
        </w:rPr>
        <w:t>[2020]14672</w:t>
      </w:r>
      <w:r>
        <w:rPr>
          <w:rFonts w:ascii="宋体" w:hAnsi="宋体" w:cs="宋体" w:eastAsia="宋体" w:hint="default"/>
          <w:spacing w:val="-50"/>
        </w:rPr>
        <w:t> </w:t>
      </w:r>
      <w:r>
        <w:rPr/>
        <w:t>号</w:t>
      </w:r>
    </w:p>
    <w:p>
      <w:pPr>
        <w:spacing w:line="240" w:lineRule="auto" w:before="5"/>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4677"/>
        <w:gridCol w:w="4681"/>
      </w:tblGrid>
      <w:tr>
        <w:trPr>
          <w:trHeight w:val="437" w:hRule="exact"/>
        </w:trPr>
        <w:tc>
          <w:tcPr>
            <w:tcW w:w="4677"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40" w:lineRule="auto" w:before="43"/>
              <w:ind w:left="8"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81"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40" w:lineRule="auto" w:before="43"/>
              <w:ind w:left="96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60" w:hRule="exact"/>
        </w:trPr>
        <w:tc>
          <w:tcPr>
            <w:tcW w:w="9359" w:type="dxa"/>
            <w:gridSpan w:val="2"/>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before="9"/>
              <w:ind w:left="105" w:right="0"/>
              <w:jc w:val="left"/>
              <w:rPr>
                <w:rFonts w:ascii="宋体" w:hAnsi="宋体" w:cs="宋体" w:eastAsia="宋体" w:hint="default"/>
                <w:sz w:val="21"/>
                <w:szCs w:val="21"/>
              </w:rPr>
            </w:pPr>
            <w:r>
              <w:rPr>
                <w:rFonts w:ascii="宋体" w:hAnsi="宋体" w:cs="宋体" w:eastAsia="宋体" w:hint="default"/>
                <w:b/>
                <w:bCs/>
                <w:sz w:val="21"/>
                <w:szCs w:val="21"/>
              </w:rPr>
              <w:t>一、收入确认</w:t>
            </w:r>
            <w:r>
              <w:rPr>
                <w:rFonts w:ascii="宋体" w:hAnsi="宋体" w:cs="宋体" w:eastAsia="宋体" w:hint="default"/>
                <w:sz w:val="21"/>
                <w:szCs w:val="21"/>
              </w:rPr>
            </w:r>
          </w:p>
        </w:tc>
      </w:tr>
      <w:tr>
        <w:trPr>
          <w:trHeight w:val="11855" w:hRule="exact"/>
        </w:trPr>
        <w:tc>
          <w:tcPr>
            <w:tcW w:w="4677" w:type="dxa"/>
            <w:tcBorders>
              <w:top w:val="nil" w:sz="6" w:space="0" w:color="auto"/>
              <w:left w:val="single" w:sz="4" w:space="0" w:color="000000"/>
              <w:bottom w:val="nil" w:sz="6" w:space="0" w:color="auto"/>
              <w:right w:val="single" w:sz="4" w:space="0" w:color="000000"/>
            </w:tcBorders>
          </w:tcPr>
          <w:p>
            <w:pPr>
              <w:pStyle w:val="TableParagraph"/>
              <w:spacing w:line="312" w:lineRule="auto" w:before="18"/>
              <w:ind w:left="105" w:right="96" w:firstLine="422"/>
              <w:jc w:val="both"/>
              <w:rPr>
                <w:rFonts w:ascii="宋体" w:hAnsi="宋体" w:cs="宋体" w:eastAsia="宋体" w:hint="default"/>
                <w:sz w:val="21"/>
                <w:szCs w:val="21"/>
              </w:rPr>
            </w:pPr>
            <w:r>
              <w:rPr>
                <w:rFonts w:ascii="宋体" w:hAnsi="宋体" w:cs="宋体" w:eastAsia="宋体" w:hint="default"/>
                <w:sz w:val="21"/>
                <w:szCs w:val="21"/>
              </w:rPr>
              <w:t>创业黑马作为一家聚焦于帮助创新创业企业</w:t>
            </w:r>
            <w:r>
              <w:rPr>
                <w:rFonts w:ascii="宋体" w:hAnsi="宋体" w:cs="宋体" w:eastAsia="宋体" w:hint="default"/>
                <w:w w:val="100"/>
                <w:sz w:val="21"/>
                <w:szCs w:val="21"/>
              </w:rPr>
              <w:t> </w:t>
            </w:r>
            <w:r>
              <w:rPr>
                <w:rFonts w:ascii="宋体" w:hAnsi="宋体" w:cs="宋体" w:eastAsia="宋体" w:hint="default"/>
                <w:sz w:val="21"/>
                <w:szCs w:val="21"/>
              </w:rPr>
              <w:t>成长的综合性创业服务提供商，按照收入来源将</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8"/>
                <w:sz w:val="21"/>
                <w:szCs w:val="21"/>
              </w:rPr>
              <w:t>营业收入分为：培训辅导业务、公关服务等。</w:t>
            </w:r>
            <w:r>
              <w:rPr>
                <w:rFonts w:ascii="宋体" w:hAnsi="宋体" w:cs="宋体" w:eastAsia="宋体" w:hint="default"/>
                <w:spacing w:val="-8"/>
                <w:sz w:val="21"/>
                <w:szCs w:val="21"/>
              </w:rPr>
              <w:t>2019</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年度实现营业收入 </w:t>
            </w:r>
            <w:r>
              <w:rPr>
                <w:rFonts w:ascii="宋体" w:hAnsi="宋体" w:cs="宋体" w:eastAsia="宋体" w:hint="default"/>
                <w:sz w:val="21"/>
                <w:szCs w:val="21"/>
              </w:rPr>
              <w:t>21,276.07</w:t>
            </w:r>
            <w:r>
              <w:rPr>
                <w:rFonts w:ascii="宋体" w:hAnsi="宋体" w:cs="宋体" w:eastAsia="宋体" w:hint="default"/>
                <w:spacing w:val="-57"/>
                <w:sz w:val="21"/>
                <w:szCs w:val="21"/>
              </w:rPr>
              <w:t> </w:t>
            </w:r>
            <w:r>
              <w:rPr>
                <w:rFonts w:ascii="宋体" w:hAnsi="宋体" w:cs="宋体" w:eastAsia="宋体" w:hint="default"/>
                <w:sz w:val="21"/>
                <w:szCs w:val="21"/>
              </w:rPr>
              <w:t>万元，其中培训辅</w:t>
            </w:r>
            <w:r>
              <w:rPr>
                <w:rFonts w:ascii="宋体" w:hAnsi="宋体" w:cs="宋体" w:eastAsia="宋体" w:hint="default"/>
                <w:w w:val="100"/>
                <w:sz w:val="21"/>
                <w:szCs w:val="21"/>
              </w:rPr>
              <w:t> </w:t>
            </w:r>
            <w:r>
              <w:rPr>
                <w:rFonts w:ascii="宋体" w:hAnsi="宋体" w:cs="宋体" w:eastAsia="宋体" w:hint="default"/>
                <w:sz w:val="21"/>
                <w:szCs w:val="21"/>
              </w:rPr>
              <w:t>导业务收入约占创业黑马总收入</w:t>
            </w:r>
            <w:r>
              <w:rPr>
                <w:rFonts w:ascii="宋体" w:hAnsi="宋体" w:cs="宋体" w:eastAsia="宋体" w:hint="default"/>
                <w:spacing w:val="-56"/>
                <w:sz w:val="21"/>
                <w:szCs w:val="21"/>
              </w:rPr>
              <w:t> </w:t>
            </w:r>
            <w:r>
              <w:rPr>
                <w:rFonts w:ascii="宋体" w:hAnsi="宋体" w:cs="宋体" w:eastAsia="宋体" w:hint="default"/>
                <w:sz w:val="21"/>
                <w:szCs w:val="21"/>
              </w:rPr>
              <w:t>64.76%</w:t>
            </w:r>
            <w:r>
              <w:rPr>
                <w:rFonts w:ascii="宋体" w:hAnsi="宋体" w:cs="宋体" w:eastAsia="宋体" w:hint="default"/>
                <w:sz w:val="21"/>
                <w:szCs w:val="21"/>
              </w:rPr>
              <w:t>，公关服</w:t>
            </w:r>
            <w:r>
              <w:rPr>
                <w:rFonts w:ascii="宋体" w:hAnsi="宋体" w:cs="宋体" w:eastAsia="宋体" w:hint="default"/>
                <w:w w:val="100"/>
                <w:sz w:val="21"/>
                <w:szCs w:val="21"/>
              </w:rPr>
              <w:t> </w:t>
            </w:r>
            <w:r>
              <w:rPr>
                <w:rFonts w:ascii="宋体" w:hAnsi="宋体" w:cs="宋体" w:eastAsia="宋体" w:hint="default"/>
                <w:sz w:val="21"/>
                <w:szCs w:val="21"/>
              </w:rPr>
              <w:t>务收入约占创业黑马总收入</w:t>
            </w:r>
            <w:r>
              <w:rPr>
                <w:rFonts w:ascii="宋体" w:hAnsi="宋体" w:cs="宋体" w:eastAsia="宋体" w:hint="default"/>
                <w:spacing w:val="-48"/>
                <w:sz w:val="21"/>
                <w:szCs w:val="21"/>
              </w:rPr>
              <w:t> </w:t>
            </w:r>
            <w:r>
              <w:rPr>
                <w:rFonts w:ascii="宋体" w:hAnsi="宋体" w:cs="宋体" w:eastAsia="宋体" w:hint="default"/>
                <w:sz w:val="21"/>
                <w:szCs w:val="21"/>
              </w:rPr>
              <w:t>31.60%</w:t>
            </w:r>
            <w:r>
              <w:rPr>
                <w:rFonts w:ascii="宋体" w:hAnsi="宋体" w:cs="宋体" w:eastAsia="宋体" w:hint="default"/>
                <w:sz w:val="21"/>
                <w:szCs w:val="21"/>
              </w:rPr>
              <w:t>。</w:t>
            </w:r>
          </w:p>
          <w:p>
            <w:pPr>
              <w:pStyle w:val="TableParagraph"/>
              <w:spacing w:line="314" w:lineRule="auto" w:before="22"/>
              <w:ind w:left="105" w:right="96" w:firstLine="422"/>
              <w:jc w:val="both"/>
              <w:rPr>
                <w:rFonts w:ascii="宋体" w:hAnsi="宋体" w:cs="宋体" w:eastAsia="宋体" w:hint="default"/>
                <w:sz w:val="21"/>
                <w:szCs w:val="21"/>
              </w:rPr>
            </w:pPr>
            <w:r>
              <w:rPr>
                <w:rFonts w:ascii="宋体" w:hAnsi="宋体" w:cs="宋体" w:eastAsia="宋体" w:hint="default"/>
                <w:sz w:val="21"/>
                <w:szCs w:val="21"/>
              </w:rPr>
              <w:t>我们关注培训辅导业务收入、公关服务收入</w:t>
            </w:r>
            <w:r>
              <w:rPr>
                <w:rFonts w:ascii="宋体" w:hAnsi="宋体" w:cs="宋体" w:eastAsia="宋体" w:hint="default"/>
                <w:w w:val="100"/>
                <w:sz w:val="21"/>
                <w:szCs w:val="21"/>
              </w:rPr>
              <w:t> </w:t>
            </w:r>
            <w:r>
              <w:rPr>
                <w:rFonts w:ascii="宋体" w:hAnsi="宋体" w:cs="宋体" w:eastAsia="宋体" w:hint="default"/>
                <w:sz w:val="21"/>
                <w:szCs w:val="21"/>
              </w:rPr>
              <w:t>的确认。</w:t>
            </w:r>
          </w:p>
          <w:p>
            <w:pPr>
              <w:pStyle w:val="TableParagraph"/>
              <w:spacing w:line="312" w:lineRule="auto" w:before="20"/>
              <w:ind w:left="105" w:right="97"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）培训辅导业务收入单笔金额小、销售业</w:t>
            </w:r>
            <w:r>
              <w:rPr>
                <w:rFonts w:ascii="宋体" w:hAnsi="宋体" w:cs="宋体" w:eastAsia="宋体" w:hint="default"/>
                <w:w w:val="100"/>
                <w:sz w:val="21"/>
                <w:szCs w:val="21"/>
              </w:rPr>
              <w:t> </w:t>
            </w:r>
            <w:r>
              <w:rPr>
                <w:rFonts w:ascii="宋体" w:hAnsi="宋体" w:cs="宋体" w:eastAsia="宋体" w:hint="default"/>
                <w:sz w:val="21"/>
                <w:szCs w:val="21"/>
              </w:rPr>
              <w:t>务量大，其收入确认是否真实及是否在恰当的财</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务报表期间入账可能存在潜在错报；</w:t>
            </w:r>
          </w:p>
          <w:p>
            <w:pPr>
              <w:pStyle w:val="TableParagraph"/>
              <w:spacing w:line="312" w:lineRule="auto" w:before="22"/>
              <w:ind w:left="105" w:right="97"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）公关服务收入单项金额较大，销售收入</w:t>
            </w:r>
            <w:r>
              <w:rPr>
                <w:rFonts w:ascii="宋体" w:hAnsi="宋体" w:cs="宋体" w:eastAsia="宋体" w:hint="default"/>
                <w:w w:val="100"/>
                <w:sz w:val="21"/>
                <w:szCs w:val="21"/>
              </w:rPr>
              <w:t> </w:t>
            </w:r>
            <w:r>
              <w:rPr>
                <w:rFonts w:ascii="宋体" w:hAnsi="宋体" w:cs="宋体" w:eastAsia="宋体" w:hint="default"/>
                <w:sz w:val="21"/>
                <w:szCs w:val="21"/>
              </w:rPr>
              <w:t>确认上的错报可能对创业黑马的利润产生重大影</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响。</w:t>
            </w:r>
          </w:p>
          <w:p>
            <w:pPr>
              <w:pStyle w:val="TableParagraph"/>
              <w:spacing w:line="314" w:lineRule="auto" w:before="22"/>
              <w:ind w:left="105" w:right="96" w:firstLine="422"/>
              <w:jc w:val="both"/>
              <w:rPr>
                <w:rFonts w:ascii="宋体" w:hAnsi="宋体" w:cs="宋体" w:eastAsia="宋体" w:hint="default"/>
                <w:sz w:val="21"/>
                <w:szCs w:val="21"/>
              </w:rPr>
            </w:pPr>
            <w:r>
              <w:rPr>
                <w:rFonts w:ascii="宋体" w:hAnsi="宋体" w:cs="宋体" w:eastAsia="宋体" w:hint="default"/>
                <w:sz w:val="21"/>
                <w:szCs w:val="21"/>
              </w:rPr>
              <w:t>因此，我们将创业黑马培训辅导业务收入、</w:t>
            </w:r>
            <w:r>
              <w:rPr>
                <w:rFonts w:ascii="宋体" w:hAnsi="宋体" w:cs="宋体" w:eastAsia="宋体" w:hint="default"/>
                <w:w w:val="100"/>
                <w:sz w:val="21"/>
                <w:szCs w:val="21"/>
              </w:rPr>
              <w:t> </w:t>
            </w:r>
            <w:r>
              <w:rPr>
                <w:rFonts w:ascii="宋体" w:hAnsi="宋体" w:cs="宋体" w:eastAsia="宋体" w:hint="default"/>
                <w:sz w:val="21"/>
                <w:szCs w:val="21"/>
              </w:rPr>
              <w:t>公关服务收入确认识别为关键审计事项。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4" w:lineRule="auto"/>
              <w:ind w:left="105" w:right="-3" w:firstLine="422"/>
              <w:jc w:val="left"/>
              <w:rPr>
                <w:rFonts w:ascii="宋体" w:hAnsi="宋体" w:cs="宋体" w:eastAsia="宋体" w:hint="default"/>
                <w:sz w:val="21"/>
                <w:szCs w:val="21"/>
              </w:rPr>
            </w:pPr>
            <w:r>
              <w:rPr>
                <w:rFonts w:ascii="宋体" w:hAnsi="宋体" w:cs="宋体" w:eastAsia="宋体" w:hint="default"/>
                <w:sz w:val="21"/>
                <w:szCs w:val="21"/>
              </w:rPr>
              <w:t>关于收入确认的会计政策详见附注三（二十</w:t>
            </w:r>
            <w:r>
              <w:rPr>
                <w:rFonts w:ascii="宋体" w:hAnsi="宋体" w:cs="宋体" w:eastAsia="宋体" w:hint="default"/>
                <w:w w:val="100"/>
                <w:sz w:val="21"/>
                <w:szCs w:val="21"/>
              </w:rPr>
              <w:t> </w:t>
            </w:r>
            <w:r>
              <w:rPr>
                <w:rFonts w:ascii="宋体" w:hAnsi="宋体" w:cs="宋体" w:eastAsia="宋体" w:hint="default"/>
                <w:spacing w:val="-4"/>
                <w:sz w:val="21"/>
                <w:szCs w:val="21"/>
              </w:rPr>
              <w:t>四）；关于收入类别的披露详见附注六（二十四）</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314" w:lineRule="auto" w:before="18"/>
              <w:ind w:left="528" w:right="1199"/>
              <w:jc w:val="left"/>
              <w:rPr>
                <w:rFonts w:ascii="宋体" w:hAnsi="宋体" w:cs="宋体" w:eastAsia="宋体" w:hint="default"/>
                <w:sz w:val="21"/>
                <w:szCs w:val="21"/>
              </w:rPr>
            </w:pPr>
            <w:r>
              <w:rPr>
                <w:rFonts w:ascii="宋体" w:hAnsi="宋体" w:cs="宋体" w:eastAsia="宋体" w:hint="default"/>
                <w:spacing w:val="-2"/>
                <w:sz w:val="21"/>
                <w:szCs w:val="21"/>
              </w:rPr>
              <w:t>我们执行的主要审计程序如下：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针对培训辅导业务收入：</w:t>
            </w:r>
          </w:p>
          <w:p>
            <w:pPr>
              <w:pStyle w:val="TableParagraph"/>
              <w:spacing w:line="312" w:lineRule="auto" w:before="15"/>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）我们了解、评估了管理层对创业黑马自</w:t>
            </w:r>
            <w:r>
              <w:rPr>
                <w:rFonts w:ascii="宋体" w:hAnsi="宋体" w:cs="宋体" w:eastAsia="宋体" w:hint="default"/>
                <w:w w:val="100"/>
                <w:sz w:val="21"/>
                <w:szCs w:val="21"/>
              </w:rPr>
              <w:t> </w:t>
            </w:r>
            <w:r>
              <w:rPr>
                <w:rFonts w:ascii="宋体" w:hAnsi="宋体" w:cs="宋体" w:eastAsia="宋体" w:hint="default"/>
                <w:sz w:val="21"/>
                <w:szCs w:val="21"/>
              </w:rPr>
              <w:t>学员报名至收入入账的培训辅导业务相关流程中</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内部控制的设计，并测试了关键控制执行的有效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性；</w:t>
            </w:r>
          </w:p>
          <w:p>
            <w:pPr>
              <w:pStyle w:val="TableParagraph"/>
              <w:spacing w:line="314" w:lineRule="auto" w:before="22"/>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）我们通过了解同行业可比上市公司收入</w:t>
            </w:r>
            <w:r>
              <w:rPr>
                <w:rFonts w:ascii="宋体" w:hAnsi="宋体" w:cs="宋体" w:eastAsia="宋体" w:hint="default"/>
                <w:w w:val="100"/>
                <w:sz w:val="21"/>
                <w:szCs w:val="21"/>
              </w:rPr>
              <w:t> </w:t>
            </w:r>
            <w:r>
              <w:rPr>
                <w:rFonts w:ascii="宋体" w:hAnsi="宋体" w:cs="宋体" w:eastAsia="宋体" w:hint="default"/>
                <w:sz w:val="21"/>
                <w:szCs w:val="21"/>
              </w:rPr>
              <w:t>确认政策，与管理层讨论业务特点及检查相关合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同，对与培训辅导业务收入确认有关的重大风险</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及确认时点进行了分析评估，进而评估了培训辅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导业务收入的确认政策；</w:t>
            </w:r>
          </w:p>
          <w:p>
            <w:pPr>
              <w:pStyle w:val="TableParagraph"/>
              <w:spacing w:line="312" w:lineRule="auto" w:before="20"/>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）选取样本检查招生材料、销售合同、报</w:t>
            </w:r>
            <w:r>
              <w:rPr>
                <w:rFonts w:ascii="宋体" w:hAnsi="宋体" w:cs="宋体" w:eastAsia="宋体" w:hint="default"/>
                <w:w w:val="100"/>
                <w:sz w:val="21"/>
                <w:szCs w:val="21"/>
              </w:rPr>
              <w:t> </w:t>
            </w:r>
            <w:r>
              <w:rPr>
                <w:rFonts w:ascii="宋体" w:hAnsi="宋体" w:cs="宋体" w:eastAsia="宋体" w:hint="default"/>
                <w:sz w:val="21"/>
                <w:szCs w:val="21"/>
              </w:rPr>
              <w:t>名表、发票文件及课程交付记录等文件，并获取</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课程排期及学员收款明细对收入进行检查；</w:t>
            </w:r>
          </w:p>
          <w:p>
            <w:pPr>
              <w:pStyle w:val="TableParagraph"/>
              <w:spacing w:line="314" w:lineRule="auto" w:before="22"/>
              <w:ind w:left="105" w:right="-4"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）就资产负债表日前后记录的收入交易，</w:t>
            </w:r>
            <w:r>
              <w:rPr>
                <w:rFonts w:ascii="宋体" w:hAnsi="宋体" w:cs="宋体" w:eastAsia="宋体" w:hint="default"/>
                <w:w w:val="100"/>
                <w:sz w:val="21"/>
                <w:szCs w:val="21"/>
              </w:rPr>
              <w:t> </w:t>
            </w:r>
            <w:r>
              <w:rPr>
                <w:rFonts w:ascii="宋体" w:hAnsi="宋体" w:cs="宋体" w:eastAsia="宋体" w:hint="default"/>
                <w:spacing w:val="-4"/>
                <w:sz w:val="21"/>
                <w:szCs w:val="21"/>
              </w:rPr>
              <w:t>选取样本，检查培训辅导业务课程排期表等文件，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评价收入是否被记录于恰当的会计期间。</w:t>
            </w:r>
          </w:p>
          <w:p>
            <w:pPr>
              <w:pStyle w:val="TableParagraph"/>
              <w:spacing w:line="240" w:lineRule="auto" w:before="15"/>
              <w:ind w:left="528" w:right="0"/>
              <w:jc w:val="left"/>
              <w:rPr>
                <w:rFonts w:ascii="宋体" w:hAnsi="宋体" w:cs="宋体" w:eastAsia="宋体" w:hint="default"/>
                <w:sz w:val="21"/>
                <w:szCs w:val="21"/>
              </w:rPr>
            </w:pPr>
            <w:r>
              <w:rPr>
                <w:rFonts w:ascii="宋体" w:hAnsi="宋体" w:cs="宋体" w:eastAsia="宋体" w:hint="default"/>
                <w:sz w:val="21"/>
                <w:szCs w:val="21"/>
              </w:rPr>
              <w:t>针对公关服务收入：</w:t>
            </w:r>
          </w:p>
          <w:p>
            <w:pPr>
              <w:pStyle w:val="TableParagraph"/>
              <w:spacing w:line="314" w:lineRule="auto" w:before="85"/>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）我们了解、评估了管理层对创业黑马自</w:t>
            </w:r>
            <w:r>
              <w:rPr>
                <w:rFonts w:ascii="宋体" w:hAnsi="宋体" w:cs="宋体" w:eastAsia="宋体" w:hint="default"/>
                <w:w w:val="100"/>
                <w:sz w:val="21"/>
                <w:szCs w:val="21"/>
              </w:rPr>
              <w:t> </w:t>
            </w:r>
            <w:r>
              <w:rPr>
                <w:rFonts w:ascii="宋体" w:hAnsi="宋体" w:cs="宋体" w:eastAsia="宋体" w:hint="default"/>
                <w:sz w:val="21"/>
                <w:szCs w:val="21"/>
              </w:rPr>
              <w:t>合同审批至相关收入入账的公关服务流程中内部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控制的设计，并测试了关键控制执行的有效性；</w:t>
            </w:r>
          </w:p>
          <w:p>
            <w:pPr>
              <w:pStyle w:val="TableParagraph"/>
              <w:spacing w:line="314" w:lineRule="auto" w:before="16"/>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）我们通过了解同行业可比上市公司收入</w:t>
            </w:r>
            <w:r>
              <w:rPr>
                <w:rFonts w:ascii="宋体" w:hAnsi="宋体" w:cs="宋体" w:eastAsia="宋体" w:hint="default"/>
                <w:w w:val="100"/>
                <w:sz w:val="21"/>
                <w:szCs w:val="21"/>
              </w:rPr>
              <w:t> </w:t>
            </w:r>
            <w:r>
              <w:rPr>
                <w:rFonts w:ascii="宋体" w:hAnsi="宋体" w:cs="宋体" w:eastAsia="宋体" w:hint="default"/>
                <w:sz w:val="21"/>
                <w:szCs w:val="21"/>
              </w:rPr>
              <w:t>确认政策，与管理层讨论业务特点及检查相关合</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同，对与公关服务收入确认有关的重大风险及确</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认时点进行了分析评估，进而评估了公关服务收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入的确认政策；</w:t>
            </w:r>
          </w:p>
          <w:p>
            <w:pPr>
              <w:pStyle w:val="TableParagraph"/>
              <w:spacing w:line="312" w:lineRule="auto" w:before="20"/>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）选取样本检查公关业务客户合同、执行</w:t>
            </w:r>
            <w:r>
              <w:rPr>
                <w:rFonts w:ascii="宋体" w:hAnsi="宋体" w:cs="宋体" w:eastAsia="宋体" w:hint="default"/>
                <w:w w:val="100"/>
                <w:sz w:val="21"/>
                <w:szCs w:val="21"/>
              </w:rPr>
              <w:t> </w:t>
            </w:r>
            <w:r>
              <w:rPr>
                <w:rFonts w:ascii="宋体" w:hAnsi="宋体" w:cs="宋体" w:eastAsia="宋体" w:hint="default"/>
                <w:sz w:val="21"/>
                <w:szCs w:val="21"/>
              </w:rPr>
              <w:t>进度单、验收文件、发票、回款单等相关支持文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件，并结合应收账款函证等程序对收入真实性进</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行核查；</w:t>
            </w:r>
          </w:p>
          <w:p>
            <w:pPr>
              <w:pStyle w:val="TableParagraph"/>
              <w:spacing w:line="314" w:lineRule="auto" w:before="22"/>
              <w:ind w:left="105" w:right="42" w:firstLine="422"/>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4</w:t>
            </w:r>
            <w:r>
              <w:rPr>
                <w:rFonts w:ascii="宋体" w:hAnsi="宋体" w:cs="宋体" w:eastAsia="宋体" w:hint="default"/>
                <w:spacing w:val="-1"/>
                <w:sz w:val="21"/>
                <w:szCs w:val="21"/>
              </w:rPr>
              <w:t>）就资产负债表日前后记录的收入交易，</w:t>
            </w:r>
            <w:r>
              <w:rPr>
                <w:rFonts w:ascii="宋体" w:hAnsi="宋体" w:cs="宋体" w:eastAsia="宋体" w:hint="default"/>
                <w:w w:val="100"/>
                <w:sz w:val="21"/>
                <w:szCs w:val="21"/>
              </w:rPr>
              <w:t> </w:t>
            </w:r>
            <w:r>
              <w:rPr>
                <w:rFonts w:ascii="宋体" w:hAnsi="宋体" w:cs="宋体" w:eastAsia="宋体" w:hint="default"/>
                <w:sz w:val="21"/>
                <w:szCs w:val="21"/>
              </w:rPr>
              <w:t>选取样本，检查公关业务执行进度单等文件，评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价收入是否被记录于恰当的会计期间。</w:t>
            </w:r>
          </w:p>
        </w:tc>
      </w:tr>
    </w:tbl>
    <w:p>
      <w:pPr>
        <w:spacing w:after="0" w:line="314" w:lineRule="auto"/>
        <w:jc w:val="both"/>
        <w:rPr>
          <w:rFonts w:ascii="宋体" w:hAnsi="宋体" w:cs="宋体" w:eastAsia="宋体" w:hint="default"/>
          <w:sz w:val="21"/>
          <w:szCs w:val="21"/>
        </w:rPr>
        <w:sectPr>
          <w:pgSz w:w="11910" w:h="16840"/>
          <w:pgMar w:header="741" w:footer="979" w:top="1060" w:bottom="1160" w:left="900" w:right="0"/>
        </w:sectPr>
      </w:pPr>
    </w:p>
    <w:p>
      <w:pPr>
        <w:spacing w:line="240" w:lineRule="auto" w:before="11"/>
        <w:rPr>
          <w:rFonts w:ascii="宋体" w:hAnsi="宋体" w:cs="宋体" w:eastAsia="宋体" w:hint="default"/>
          <w:sz w:val="28"/>
          <w:szCs w:val="28"/>
        </w:rPr>
      </w:pPr>
      <w:r>
        <w:rPr/>
        <w:pict>
          <v:shape style="position:absolute;margin-left:50.903999pt;margin-top:72.020004pt;width:.48002pt;height:.48pt;mso-position-horizontal-relative:page;mso-position-vertical-relative:page;z-index:-924712" type="#_x0000_t75" stroked="false">
            <v:imagedata r:id="rId14" o:title=""/>
          </v:shape>
        </w:pict>
      </w:r>
      <w:r>
        <w:rPr/>
        <w:pict>
          <v:shape style="position:absolute;margin-left:518.830017pt;margin-top:72.020004pt;width:.48006pt;height:.48pt;mso-position-horizontal-relative:page;mso-position-vertical-relative:page;z-index:1432" type="#_x0000_t75" stroked="false">
            <v:imagedata r:id="rId14" o:title=""/>
          </v:shape>
        </w:pict>
      </w:r>
      <w:r>
        <w:rPr/>
        <w:pict>
          <v:shape style="position:absolute;margin-left:50.423988pt;margin-top:116.18pt;width:470.499879pt;height:3.375pt;mso-position-horizontal-relative:page;mso-position-vertical-relative:page;z-index:1456" type="#_x0000_t75" stroked="false">
            <v:imagedata r:id="rId21" o:title=""/>
          </v:shape>
        </w:pict>
      </w:r>
      <w:r>
        <w:rPr/>
        <w:pict>
          <v:group style="position:absolute;margin-left:51.383999pt;margin-top:134.449997pt;width:467.45pt;height:.5pt;mso-position-horizontal-relative:page;mso-position-vertical-relative:page;z-index:-924640" coordorigin="1028,2689" coordsize="9349,10">
            <v:shape style="position:absolute;left:1028;top:2689;width:4668;height:10" type="#_x0000_t75" stroked="false">
              <v:imagedata r:id="rId19" o:title=""/>
            </v:shape>
            <v:shape style="position:absolute;left:5690;top:2689;width:4686;height:10" type="#_x0000_t75" stroked="false">
              <v:imagedata r:id="rId20" o:title=""/>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4677"/>
        <w:gridCol w:w="4681"/>
      </w:tblGrid>
      <w:tr>
        <w:trPr>
          <w:trHeight w:val="888" w:hRule="exact"/>
        </w:trPr>
        <w:tc>
          <w:tcPr>
            <w:tcW w:w="935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left="105" w:right="0"/>
              <w:jc w:val="left"/>
              <w:rPr>
                <w:rFonts w:ascii="宋体" w:hAnsi="宋体" w:cs="宋体" w:eastAsia="宋体" w:hint="default"/>
                <w:sz w:val="21"/>
                <w:szCs w:val="21"/>
              </w:rPr>
            </w:pPr>
            <w:r>
              <w:rPr>
                <w:rFonts w:ascii="宋体" w:hAnsi="宋体" w:cs="宋体" w:eastAsia="宋体" w:hint="default"/>
                <w:sz w:val="21"/>
                <w:szCs w:val="21"/>
              </w:rPr>
              <w:t>审计报告（续）</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674"/>
              <w:jc w:val="right"/>
              <w:rPr>
                <w:rFonts w:ascii="宋体" w:hAnsi="宋体" w:cs="宋体" w:eastAsia="宋体" w:hint="default"/>
                <w:sz w:val="21"/>
                <w:szCs w:val="21"/>
              </w:rPr>
            </w:pPr>
            <w:r>
              <w:rPr>
                <w:rFonts w:ascii="宋体" w:hAnsi="宋体" w:cs="宋体" w:eastAsia="宋体" w:hint="default"/>
                <w:sz w:val="21"/>
                <w:szCs w:val="21"/>
              </w:rPr>
              <w:t>天职业字</w:t>
            </w:r>
            <w:r>
              <w:rPr>
                <w:rFonts w:ascii="宋体" w:hAnsi="宋体" w:cs="宋体" w:eastAsia="宋体" w:hint="default"/>
                <w:sz w:val="21"/>
                <w:szCs w:val="21"/>
              </w:rPr>
              <w:t>[2020]14672</w:t>
            </w:r>
            <w:r>
              <w:rPr>
                <w:rFonts w:ascii="宋体" w:hAnsi="宋体" w:cs="宋体" w:eastAsia="宋体" w:hint="default"/>
                <w:spacing w:val="-50"/>
                <w:sz w:val="21"/>
                <w:szCs w:val="21"/>
              </w:rPr>
              <w:t> </w:t>
            </w:r>
            <w:r>
              <w:rPr>
                <w:rFonts w:ascii="宋体" w:hAnsi="宋体" w:cs="宋体" w:eastAsia="宋体" w:hint="default"/>
                <w:sz w:val="21"/>
                <w:szCs w:val="21"/>
              </w:rPr>
              <w:t>号</w:t>
            </w:r>
          </w:p>
        </w:tc>
      </w:tr>
      <w:tr>
        <w:trPr>
          <w:trHeight w:val="356" w:hRule="exact"/>
        </w:trPr>
        <w:tc>
          <w:tcPr>
            <w:tcW w:w="9359" w:type="dxa"/>
            <w:gridSpan w:val="2"/>
            <w:tcBorders>
              <w:top w:val="nil" w:sz="6" w:space="0" w:color="auto"/>
              <w:left w:val="single" w:sz="4" w:space="0" w:color="000000"/>
              <w:bottom w:val="nil" w:sz="6" w:space="0" w:color="auto"/>
              <w:right w:val="single" w:sz="4" w:space="0" w:color="000000"/>
            </w:tcBorders>
            <w:shd w:val="clear" w:color="auto" w:fill="F1F1F1"/>
          </w:tcPr>
          <w:p>
            <w:pPr>
              <w:pStyle w:val="TableParagraph"/>
              <w:spacing w:line="240" w:lineRule="auto" w:before="5"/>
              <w:ind w:left="105" w:right="0"/>
              <w:jc w:val="left"/>
              <w:rPr>
                <w:rFonts w:ascii="宋体" w:hAnsi="宋体" w:cs="宋体" w:eastAsia="宋体" w:hint="default"/>
                <w:sz w:val="21"/>
                <w:szCs w:val="21"/>
              </w:rPr>
            </w:pPr>
            <w:r>
              <w:rPr>
                <w:rFonts w:ascii="宋体" w:hAnsi="宋体" w:cs="宋体" w:eastAsia="宋体" w:hint="default"/>
                <w:b/>
                <w:bCs/>
                <w:sz w:val="21"/>
                <w:szCs w:val="21"/>
              </w:rPr>
              <w:t>二、应收账款预期信用损失的计量</w:t>
            </w:r>
            <w:r>
              <w:rPr>
                <w:rFonts w:ascii="宋体" w:hAnsi="宋体" w:cs="宋体" w:eastAsia="宋体" w:hint="default"/>
                <w:sz w:val="21"/>
                <w:szCs w:val="21"/>
              </w:rPr>
            </w:r>
          </w:p>
        </w:tc>
      </w:tr>
      <w:tr>
        <w:trPr>
          <w:trHeight w:val="6736" w:hRule="exact"/>
        </w:trPr>
        <w:tc>
          <w:tcPr>
            <w:tcW w:w="4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60"/>
                <w:sz w:val="21"/>
                <w:szCs w:val="21"/>
              </w:rPr>
              <w:t> </w:t>
            </w: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pacing w:val="-3"/>
                <w:sz w:val="21"/>
                <w:szCs w:val="21"/>
              </w:rPr>
              <w:t>31</w:t>
            </w:r>
            <w:r>
              <w:rPr>
                <w:rFonts w:ascii="宋体" w:hAnsi="宋体" w:cs="宋体" w:eastAsia="宋体" w:hint="default"/>
                <w:spacing w:val="-60"/>
                <w:sz w:val="21"/>
                <w:szCs w:val="21"/>
              </w:rPr>
              <w:t> </w:t>
            </w:r>
            <w:r>
              <w:rPr>
                <w:rFonts w:ascii="宋体" w:hAnsi="宋体" w:cs="宋体" w:eastAsia="宋体" w:hint="default"/>
                <w:sz w:val="21"/>
                <w:szCs w:val="21"/>
              </w:rPr>
              <w:t>日创业黑马财务报表应</w:t>
            </w:r>
          </w:p>
          <w:p>
            <w:pPr>
              <w:pStyle w:val="TableParagraph"/>
              <w:spacing w:line="314" w:lineRule="auto" w:before="85"/>
              <w:ind w:left="105" w:right="100"/>
              <w:jc w:val="both"/>
              <w:rPr>
                <w:rFonts w:ascii="宋体" w:hAnsi="宋体" w:cs="宋体" w:eastAsia="宋体" w:hint="default"/>
                <w:sz w:val="21"/>
                <w:szCs w:val="21"/>
              </w:rPr>
            </w:pPr>
            <w:r>
              <w:rPr>
                <w:rFonts w:ascii="宋体" w:hAnsi="宋体" w:cs="宋体" w:eastAsia="宋体" w:hint="default"/>
                <w:sz w:val="21"/>
                <w:szCs w:val="21"/>
              </w:rPr>
              <w:t>收账款净额人民币</w:t>
            </w:r>
            <w:r>
              <w:rPr>
                <w:rFonts w:ascii="宋体" w:hAnsi="宋体" w:cs="宋体" w:eastAsia="宋体" w:hint="default"/>
                <w:spacing w:val="-42"/>
                <w:sz w:val="21"/>
                <w:szCs w:val="21"/>
              </w:rPr>
              <w:t> </w:t>
            </w:r>
            <w:r>
              <w:rPr>
                <w:rFonts w:ascii="宋体" w:hAnsi="宋体" w:cs="宋体" w:eastAsia="宋体" w:hint="default"/>
                <w:sz w:val="21"/>
                <w:szCs w:val="21"/>
              </w:rPr>
              <w:t>5,656.55</w:t>
            </w:r>
            <w:r>
              <w:rPr>
                <w:rFonts w:ascii="宋体" w:hAnsi="宋体" w:cs="宋体" w:eastAsia="宋体" w:hint="default"/>
                <w:spacing w:val="-42"/>
                <w:sz w:val="21"/>
                <w:szCs w:val="21"/>
              </w:rPr>
              <w:t> </w:t>
            </w:r>
            <w:r>
              <w:rPr>
                <w:rFonts w:ascii="宋体" w:hAnsi="宋体" w:cs="宋体" w:eastAsia="宋体" w:hint="default"/>
                <w:spacing w:val="-9"/>
                <w:sz w:val="21"/>
                <w:szCs w:val="21"/>
              </w:rPr>
              <w:t>万元，应收账款期末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价值占资产总额</w:t>
            </w:r>
            <w:r>
              <w:rPr>
                <w:rFonts w:ascii="宋体" w:hAnsi="宋体" w:cs="宋体" w:eastAsia="宋体" w:hint="default"/>
                <w:spacing w:val="-56"/>
                <w:sz w:val="21"/>
                <w:szCs w:val="21"/>
              </w:rPr>
              <w:t> </w:t>
            </w:r>
            <w:r>
              <w:rPr>
                <w:rFonts w:ascii="宋体" w:hAnsi="宋体" w:cs="宋体" w:eastAsia="宋体" w:hint="default"/>
                <w:sz w:val="21"/>
                <w:szCs w:val="21"/>
              </w:rPr>
              <w:t>12.13%</w:t>
            </w:r>
            <w:r>
              <w:rPr>
                <w:rFonts w:ascii="宋体" w:hAnsi="宋体" w:cs="宋体" w:eastAsia="宋体" w:hint="default"/>
                <w:sz w:val="21"/>
                <w:szCs w:val="21"/>
              </w:rPr>
              <w:t>。应收账款坏账准备余额</w:t>
            </w:r>
            <w:r>
              <w:rPr>
                <w:rFonts w:ascii="宋体" w:hAnsi="宋体" w:cs="宋体" w:eastAsia="宋体" w:hint="default"/>
                <w:w w:val="100"/>
                <w:sz w:val="21"/>
                <w:szCs w:val="21"/>
              </w:rPr>
              <w:t> </w:t>
            </w:r>
            <w:r>
              <w:rPr>
                <w:rFonts w:ascii="宋体" w:hAnsi="宋体" w:cs="宋体" w:eastAsia="宋体" w:hint="default"/>
                <w:sz w:val="21"/>
                <w:szCs w:val="21"/>
              </w:rPr>
              <w:t>反映了管理层在资产负债表日对预期信用损失做</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出的最佳估计。管理层评估应收账款的信用风险</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自初始确认后是否显著增加，按照整个存续期的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预期信用损失计量损失准备。在评估时，管理层</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需要考虑以前年度的信用违约记录，实施判断以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估计债务人的资信状况以及前瞻性经济指标。</w:t>
            </w:r>
          </w:p>
          <w:p>
            <w:pPr>
              <w:pStyle w:val="TableParagraph"/>
              <w:spacing w:line="312" w:lineRule="auto" w:before="20"/>
              <w:ind w:left="105" w:right="96" w:firstLine="422"/>
              <w:jc w:val="both"/>
              <w:rPr>
                <w:rFonts w:ascii="宋体" w:hAnsi="宋体" w:cs="宋体" w:eastAsia="宋体" w:hint="default"/>
                <w:sz w:val="21"/>
                <w:szCs w:val="21"/>
              </w:rPr>
            </w:pPr>
            <w:r>
              <w:rPr>
                <w:rFonts w:ascii="宋体" w:hAnsi="宋体" w:cs="宋体" w:eastAsia="宋体" w:hint="default"/>
                <w:sz w:val="21"/>
                <w:szCs w:val="21"/>
              </w:rPr>
              <w:t>应收账款金额重大且预期信用损失的评估涉</w:t>
            </w:r>
            <w:r>
              <w:rPr>
                <w:rFonts w:ascii="宋体" w:hAnsi="宋体" w:cs="宋体" w:eastAsia="宋体" w:hint="default"/>
                <w:w w:val="100"/>
                <w:sz w:val="21"/>
                <w:szCs w:val="21"/>
              </w:rPr>
              <w:t> </w:t>
            </w:r>
            <w:r>
              <w:rPr>
                <w:rFonts w:ascii="宋体" w:hAnsi="宋体" w:cs="宋体" w:eastAsia="宋体" w:hint="default"/>
                <w:sz w:val="21"/>
                <w:szCs w:val="21"/>
              </w:rPr>
              <w:t>及管理层的重大判断和估计。因此我们将应收账</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款的可收回性及真实性确定为关键审计事项。</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4" w:lineRule="auto"/>
              <w:ind w:left="105" w:right="81" w:firstLine="422"/>
              <w:jc w:val="both"/>
              <w:rPr>
                <w:rFonts w:ascii="宋体" w:hAnsi="宋体" w:cs="宋体" w:eastAsia="宋体" w:hint="default"/>
                <w:sz w:val="21"/>
                <w:szCs w:val="21"/>
              </w:rPr>
            </w:pPr>
            <w:r>
              <w:rPr>
                <w:rFonts w:ascii="宋体" w:hAnsi="宋体" w:cs="宋体" w:eastAsia="宋体" w:hint="default"/>
                <w:spacing w:val="12"/>
                <w:sz w:val="21"/>
                <w:szCs w:val="21"/>
              </w:rPr>
              <w:t>关于应收账款的会计政策详见附注三（十</w:t>
            </w:r>
            <w:r>
              <w:rPr>
                <w:rFonts w:ascii="宋体" w:hAnsi="宋体" w:cs="宋体" w:eastAsia="宋体" w:hint="default"/>
                <w:spacing w:val="14"/>
                <w:w w:val="100"/>
                <w:sz w:val="21"/>
                <w:szCs w:val="21"/>
              </w:rPr>
              <w:t> </w:t>
            </w:r>
            <w:r>
              <w:rPr>
                <w:rFonts w:ascii="宋体" w:hAnsi="宋体" w:cs="宋体" w:eastAsia="宋体" w:hint="default"/>
                <w:sz w:val="21"/>
                <w:szCs w:val="21"/>
              </w:rPr>
              <w:t>一）；关于应收账款的披露详见附注六（二）</w:t>
            </w:r>
          </w:p>
        </w:tc>
        <w:tc>
          <w:tcPr>
            <w:tcW w:w="468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我们执行的主要审计程序如下：</w:t>
            </w:r>
          </w:p>
          <w:p>
            <w:pPr>
              <w:pStyle w:val="TableParagraph"/>
              <w:spacing w:line="309" w:lineRule="auto" w:before="85"/>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）了解、评估并测试与关于应收账款预期</w:t>
            </w:r>
            <w:r>
              <w:rPr>
                <w:rFonts w:ascii="宋体" w:hAnsi="宋体" w:cs="宋体" w:eastAsia="宋体" w:hint="default"/>
                <w:w w:val="100"/>
                <w:sz w:val="21"/>
                <w:szCs w:val="21"/>
              </w:rPr>
              <w:t> </w:t>
            </w:r>
            <w:r>
              <w:rPr>
                <w:rFonts w:ascii="宋体" w:hAnsi="宋体" w:cs="宋体" w:eastAsia="宋体" w:hint="default"/>
                <w:sz w:val="21"/>
                <w:szCs w:val="21"/>
              </w:rPr>
              <w:t>信用损失计量的内部控制程序；</w:t>
            </w:r>
          </w:p>
          <w:p>
            <w:pPr>
              <w:pStyle w:val="TableParagraph"/>
              <w:spacing w:line="314" w:lineRule="auto" w:before="24"/>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）我们通过检查主要客户的财务和非财务</w:t>
            </w:r>
            <w:r>
              <w:rPr>
                <w:rFonts w:ascii="宋体" w:hAnsi="宋体" w:cs="宋体" w:eastAsia="宋体" w:hint="default"/>
                <w:w w:val="100"/>
                <w:sz w:val="21"/>
                <w:szCs w:val="21"/>
              </w:rPr>
              <w:t> </w:t>
            </w:r>
            <w:r>
              <w:rPr>
                <w:rFonts w:ascii="宋体" w:hAnsi="宋体" w:cs="宋体" w:eastAsia="宋体" w:hint="default"/>
                <w:sz w:val="21"/>
                <w:szCs w:val="21"/>
              </w:rPr>
              <w:t>信息，评估了管理层就信用风险显著增加、违约</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和已发生信用减值的应收账款识别的恰当性。我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们检查了历史付款记录、期后收款、期后还款计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划及其他相关文件；</w:t>
            </w:r>
          </w:p>
          <w:p>
            <w:pPr>
              <w:pStyle w:val="TableParagraph"/>
              <w:spacing w:line="312" w:lineRule="auto" w:before="20"/>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）我们抽样检查了预期信用损失模型的关</w:t>
            </w:r>
            <w:r>
              <w:rPr>
                <w:rFonts w:ascii="宋体" w:hAnsi="宋体" w:cs="宋体" w:eastAsia="宋体" w:hint="default"/>
                <w:w w:val="100"/>
                <w:sz w:val="21"/>
                <w:szCs w:val="21"/>
              </w:rPr>
              <w:t> </w:t>
            </w:r>
            <w:r>
              <w:rPr>
                <w:rFonts w:ascii="宋体" w:hAnsi="宋体" w:cs="宋体" w:eastAsia="宋体" w:hint="default"/>
                <w:sz w:val="21"/>
                <w:szCs w:val="21"/>
              </w:rPr>
              <w:t>键数据，包括历史数据和计量日数据，以评估其</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完整性和准确性；</w:t>
            </w:r>
          </w:p>
          <w:p>
            <w:pPr>
              <w:pStyle w:val="TableParagraph"/>
              <w:spacing w:line="314" w:lineRule="auto" w:before="22"/>
              <w:ind w:left="105" w:right="95"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4</w:t>
            </w:r>
            <w:r>
              <w:rPr>
                <w:rFonts w:ascii="宋体" w:hAnsi="宋体" w:cs="宋体" w:eastAsia="宋体" w:hint="default"/>
                <w:spacing w:val="-4"/>
                <w:sz w:val="21"/>
                <w:szCs w:val="21"/>
              </w:rPr>
              <w:t>）对于前瞻性计量，我们检查了管理层经</w:t>
            </w:r>
            <w:r>
              <w:rPr>
                <w:rFonts w:ascii="宋体" w:hAnsi="宋体" w:cs="宋体" w:eastAsia="宋体" w:hint="default"/>
                <w:w w:val="100"/>
                <w:sz w:val="21"/>
                <w:szCs w:val="21"/>
              </w:rPr>
              <w:t> </w:t>
            </w:r>
            <w:r>
              <w:rPr>
                <w:rFonts w:ascii="宋体" w:hAnsi="宋体" w:cs="宋体" w:eastAsia="宋体" w:hint="default"/>
                <w:sz w:val="21"/>
                <w:szCs w:val="21"/>
              </w:rPr>
              <w:t>济指标选取、经济场景及权重的模型分析结果，</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评估了经济指标预测值的合理性。</w:t>
            </w:r>
          </w:p>
        </w:tc>
      </w:tr>
    </w:tbl>
    <w:p>
      <w:pPr>
        <w:spacing w:line="240" w:lineRule="auto" w:before="1"/>
        <w:rPr>
          <w:rFonts w:ascii="宋体" w:hAnsi="宋体" w:cs="宋体" w:eastAsia="宋体" w:hint="default"/>
          <w:sz w:val="22"/>
          <w:szCs w:val="22"/>
        </w:rPr>
      </w:pPr>
    </w:p>
    <w:p>
      <w:pPr>
        <w:pStyle w:val="Heading2"/>
        <w:spacing w:line="240" w:lineRule="auto" w:before="26"/>
        <w:ind w:left="713" w:right="1115"/>
        <w:jc w:val="left"/>
        <w:rPr>
          <w:rFonts w:ascii="黑体" w:hAnsi="黑体" w:cs="黑体" w:eastAsia="黑体" w:hint="default"/>
          <w:b w:val="0"/>
          <w:bCs w:val="0"/>
        </w:rPr>
      </w:pPr>
      <w:r>
        <w:rPr/>
        <w:pict>
          <v:group style="position:absolute;margin-left:50.664009pt;margin-top:-15.164362pt;width:234.1pt;height:.5pt;mso-position-horizontal-relative:page;mso-position-vertical-relative:paragraph;z-index:-924616" coordorigin="1013,-303" coordsize="4682,10">
            <v:shape style="position:absolute;left:1018;top:-303;width:10;height:10" type="#_x0000_t75" stroked="false">
              <v:imagedata r:id="rId14" o:title=""/>
            </v:shape>
            <v:shape style="position:absolute;left:1013;top:-303;width:4682;height:10" type="#_x0000_t75" stroked="false">
              <v:imagedata r:id="rId15" o:title=""/>
            </v:shape>
            <w10:wrap type="none"/>
          </v:group>
        </w:pict>
      </w:r>
      <w:r>
        <w:rPr/>
        <w:pict>
          <v:shape style="position:absolute;margin-left:285.239990pt;margin-top:-15.164362pt;width:234.079793pt;height:.48pt;mso-position-horizontal-relative:page;mso-position-vertical-relative:paragraph;z-index:1528" type="#_x0000_t75" stroked="false">
            <v:imagedata r:id="rId22" o:title=""/>
          </v:shape>
        </w:pict>
      </w:r>
      <w:r>
        <w:rPr>
          <w:rFonts w:ascii="黑体" w:hAnsi="黑体" w:cs="黑体" w:eastAsia="黑体" w:hint="default"/>
        </w:rPr>
        <w:t>四、其他信息</w:t>
      </w:r>
      <w:r>
        <w:rPr>
          <w:rFonts w:ascii="黑体" w:hAnsi="黑体" w:cs="黑体" w:eastAsia="黑体" w:hint="default"/>
          <w:b w:val="0"/>
          <w:bCs w:val="0"/>
        </w:rPr>
      </w:r>
    </w:p>
    <w:p>
      <w:pPr>
        <w:spacing w:line="240" w:lineRule="auto" w:before="3"/>
        <w:rPr>
          <w:rFonts w:ascii="黑体" w:hAnsi="黑体" w:cs="黑体" w:eastAsia="黑体" w:hint="default"/>
          <w:b/>
          <w:bCs/>
          <w:sz w:val="27"/>
          <w:szCs w:val="27"/>
        </w:rPr>
      </w:pPr>
    </w:p>
    <w:p>
      <w:pPr>
        <w:pStyle w:val="BodyText"/>
        <w:spacing w:line="309" w:lineRule="auto" w:before="36"/>
        <w:ind w:left="233" w:right="1115" w:firstLine="422"/>
        <w:jc w:val="left"/>
      </w:pPr>
      <w:r>
        <w:rPr>
          <w:spacing w:val="-6"/>
        </w:rPr>
        <w:t>创业黑马管理层（以下简称管理层）对其他信息负责。其他信息包括 </w:t>
      </w:r>
      <w:r>
        <w:rPr>
          <w:rFonts w:ascii="宋体" w:hAnsi="宋体" w:cs="宋体" w:eastAsia="宋体" w:hint="default"/>
        </w:rPr>
        <w:t>2019</w:t>
      </w:r>
      <w:r>
        <w:rPr>
          <w:rFonts w:ascii="宋体" w:hAnsi="宋体" w:cs="宋体" w:eastAsia="宋体" w:hint="default"/>
          <w:spacing w:val="-50"/>
        </w:rPr>
        <w:t> </w:t>
      </w:r>
      <w:r>
        <w:rPr/>
        <w:t>年年度报告中涵盖的信息，</w:t>
      </w:r>
      <w:r>
        <w:rPr>
          <w:w w:val="100"/>
        </w:rPr>
        <w:t> </w:t>
      </w:r>
      <w:r>
        <w:rPr/>
        <w:t>但不包括财务报表和我们的审计报告。</w:t>
      </w:r>
    </w:p>
    <w:p>
      <w:pPr>
        <w:pStyle w:val="BodyText"/>
        <w:spacing w:line="518" w:lineRule="exact" w:before="13"/>
        <w:ind w:left="655" w:right="1115"/>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40" w:lineRule="auto" w:before="6"/>
        <w:ind w:left="233" w:right="1115"/>
        <w:jc w:val="left"/>
      </w:pPr>
      <w:r>
        <w:rPr/>
        <w:t>表或我们在审计过程中了解到的情况存在重大不一致或者似乎存在重大错报。</w:t>
      </w:r>
    </w:p>
    <w:p>
      <w:pPr>
        <w:spacing w:line="240" w:lineRule="auto" w:before="0"/>
        <w:rPr>
          <w:rFonts w:ascii="宋体" w:hAnsi="宋体" w:cs="宋体" w:eastAsia="宋体" w:hint="default"/>
          <w:sz w:val="19"/>
          <w:szCs w:val="19"/>
        </w:rPr>
      </w:pPr>
    </w:p>
    <w:p>
      <w:pPr>
        <w:pStyle w:val="BodyText"/>
        <w:spacing w:line="309" w:lineRule="auto"/>
        <w:ind w:left="233" w:right="1115" w:firstLine="422"/>
        <w:jc w:val="left"/>
      </w:pPr>
      <w:r>
        <w:rPr>
          <w:spacing w:val="-2"/>
        </w:rPr>
        <w:t>基于我们已执行的工作，如果我们确定其他信息存在重大错报，我们应当报告该事实。在这方面，我</w:t>
      </w:r>
      <w:r>
        <w:rPr>
          <w:w w:val="100"/>
        </w:rPr>
        <w:t> </w:t>
      </w:r>
      <w:r>
        <w:rPr/>
        <w:t>们无任何事项需要报告。</w:t>
      </w:r>
    </w:p>
    <w:p>
      <w:pPr>
        <w:spacing w:after="0" w:line="309" w:lineRule="auto"/>
        <w:jc w:val="left"/>
        <w:sectPr>
          <w:pgSz w:w="11910" w:h="16840"/>
          <w:pgMar w:header="741" w:footer="979" w:top="1060" w:bottom="1160" w:left="900" w:right="0"/>
        </w:sectPr>
      </w:pPr>
    </w:p>
    <w:p>
      <w:pPr>
        <w:spacing w:line="240" w:lineRule="auto" w:before="12"/>
        <w:rPr>
          <w:rFonts w:ascii="宋体" w:hAnsi="宋体" w:cs="宋体" w:eastAsia="宋体" w:hint="default"/>
          <w:sz w:val="28"/>
          <w:szCs w:val="28"/>
        </w:rPr>
      </w:pPr>
    </w:p>
    <w:p>
      <w:pPr>
        <w:pStyle w:val="BodyText"/>
        <w:spacing w:line="240" w:lineRule="auto" w:before="36"/>
        <w:ind w:right="0"/>
        <w:jc w:val="left"/>
      </w:pPr>
      <w:r>
        <w:rPr/>
        <w:t>审计报告（续）</w:t>
      </w:r>
    </w:p>
    <w:p>
      <w:pPr>
        <w:spacing w:line="240" w:lineRule="auto" w:before="11"/>
        <w:rPr>
          <w:rFonts w:ascii="宋体" w:hAnsi="宋体" w:cs="宋体" w:eastAsia="宋体" w:hint="default"/>
          <w:sz w:val="15"/>
          <w:szCs w:val="15"/>
        </w:rPr>
      </w:pPr>
    </w:p>
    <w:p>
      <w:pPr>
        <w:pStyle w:val="BodyText"/>
        <w:spacing w:line="240" w:lineRule="auto" w:before="36"/>
        <w:ind w:left="6352" w:right="0"/>
        <w:jc w:val="left"/>
      </w:pPr>
      <w:r>
        <w:rPr/>
        <w:t>天职业字</w:t>
      </w:r>
      <w:r>
        <w:rPr>
          <w:rFonts w:ascii="宋体" w:hAnsi="宋体" w:cs="宋体" w:eastAsia="宋体" w:hint="default"/>
        </w:rPr>
        <w:t>[2020]14672</w:t>
      </w:r>
      <w:r>
        <w:rPr>
          <w:rFonts w:ascii="宋体" w:hAnsi="宋体" w:cs="宋体" w:eastAsia="宋体" w:hint="default"/>
          <w:spacing w:val="-50"/>
        </w:rPr>
        <w:t> </w:t>
      </w:r>
      <w:r>
        <w:rPr/>
        <w:t>号</w:t>
      </w:r>
    </w:p>
    <w:p>
      <w:pPr>
        <w:spacing w:line="240" w:lineRule="auto" w:before="10"/>
        <w:rPr>
          <w:rFonts w:ascii="宋体" w:hAnsi="宋体" w:cs="宋体" w:eastAsia="宋体" w:hint="default"/>
          <w:sz w:val="25"/>
          <w:szCs w:val="25"/>
        </w:rPr>
      </w:pPr>
    </w:p>
    <w:p>
      <w:pPr>
        <w:pStyle w:val="Heading2"/>
        <w:spacing w:line="240" w:lineRule="auto" w:before="26"/>
        <w:ind w:left="633" w:right="0"/>
        <w:jc w:val="left"/>
        <w:rPr>
          <w:rFonts w:ascii="黑体" w:hAnsi="黑体" w:cs="黑体" w:eastAsia="黑体" w:hint="default"/>
          <w:b w:val="0"/>
          <w:bCs w:val="0"/>
        </w:rPr>
      </w:pPr>
      <w:r>
        <w:rPr>
          <w:rFonts w:ascii="黑体" w:hAnsi="黑体" w:cs="黑体" w:eastAsia="黑体" w:hint="default"/>
        </w:rPr>
        <w:t>五、管理层和治理层对财务报表的责任</w:t>
      </w:r>
      <w:r>
        <w:rPr>
          <w:rFonts w:ascii="黑体" w:hAnsi="黑体" w:cs="黑体" w:eastAsia="黑体" w:hint="default"/>
          <w:b w:val="0"/>
          <w:bCs w:val="0"/>
        </w:rPr>
      </w:r>
    </w:p>
    <w:p>
      <w:pPr>
        <w:spacing w:line="240" w:lineRule="auto" w:before="5"/>
        <w:rPr>
          <w:rFonts w:ascii="黑体" w:hAnsi="黑体" w:cs="黑体" w:eastAsia="黑体" w:hint="default"/>
          <w:b/>
          <w:bCs/>
          <w:sz w:val="30"/>
          <w:szCs w:val="30"/>
        </w:rPr>
      </w:pPr>
    </w:p>
    <w:p>
      <w:pPr>
        <w:pStyle w:val="BodyText"/>
        <w:spacing w:line="309" w:lineRule="auto"/>
        <w:ind w:right="1120" w:firstLine="422"/>
        <w:jc w:val="both"/>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spacing w:val="-9"/>
          <w:w w:val="100"/>
        </w:rPr>
        <w:t>在编制财务报表时，管理层负责评估创业黑马的持续经营能力，披露与持续经营相关的事项（如适用），</w:t>
      </w:r>
      <w:r>
        <w:rPr>
          <w:w w:val="100"/>
        </w:rPr>
        <w:t> </w:t>
      </w:r>
      <w:r>
        <w:rPr/>
        <w:t>并运用持续经营假设，除非计划进行清算、终止运营或别无其他现实的选择。</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治理层负责监督创业黑马的财务报告过程。</w:t>
      </w:r>
    </w:p>
    <w:p>
      <w:pPr>
        <w:spacing w:line="240" w:lineRule="auto" w:before="9"/>
        <w:rPr>
          <w:rFonts w:ascii="宋体" w:hAnsi="宋体" w:cs="宋体" w:eastAsia="宋体" w:hint="default"/>
          <w:sz w:val="27"/>
          <w:szCs w:val="27"/>
        </w:rPr>
      </w:pPr>
    </w:p>
    <w:p>
      <w:pPr>
        <w:pStyle w:val="Heading2"/>
        <w:spacing w:line="240" w:lineRule="auto"/>
        <w:ind w:left="633" w:right="0"/>
        <w:jc w:val="left"/>
        <w:rPr>
          <w:rFonts w:ascii="黑体" w:hAnsi="黑体" w:cs="黑体" w:eastAsia="黑体" w:hint="default"/>
          <w:b w:val="0"/>
          <w:bCs w:val="0"/>
        </w:rPr>
      </w:pPr>
      <w:r>
        <w:rPr>
          <w:rFonts w:ascii="黑体" w:hAnsi="黑体" w:cs="黑体" w:eastAsia="黑体" w:hint="default"/>
        </w:rPr>
        <w:t>六、注册会计师对财务报表审计的责任</w:t>
      </w:r>
      <w:r>
        <w:rPr>
          <w:rFonts w:ascii="黑体" w:hAnsi="黑体" w:cs="黑体" w:eastAsia="黑体" w:hint="default"/>
          <w:b w:val="0"/>
          <w:bCs w:val="0"/>
        </w:rPr>
      </w:r>
    </w:p>
    <w:p>
      <w:pPr>
        <w:spacing w:line="240" w:lineRule="auto" w:before="5"/>
        <w:rPr>
          <w:rFonts w:ascii="黑体" w:hAnsi="黑体" w:cs="黑体" w:eastAsia="黑体" w:hint="default"/>
          <w:b/>
          <w:bCs/>
          <w:sz w:val="30"/>
          <w:szCs w:val="30"/>
        </w:rPr>
      </w:pPr>
    </w:p>
    <w:p>
      <w:pPr>
        <w:pStyle w:val="BodyText"/>
        <w:spacing w:line="312" w:lineRule="auto"/>
        <w:ind w:right="1125" w:firstLine="422"/>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33"/>
        </w:rPr>
        <w:t> </w:t>
      </w:r>
      <w:r>
        <w:rPr>
          <w:spacing w:val="-33"/>
        </w:rPr>
      </w:r>
      <w:r>
        <w:rPr>
          <w:spacing w:val="-2"/>
        </w:rPr>
        <w:t>存在时总能发现。错报可能由于舞弊或错误导致，如果合理预期错报单独或汇总起来可能影响财务报表使</w:t>
      </w:r>
      <w:r>
        <w:rPr>
          <w:spacing w:val="-33"/>
        </w:rPr>
        <w:t> </w:t>
      </w:r>
      <w:r>
        <w:rPr>
          <w:spacing w:val="-33"/>
        </w:rPr>
      </w:r>
      <w:r>
        <w:rPr/>
        <w:t>用者依据财务报表作出的经济决策，则通常认为错报是重大的。</w:t>
      </w:r>
    </w:p>
    <w:p>
      <w:pPr>
        <w:spacing w:line="240" w:lineRule="auto" w:before="10"/>
        <w:rPr>
          <w:rFonts w:ascii="宋体" w:hAnsi="宋体" w:cs="宋体" w:eastAsia="宋体" w:hint="default"/>
          <w:sz w:val="13"/>
          <w:szCs w:val="13"/>
        </w:rPr>
      </w:pPr>
    </w:p>
    <w:p>
      <w:pPr>
        <w:pStyle w:val="BodyText"/>
        <w:spacing w:line="309" w:lineRule="auto"/>
        <w:ind w:right="1125" w:firstLine="422"/>
        <w:jc w:val="both"/>
      </w:pPr>
      <w:r>
        <w:rPr>
          <w:spacing w:val="-2"/>
        </w:rPr>
        <w:t>在按照审计准则执行审计工作的过程中，我们运用职业判断，并保持职业怀疑。同时，我们也执行以</w:t>
      </w:r>
      <w:r>
        <w:rPr>
          <w:w w:val="100"/>
        </w:rPr>
        <w:t> </w:t>
      </w:r>
      <w:r>
        <w:rPr/>
        <w:t>下工作：</w:t>
      </w:r>
    </w:p>
    <w:p>
      <w:pPr>
        <w:spacing w:line="240" w:lineRule="auto" w:before="4"/>
        <w:rPr>
          <w:rFonts w:ascii="宋体" w:hAnsi="宋体" w:cs="宋体" w:eastAsia="宋体" w:hint="default"/>
          <w:sz w:val="14"/>
          <w:szCs w:val="14"/>
        </w:rPr>
      </w:pPr>
    </w:p>
    <w:p>
      <w:pPr>
        <w:pStyle w:val="BodyText"/>
        <w:spacing w:line="312" w:lineRule="auto"/>
        <w:ind w:right="1126" w:firstLine="422"/>
        <w:jc w:val="both"/>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14"/>
        </w:rPr>
        <w:t> </w:t>
      </w:r>
      <w:r>
        <w:rPr>
          <w:spacing w:val="-14"/>
        </w:rPr>
      </w:r>
      <w:r>
        <w:rPr>
          <w:spacing w:val="-2"/>
        </w:rPr>
        <w:t>虚假陈述或凌驾于内部控制之上，未能发现由于舞弊导致的重大错报的风险高于未能发现由于错误导致的</w:t>
      </w:r>
      <w:r>
        <w:rPr>
          <w:spacing w:val="-33"/>
        </w:rPr>
        <w:t> </w:t>
      </w:r>
      <w:r>
        <w:rPr>
          <w:spacing w:val="-33"/>
        </w:rPr>
      </w:r>
      <w:r>
        <w:rPr/>
        <w:t>重大错报的风险。</w:t>
      </w:r>
    </w:p>
    <w:p>
      <w:pPr>
        <w:spacing w:line="240" w:lineRule="auto" w:before="10"/>
        <w:rPr>
          <w:rFonts w:ascii="宋体" w:hAnsi="宋体" w:cs="宋体" w:eastAsia="宋体" w:hint="default"/>
          <w:sz w:val="13"/>
          <w:szCs w:val="13"/>
        </w:rPr>
      </w:pPr>
    </w:p>
    <w:p>
      <w:pPr>
        <w:pStyle w:val="BodyText"/>
        <w:spacing w:line="309" w:lineRule="auto"/>
        <w:ind w:right="1135" w:firstLine="422"/>
        <w:jc w:val="both"/>
      </w:pPr>
      <w:r>
        <w:rPr/>
        <w:t>（</w:t>
      </w:r>
      <w:r>
        <w:rPr>
          <w:rFonts w:ascii="宋体" w:hAnsi="宋体" w:cs="宋体" w:eastAsia="宋体" w:hint="default"/>
        </w:rPr>
        <w:t>2</w:t>
      </w:r>
      <w:r>
        <w:rPr/>
        <w:t>）了解与审计相关的内部控制，以设计恰当的审计程序，但目的并非对内部控制的有效性发表意</w:t>
      </w:r>
      <w:r>
        <w:rPr>
          <w:w w:val="100"/>
        </w:rPr>
        <w:t> </w:t>
      </w:r>
      <w:r>
        <w:rPr/>
        <w:t>见。</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8"/>
        <w:rPr>
          <w:rFonts w:ascii="宋体" w:hAnsi="宋体" w:cs="宋体" w:eastAsia="宋体" w:hint="default"/>
          <w:sz w:val="18"/>
          <w:szCs w:val="18"/>
        </w:rPr>
      </w:pPr>
    </w:p>
    <w:p>
      <w:pPr>
        <w:pStyle w:val="BodyText"/>
        <w:spacing w:line="314" w:lineRule="auto"/>
        <w:ind w:right="1123" w:firstLine="422"/>
        <w:jc w:val="both"/>
      </w:pPr>
      <w:r>
        <w:rPr/>
        <w:t>（</w:t>
      </w:r>
      <w:r>
        <w:rPr>
          <w:rFonts w:ascii="宋体" w:hAnsi="宋体" w:cs="宋体" w:eastAsia="宋体" w:hint="default"/>
        </w:rPr>
        <w:t>4</w:t>
      </w:r>
      <w:r>
        <w:rPr/>
        <w:t>）对管理层使用持续经营假设的恰当性得出结论。同时，根据获取的审计证据，就可能导致对创</w:t>
      </w:r>
      <w:r>
        <w:rPr>
          <w:w w:val="100"/>
        </w:rPr>
        <w:t> </w:t>
      </w:r>
      <w:r>
        <w:rPr>
          <w:spacing w:val="-2"/>
        </w:rPr>
        <w:t>业黑马持续经营能力产生重大疑虑的事项或情况是否存在重大不确定性得出结论。如果我们得出结论认为</w:t>
      </w:r>
      <w:r>
        <w:rPr>
          <w:spacing w:val="-31"/>
        </w:rPr>
        <w:t> </w:t>
      </w:r>
      <w:r>
        <w:rPr>
          <w:spacing w:val="-31"/>
        </w:rPr>
      </w:r>
      <w:r>
        <w:rPr>
          <w:spacing w:val="-2"/>
        </w:rPr>
        <w:t>存在重大不确定性，审计准则要求我们在审计报告中提请报表使用者注意财务报表中的相关披露；如果披</w:t>
      </w:r>
      <w:r>
        <w:rPr>
          <w:spacing w:val="-33"/>
        </w:rPr>
        <w:t> </w:t>
      </w:r>
      <w:r>
        <w:rPr>
          <w:spacing w:val="-33"/>
        </w:rPr>
      </w:r>
      <w:r>
        <w:rPr>
          <w:spacing w:val="-2"/>
        </w:rPr>
        <w:t>露不充分，我们应当发表非无保留意见。我们的结论基于截至审计报告日可获得的信息。然而，未来的事</w:t>
      </w:r>
      <w:r>
        <w:rPr>
          <w:spacing w:val="-33"/>
        </w:rPr>
        <w:t> </w:t>
      </w:r>
      <w:r>
        <w:rPr>
          <w:spacing w:val="-33"/>
        </w:rPr>
      </w:r>
      <w:r>
        <w:rPr/>
        <w:t>项或情况可能导致创业黑马不能持续经营。</w:t>
      </w:r>
    </w:p>
    <w:p>
      <w:pPr>
        <w:pStyle w:val="BodyText"/>
        <w:spacing w:line="448" w:lineRule="auto" w:before="178"/>
        <w:ind w:right="1012" w:firstLine="422"/>
        <w:jc w:val="left"/>
      </w:pPr>
      <w:r>
        <w:rPr>
          <w:spacing w:val="-2"/>
        </w:rPr>
        <w:t>（</w:t>
      </w:r>
      <w:r>
        <w:rPr>
          <w:rFonts w:ascii="宋体" w:hAnsi="宋体" w:cs="宋体" w:eastAsia="宋体" w:hint="default"/>
          <w:spacing w:val="-2"/>
        </w:rPr>
        <w:t>5</w:t>
      </w:r>
      <w:r>
        <w:rPr>
          <w:spacing w:val="-2"/>
        </w:rPr>
        <w:t>）评价财务报表的总体列报、结构和内容，并评价财务报表是否公允反映相关交易和事项。</w:t>
      </w:r>
      <w:r>
        <w:rPr>
          <w:w w:val="100"/>
        </w:rPr>
        <w:t> </w:t>
      </w:r>
      <w:r>
        <w:rPr/>
        <w:t>审计报告（续）</w:t>
      </w:r>
    </w:p>
    <w:p>
      <w:pPr>
        <w:pStyle w:val="BodyText"/>
        <w:spacing w:line="240" w:lineRule="auto" w:before="61"/>
        <w:ind w:left="6458" w:right="0"/>
        <w:jc w:val="left"/>
      </w:pPr>
      <w:r>
        <w:rPr/>
        <w:t>天职业字</w:t>
      </w:r>
      <w:r>
        <w:rPr>
          <w:rFonts w:ascii="宋体" w:hAnsi="宋体" w:cs="宋体" w:eastAsia="宋体" w:hint="default"/>
        </w:rPr>
        <w:t>[2020]14672</w:t>
      </w:r>
      <w:r>
        <w:rPr>
          <w:rFonts w:ascii="宋体" w:hAnsi="宋体" w:cs="宋体" w:eastAsia="宋体" w:hint="default"/>
          <w:spacing w:val="-50"/>
        </w:rPr>
        <w:t> </w:t>
      </w:r>
      <w:r>
        <w:rPr/>
        <w:t>号</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09" w:lineRule="auto" w:before="36"/>
        <w:ind w:right="1135" w:firstLine="422"/>
        <w:jc w:val="both"/>
      </w:pPr>
      <w:r>
        <w:rPr/>
        <w:t>（</w:t>
      </w:r>
      <w:r>
        <w:rPr>
          <w:rFonts w:ascii="宋体" w:hAnsi="宋体" w:cs="宋体" w:eastAsia="宋体" w:hint="default"/>
        </w:rPr>
        <w:t>6</w:t>
      </w:r>
      <w:r>
        <w:rPr/>
        <w:t>）就创业黑马中实体或业务活动的财务信息获取充分、适当的审计证据，以对财务报表发表审计</w:t>
      </w:r>
      <w:r>
        <w:rPr>
          <w:w w:val="100"/>
        </w:rPr>
        <w:t> </w:t>
      </w:r>
      <w:r>
        <w:rPr/>
        <w:t>意见。我们负责指导、监督和执行集团审计，并对审计意见承担全部责任。</w:t>
      </w:r>
    </w:p>
    <w:p>
      <w:pPr>
        <w:spacing w:line="240" w:lineRule="auto" w:before="5"/>
        <w:rPr>
          <w:rFonts w:ascii="宋体" w:hAnsi="宋体" w:cs="宋体" w:eastAsia="宋体" w:hint="default"/>
          <w:sz w:val="14"/>
          <w:szCs w:val="14"/>
        </w:rPr>
      </w:pPr>
    </w:p>
    <w:p>
      <w:pPr>
        <w:pStyle w:val="BodyText"/>
        <w:spacing w:line="309" w:lineRule="auto"/>
        <w:ind w:right="1125" w:firstLine="422"/>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spacing w:line="240" w:lineRule="auto" w:before="13"/>
        <w:rPr>
          <w:rFonts w:ascii="宋体" w:hAnsi="宋体" w:cs="宋体" w:eastAsia="宋体" w:hint="default"/>
          <w:sz w:val="13"/>
          <w:szCs w:val="13"/>
        </w:rPr>
      </w:pPr>
    </w:p>
    <w:p>
      <w:pPr>
        <w:pStyle w:val="BodyText"/>
        <w:spacing w:line="309" w:lineRule="auto"/>
        <w:ind w:right="1126" w:firstLine="422"/>
        <w:jc w:val="both"/>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spacing w:line="240" w:lineRule="auto" w:before="5"/>
        <w:rPr>
          <w:rFonts w:ascii="宋体" w:hAnsi="宋体" w:cs="宋体" w:eastAsia="宋体" w:hint="default"/>
          <w:sz w:val="14"/>
          <w:szCs w:val="14"/>
        </w:rPr>
      </w:pPr>
    </w:p>
    <w:p>
      <w:pPr>
        <w:pStyle w:val="BodyText"/>
        <w:spacing w:line="312" w:lineRule="auto"/>
        <w:ind w:right="1122" w:firstLine="422"/>
        <w:jc w:val="both"/>
      </w:pPr>
      <w:r>
        <w:rPr>
          <w:spacing w:val="-2"/>
        </w:rPr>
        <w:t>从与治理层沟通过的事项中，我们确定哪些事项对本期合并财务报表审计最为重要，因而构成关键审</w:t>
      </w:r>
      <w:r>
        <w:rPr>
          <w:w w:val="100"/>
        </w:rPr>
        <w:t> </w:t>
      </w:r>
      <w:r>
        <w:rPr>
          <w:spacing w:val="-2"/>
        </w:rPr>
        <w:t>计事项。我们在审计报告中描述这些事项，除非法律法规禁止公开披露这些事项，或在极少数情形下，如</w:t>
      </w:r>
      <w:r>
        <w:rPr>
          <w:spacing w:val="-33"/>
        </w:rPr>
        <w:t> </w:t>
      </w:r>
      <w:r>
        <w:rPr>
          <w:spacing w:val="-33"/>
        </w:rPr>
      </w:r>
      <w:r>
        <w:rPr>
          <w:spacing w:val="-2"/>
        </w:rPr>
        <w:t>果合理预期在审计报告中沟通某事项造成的负面后果超过在公众利益方面产生的益处，我们确定不应在审</w:t>
      </w:r>
      <w:r>
        <w:rPr>
          <w:spacing w:val="-33"/>
        </w:rPr>
        <w:t> </w:t>
      </w:r>
      <w:r>
        <w:rPr>
          <w:spacing w:val="-33"/>
        </w:rPr>
      </w:r>
      <w:r>
        <w:rPr/>
        <w:t>计报告中沟通该事项。</w:t>
      </w:r>
    </w:p>
    <w:p>
      <w:pPr>
        <w:spacing w:after="0" w:line="312" w:lineRule="auto"/>
        <w:jc w:val="both"/>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right="0"/>
        <w:jc w:val="left"/>
      </w:pPr>
      <w:r>
        <w:rPr/>
        <w:t>审计报告（续）</w:t>
      </w:r>
    </w:p>
    <w:p>
      <w:pPr>
        <w:spacing w:line="240" w:lineRule="auto" w:before="11"/>
        <w:rPr>
          <w:rFonts w:ascii="宋体" w:hAnsi="宋体" w:cs="宋体" w:eastAsia="宋体" w:hint="default"/>
          <w:sz w:val="15"/>
          <w:szCs w:val="15"/>
        </w:rPr>
      </w:pPr>
    </w:p>
    <w:p>
      <w:pPr>
        <w:pStyle w:val="BodyText"/>
        <w:spacing w:line="240" w:lineRule="auto" w:before="36"/>
        <w:ind w:left="0" w:right="1122"/>
        <w:jc w:val="right"/>
      </w:pPr>
      <w:r>
        <w:rPr/>
        <w:t>天职业字</w:t>
      </w:r>
      <w:r>
        <w:rPr>
          <w:rFonts w:ascii="宋体" w:hAnsi="宋体" w:cs="宋体" w:eastAsia="宋体" w:hint="default"/>
        </w:rPr>
        <w:t>[2020]14672</w:t>
      </w:r>
      <w:r>
        <w:rPr>
          <w:rFonts w:ascii="宋体" w:hAnsi="宋体" w:cs="宋体" w:eastAsia="宋体" w:hint="default"/>
          <w:spacing w:val="-50"/>
        </w:rPr>
        <w:t> </w:t>
      </w:r>
      <w:r>
        <w:rPr/>
        <w:t>号</w:t>
      </w:r>
    </w:p>
    <w:p>
      <w:pPr>
        <w:spacing w:line="240" w:lineRule="auto" w:before="7"/>
        <w:rPr>
          <w:rFonts w:ascii="宋体" w:hAnsi="宋体" w:cs="宋体" w:eastAsia="宋体" w:hint="default"/>
          <w:sz w:val="15"/>
          <w:szCs w:val="15"/>
        </w:rPr>
      </w:pPr>
    </w:p>
    <w:p>
      <w:pPr>
        <w:pStyle w:val="BodyText"/>
        <w:spacing w:line="240" w:lineRule="auto" w:before="36"/>
        <w:ind w:left="681" w:right="0"/>
        <w:jc w:val="left"/>
        <w:rPr>
          <w:rFonts w:ascii="宋体" w:hAnsi="宋体" w:cs="宋体" w:eastAsia="宋体" w:hint="default"/>
        </w:rPr>
      </w:pPr>
      <w:r>
        <w:rPr>
          <w:rFonts w:ascii="宋体" w:hAnsi="宋体" w:cs="宋体" w:eastAsia="宋体" w:hint="default"/>
        </w:rPr>
        <w:t>[</w:t>
      </w:r>
      <w:r>
        <w:rPr/>
        <w:t>此页无正文</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1475" w:type="dxa"/>
        <w:tblLayout w:type="fixed"/>
        <w:tblCellMar>
          <w:top w:w="0" w:type="dxa"/>
          <w:left w:w="0" w:type="dxa"/>
          <w:bottom w:w="0" w:type="dxa"/>
          <w:right w:w="0" w:type="dxa"/>
        </w:tblCellMar>
        <w:tblLook w:val="01E0"/>
      </w:tblPr>
      <w:tblGrid>
        <w:gridCol w:w="3246"/>
        <w:gridCol w:w="2802"/>
        <w:gridCol w:w="1271"/>
      </w:tblGrid>
      <w:tr>
        <w:trPr>
          <w:trHeight w:val="648" w:hRule="exact"/>
        </w:trPr>
        <w:tc>
          <w:tcPr>
            <w:tcW w:w="3246" w:type="dxa"/>
            <w:tcBorders>
              <w:top w:val="nil" w:sz="6" w:space="0" w:color="auto"/>
              <w:left w:val="nil" w:sz="6" w:space="0" w:color="auto"/>
              <w:bottom w:val="nil" w:sz="6" w:space="0" w:color="auto"/>
              <w:right w:val="nil" w:sz="6" w:space="0" w:color="auto"/>
            </w:tcBorders>
          </w:tcPr>
          <w:p>
            <w:pPr/>
          </w:p>
        </w:tc>
        <w:tc>
          <w:tcPr>
            <w:tcW w:w="2802" w:type="dxa"/>
            <w:vMerge w:val="restart"/>
            <w:tcBorders>
              <w:top w:val="nil" w:sz="6" w:space="0" w:color="auto"/>
              <w:left w:val="nil" w:sz="6" w:space="0" w:color="auto"/>
              <w:right w:val="nil" w:sz="6" w:space="0" w:color="auto"/>
            </w:tcBorders>
          </w:tcPr>
          <w:p>
            <w:pPr>
              <w:pStyle w:val="TableParagraph"/>
              <w:spacing w:line="211" w:lineRule="exact"/>
              <w:ind w:left="785"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3"/>
              <w:ind w:right="0"/>
              <w:jc w:val="left"/>
              <w:rPr>
                <w:rFonts w:ascii="宋体" w:hAnsi="宋体" w:cs="宋体" w:eastAsia="宋体" w:hint="default"/>
                <w:sz w:val="29"/>
                <w:szCs w:val="29"/>
              </w:rPr>
            </w:pPr>
          </w:p>
          <w:p>
            <w:pPr>
              <w:pStyle w:val="TableParagraph"/>
              <w:tabs>
                <w:tab w:pos="2572" w:val="left" w:leader="none"/>
                <w:tab w:pos="4583" w:val="left" w:leader="none"/>
              </w:tabs>
              <w:spacing w:line="240" w:lineRule="auto"/>
              <w:ind w:left="732" w:right="-1782"/>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（项目合</w:t>
            </w:r>
            <w:r>
              <w:rPr>
                <w:rFonts w:ascii="宋体" w:hAnsi="宋体" w:cs="宋体" w:eastAsia="宋体" w:hint="default"/>
                <w:spacing w:val="-5"/>
                <w:w w:val="100"/>
                <w:sz w:val="21"/>
                <w:szCs w:val="21"/>
              </w:rPr>
              <w:t>伙</w:t>
            </w:r>
            <w:r>
              <w:rPr>
                <w:rFonts w:ascii="宋体" w:hAnsi="宋体" w:cs="宋体" w:eastAsia="宋体" w:hint="default"/>
                <w:w w:val="100"/>
                <w:sz w:val="21"/>
                <w:szCs w:val="21"/>
              </w:rPr>
              <w:t>人</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7" w:right="0"/>
              <w:jc w:val="center"/>
              <w:rPr>
                <w:rFonts w:ascii="宋体" w:hAnsi="宋体" w:cs="宋体" w:eastAsia="宋体" w:hint="default"/>
                <w:sz w:val="21"/>
                <w:szCs w:val="21"/>
              </w:rPr>
            </w:pPr>
            <w:r>
              <w:rPr>
                <w:rFonts w:ascii="宋体" w:hAnsi="宋体" w:cs="宋体" w:eastAsia="宋体" w:hint="default"/>
                <w:sz w:val="21"/>
                <w:szCs w:val="21"/>
              </w:rPr>
              <w:t>闫磊</w:t>
            </w:r>
          </w:p>
        </w:tc>
      </w:tr>
      <w:tr>
        <w:trPr>
          <w:trHeight w:val="965"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30"/>
              <w:jc w:val="center"/>
              <w:rPr>
                <w:rFonts w:ascii="宋体" w:hAnsi="宋体" w:cs="宋体" w:eastAsia="宋体" w:hint="default"/>
                <w:sz w:val="21"/>
                <w:szCs w:val="21"/>
              </w:rPr>
            </w:pPr>
            <w:r>
              <w:rPr>
                <w:rFonts w:ascii="宋体" w:hAnsi="宋体" w:cs="宋体" w:eastAsia="宋体" w:hint="default"/>
                <w:sz w:val="21"/>
                <w:szCs w:val="21"/>
              </w:rPr>
              <w:t>中国·北京</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30"/>
              <w:jc w:val="center"/>
              <w:rPr>
                <w:rFonts w:ascii="宋体" w:hAnsi="宋体" w:cs="宋体" w:eastAsia="宋体" w:hint="default"/>
                <w:sz w:val="21"/>
                <w:szCs w:val="21"/>
              </w:rPr>
            </w:pPr>
            <w:r>
              <w:rPr>
                <w:rFonts w:ascii="宋体" w:hAnsi="宋体" w:cs="宋体" w:eastAsia="宋体" w:hint="default"/>
                <w:sz w:val="21"/>
                <w:szCs w:val="21"/>
              </w:rPr>
              <w:t>二○二○年四月二十七日</w:t>
            </w:r>
          </w:p>
        </w:tc>
        <w:tc>
          <w:tcPr>
            <w:tcW w:w="2802" w:type="dxa"/>
            <w:vMerge/>
            <w:tcBorders>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r>
      <w:tr>
        <w:trPr>
          <w:trHeight w:val="360" w:hRule="exact"/>
        </w:trPr>
        <w:tc>
          <w:tcPr>
            <w:tcW w:w="3246"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79"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37" w:right="0"/>
              <w:jc w:val="center"/>
              <w:rPr>
                <w:rFonts w:ascii="宋体" w:hAnsi="宋体" w:cs="宋体" w:eastAsia="宋体" w:hint="default"/>
                <w:sz w:val="21"/>
                <w:szCs w:val="21"/>
              </w:rPr>
            </w:pPr>
            <w:r>
              <w:rPr>
                <w:rFonts w:ascii="宋体" w:hAnsi="宋体" w:cs="宋体" w:eastAsia="宋体" w:hint="default"/>
                <w:sz w:val="21"/>
                <w:szCs w:val="21"/>
              </w:rPr>
              <w:t>梅亚运</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line="20" w:lineRule="exact"/>
        <w:ind w:left="7289" w:right="0" w:firstLine="0"/>
        <w:rPr>
          <w:rFonts w:ascii="宋体" w:hAnsi="宋体" w:cs="宋体" w:eastAsia="宋体" w:hint="default"/>
          <w:sz w:val="2"/>
          <w:szCs w:val="2"/>
        </w:rPr>
      </w:pPr>
      <w:r>
        <w:rPr>
          <w:rFonts w:ascii="宋体" w:hAnsi="宋体" w:cs="宋体" w:eastAsia="宋体" w:hint="default"/>
          <w:sz w:val="2"/>
          <w:szCs w:val="2"/>
        </w:rPr>
        <w:pict>
          <v:group style="width:98.7pt;height:.5pt;mso-position-horizontal-relative:char;mso-position-vertical-relative:line" coordorigin="0,0" coordsize="1974,10">
            <v:group style="position:absolute;left:5;top:5;width:1964;height:2" coordorigin="5,5" coordsize="1964,2">
              <v:shape style="position:absolute;left:5;top:5;width:1964;height:2" coordorigin="5,5" coordsize="1964,0" path="m5,5l1968,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编制单位：创业黑马科技集团股份有限公司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7" w:space="500"/>
            <w:col w:w="1642" w:space="3203"/>
            <w:col w:w="2008"/>
          </w:cols>
        </w:sectPr>
      </w:pP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235,710,956.39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148,459,320.81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56,565,520.60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44,708,668.17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8,634,919.94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22,459,379.45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6,905,965.81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14,697,776.30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78,325,387.17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200,478,344.78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386,142,749.91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430,803,489.51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37,574,325.19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9,966,143.92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18,407,869.90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3,547,754.02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3,869,439.32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6,750,826.19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5,586,546.87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1,779,506.84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3,008,428.82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9,656,965.41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5,057,515.52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2,393,895.28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1,973,669.94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3,801,635.08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80,111,142.83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38,263,379.47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466,253,892.74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469,066,868.98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9,384,700.15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10,188,919.21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59,209,541.57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53,074,521.28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9,192,937.75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10,194,028.85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8,270,948.66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10,278,346.29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4,064,627.16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5,656,070.96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90,122,755.29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89,391,886.59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500,011.36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992,690.91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500,011.36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992,690.91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90,622,766.65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90,384,577.50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174,331,031.31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216,309,476.55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7,888,154.26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6,964,237.07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98,803,862.59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91,673,907.11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376,223,048.16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382,947,620.73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-591,922.07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-4,265,329.25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375,631,126.09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378,682,291.48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466,253,892.74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469,066,868.98</w:t>
            </w:r>
          </w:p>
        </w:tc>
      </w:tr>
    </w:tbl>
    <w:p>
      <w:pPr>
        <w:spacing w:line="240" w:lineRule="auto" w:before="2"/>
        <w:rPr>
          <w:rFonts w:ascii="Times New Roman" w:hAnsi="Times New Roman" w:cs="Times New Roman" w:eastAsia="Times New Roman" w:hint="default"/>
          <w:sz w:val="23"/>
          <w:szCs w:val="23"/>
        </w:rPr>
      </w:pPr>
    </w:p>
    <w:p>
      <w:pPr>
        <w:tabs>
          <w:tab w:pos="3754" w:val="left" w:leader="none"/>
          <w:tab w:pos="7893" w:val="left" w:leader="none"/>
        </w:tabs>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法定代表人：牛文文</w:t>
        <w:tab/>
        <w:t>主管会计工作负责人：张东</w:t>
        <w:tab/>
      </w:r>
      <w:r>
        <w:rPr>
          <w:rFonts w:ascii="宋体" w:hAnsi="宋体" w:cs="宋体" w:eastAsia="宋体" w:hint="default"/>
          <w:sz w:val="18"/>
          <w:szCs w:val="18"/>
        </w:rPr>
        <w:t>会计机构负责人：毛璇</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163,837,551.30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118,049,644.12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13,039,669.17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16,859,001.09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6,142,381.22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2,695,061.10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29,563,748.22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38,207,042.50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7"/>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6"/>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75,557,381.96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195,115,971.20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288,140,731.87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370,926,720.01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160,378,401.19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75,435,996.52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5,158,309.49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1,982,978.53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1,587,047.15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5,939,452.89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4,164,482.01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1,779,506.84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3,008,428.82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2,873,405.73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2,022,137.50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1,004,744.36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755,879.72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735,272.73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179,116,799.03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92,709,244.45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467,257,530.90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463,635,964.46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4,034,785.14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3,934,609.75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52,946,241.31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46,494,888.30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7,375,993.71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7,734,118.18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3,583,225.11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2,623,664.56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57,279,771.18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64,385,278.70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125,220,016.45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125,172,559.49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199,785.10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199,785.10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125,419,801.55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125,172,559.49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95,200,000.00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181,356,186.80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207,621,034.31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7,888,154.26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6,964,237.07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57,393,388.29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55,878,133.59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341,837,729.35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338,463,404.97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467,257,530.90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463,635,964.46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059"/>
        <w:gridCol w:w="3225"/>
        <w:gridCol w:w="3275"/>
      </w:tblGrid>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212,760,686.53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334,979,108.00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212,760,686.53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334,979,108.00</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194,721,880.83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337,721,460.06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94,636,126.92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250,739,716.24</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732,996.79</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711,945.09</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43,580,692.84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34,586,677.71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49,807,080.23</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46,494,630.36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8,902,213.72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8,599,135.15</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-2,937,229.67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-3,410,644.49</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3,106,784.55</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3,474,930.42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3,504,227.62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7,621,199.32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-652,965.42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7,247,732.67</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-2,934,983.49</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-691,856.08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0.550003pt;margin-top:108.265984pt;width:157.75pt;height:19.5pt;mso-position-horizontal-relative:page;mso-position-vertical-relative:page;z-index:-924544" coordorigin="4211,2165" coordsize="3155,390">
            <v:shape style="position:absolute;left:4211;top:2165;width:3155;height:390" coordorigin="4211,2165" coordsize="3155,390" path="m4211,2555l7366,2555,7366,2165,4211,2165,4211,2555xe" filled="true" fillcolor="#ffffff" stroked="false">
              <v:path arrowok="t"/>
              <v:fill type="solid"/>
            </v:shape>
            <w10:wrap type="none"/>
          </v:group>
        </w:pict>
      </w:r>
      <w:r>
        <w:rPr/>
        <w:pict>
          <v:group style="position:absolute;margin-left:210.550003pt;margin-top:367.29599pt;width:157.75pt;height:19.5pt;mso-position-horizontal-relative:page;mso-position-vertical-relative:page;z-index:-924520" coordorigin="4211,7346" coordsize="3155,390">
            <v:shape style="position:absolute;left:4211;top:7346;width:3155;height:390" coordorigin="4211,7346" coordsize="3155,390" path="m4211,7735l7366,7735,7366,7346,4211,7346,4211,7735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059"/>
        <w:gridCol w:w="1119"/>
        <w:gridCol w:w="2106"/>
        <w:gridCol w:w="3275"/>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5"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3"/>
              <w:ind w:left="-14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407,869.90</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2"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-3,254,138.41</w:t>
            </w: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-10,213,257.02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100,358.84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18,043,799.39</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2,013,681.75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387,370.12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5,501,400.05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2,739,839.91</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10,884.28</w:t>
            </w:r>
          </w:p>
        </w:tc>
      </w:tr>
      <w:tr>
        <w:trPr>
          <w:trHeight w:val="404" w:hRule="exact"/>
        </w:trPr>
        <w:tc>
          <w:tcPr>
            <w:tcW w:w="305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19"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9"/>
              <w:ind w:left="-13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039" w:right="0"/>
              <w:jc w:val="left"/>
              <w:rPr>
                <w:rFonts w:ascii="Times New Roman" w:hAnsi="Times New Roman" w:cs="Times New Roman" w:eastAsia="Times New Roman" w:hint="default"/>
                <w:sz w:val="18"/>
                <w:szCs w:val="18"/>
              </w:rPr>
            </w:pPr>
            <w:r>
              <w:rPr>
                <w:rFonts w:ascii="Times New Roman"/>
                <w:sz w:val="18"/>
              </w:rPr>
              <w:t>15,691,329.60</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7,504,197.52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2,765,281.26</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3,175,577.15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12,926,048.34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4,328,620.37</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12,926,048.34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4,328,620.37</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16,341,562.92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13,444,772.63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-3,415,514.58</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-9,116,152.26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tc>
        <w:tc>
          <w:tcPr>
            <w:tcW w:w="3225" w:type="dxa"/>
            <w:gridSpan w:val="2"/>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059"/>
        <w:gridCol w:w="3225"/>
        <w:gridCol w:w="3275"/>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2"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2"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5" w:type="dxa"/>
            <w:tcBorders>
              <w:top w:val="single" w:sz="4" w:space="0" w:color="000000"/>
              <w:left w:val="single" w:sz="13" w:space="0" w:color="D2D2D2"/>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12,926,048.34</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4,328,620.37</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16,341,562.92</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13,444,772.63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-3,415,514.58</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-9,116,152.26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0.17</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0.14</w:t>
            </w:r>
          </w:p>
        </w:tc>
      </w:tr>
    </w:tbl>
    <w:p>
      <w:pPr>
        <w:tabs>
          <w:tab w:pos="3754" w:val="left" w:leader="none"/>
          <w:tab w:pos="7893" w:val="left" w:leader="none"/>
        </w:tabs>
        <w:spacing w:line="590" w:lineRule="auto" w:before="54"/>
        <w:ind w:left="153" w:right="1223" w:firstLine="0"/>
        <w:jc w:val="both"/>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73"/>
          <w:sz w:val="18"/>
          <w:szCs w:val="18"/>
        </w:rPr>
        <w:t> </w:t>
      </w:r>
      <w:r>
        <w:rPr>
          <w:rFonts w:ascii="宋体" w:hAnsi="宋体" w:cs="宋体" w:eastAsia="宋体" w:hint="default"/>
          <w:spacing w:val="-3"/>
          <w:sz w:val="18"/>
          <w:szCs w:val="18"/>
        </w:rPr>
        <w:t>法定代表人：牛文文</w:t>
        <w:tab/>
        <w:t>主管会计工作负责人：张东</w:t>
        <w:tab/>
      </w:r>
      <w:r>
        <w:rPr>
          <w:rFonts w:ascii="宋体" w:hAnsi="宋体" w:cs="宋体" w:eastAsia="宋体" w:hint="default"/>
          <w:spacing w:val="-2"/>
          <w:sz w:val="18"/>
          <w:szCs w:val="18"/>
        </w:rPr>
        <w:t>会计机构负责人：毛璇</w:t>
      </w:r>
      <w:r>
        <w:rPr>
          <w:rFonts w:ascii="宋体" w:hAnsi="宋体" w:cs="宋体" w:eastAsia="宋体" w:hint="default"/>
          <w:spacing w:val="-66"/>
          <w:sz w:val="18"/>
          <w:szCs w:val="18"/>
        </w:rPr>
        <w:t> </w:t>
      </w:r>
      <w:r>
        <w:rPr>
          <w:rFonts w:ascii="宋体" w:hAnsi="宋体" w:cs="宋体" w:eastAsia="宋体" w:hint="default"/>
          <w:spacing w:val="-66"/>
          <w:sz w:val="18"/>
          <w:szCs w:val="18"/>
        </w:rPr>
      </w:r>
      <w:bookmarkStart w:name="4、母公司利润表" w:id="159"/>
      <w:bookmarkEnd w:id="159"/>
      <w:r>
        <w:rPr>
          <w:rFonts w:ascii="宋体" w:hAnsi="宋体" w:cs="宋体" w:eastAsia="宋体" w:hint="default"/>
          <w:spacing w:val="-6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159,381,949.63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146,111,696.96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70,354,059.66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76,731,092.03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516,955.29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413,412.28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34,223,346.76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27,572,013.03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38,746,623.34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27,637,227.44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7,570,569.14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5,942,440.91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-3,393,820.59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-4,018,550.35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3,517,091.19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4,051,661.21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910,214.90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138,526.33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-781,459.75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7,923,150.39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-497,713.84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158,309.49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-2,239,786.27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-3,490,795.57</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9,411,494.40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16,404,942.77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372,076.00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94,609.14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7,634.70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9,688,961.26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21,897,308.07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943,374.76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3,032,713.00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8,745,586.50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18,864,595.07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8,745,586.50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18,864,595.07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2" w:right="3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2"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2"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8,745,586.50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18,864,595.07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12"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212,495,672.94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352,854,412.06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17,650,366.07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19,380,329.05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230,146,039.01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372,234,741.11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64,586,655.27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250,909,602.74</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79,465,007.19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75,579,074.93</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9,004,563.45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18,338,903.80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42,604,083.15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59,601,839.83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195,660,309.06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404,429,421.30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34,485,729.95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-32,194,680.19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3,876,358.48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7,960,670.78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128,000.00</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556,000,000.00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584,891,358.48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564,088,670.78</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12,620,420.28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9,937,590.02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18,658,000.00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463,037,219.57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617,000,000.00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515,657,639.85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645,595,590.02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69,233,718.63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-81,506,919.24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1,570,000.00</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3,330,000.00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1,570,000.00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12,674,000.00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19,474,000.00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-16,144,000.00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-5,230,000.00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87,575,448.58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-118,931,599.43</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148,135,507.81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267,067,107.24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235,710,956.39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148,135,507.81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28"/>
          <w:szCs w:val="28"/>
        </w:rPr>
      </w:pPr>
    </w:p>
    <w:p>
      <w:pPr>
        <w:pStyle w:val="Heading4"/>
        <w:spacing w:line="240" w:lineRule="auto" w:before="36"/>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939"/>
        <w:gridCol w:w="3321"/>
        <w:gridCol w:w="3299"/>
      </w:tblGrid>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157,471,620.38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140,001,469.96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116,539,038.60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75,328,753.11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274,010,658.98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215,330,223.07</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62,471,038.32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40,924,246.40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64,377,437.82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57,186,973.45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5,669,714.49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10,580,756.60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116,507,990.04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117,737,199.60</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249,026,180.67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226,429,176.05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24,984,478.31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-11,098,952.98</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38,077.37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3,876,358.48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7,913,214.64</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2"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546,000,000.00</w:t>
            </w: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584,914,435.85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553,913,214.64</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6,703,075.47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7,522,106.75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87,110,118.51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38,168,367.86</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607,000,000.00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556,813,193.98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652,690,474.61</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28,101,241.87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-98,777,259.97</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3"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6,974,000.00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-6,974,000.00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-6,800,000.00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46,111,720.18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-116,676,212.95</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117,725,831.12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234,402,044.07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163,837,551.30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117,725,831.12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41"/>
        <w:gridCol w:w="494"/>
        <w:gridCol w:w="466"/>
        <w:gridCol w:w="466"/>
        <w:gridCol w:w="470"/>
        <w:gridCol w:w="581"/>
        <w:gridCol w:w="586"/>
        <w:gridCol w:w="586"/>
        <w:gridCol w:w="581"/>
        <w:gridCol w:w="586"/>
        <w:gridCol w:w="581"/>
        <w:gridCol w:w="586"/>
        <w:gridCol w:w="586"/>
        <w:gridCol w:w="581"/>
        <w:gridCol w:w="586"/>
        <w:gridCol w:w="576"/>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50"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105"/>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6"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1"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8" w:space="0" w:color="D2D2D2"/>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216,30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9,476.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55</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237.07</w:t>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8"/>
                <w:szCs w:val="18"/>
              </w:rPr>
            </w:pPr>
            <w:r>
              <w:rPr>
                <w:rFonts w:ascii="Times New Roman"/>
                <w:spacing w:val="-1"/>
                <w:sz w:val="18"/>
              </w:rPr>
              <w:t>91,673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,907.1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382,94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7,620.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329.25</w:t>
            </w:r>
          </w:p>
        </w:tc>
        <w:tc>
          <w:tcPr>
            <w:tcW w:w="576" w:type="dxa"/>
            <w:vMerge w:val="restart"/>
            <w:tcBorders>
              <w:top w:val="single" w:sz="38" w:space="0" w:color="D2D2D2"/>
              <w:left w:val="single" w:sz="4" w:space="0" w:color="000000"/>
              <w:right w:val="single" w:sz="4" w:space="0" w:color="000000"/>
            </w:tcBorders>
          </w:tcPr>
          <w:p>
            <w:pPr>
              <w:pStyle w:val="TableParagraph"/>
              <w:spacing w:line="240" w:lineRule="auto" w:before="52"/>
              <w:ind w:left="52" w:right="0"/>
              <w:jc w:val="left"/>
              <w:rPr>
                <w:rFonts w:ascii="Times New Roman" w:hAnsi="Times New Roman" w:cs="Times New Roman" w:eastAsia="Times New Roman" w:hint="default"/>
                <w:sz w:val="18"/>
                <w:szCs w:val="18"/>
              </w:rPr>
            </w:pPr>
            <w:r>
              <w:rPr>
                <w:rFonts w:ascii="Times New Roman"/>
                <w:sz w:val="18"/>
              </w:rPr>
              <w:t>378,68</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2,291.</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48</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8"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9"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8"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7"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4" w:type="dxa"/>
            <w:tcBorders>
              <w:top w:val="single" w:sz="4" w:space="0" w:color="000000"/>
              <w:left w:val="single" w:sz="8"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49,358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.54</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-1,537,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048.79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-1,487,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690.25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-394,9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95.86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-1,882,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686.11</w:t>
            </w: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3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4" w:type="dxa"/>
            <w:tcBorders>
              <w:top w:val="single" w:sz="4" w:space="0" w:color="000000"/>
              <w:left w:val="single" w:sz="8"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13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4" w:type="dxa"/>
            <w:tcBorders>
              <w:top w:val="single" w:sz="4" w:space="0" w:color="000000"/>
              <w:left w:val="single" w:sz="8"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2"/>
              <w:jc w:val="righ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8"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8" w:space="0" w:color="D2D2D2"/>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1"/>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216,30</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9,476.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55</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7,013,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595.61</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90,136</w:t>
            </w:r>
          </w:p>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,858.3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381,45</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9,930.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48</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-4,660,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325.11</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376,79</w:t>
            </w:r>
          </w:p>
          <w:p>
            <w:pPr>
              <w:pStyle w:val="TableParagraph"/>
              <w:spacing w:line="240" w:lineRule="auto" w:before="101"/>
              <w:ind w:left="96" w:right="0"/>
              <w:jc w:val="left"/>
              <w:rPr>
                <w:rFonts w:ascii="Times New Roman" w:hAnsi="Times New Roman" w:cs="Times New Roman" w:eastAsia="Times New Roman" w:hint="default"/>
                <w:sz w:val="18"/>
                <w:szCs w:val="18"/>
              </w:rPr>
            </w:pPr>
            <w:r>
              <w:rPr>
                <w:rFonts w:ascii="Times New Roman"/>
                <w:sz w:val="18"/>
              </w:rPr>
              <w:t>9,605.</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37</w:t>
            </w:r>
          </w:p>
        </w:tc>
      </w:tr>
      <w:tr>
        <w:trPr>
          <w:trHeight w:val="70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2"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8"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8"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spacing w:val="-12"/>
                <w:sz w:val="18"/>
                <w:szCs w:val="18"/>
              </w:rPr>
              <w:t>三、本期增减变</w:t>
            </w:r>
          </w:p>
        </w:tc>
        <w:tc>
          <w:tcPr>
            <w:tcW w:w="49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27,20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-41,97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874,55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8,667,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-5,236,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4,068,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-1,168,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6"/>
        <w:gridCol w:w="581"/>
        <w:gridCol w:w="586"/>
        <w:gridCol w:w="581"/>
        <w:gridCol w:w="586"/>
        <w:gridCol w:w="586"/>
        <w:gridCol w:w="581"/>
        <w:gridCol w:w="586"/>
        <w:gridCol w:w="576"/>
      </w:tblGrid>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2"/>
                <w:sz w:val="18"/>
                <w:szCs w:val="18"/>
              </w:rPr>
              <w:t>动金额（减少以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8,445.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8.65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004.27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882.32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403.04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479.28</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,562.9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16,341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,562.9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-3,415,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514.58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12,926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,048.3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-14,77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8,445.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-14,77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8,445.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7,483,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917.62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-7,294,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527.62</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3,330,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3,330,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935,15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935,15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2.49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935,15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2.49</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3,597.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-15,71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3,597.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4,153,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917.62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pacing w:val="-3"/>
                <w:sz w:val="18"/>
              </w:rPr>
              <w:t>-11,55</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9,680.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874,55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-7,674,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558.65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874,55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-874,5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58.65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6"/>
        <w:gridCol w:w="581"/>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174,33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7,888,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154.26</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,862.5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376,22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22.07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375,63</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1,126.</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81"/>
        <w:gridCol w:w="576"/>
        <w:gridCol w:w="576"/>
        <w:gridCol w:w="576"/>
        <w:gridCol w:w="591"/>
        <w:gridCol w:w="566"/>
        <w:gridCol w:w="566"/>
        <w:gridCol w:w="644"/>
        <w:gridCol w:w="648"/>
      </w:tblGrid>
      <w:tr>
        <w:trPr>
          <w:trHeight w:val="404"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2"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2"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4"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216,30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9,476.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55</w:t>
            </w: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5,077,</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777.56</w:t>
            </w:r>
          </w:p>
        </w:tc>
        <w:tc>
          <w:tcPr>
            <w:tcW w:w="576" w:type="dxa"/>
            <w:vMerge w:val="restart"/>
            <w:tcBorders>
              <w:top w:val="single" w:sz="21" w:space="0" w:color="D2D2D2"/>
              <w:left w:val="single" w:sz="4" w:space="0" w:color="000000"/>
              <w:right w:val="single" w:sz="4" w:space="0" w:color="000000"/>
            </w:tcBorders>
          </w:tcPr>
          <w:p>
            <w:pPr/>
          </w:p>
        </w:tc>
        <w:tc>
          <w:tcPr>
            <w:tcW w:w="591" w:type="dxa"/>
            <w:vMerge w:val="restart"/>
            <w:tcBorders>
              <w:top w:val="single" w:sz="21" w:space="0" w:color="D2D2D2"/>
              <w:left w:val="single" w:sz="4" w:space="0" w:color="000000"/>
              <w:right w:val="single" w:sz="4" w:space="0" w:color="000000"/>
            </w:tcBorders>
          </w:tcPr>
          <w:p>
            <w:pPr>
              <w:pStyle w:val="TableParagraph"/>
              <w:spacing w:line="240" w:lineRule="auto" w:before="74"/>
              <w:ind w:right="17"/>
              <w:jc w:val="right"/>
              <w:rPr>
                <w:rFonts w:ascii="Times New Roman" w:hAnsi="Times New Roman" w:cs="Times New Roman" w:eastAsia="Times New Roman" w:hint="default"/>
                <w:sz w:val="18"/>
                <w:szCs w:val="18"/>
              </w:rPr>
            </w:pPr>
            <w:r>
              <w:rPr>
                <w:rFonts w:ascii="Times New Roman"/>
                <w:spacing w:val="-1"/>
                <w:sz w:val="18"/>
              </w:rPr>
              <w:t>86,915</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,593.9</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376,30</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2,848.</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3,280,8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23.01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379,583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,671.11</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0"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0"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0"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0"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216,30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9,476.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55</w:t>
            </w: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5,077,</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777.56</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86,915</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,593.9</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376,30</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2,848.</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10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3,280,8</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23.01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379,583</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,671.11</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2"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98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12"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502" w:type="dxa"/>
            <w:tcBorders>
              <w:top w:val="single" w:sz="4" w:space="0" w:color="000000"/>
              <w:left w:val="single" w:sz="10"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1,886,</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4,758,</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313.12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6,644,</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772.63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-7,546,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152.26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-901,37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9.63</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81"/>
        <w:gridCol w:w="576"/>
        <w:gridCol w:w="576"/>
        <w:gridCol w:w="576"/>
        <w:gridCol w:w="591"/>
        <w:gridCol w:w="566"/>
        <w:gridCol w:w="566"/>
        <w:gridCol w:w="644"/>
        <w:gridCol w:w="648"/>
      </w:tblGrid>
      <w:tr>
        <w:trPr>
          <w:trHeight w:val="36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,772.6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,772.6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-9,116,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152.26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4,328,6</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20.37</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1,570,0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1,886,</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-8,686,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459.51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1,886,</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459.51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-1,886,</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459.51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000.00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81"/>
        <w:gridCol w:w="576"/>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216,30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9,476.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55</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6,964,</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237.07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91,673</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,907.1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382,94</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7,620.</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-4,265,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329.25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378,682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,291.48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85"/>
        <w:gridCol w:w="638"/>
        <w:gridCol w:w="605"/>
        <w:gridCol w:w="605"/>
        <w:gridCol w:w="605"/>
        <w:gridCol w:w="725"/>
        <w:gridCol w:w="725"/>
        <w:gridCol w:w="730"/>
        <w:gridCol w:w="725"/>
        <w:gridCol w:w="725"/>
        <w:gridCol w:w="619"/>
        <w:gridCol w:w="706"/>
        <w:gridCol w:w="864"/>
      </w:tblGrid>
      <w:tr>
        <w:trPr>
          <w:trHeight w:val="404" w:hRule="exact"/>
        </w:trPr>
        <w:tc>
          <w:tcPr>
            <w:tcW w:w="1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96" w:right="79"/>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9" w:right="31"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3" w:right="55"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5" w:type="dxa"/>
            <w:vMerge/>
            <w:tcBorders>
              <w:left w:val="single" w:sz="4" w:space="0" w:color="000000"/>
              <w:bottom w:val="nil" w:sz="6" w:space="0" w:color="auto"/>
              <w:right w:val="single" w:sz="4" w:space="0" w:color="000000"/>
            </w:tcBorders>
            <w:shd w:val="clear" w:color="auto" w:fill="D2D2D2"/>
          </w:tcPr>
          <w:p>
            <w:pPr/>
          </w:p>
        </w:tc>
        <w:tc>
          <w:tcPr>
            <w:tcW w:w="6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9" w:type="dxa"/>
            <w:vMerge/>
            <w:tcBorders>
              <w:left w:val="single" w:sz="4" w:space="0" w:color="000000"/>
              <w:right w:val="single" w:sz="4" w:space="0" w:color="000000"/>
            </w:tcBorders>
            <w:shd w:val="clear" w:color="auto" w:fill="D2D2D2"/>
          </w:tcPr>
          <w:p>
            <w:pPr/>
          </w:p>
        </w:tc>
        <w:tc>
          <w:tcPr>
            <w:tcW w:w="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5" w:type="dxa"/>
            <w:vMerge w:val="restart"/>
            <w:tcBorders>
              <w:top w:val="nil" w:sz="6" w:space="0" w:color="auto"/>
              <w:left w:val="single" w:sz="4" w:space="0" w:color="000000"/>
              <w:right w:val="single" w:sz="4" w:space="0" w:color="000000"/>
            </w:tcBorders>
            <w:shd w:val="clear" w:color="auto" w:fill="D2D2D2"/>
          </w:tcPr>
          <w:p>
            <w:pPr/>
          </w:p>
        </w:tc>
        <w:tc>
          <w:tcPr>
            <w:tcW w:w="638"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9" w:type="dxa"/>
            <w:vMerge/>
            <w:tcBorders>
              <w:left w:val="single" w:sz="4" w:space="0" w:color="000000"/>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85" w:type="dxa"/>
            <w:vMerge/>
            <w:tcBorders>
              <w:left w:val="single" w:sz="4" w:space="0" w:color="000000"/>
              <w:bottom w:val="single" w:sz="4" w:space="0" w:color="000000"/>
              <w:right w:val="single" w:sz="4" w:space="0" w:color="000000"/>
            </w:tcBorders>
            <w:shd w:val="clear" w:color="auto" w:fill="D2D2D2"/>
          </w:tcPr>
          <w:p>
            <w:pPr/>
          </w:p>
        </w:tc>
        <w:tc>
          <w:tcPr>
            <w:tcW w:w="6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9" w:type="dxa"/>
            <w:vMerge/>
            <w:tcBorders>
              <w:left w:val="single" w:sz="4" w:space="0" w:color="000000"/>
              <w:bottom w:val="single" w:sz="4" w:space="0" w:color="000000"/>
              <w:right w:val="single" w:sz="4" w:space="0" w:color="000000"/>
            </w:tcBorders>
            <w:shd w:val="clear" w:color="auto" w:fill="D2D2D2"/>
          </w:tcPr>
          <w:p>
            <w:pPr/>
          </w:p>
        </w:tc>
        <w:tc>
          <w:tcPr>
            <w:tcW w:w="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735"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12" w:right="8"/>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3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20"/>
              <w:ind w:left="62"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207,621,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034.31</w:t>
            </w:r>
          </w:p>
        </w:tc>
        <w:tc>
          <w:tcPr>
            <w:tcW w:w="725" w:type="dxa"/>
            <w:tcBorders>
              <w:top w:val="single" w:sz="19" w:space="0" w:color="D2D2D2"/>
              <w:left w:val="single" w:sz="4" w:space="0" w:color="000000"/>
              <w:bottom w:val="single" w:sz="4" w:space="0" w:color="000000"/>
              <w:right w:val="single" w:sz="4" w:space="0" w:color="000000"/>
            </w:tcBorders>
          </w:tcPr>
          <w:p>
            <w:pPr/>
          </w:p>
        </w:tc>
        <w:tc>
          <w:tcPr>
            <w:tcW w:w="730" w:type="dxa"/>
            <w:tcBorders>
              <w:top w:val="single" w:sz="19" w:space="0" w:color="D2D2D2"/>
              <w:left w:val="single" w:sz="4" w:space="0" w:color="000000"/>
              <w:bottom w:val="single" w:sz="4" w:space="0" w:color="000000"/>
              <w:right w:val="single" w:sz="4" w:space="0" w:color="000000"/>
            </w:tcBorders>
          </w:tcPr>
          <w:p>
            <w:pPr/>
          </w:p>
        </w:tc>
        <w:tc>
          <w:tcPr>
            <w:tcW w:w="725" w:type="dxa"/>
            <w:tcBorders>
              <w:top w:val="single" w:sz="19" w:space="0" w:color="D2D2D2"/>
              <w:left w:val="single" w:sz="4" w:space="0" w:color="000000"/>
              <w:bottom w:val="single" w:sz="4" w:space="0" w:color="000000"/>
              <w:right w:val="single" w:sz="4" w:space="0" w:color="000000"/>
            </w:tcBorders>
          </w:tcPr>
          <w:p>
            <w:pPr/>
          </w:p>
        </w:tc>
        <w:tc>
          <w:tcPr>
            <w:tcW w:w="725"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6,964,23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7.07</w:t>
            </w:r>
          </w:p>
        </w:tc>
        <w:tc>
          <w:tcPr>
            <w:tcW w:w="619" w:type="dxa"/>
            <w:tcBorders>
              <w:top w:val="single" w:sz="19" w:space="0" w:color="D2D2D2"/>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7" w:right="0"/>
              <w:jc w:val="left"/>
              <w:rPr>
                <w:rFonts w:ascii="Times New Roman" w:hAnsi="Times New Roman" w:cs="Times New Roman" w:eastAsia="Times New Roman" w:hint="default"/>
                <w:sz w:val="18"/>
                <w:szCs w:val="18"/>
              </w:rPr>
            </w:pPr>
            <w:r>
              <w:rPr>
                <w:rFonts w:ascii="Times New Roman"/>
                <w:sz w:val="18"/>
              </w:rPr>
              <w:t>55,878,1</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33.59</w:t>
            </w:r>
          </w:p>
        </w:tc>
        <w:tc>
          <w:tcPr>
            <w:tcW w:w="864"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338,463,4</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04.97</w:t>
            </w:r>
          </w:p>
        </w:tc>
      </w:tr>
      <w:tr>
        <w:trPr>
          <w:trHeight w:val="715"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8"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38" w:type="dxa"/>
            <w:tcBorders>
              <w:top w:val="single" w:sz="4" w:space="0" w:color="000000"/>
              <w:left w:val="single" w:sz="8"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49,358.5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444,226.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493,585.3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76"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38" w:type="dxa"/>
            <w:tcBorders>
              <w:top w:val="single" w:sz="4" w:space="0" w:color="000000"/>
              <w:left w:val="single" w:sz="8"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4" w:space="0" w:color="000000"/>
              <w:left w:val="single" w:sz="8"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8"/>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3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207,621,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034.31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7,013,59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5.61</w:t>
            </w: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56,322,3</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60.44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338,956,9</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90.36</w:t>
            </w:r>
          </w:p>
        </w:tc>
      </w:tr>
      <w:tr>
        <w:trPr>
          <w:trHeight w:val="1028"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8"/>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-26,264,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847.51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874,558.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65</w:t>
            </w: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1,071,02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2,880,738.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99</w:t>
            </w:r>
          </w:p>
        </w:tc>
      </w:tr>
      <w:tr>
        <w:trPr>
          <w:trHeight w:val="715"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8"/>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38" w:type="dxa"/>
            <w:tcBorders>
              <w:top w:val="single" w:sz="4" w:space="0" w:color="000000"/>
              <w:left w:val="single" w:sz="8"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8,745,58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8,745,586.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50</w:t>
            </w:r>
          </w:p>
        </w:tc>
      </w:tr>
      <w:tr>
        <w:trPr>
          <w:trHeight w:val="711"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8"/>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38" w:type="dxa"/>
            <w:tcBorders>
              <w:top w:val="single" w:sz="4" w:space="0" w:color="000000"/>
              <w:left w:val="single" w:sz="8"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935,152.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935,152.4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8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38" w:type="dxa"/>
            <w:tcBorders>
              <w:top w:val="single" w:sz="4" w:space="0" w:color="000000"/>
              <w:left w:val="single" w:sz="8"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9"/>
        <w:gridCol w:w="706"/>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935,152.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935,152.4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874,558.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65</w:t>
            </w: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-7,674,5</w:t>
            </w:r>
          </w:p>
          <w:p>
            <w:pPr>
              <w:pStyle w:val="TableParagraph"/>
              <w:spacing w:line="240" w:lineRule="auto" w:before="110"/>
              <w:ind w:left="258" w:right="0"/>
              <w:jc w:val="center"/>
              <w:rPr>
                <w:rFonts w:ascii="Times New Roman" w:hAnsi="Times New Roman" w:cs="Times New Roman" w:eastAsia="Times New Roman" w:hint="default"/>
                <w:sz w:val="18"/>
                <w:szCs w:val="18"/>
              </w:rPr>
            </w:pPr>
            <w:r>
              <w:rPr>
                <w:rFonts w:ascii="Times New Roman"/>
                <w:sz w:val="18"/>
              </w:rPr>
              <w:t>58.65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874,558.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65</w:t>
            </w: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-874,558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w:t>
            </w: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95,200,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181,356,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186.80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7,888,15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4.26</w:t>
            </w:r>
          </w:p>
        </w:tc>
        <w:tc>
          <w:tcPr>
            <w:tcW w:w="61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57,393,3</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88.29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341,837,7</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29.35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222"/>
        <w:gridCol w:w="590"/>
        <w:gridCol w:w="576"/>
        <w:gridCol w:w="571"/>
        <w:gridCol w:w="572"/>
        <w:gridCol w:w="686"/>
        <w:gridCol w:w="682"/>
        <w:gridCol w:w="686"/>
        <w:gridCol w:w="783"/>
        <w:gridCol w:w="662"/>
        <w:gridCol w:w="802"/>
        <w:gridCol w:w="797"/>
        <w:gridCol w:w="926"/>
      </w:tblGrid>
      <w:tr>
        <w:trPr>
          <w:trHeight w:val="398" w:hRule="exact"/>
        </w:trPr>
        <w:tc>
          <w:tcPr>
            <w:tcW w:w="1222" w:type="dxa"/>
            <w:vMerge w:val="restart"/>
            <w:tcBorders>
              <w:top w:val="single" w:sz="4" w:space="0" w:color="000000"/>
              <w:left w:val="single" w:sz="4" w:space="0" w:color="000000"/>
              <w:right w:val="single" w:sz="4" w:space="0" w:color="000000"/>
            </w:tcBorders>
            <w:shd w:val="clear" w:color="auto" w:fill="D2D2D2"/>
          </w:tcPr>
          <w:p>
            <w:pPr/>
          </w:p>
        </w:tc>
        <w:tc>
          <w:tcPr>
            <w:tcW w:w="833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22" w:type="dxa"/>
            <w:vMerge/>
            <w:tcBorders>
              <w:left w:val="single" w:sz="4" w:space="0" w:color="000000"/>
              <w:bottom w:val="nil" w:sz="6" w:space="0" w:color="auto"/>
              <w:right w:val="single" w:sz="4" w:space="0" w:color="000000"/>
            </w:tcBorders>
            <w:shd w:val="clear" w:color="auto" w:fill="D2D2D2"/>
          </w:tcPr>
          <w:p>
            <w:pPr/>
          </w:p>
        </w:tc>
        <w:tc>
          <w:tcPr>
            <w:tcW w:w="590"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0" w:hRule="exact"/>
        </w:trPr>
        <w:tc>
          <w:tcPr>
            <w:tcW w:w="12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590"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65"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12"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72" w:right="60"/>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307" w:right="32" w:hanging="275"/>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7" w:hRule="exact"/>
        </w:trPr>
        <w:tc>
          <w:tcPr>
            <w:tcW w:w="1222" w:type="dxa"/>
            <w:vMerge/>
            <w:tcBorders>
              <w:left w:val="single" w:sz="4" w:space="0" w:color="000000"/>
              <w:bottom w:val="nil" w:sz="6" w:space="0" w:color="auto"/>
              <w:right w:val="single" w:sz="4" w:space="0" w:color="000000"/>
            </w:tcBorders>
            <w:shd w:val="clear" w:color="auto" w:fill="D2D2D2"/>
          </w:tcPr>
          <w:p>
            <w:pPr/>
          </w:p>
        </w:tc>
        <w:tc>
          <w:tcPr>
            <w:tcW w:w="5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92" w:right="99"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6"/>
              <w:ind w:left="192" w:right="95"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22" w:type="dxa"/>
            <w:vMerge w:val="restart"/>
            <w:tcBorders>
              <w:top w:val="nil" w:sz="6" w:space="0" w:color="auto"/>
              <w:left w:val="single" w:sz="4" w:space="0" w:color="000000"/>
              <w:right w:val="single" w:sz="4" w:space="0" w:color="000000"/>
            </w:tcBorders>
            <w:shd w:val="clear" w:color="auto" w:fill="D2D2D2"/>
          </w:tcPr>
          <w:p>
            <w:pPr/>
          </w:p>
        </w:tc>
        <w:tc>
          <w:tcPr>
            <w:tcW w:w="590"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22" w:type="dxa"/>
            <w:vMerge/>
            <w:tcBorders>
              <w:left w:val="single" w:sz="4" w:space="0" w:color="000000"/>
              <w:right w:val="single" w:sz="4" w:space="0" w:color="000000"/>
            </w:tcBorders>
            <w:shd w:val="clear" w:color="auto" w:fill="D2D2D2"/>
          </w:tcPr>
          <w:p>
            <w:pPr/>
          </w:p>
        </w:tc>
        <w:tc>
          <w:tcPr>
            <w:tcW w:w="590"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22" w:type="dxa"/>
            <w:vMerge/>
            <w:tcBorders>
              <w:left w:val="single" w:sz="4" w:space="0" w:color="000000"/>
              <w:bottom w:val="single" w:sz="4" w:space="0" w:color="000000"/>
              <w:right w:val="single" w:sz="4" w:space="0" w:color="000000"/>
            </w:tcBorders>
            <w:shd w:val="clear" w:color="auto" w:fill="D2D2D2"/>
          </w:tcPr>
          <w:p>
            <w:pPr/>
          </w:p>
        </w:tc>
        <w:tc>
          <w:tcPr>
            <w:tcW w:w="590"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0"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207,621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,034.31</w:t>
            </w: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5,077,7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77.56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45,699,99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8.03</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326,398,80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9.90</w:t>
            </w:r>
          </w:p>
        </w:tc>
      </w:tr>
      <w:tr>
        <w:trPr>
          <w:trHeight w:val="701" w:hRule="exact"/>
        </w:trPr>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17"/>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0" w:type="dxa"/>
            <w:vMerge/>
            <w:tcBorders>
              <w:left w:val="single" w:sz="10" w:space="0" w:color="D2D2D2"/>
              <w:right w:val="single" w:sz="4" w:space="0" w:color="000000"/>
            </w:tcBorders>
          </w:tcPr>
          <w:p>
            <w:pPr/>
          </w:p>
        </w:tc>
        <w:tc>
          <w:tcPr>
            <w:tcW w:w="576"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0" w:type="dxa"/>
            <w:vMerge/>
            <w:tcBorders>
              <w:left w:val="single" w:sz="10" w:space="0" w:color="D2D2D2"/>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17"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1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0"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207,621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,034.31</w:t>
            </w: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5,077,7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77.56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45,699,99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8.03</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326,398,80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9.90</w:t>
            </w:r>
          </w:p>
        </w:tc>
      </w:tr>
      <w:tr>
        <w:trPr>
          <w:trHeight w:val="701" w:hRule="exact"/>
        </w:trPr>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17"/>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0" w:type="dxa"/>
            <w:vMerge/>
            <w:tcBorders>
              <w:left w:val="single" w:sz="10" w:space="0" w:color="D2D2D2"/>
              <w:right w:val="single" w:sz="4" w:space="0" w:color="000000"/>
            </w:tcBorders>
          </w:tcPr>
          <w:p>
            <w:pPr/>
          </w:p>
        </w:tc>
        <w:tc>
          <w:tcPr>
            <w:tcW w:w="576"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0" w:type="dxa"/>
            <w:vMerge/>
            <w:tcBorders>
              <w:left w:val="single" w:sz="10" w:space="0" w:color="D2D2D2"/>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8"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17"/>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1,886,4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59.51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10,178,13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12,064,595.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r>
      <w:tr>
        <w:trPr>
          <w:trHeight w:val="710"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7"/>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18,864,59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18,864,595.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07</w:t>
            </w:r>
          </w:p>
        </w:tc>
      </w:tr>
      <w:tr>
        <w:trPr>
          <w:trHeight w:val="716"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7"/>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0" w:type="dxa"/>
            <w:vMerge w:val="restart"/>
            <w:tcBorders>
              <w:top w:val="single" w:sz="4" w:space="0" w:color="000000"/>
              <w:left w:val="single" w:sz="10" w:space="0" w:color="D2D2D2"/>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1,886,4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59.51</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-8,686,45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9.51</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389" w:hRule="exact"/>
        </w:trPr>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0" w:type="dxa"/>
            <w:vMerge/>
            <w:tcBorders>
              <w:left w:val="single" w:sz="10" w:space="0" w:color="D2D2D2"/>
              <w:right w:val="single" w:sz="4" w:space="0" w:color="000000"/>
            </w:tcBorders>
          </w:tcPr>
          <w:p>
            <w:pPr/>
          </w:p>
        </w:tc>
        <w:tc>
          <w:tcPr>
            <w:tcW w:w="576"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90" w:type="dxa"/>
            <w:vMerge/>
            <w:tcBorders>
              <w:left w:val="single" w:sz="10" w:space="0" w:color="D2D2D2"/>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5"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1,886,4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59.51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-1,886,45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17"/>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-6,800,00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0" w:type="dxa"/>
            <w:tcBorders>
              <w:top w:val="single" w:sz="4" w:space="0" w:color="000000"/>
              <w:left w:val="single" w:sz="13" w:space="0" w:color="D2D2D2"/>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234"/>
        <w:gridCol w:w="590"/>
        <w:gridCol w:w="576"/>
        <w:gridCol w:w="571"/>
        <w:gridCol w:w="572"/>
        <w:gridCol w:w="686"/>
        <w:gridCol w:w="682"/>
        <w:gridCol w:w="686"/>
        <w:gridCol w:w="783"/>
        <w:gridCol w:w="662"/>
        <w:gridCol w:w="802"/>
        <w:gridCol w:w="797"/>
        <w:gridCol w:w="926"/>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207,621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,034.31</w:t>
            </w: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6,964,2</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37.07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55,878,13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338,463,40</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4.97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spacing w:line="460" w:lineRule="exact" w:before="0"/>
        <w:ind w:left="0" w:right="975" w:firstLine="0"/>
        <w:jc w:val="center"/>
        <w:rPr>
          <w:rFonts w:ascii="黑体" w:hAnsi="黑体" w:cs="黑体" w:eastAsia="黑体" w:hint="default"/>
          <w:sz w:val="36"/>
          <w:szCs w:val="36"/>
        </w:rPr>
      </w:pPr>
      <w:bookmarkStart w:name="2019年度财务报表附注" w:id="164"/>
      <w:bookmarkEnd w:id="164"/>
      <w:r>
        <w:rPr/>
      </w:r>
      <w:r>
        <w:rPr>
          <w:rFonts w:ascii="黑体" w:hAnsi="黑体" w:cs="黑体" w:eastAsia="黑体" w:hint="default"/>
          <w:b/>
          <w:bCs/>
          <w:sz w:val="36"/>
          <w:szCs w:val="36"/>
        </w:rPr>
        <w:t>2019</w:t>
      </w:r>
      <w:r>
        <w:rPr>
          <w:rFonts w:ascii="黑体" w:hAnsi="黑体" w:cs="黑体" w:eastAsia="黑体" w:hint="default"/>
          <w:b/>
          <w:bCs/>
          <w:spacing w:val="-95"/>
          <w:sz w:val="36"/>
          <w:szCs w:val="36"/>
        </w:rPr>
        <w:t> </w:t>
      </w:r>
      <w:r>
        <w:rPr>
          <w:rFonts w:ascii="黑体" w:hAnsi="黑体" w:cs="黑体" w:eastAsia="黑体" w:hint="default"/>
          <w:b/>
          <w:bCs/>
          <w:sz w:val="36"/>
          <w:szCs w:val="36"/>
        </w:rPr>
        <w:t>年度财务报表附注</w:t>
      </w:r>
      <w:r>
        <w:rPr>
          <w:rFonts w:ascii="黑体" w:hAnsi="黑体" w:cs="黑体" w:eastAsia="黑体" w:hint="default"/>
          <w:sz w:val="36"/>
          <w:szCs w:val="36"/>
        </w:rPr>
      </w:r>
    </w:p>
    <w:p>
      <w:pPr>
        <w:spacing w:line="240" w:lineRule="auto" w:before="5"/>
        <w:rPr>
          <w:rFonts w:ascii="黑体" w:hAnsi="黑体" w:cs="黑体" w:eastAsia="黑体" w:hint="default"/>
          <w:b/>
          <w:bCs/>
          <w:sz w:val="28"/>
          <w:szCs w:val="28"/>
        </w:rPr>
      </w:pPr>
    </w:p>
    <w:p>
      <w:pPr>
        <w:pStyle w:val="BodyText"/>
        <w:spacing w:line="240" w:lineRule="auto"/>
        <w:ind w:left="2453" w:right="0"/>
        <w:jc w:val="left"/>
      </w:pPr>
      <w:r>
        <w:rPr/>
        <w:t>（除另有注明外，所有金额均以人民币元为货币单位）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2"/>
        <w:spacing w:line="240" w:lineRule="auto"/>
        <w:ind w:left="633" w:right="0"/>
        <w:jc w:val="left"/>
        <w:rPr>
          <w:rFonts w:ascii="黑体" w:hAnsi="黑体" w:cs="黑体" w:eastAsia="黑体" w:hint="default"/>
          <w:b w:val="0"/>
          <w:bCs w:val="0"/>
        </w:rPr>
      </w:pPr>
      <w:bookmarkStart w:name="一、公司的基本情况" w:id="165"/>
      <w:bookmarkEnd w:id="165"/>
      <w:r>
        <w:rPr>
          <w:b w:val="0"/>
          <w:bCs w:val="0"/>
        </w:rPr>
      </w:r>
      <w:r>
        <w:rPr>
          <w:rFonts w:ascii="黑体" w:hAnsi="黑体" w:cs="黑体" w:eastAsia="黑体" w:hint="default"/>
        </w:rPr>
        <w:t>一、公司的基本情况</w:t>
      </w:r>
      <w:r>
        <w:rPr>
          <w:rFonts w:ascii="黑体" w:hAnsi="黑体" w:cs="黑体" w:eastAsia="黑体" w:hint="default"/>
          <w:b w:val="0"/>
          <w:bCs w:val="0"/>
        </w:rPr>
      </w:r>
    </w:p>
    <w:p>
      <w:pPr>
        <w:spacing w:line="240" w:lineRule="auto" w:before="6"/>
        <w:rPr>
          <w:rFonts w:ascii="黑体" w:hAnsi="黑体" w:cs="黑体" w:eastAsia="黑体" w:hint="default"/>
          <w:b/>
          <w:bCs/>
          <w:sz w:val="30"/>
          <w:szCs w:val="30"/>
        </w:rPr>
      </w:pPr>
    </w:p>
    <w:p>
      <w:pPr>
        <w:pStyle w:val="BodyText"/>
        <w:spacing w:line="240" w:lineRule="auto"/>
        <w:ind w:left="575" w:right="0"/>
        <w:jc w:val="left"/>
      </w:pPr>
      <w:r>
        <w:rPr>
          <w:w w:val="100"/>
        </w:rPr>
        <w:t>创业黑马</w:t>
      </w:r>
      <w:r>
        <w:rPr>
          <w:spacing w:val="-5"/>
          <w:w w:val="100"/>
        </w:rPr>
        <w:t>科</w:t>
      </w:r>
      <w:r>
        <w:rPr>
          <w:w w:val="100"/>
        </w:rPr>
        <w:t>技集团</w:t>
      </w:r>
      <w:r>
        <w:rPr>
          <w:spacing w:val="-5"/>
          <w:w w:val="100"/>
        </w:rPr>
        <w:t>股</w:t>
      </w:r>
      <w:r>
        <w:rPr>
          <w:w w:val="100"/>
        </w:rPr>
        <w:t>份有限</w:t>
      </w:r>
      <w:r>
        <w:rPr>
          <w:spacing w:val="-5"/>
          <w:w w:val="100"/>
        </w:rPr>
        <w:t>公司</w:t>
      </w:r>
      <w:r>
        <w:rPr>
          <w:w w:val="100"/>
        </w:rPr>
        <w:t>（以</w:t>
      </w:r>
      <w:r>
        <w:rPr>
          <w:spacing w:val="-5"/>
          <w:w w:val="100"/>
        </w:rPr>
        <w:t>下</w:t>
      </w:r>
      <w:r>
        <w:rPr>
          <w:w w:val="100"/>
        </w:rPr>
        <w:t>简</w:t>
      </w:r>
      <w:r>
        <w:rPr>
          <w:spacing w:val="-5"/>
          <w:w w:val="100"/>
        </w:rPr>
        <w:t>称</w:t>
      </w:r>
      <w:r>
        <w:rPr>
          <w:w w:val="100"/>
        </w:rPr>
        <w:t>“本</w:t>
      </w:r>
      <w:r>
        <w:rPr>
          <w:spacing w:val="-5"/>
          <w:w w:val="100"/>
        </w:rPr>
        <w:t>公司”或</w:t>
      </w:r>
      <w:r>
        <w:rPr>
          <w:w w:val="100"/>
        </w:rPr>
        <w:t>“公司</w:t>
      </w:r>
      <w:r>
        <w:rPr>
          <w:spacing w:val="-106"/>
          <w:w w:val="100"/>
        </w:rPr>
        <w:t>”</w:t>
      </w:r>
      <w:r>
        <w:rPr>
          <w:spacing w:val="-10"/>
          <w:w w:val="100"/>
        </w:rPr>
        <w:t>）</w:t>
      </w:r>
      <w:r>
        <w:rPr>
          <w:w w:val="100"/>
        </w:rPr>
        <w:t>于</w:t>
      </w:r>
      <w:r>
        <w:rPr>
          <w:spacing w:val="-50"/>
        </w:rPr>
        <w:t> </w:t>
      </w:r>
      <w:r>
        <w:rPr>
          <w:rFonts w:ascii="宋体" w:hAnsi="宋体" w:cs="宋体" w:eastAsia="宋体" w:hint="default"/>
          <w:w w:val="100"/>
        </w:rPr>
        <w:t>2011</w:t>
      </w:r>
      <w:r>
        <w:rPr>
          <w:rFonts w:ascii="宋体" w:hAnsi="宋体" w:cs="宋体" w:eastAsia="宋体" w:hint="default"/>
          <w:spacing w:val="-57"/>
        </w:rPr>
        <w:t> </w:t>
      </w:r>
      <w:r>
        <w:rPr>
          <w:w w:val="100"/>
        </w:rPr>
        <w:t>年</w:t>
      </w:r>
      <w:r>
        <w:rPr>
          <w:spacing w:val="-53"/>
        </w:rPr>
        <w:t> </w:t>
      </w:r>
      <w:r>
        <w:rPr>
          <w:rFonts w:ascii="宋体" w:hAnsi="宋体" w:cs="宋体" w:eastAsia="宋体" w:hint="default"/>
          <w:w w:val="100"/>
        </w:rPr>
        <w:t>11</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5"/>
          <w:w w:val="100"/>
        </w:rPr>
        <w:t>1</w:t>
      </w:r>
      <w:r>
        <w:rPr>
          <w:rFonts w:ascii="宋体" w:hAnsi="宋体" w:cs="宋体" w:eastAsia="宋体" w:hint="default"/>
          <w:w w:val="100"/>
        </w:rPr>
        <w:t>6</w:t>
      </w:r>
      <w:r>
        <w:rPr>
          <w:rFonts w:ascii="宋体" w:hAnsi="宋体" w:cs="宋体" w:eastAsia="宋体" w:hint="default"/>
          <w:spacing w:val="-52"/>
        </w:rPr>
        <w:t> </w:t>
      </w:r>
      <w:r>
        <w:rPr>
          <w:w w:val="100"/>
        </w:rPr>
        <w:t>日经</w:t>
      </w:r>
      <w:r>
        <w:rPr>
          <w:spacing w:val="-5"/>
          <w:w w:val="100"/>
        </w:rPr>
        <w:t>北</w:t>
      </w:r>
      <w:r>
        <w:rPr>
          <w:w w:val="100"/>
        </w:rPr>
        <w:t>京市工</w:t>
      </w:r>
    </w:p>
    <w:p>
      <w:pPr>
        <w:pStyle w:val="BodyText"/>
        <w:spacing w:line="314" w:lineRule="auto" w:before="85"/>
        <w:ind w:right="1208" w:hanging="2"/>
        <w:jc w:val="center"/>
      </w:pPr>
      <w:r>
        <w:rPr/>
        <w:t>商行政管理局朝阳分局准予设立，并颁发营业执照。公司于</w:t>
      </w:r>
      <w:r>
        <w:rPr>
          <w:spacing w:val="-49"/>
        </w:rPr>
        <w:t> </w:t>
      </w:r>
      <w:r>
        <w:rPr>
          <w:rFonts w:ascii="宋体" w:hAnsi="宋体" w:cs="宋体" w:eastAsia="宋体" w:hint="default"/>
        </w:rPr>
        <w:t>2017</w:t>
      </w:r>
      <w:r>
        <w:rPr>
          <w:rFonts w:ascii="宋体" w:hAnsi="宋体" w:cs="宋体" w:eastAsia="宋体" w:hint="default"/>
          <w:spacing w:val="-56"/>
        </w:rPr>
        <w:t> </w:t>
      </w:r>
      <w:r>
        <w:rPr/>
        <w:t>年</w:t>
      </w:r>
      <w:r>
        <w:rPr>
          <w:spacing w:val="-52"/>
        </w:rPr>
        <w:t> </w:t>
      </w:r>
      <w:r>
        <w:rPr>
          <w:rFonts w:ascii="宋体" w:hAnsi="宋体" w:cs="宋体" w:eastAsia="宋体" w:hint="default"/>
        </w:rPr>
        <w:t>08</w:t>
      </w:r>
      <w:r>
        <w:rPr>
          <w:rFonts w:ascii="宋体" w:hAnsi="宋体" w:cs="宋体" w:eastAsia="宋体" w:hint="default"/>
          <w:spacing w:val="-52"/>
        </w:rPr>
        <w:t> </w:t>
      </w:r>
      <w:r>
        <w:rPr/>
        <w:t>月</w:t>
      </w:r>
      <w:r>
        <w:rPr>
          <w:spacing w:val="-56"/>
        </w:rPr>
        <w:t> </w:t>
      </w:r>
      <w:r>
        <w:rPr>
          <w:rFonts w:ascii="宋体" w:hAnsi="宋体" w:cs="宋体" w:eastAsia="宋体" w:hint="default"/>
        </w:rPr>
        <w:t>10</w:t>
      </w:r>
      <w:r>
        <w:rPr>
          <w:rFonts w:ascii="宋体" w:hAnsi="宋体" w:cs="宋体" w:eastAsia="宋体" w:hint="default"/>
          <w:spacing w:val="-52"/>
        </w:rPr>
        <w:t> </w:t>
      </w:r>
      <w:r>
        <w:rPr/>
        <w:t>日在深圳证券交易所上市，</w:t>
      </w:r>
      <w:r>
        <w:rPr>
          <w:w w:val="100"/>
        </w:rPr>
        <w:t> </w:t>
      </w:r>
      <w:r>
        <w:rPr/>
        <w:t>现持有统一社会信用代码：</w:t>
      </w:r>
      <w:r>
        <w:rPr>
          <w:rFonts w:ascii="宋体" w:hAnsi="宋体" w:cs="宋体" w:eastAsia="宋体" w:hint="default"/>
        </w:rPr>
        <w:t>91110105585848161G</w:t>
      </w:r>
      <w:r>
        <w:rPr>
          <w:rFonts w:ascii="宋体" w:hAnsi="宋体" w:cs="宋体" w:eastAsia="宋体" w:hint="default"/>
          <w:spacing w:val="-56"/>
        </w:rPr>
        <w:t> </w:t>
      </w:r>
      <w:r>
        <w:rPr/>
        <w:t>号的营业执照。公司营业期限：</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6"/>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t>日至长</w:t>
      </w:r>
    </w:p>
    <w:p>
      <w:pPr>
        <w:spacing w:after="0" w:line="314" w:lineRule="auto"/>
        <w:jc w:val="center"/>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left="213" w:right="1118"/>
        <w:jc w:val="left"/>
      </w:pPr>
      <w:r>
        <w:rPr/>
        <w:t>期。</w:t>
      </w:r>
    </w:p>
    <w:p>
      <w:pPr>
        <w:spacing w:line="240" w:lineRule="auto" w:before="13"/>
        <w:rPr>
          <w:rFonts w:ascii="宋体" w:hAnsi="宋体" w:cs="宋体" w:eastAsia="宋体" w:hint="default"/>
          <w:sz w:val="18"/>
          <w:szCs w:val="18"/>
        </w:rPr>
      </w:pPr>
    </w:p>
    <w:p>
      <w:pPr>
        <w:pStyle w:val="BodyText"/>
        <w:spacing w:line="309" w:lineRule="auto"/>
        <w:ind w:left="213" w:right="1118" w:firstLine="422"/>
        <w:jc w:val="left"/>
      </w:pPr>
      <w:r>
        <w:rPr/>
        <w:t>截至</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8"/>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8"/>
        </w:rPr>
        <w:t> </w:t>
      </w:r>
      <w:r>
        <w:rPr/>
        <w:t>日，本公司注册资本</w:t>
      </w:r>
      <w:r>
        <w:rPr>
          <w:spacing w:val="-53"/>
        </w:rPr>
        <w:t> </w:t>
      </w:r>
      <w:r>
        <w:rPr>
          <w:rFonts w:ascii="宋体" w:hAnsi="宋体" w:cs="宋体" w:eastAsia="宋体" w:hint="default"/>
        </w:rPr>
        <w:t>9,520</w:t>
      </w:r>
      <w:r>
        <w:rPr>
          <w:rFonts w:ascii="宋体" w:hAnsi="宋体" w:cs="宋体" w:eastAsia="宋体" w:hint="default"/>
          <w:spacing w:val="-53"/>
        </w:rPr>
        <w:t> </w:t>
      </w:r>
      <w:r>
        <w:rPr/>
        <w:t>万元。地址为：北京市朝阳区酒仙桥北路</w:t>
      </w:r>
      <w:r>
        <w:rPr>
          <w:spacing w:val="-57"/>
        </w:rPr>
        <w:t> </w:t>
      </w:r>
      <w:r>
        <w:rPr>
          <w:rFonts w:ascii="宋体" w:hAnsi="宋体" w:cs="宋体" w:eastAsia="宋体" w:hint="default"/>
        </w:rPr>
        <w:t>7</w:t>
      </w:r>
      <w:r>
        <w:rPr>
          <w:rFonts w:ascii="宋体" w:hAnsi="宋体" w:cs="宋体" w:eastAsia="宋体" w:hint="default"/>
          <w:spacing w:val="-54"/>
        </w:rPr>
        <w:t> </w:t>
      </w:r>
      <w:r>
        <w:rPr/>
        <w:t>号</w:t>
      </w:r>
      <w:r>
        <w:rPr>
          <w:spacing w:val="-54"/>
        </w:rPr>
        <w:t> </w:t>
      </w:r>
      <w:r>
        <w:rPr>
          <w:rFonts w:ascii="宋体" w:hAnsi="宋体" w:cs="宋体" w:eastAsia="宋体" w:hint="default"/>
        </w:rPr>
        <w:t>60</w:t>
      </w:r>
      <w:r>
        <w:rPr>
          <w:rFonts w:ascii="宋体" w:hAnsi="宋体" w:cs="宋体" w:eastAsia="宋体" w:hint="default"/>
          <w:spacing w:val="-58"/>
        </w:rPr>
        <w:t> </w:t>
      </w:r>
      <w:r>
        <w:rPr/>
        <w:t>幢</w:t>
      </w:r>
      <w:r>
        <w:rPr>
          <w:w w:val="100"/>
        </w:rPr>
        <w:t> </w:t>
      </w:r>
      <w:r>
        <w:rPr/>
        <w:t>一层</w:t>
      </w:r>
      <w:r>
        <w:rPr>
          <w:spacing w:val="-51"/>
        </w:rPr>
        <w:t> </w:t>
      </w:r>
      <w:r>
        <w:rPr>
          <w:rFonts w:ascii="宋体" w:hAnsi="宋体" w:cs="宋体" w:eastAsia="宋体" w:hint="default"/>
        </w:rPr>
        <w:t>027</w:t>
      </w:r>
      <w:r>
        <w:rPr/>
        <w:t>。法定代表人：牛文文。</w:t>
      </w:r>
    </w:p>
    <w:p>
      <w:pPr>
        <w:spacing w:line="240" w:lineRule="auto" w:before="13"/>
        <w:rPr>
          <w:rFonts w:ascii="宋体" w:hAnsi="宋体" w:cs="宋体" w:eastAsia="宋体" w:hint="default"/>
          <w:sz w:val="13"/>
          <w:szCs w:val="13"/>
        </w:rPr>
      </w:pPr>
    </w:p>
    <w:p>
      <w:pPr>
        <w:pStyle w:val="BodyText"/>
        <w:spacing w:line="314" w:lineRule="auto"/>
        <w:ind w:left="213" w:right="1016" w:firstLine="422"/>
        <w:jc w:val="left"/>
        <w:rPr>
          <w:rFonts w:ascii="宋体" w:hAnsi="宋体" w:cs="宋体" w:eastAsia="宋体" w:hint="default"/>
        </w:rPr>
      </w:pPr>
      <w:r>
        <w:rPr>
          <w:spacing w:val="-2"/>
        </w:rPr>
        <w:t>经营范围为：技术推广服务；创业服务；组织文化艺术交流活动</w:t>
      </w:r>
      <w:r>
        <w:rPr>
          <w:rFonts w:ascii="宋体" w:hAnsi="宋体" w:cs="宋体" w:eastAsia="宋体" w:hint="default"/>
          <w:spacing w:val="-2"/>
        </w:rPr>
        <w:t>(</w:t>
      </w:r>
      <w:r>
        <w:rPr>
          <w:spacing w:val="-2"/>
        </w:rPr>
        <w:t>不含演出</w:t>
      </w:r>
      <w:r>
        <w:rPr>
          <w:rFonts w:ascii="宋体" w:hAnsi="宋体" w:cs="宋体" w:eastAsia="宋体" w:hint="default"/>
          <w:spacing w:val="-2"/>
        </w:rPr>
        <w:t>)</w:t>
      </w:r>
      <w:r>
        <w:rPr>
          <w:spacing w:val="-2"/>
        </w:rPr>
        <w:t>；经济贸易咨询；教育咨</w:t>
      </w:r>
      <w:r>
        <w:rPr>
          <w:w w:val="100"/>
        </w:rPr>
        <w:t> </w:t>
      </w:r>
      <w:r>
        <w:rPr/>
        <w:t>询；投资咨询；投资管理；企业管理咨询；会议及展览服务；企业策划；设计、制作、代理、发布广告；</w:t>
      </w:r>
      <w:r>
        <w:rPr>
          <w:spacing w:val="-33"/>
        </w:rPr>
        <w:t> </w:t>
      </w:r>
      <w:r>
        <w:rPr>
          <w:spacing w:val="-33"/>
        </w:rPr>
      </w:r>
      <w:r>
        <w:rPr>
          <w:spacing w:val="-2"/>
        </w:rPr>
        <w:t>计算机技术培训；技术培训；销售计算机、软件及辅助设备、通讯设备；从事互联网文化活动；人才中介</w:t>
      </w:r>
      <w:r>
        <w:rPr>
          <w:spacing w:val="-33"/>
        </w:rPr>
        <w:t> </w:t>
      </w:r>
      <w:r>
        <w:rPr>
          <w:spacing w:val="-33"/>
        </w:rPr>
      </w:r>
      <w:r>
        <w:rPr/>
        <w:t>服务；广播电视节目制作。</w:t>
      </w:r>
      <w:r>
        <w:rPr>
          <w:rFonts w:ascii="宋体" w:hAnsi="宋体" w:cs="宋体" w:eastAsia="宋体" w:hint="default"/>
        </w:rPr>
        <w:t>(</w:t>
      </w:r>
      <w:r>
        <w:rPr/>
        <w:t>企业依法自主选择经营项目</w:t>
      </w:r>
      <w:r>
        <w:rPr>
          <w:rFonts w:ascii="宋体" w:hAnsi="宋体" w:cs="宋体" w:eastAsia="宋体" w:hint="default"/>
        </w:rPr>
        <w:t>,</w:t>
      </w:r>
      <w:r>
        <w:rPr/>
        <w:t>开展经营活动</w:t>
      </w:r>
      <w:r>
        <w:rPr>
          <w:rFonts w:ascii="宋体" w:hAnsi="宋体" w:cs="宋体" w:eastAsia="宋体" w:hint="default"/>
        </w:rPr>
        <w:t>;</w:t>
      </w:r>
      <w:r>
        <w:rPr/>
        <w:t>人才中介服务、从事互联网文化</w:t>
      </w:r>
      <w:r>
        <w:rPr>
          <w:w w:val="100"/>
        </w:rPr>
        <w:t> </w:t>
      </w:r>
      <w:r>
        <w:rPr>
          <w:spacing w:val="-2"/>
        </w:rPr>
        <w:t>活动、广播电视节目制作以及依法须经批准的项目</w:t>
      </w:r>
      <w:r>
        <w:rPr>
          <w:rFonts w:ascii="宋体" w:hAnsi="宋体" w:cs="宋体" w:eastAsia="宋体" w:hint="default"/>
          <w:spacing w:val="-2"/>
        </w:rPr>
        <w:t>,</w:t>
      </w:r>
      <w:r>
        <w:rPr>
          <w:spacing w:val="-2"/>
        </w:rPr>
        <w:t>经相关部门批准后依批准的内容开展经营活动</w:t>
      </w:r>
      <w:r>
        <w:rPr>
          <w:rFonts w:ascii="宋体" w:hAnsi="宋体" w:cs="宋体" w:eastAsia="宋体" w:hint="default"/>
          <w:spacing w:val="-2"/>
        </w:rPr>
        <w:t>;</w:t>
      </w:r>
      <w:r>
        <w:rPr>
          <w:spacing w:val="-2"/>
        </w:rPr>
        <w:t>不得从</w:t>
      </w:r>
      <w:r>
        <w:rPr>
          <w:spacing w:val="-33"/>
        </w:rPr>
        <w:t> </w:t>
      </w:r>
      <w:r>
        <w:rPr>
          <w:spacing w:val="-33"/>
        </w:rPr>
      </w:r>
      <w:r>
        <w:rPr/>
        <w:t>事本市产业政策禁止和限制类项目的经营活动。</w:t>
      </w:r>
      <w:r>
        <w:rPr>
          <w:rFonts w:ascii="宋体" w:hAnsi="宋体" w:cs="宋体" w:eastAsia="宋体" w:hint="default"/>
        </w:rPr>
        <w:t>)</w:t>
      </w:r>
    </w:p>
    <w:p>
      <w:pPr>
        <w:spacing w:line="240" w:lineRule="auto" w:before="0"/>
        <w:rPr>
          <w:rFonts w:ascii="宋体" w:hAnsi="宋体" w:cs="宋体" w:eastAsia="宋体" w:hint="default"/>
          <w:sz w:val="14"/>
          <w:szCs w:val="14"/>
        </w:rPr>
      </w:pPr>
    </w:p>
    <w:p>
      <w:pPr>
        <w:pStyle w:val="BodyText"/>
        <w:spacing w:line="312" w:lineRule="auto"/>
        <w:ind w:left="213" w:right="1124" w:firstLine="422"/>
        <w:jc w:val="both"/>
      </w:pPr>
      <w:r>
        <w:rPr/>
        <w:t>本公司财务报告已经公司</w:t>
      </w:r>
      <w:r>
        <w:rPr>
          <w:spacing w:val="-42"/>
        </w:rPr>
        <w:t> </w:t>
      </w:r>
      <w:r>
        <w:rPr>
          <w:rFonts w:ascii="宋体" w:hAnsi="宋体" w:cs="宋体" w:eastAsia="宋体" w:hint="default"/>
        </w:rPr>
        <w:t>2020</w:t>
      </w:r>
      <w:r>
        <w:rPr>
          <w:rFonts w:ascii="宋体" w:hAnsi="宋体" w:cs="宋体" w:eastAsia="宋体" w:hint="default"/>
          <w:spacing w:val="-48"/>
        </w:rPr>
        <w:t> </w:t>
      </w:r>
      <w:r>
        <w:rPr/>
        <w:t>年</w:t>
      </w:r>
      <w:r>
        <w:rPr>
          <w:spacing w:val="-42"/>
        </w:rPr>
        <w:t> </w:t>
      </w:r>
      <w:r>
        <w:rPr>
          <w:rFonts w:ascii="宋体" w:hAnsi="宋体" w:cs="宋体" w:eastAsia="宋体" w:hint="default"/>
        </w:rPr>
        <w:t>4</w:t>
      </w:r>
      <w:r>
        <w:rPr>
          <w:rFonts w:ascii="宋体" w:hAnsi="宋体" w:cs="宋体" w:eastAsia="宋体" w:hint="default"/>
          <w:spacing w:val="-43"/>
        </w:rPr>
        <w:t> </w:t>
      </w:r>
      <w:r>
        <w:rPr/>
        <w:t>月</w:t>
      </w:r>
      <w:r>
        <w:rPr>
          <w:spacing w:val="-43"/>
        </w:rPr>
        <w:t> </w:t>
      </w:r>
      <w:r>
        <w:rPr>
          <w:rFonts w:ascii="宋体" w:hAnsi="宋体" w:cs="宋体" w:eastAsia="宋体" w:hint="default"/>
          <w:spacing w:val="-3"/>
        </w:rPr>
        <w:t>27</w:t>
      </w:r>
      <w:r>
        <w:rPr>
          <w:rFonts w:ascii="宋体" w:hAnsi="宋体" w:cs="宋体" w:eastAsia="宋体" w:hint="default"/>
          <w:spacing w:val="-43"/>
        </w:rPr>
        <w:t> </w:t>
      </w:r>
      <w:r>
        <w:rPr>
          <w:spacing w:val="-3"/>
        </w:rPr>
        <w:t>日第二届第二十二次董事会会议决议批准。本公司合并财务</w:t>
      </w:r>
      <w:r>
        <w:rPr>
          <w:w w:val="100"/>
        </w:rPr>
        <w:t> </w:t>
      </w:r>
      <w:r>
        <w:rPr>
          <w:spacing w:val="-2"/>
        </w:rPr>
        <w:t>报表的合并范围以控制为基础确定，包括本公司及全部子公司的财务报表。子公司，是指被本公司控制的</w:t>
      </w:r>
      <w:r>
        <w:rPr>
          <w:spacing w:val="-33"/>
        </w:rPr>
        <w:t> </w:t>
      </w:r>
      <w:r>
        <w:rPr>
          <w:spacing w:val="-33"/>
        </w:rPr>
      </w:r>
      <w:r>
        <w:rPr/>
        <w:t>企业或主体。</w:t>
      </w:r>
    </w:p>
    <w:p>
      <w:pPr>
        <w:pStyle w:val="BodyText"/>
        <w:spacing w:line="240" w:lineRule="auto" w:before="175"/>
        <w:ind w:left="635" w:right="1118"/>
        <w:jc w:val="left"/>
      </w:pPr>
      <w:r>
        <w:rPr/>
        <w:t>合并财务报表范围</w:t>
      </w:r>
    </w:p>
    <w:p>
      <w:pPr>
        <w:spacing w:line="240" w:lineRule="auto" w:before="7"/>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3699"/>
        <w:gridCol w:w="2075"/>
        <w:gridCol w:w="860"/>
        <w:gridCol w:w="1611"/>
        <w:gridCol w:w="1614"/>
      </w:tblGrid>
      <w:tr>
        <w:trPr>
          <w:trHeight w:val="301" w:hRule="exact"/>
        </w:trPr>
        <w:tc>
          <w:tcPr>
            <w:tcW w:w="3699" w:type="dxa"/>
            <w:tcBorders>
              <w:top w:val="nil" w:sz="6" w:space="0" w:color="auto"/>
              <w:left w:val="nil" w:sz="6" w:space="0" w:color="auto"/>
              <w:bottom w:val="single" w:sz="8" w:space="0" w:color="000000"/>
              <w:right w:val="nil" w:sz="6" w:space="0" w:color="auto"/>
            </w:tcBorders>
          </w:tcPr>
          <w:p>
            <w:pPr>
              <w:pStyle w:val="TableParagraph"/>
              <w:spacing w:line="182" w:lineRule="exact"/>
              <w:ind w:left="157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075" w:type="dxa"/>
            <w:tcBorders>
              <w:top w:val="nil" w:sz="6" w:space="0" w:color="auto"/>
              <w:left w:val="nil" w:sz="6" w:space="0" w:color="auto"/>
              <w:bottom w:val="single" w:sz="8" w:space="0" w:color="000000"/>
              <w:right w:val="nil" w:sz="6" w:space="0" w:color="auto"/>
            </w:tcBorders>
          </w:tcPr>
          <w:p>
            <w:pPr>
              <w:pStyle w:val="TableParagraph"/>
              <w:spacing w:line="182" w:lineRule="exact"/>
              <w:ind w:right="370"/>
              <w:jc w:val="right"/>
              <w:rPr>
                <w:rFonts w:ascii="宋体" w:hAnsi="宋体" w:cs="宋体" w:eastAsia="宋体" w:hint="default"/>
                <w:sz w:val="18"/>
                <w:szCs w:val="18"/>
              </w:rPr>
            </w:pPr>
            <w:r>
              <w:rPr>
                <w:rFonts w:ascii="宋体" w:hAnsi="宋体" w:cs="宋体" w:eastAsia="宋体" w:hint="default"/>
                <w:b/>
                <w:bCs/>
                <w:spacing w:val="-1"/>
                <w:sz w:val="18"/>
                <w:szCs w:val="18"/>
              </w:rPr>
              <w:t>子公司类型</w:t>
            </w:r>
            <w:r>
              <w:rPr>
                <w:rFonts w:ascii="宋体" w:hAnsi="宋体" w:cs="宋体" w:eastAsia="宋体" w:hint="default"/>
                <w:spacing w:val="-1"/>
                <w:sz w:val="18"/>
                <w:szCs w:val="18"/>
              </w:rPr>
            </w:r>
          </w:p>
        </w:tc>
        <w:tc>
          <w:tcPr>
            <w:tcW w:w="860" w:type="dxa"/>
            <w:tcBorders>
              <w:top w:val="nil" w:sz="6" w:space="0" w:color="auto"/>
              <w:left w:val="nil" w:sz="6" w:space="0" w:color="auto"/>
              <w:bottom w:val="single" w:sz="8" w:space="0" w:color="000000"/>
              <w:right w:val="nil" w:sz="6" w:space="0" w:color="auto"/>
            </w:tcBorders>
          </w:tcPr>
          <w:p>
            <w:pPr>
              <w:pStyle w:val="TableParagraph"/>
              <w:spacing w:line="182" w:lineRule="exact"/>
              <w:ind w:left="77"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611" w:type="dxa"/>
            <w:tcBorders>
              <w:top w:val="nil" w:sz="6" w:space="0" w:color="auto"/>
              <w:left w:val="nil" w:sz="6" w:space="0" w:color="auto"/>
              <w:bottom w:val="single" w:sz="8" w:space="0" w:color="000000"/>
              <w:right w:val="nil" w:sz="6" w:space="0" w:color="auto"/>
            </w:tcBorders>
          </w:tcPr>
          <w:p>
            <w:pPr>
              <w:pStyle w:val="TableParagraph"/>
              <w:spacing w:line="182"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14" w:type="dxa"/>
            <w:tcBorders>
              <w:top w:val="nil" w:sz="6" w:space="0" w:color="auto"/>
              <w:left w:val="nil" w:sz="6" w:space="0" w:color="auto"/>
              <w:bottom w:val="single" w:sz="8" w:space="0" w:color="000000"/>
              <w:right w:val="nil" w:sz="6" w:space="0" w:color="auto"/>
            </w:tcBorders>
          </w:tcPr>
          <w:p>
            <w:pPr>
              <w:pStyle w:val="TableParagraph"/>
              <w:spacing w:line="182" w:lineRule="exact"/>
              <w:ind w:right="132"/>
              <w:jc w:val="right"/>
              <w:rPr>
                <w:rFonts w:ascii="宋体" w:hAnsi="宋体" w:cs="宋体" w:eastAsia="宋体" w:hint="default"/>
                <w:sz w:val="18"/>
                <w:szCs w:val="18"/>
              </w:rPr>
            </w:pPr>
            <w:r>
              <w:rPr>
                <w:rFonts w:ascii="宋体" w:hAnsi="宋体" w:cs="宋体" w:eastAsia="宋体" w:hint="default"/>
                <w:b/>
                <w:bCs/>
                <w:spacing w:val="-2"/>
                <w:sz w:val="18"/>
                <w:szCs w:val="18"/>
              </w:rPr>
              <w:t>表决权比例（</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r>
      <w:tr>
        <w:trPr>
          <w:trHeight w:val="451" w:hRule="exact"/>
        </w:trPr>
        <w:tc>
          <w:tcPr>
            <w:tcW w:w="369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w:t>
            </w:r>
          </w:p>
        </w:tc>
        <w:tc>
          <w:tcPr>
            <w:tcW w:w="2075"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413" w:right="0"/>
              <w:jc w:val="center"/>
              <w:rPr>
                <w:rFonts w:ascii="宋体" w:hAnsi="宋体" w:cs="宋体" w:eastAsia="宋体" w:hint="default"/>
                <w:sz w:val="18"/>
                <w:szCs w:val="18"/>
              </w:rPr>
            </w:pPr>
            <w:r>
              <w:rPr>
                <w:rFonts w:ascii="宋体"/>
                <w:w w:val="101"/>
                <w:sz w:val="18"/>
              </w:rPr>
              <w:t>/</w:t>
            </w:r>
            <w:r>
              <w:rPr>
                <w:rFonts w:ascii="宋体"/>
                <w:sz w:val="18"/>
              </w:rPr>
            </w:r>
          </w:p>
        </w:tc>
        <w:tc>
          <w:tcPr>
            <w:tcW w:w="860"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72" w:right="0"/>
              <w:jc w:val="center"/>
              <w:rPr>
                <w:rFonts w:ascii="宋体" w:hAnsi="宋体" w:cs="宋体" w:eastAsia="宋体" w:hint="default"/>
                <w:sz w:val="18"/>
                <w:szCs w:val="18"/>
              </w:rPr>
            </w:pPr>
            <w:r>
              <w:rPr>
                <w:rFonts w:ascii="宋体"/>
                <w:w w:val="101"/>
                <w:sz w:val="18"/>
              </w:rPr>
              <w:t>1</w:t>
            </w:r>
            <w:r>
              <w:rPr>
                <w:rFonts w:ascii="宋体"/>
                <w:sz w:val="18"/>
              </w:rPr>
            </w:r>
          </w:p>
        </w:tc>
        <w:tc>
          <w:tcPr>
            <w:tcW w:w="161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17"/>
              <w:jc w:val="right"/>
              <w:rPr>
                <w:rFonts w:ascii="宋体" w:hAnsi="宋体" w:cs="宋体" w:eastAsia="宋体" w:hint="default"/>
                <w:sz w:val="18"/>
                <w:szCs w:val="18"/>
              </w:rPr>
            </w:pPr>
            <w:r>
              <w:rPr>
                <w:rFonts w:ascii="宋体"/>
                <w:spacing w:val="-1"/>
                <w:sz w:val="18"/>
              </w:rPr>
              <w:t>100.00</w:t>
            </w:r>
          </w:p>
        </w:tc>
        <w:tc>
          <w:tcPr>
            <w:tcW w:w="1614"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100.00</w:t>
            </w:r>
          </w:p>
        </w:tc>
      </w:tr>
      <w:tr>
        <w:trPr>
          <w:trHeight w:val="398"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北京创业未来传媒技术有限公司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成都创业未来信息技术有限公司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青岛黑马创业服务有限公司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100.00</w:t>
            </w:r>
          </w:p>
        </w:tc>
      </w:tr>
      <w:tr>
        <w:trPr>
          <w:trHeight w:val="399"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北京黑马加速科技有限公司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北京佳沃世纪企业管理咨询有限公司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南京创业未来信息科技有限公司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z w:val="18"/>
              </w:rPr>
              <w:t>66.70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66.70</w:t>
            </w:r>
          </w:p>
        </w:tc>
      </w:tr>
      <w:tr>
        <w:trPr>
          <w:trHeight w:val="398"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北京创富未来科技有限公司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宋体" w:hAnsi="宋体" w:cs="宋体" w:eastAsia="宋体" w:hint="default"/>
                <w:sz w:val="18"/>
                <w:szCs w:val="18"/>
              </w:rPr>
            </w:pPr>
            <w:r>
              <w:rPr>
                <w:rFonts w:ascii="宋体"/>
                <w:sz w:val="18"/>
              </w:rPr>
              <w:t>51.00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51.00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北京协同创新黑马投资管理有限公司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宋体" w:hAnsi="宋体" w:cs="宋体" w:eastAsia="宋体" w:hint="default"/>
                <w:sz w:val="18"/>
                <w:szCs w:val="18"/>
              </w:rPr>
            </w:pPr>
            <w:r>
              <w:rPr>
                <w:rFonts w:ascii="宋体"/>
                <w:sz w:val="18"/>
              </w:rPr>
              <w:t>51.00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51.00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北京创闻天下科技有限公司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z w:val="18"/>
              </w:rPr>
              <w:t>63.70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63.70</w:t>
            </w:r>
          </w:p>
        </w:tc>
      </w:tr>
      <w:tr>
        <w:trPr>
          <w:trHeight w:val="398"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南昌致新信息技术服务有限公司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8"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北京黑马天启科技有限公司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西藏黑马信息技术服务有限公司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嘉兴致新投资管理有限公司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100.00</w:t>
            </w:r>
          </w:p>
        </w:tc>
      </w:tr>
      <w:tr>
        <w:trPr>
          <w:trHeight w:val="398"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重庆黑马聚力创业咨询服务有限公司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天津聚力合企业管理有限公司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100.00</w:t>
            </w:r>
          </w:p>
        </w:tc>
      </w:tr>
      <w:tr>
        <w:trPr>
          <w:trHeight w:val="399"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创业黑马（广州）科技有限公司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100.00</w:t>
            </w:r>
          </w:p>
        </w:tc>
      </w:tr>
      <w:tr>
        <w:trPr>
          <w:trHeight w:val="398"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黑马加速（重庆）科技有限公司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290" w:hRule="exact"/>
        </w:trPr>
        <w:tc>
          <w:tcPr>
            <w:tcW w:w="36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创业黑马（莆田）科技有限公司</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3519"/>
        <w:gridCol w:w="2255"/>
        <w:gridCol w:w="860"/>
        <w:gridCol w:w="1611"/>
        <w:gridCol w:w="1614"/>
      </w:tblGrid>
      <w:tr>
        <w:trPr>
          <w:trHeight w:val="301" w:hRule="exact"/>
        </w:trPr>
        <w:tc>
          <w:tcPr>
            <w:tcW w:w="3519" w:type="dxa"/>
            <w:tcBorders>
              <w:top w:val="nil" w:sz="6" w:space="0" w:color="auto"/>
              <w:left w:val="nil" w:sz="6" w:space="0" w:color="auto"/>
              <w:bottom w:val="single" w:sz="8" w:space="0" w:color="000000"/>
              <w:right w:val="nil" w:sz="6" w:space="0" w:color="auto"/>
            </w:tcBorders>
          </w:tcPr>
          <w:p>
            <w:pPr>
              <w:pStyle w:val="TableParagraph"/>
              <w:spacing w:line="182" w:lineRule="exact"/>
              <w:ind w:left="157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55" w:type="dxa"/>
            <w:tcBorders>
              <w:top w:val="nil" w:sz="6" w:space="0" w:color="auto"/>
              <w:left w:val="nil" w:sz="6" w:space="0" w:color="auto"/>
              <w:bottom w:val="single" w:sz="8" w:space="0" w:color="000000"/>
              <w:right w:val="nil" w:sz="6" w:space="0" w:color="auto"/>
            </w:tcBorders>
          </w:tcPr>
          <w:p>
            <w:pPr>
              <w:pStyle w:val="TableParagraph"/>
              <w:spacing w:line="182" w:lineRule="exact"/>
              <w:ind w:right="370"/>
              <w:jc w:val="right"/>
              <w:rPr>
                <w:rFonts w:ascii="宋体" w:hAnsi="宋体" w:cs="宋体" w:eastAsia="宋体" w:hint="default"/>
                <w:sz w:val="18"/>
                <w:szCs w:val="18"/>
              </w:rPr>
            </w:pPr>
            <w:r>
              <w:rPr>
                <w:rFonts w:ascii="宋体" w:hAnsi="宋体" w:cs="宋体" w:eastAsia="宋体" w:hint="default"/>
                <w:b/>
                <w:bCs/>
                <w:spacing w:val="-1"/>
                <w:sz w:val="18"/>
                <w:szCs w:val="18"/>
              </w:rPr>
              <w:t>子公司类型</w:t>
            </w:r>
            <w:r>
              <w:rPr>
                <w:rFonts w:ascii="宋体" w:hAnsi="宋体" w:cs="宋体" w:eastAsia="宋体" w:hint="default"/>
                <w:spacing w:val="-1"/>
                <w:sz w:val="18"/>
                <w:szCs w:val="18"/>
              </w:rPr>
            </w:r>
          </w:p>
        </w:tc>
        <w:tc>
          <w:tcPr>
            <w:tcW w:w="860" w:type="dxa"/>
            <w:tcBorders>
              <w:top w:val="nil" w:sz="6" w:space="0" w:color="auto"/>
              <w:left w:val="nil" w:sz="6" w:space="0" w:color="auto"/>
              <w:bottom w:val="single" w:sz="8" w:space="0" w:color="000000"/>
              <w:right w:val="nil" w:sz="6" w:space="0" w:color="auto"/>
            </w:tcBorders>
          </w:tcPr>
          <w:p>
            <w:pPr>
              <w:pStyle w:val="TableParagraph"/>
              <w:spacing w:line="182" w:lineRule="exact"/>
              <w:ind w:left="77" w:right="0"/>
              <w:jc w:val="center"/>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1611" w:type="dxa"/>
            <w:tcBorders>
              <w:top w:val="nil" w:sz="6" w:space="0" w:color="auto"/>
              <w:left w:val="nil" w:sz="6" w:space="0" w:color="auto"/>
              <w:bottom w:val="single" w:sz="8" w:space="0" w:color="000000"/>
              <w:right w:val="nil" w:sz="6" w:space="0" w:color="auto"/>
            </w:tcBorders>
          </w:tcPr>
          <w:p>
            <w:pPr>
              <w:pStyle w:val="TableParagraph"/>
              <w:spacing w:line="182"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14" w:type="dxa"/>
            <w:tcBorders>
              <w:top w:val="nil" w:sz="6" w:space="0" w:color="auto"/>
              <w:left w:val="nil" w:sz="6" w:space="0" w:color="auto"/>
              <w:bottom w:val="single" w:sz="8" w:space="0" w:color="000000"/>
              <w:right w:val="nil" w:sz="6" w:space="0" w:color="auto"/>
            </w:tcBorders>
          </w:tcPr>
          <w:p>
            <w:pPr>
              <w:pStyle w:val="TableParagraph"/>
              <w:spacing w:line="182" w:lineRule="exact"/>
              <w:ind w:right="132"/>
              <w:jc w:val="right"/>
              <w:rPr>
                <w:rFonts w:ascii="宋体" w:hAnsi="宋体" w:cs="宋体" w:eastAsia="宋体" w:hint="default"/>
                <w:sz w:val="18"/>
                <w:szCs w:val="18"/>
              </w:rPr>
            </w:pPr>
            <w:r>
              <w:rPr>
                <w:rFonts w:ascii="宋体" w:hAnsi="宋体" w:cs="宋体" w:eastAsia="宋体" w:hint="default"/>
                <w:b/>
                <w:bCs/>
                <w:spacing w:val="-2"/>
                <w:sz w:val="18"/>
                <w:szCs w:val="18"/>
              </w:rPr>
              <w:t>表决权比例（</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r>
      <w:tr>
        <w:trPr>
          <w:trHeight w:val="448" w:hRule="exact"/>
        </w:trPr>
        <w:tc>
          <w:tcPr>
            <w:tcW w:w="351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无锡创润信息科技有限公司</w:t>
            </w:r>
          </w:p>
        </w:tc>
        <w:tc>
          <w:tcPr>
            <w:tcW w:w="2255"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17"/>
              <w:jc w:val="right"/>
              <w:rPr>
                <w:rFonts w:ascii="宋体" w:hAnsi="宋体" w:cs="宋体" w:eastAsia="宋体" w:hint="default"/>
                <w:sz w:val="18"/>
                <w:szCs w:val="18"/>
              </w:rPr>
            </w:pPr>
            <w:r>
              <w:rPr>
                <w:rFonts w:ascii="宋体"/>
                <w:spacing w:val="-1"/>
                <w:sz w:val="18"/>
              </w:rPr>
              <w:t>100.00</w:t>
            </w:r>
          </w:p>
        </w:tc>
        <w:tc>
          <w:tcPr>
            <w:tcW w:w="1614"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100.00</w:t>
            </w:r>
          </w:p>
        </w:tc>
      </w:tr>
      <w:tr>
        <w:trPr>
          <w:trHeight w:val="396" w:hRule="exact"/>
        </w:trPr>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创业黑马（福州）科技有限公司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100.00</w:t>
            </w:r>
          </w:p>
        </w:tc>
      </w:tr>
      <w:tr>
        <w:trPr>
          <w:trHeight w:val="398" w:hRule="exact"/>
        </w:trPr>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神木创客黑马科技有限公司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r>
        <w:trPr>
          <w:trHeight w:val="290" w:hRule="exact"/>
        </w:trPr>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3"/>
              <w:jc w:val="right"/>
              <w:rPr>
                <w:rFonts w:ascii="宋体" w:hAnsi="宋体" w:cs="宋体" w:eastAsia="宋体" w:hint="default"/>
                <w:sz w:val="18"/>
                <w:szCs w:val="18"/>
              </w:rPr>
            </w:pPr>
            <w:r>
              <w:rPr>
                <w:rFonts w:ascii="宋体" w:hAnsi="宋体" w:cs="宋体" w:eastAsia="宋体" w:hint="default"/>
                <w:spacing w:val="-2"/>
                <w:sz w:val="18"/>
                <w:szCs w:val="18"/>
              </w:rPr>
              <w:t>有限责任公司</w:t>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宋体" w:hAnsi="宋体" w:cs="宋体" w:eastAsia="宋体" w:hint="default"/>
                <w:sz w:val="18"/>
                <w:szCs w:val="18"/>
              </w:rPr>
            </w:pPr>
            <w:r>
              <w:rPr>
                <w:rFonts w:ascii="宋体"/>
                <w:w w:val="101"/>
                <w:sz w:val="18"/>
              </w:rPr>
              <w:t>2</w:t>
            </w:r>
            <w:r>
              <w:rPr>
                <w:rFonts w:ascii="宋体"/>
                <w:sz w:val="18"/>
              </w:rPr>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w:t>
            </w:r>
          </w:p>
        </w:tc>
      </w:tr>
    </w:tbl>
    <w:p>
      <w:pPr>
        <w:spacing w:line="240" w:lineRule="auto" w:before="2"/>
        <w:rPr>
          <w:rFonts w:ascii="宋体" w:hAnsi="宋体" w:cs="宋体" w:eastAsia="宋体" w:hint="default"/>
          <w:sz w:val="20"/>
          <w:szCs w:val="20"/>
        </w:rPr>
      </w:pPr>
    </w:p>
    <w:p>
      <w:pPr>
        <w:pStyle w:val="BodyText"/>
        <w:spacing w:line="240" w:lineRule="auto" w:before="36"/>
        <w:ind w:left="635" w:right="1118"/>
        <w:jc w:val="left"/>
      </w:pPr>
      <w:r>
        <w:rPr/>
        <w:t>有关子公司的情况参见本附注“七、合并范围的变动”、“八、在其他主体中的权益”。</w:t>
      </w:r>
    </w:p>
    <w:p>
      <w:pPr>
        <w:spacing w:line="240" w:lineRule="auto" w:before="1"/>
        <w:rPr>
          <w:rFonts w:ascii="宋体" w:hAnsi="宋体" w:cs="宋体" w:eastAsia="宋体" w:hint="default"/>
          <w:sz w:val="28"/>
          <w:szCs w:val="28"/>
        </w:rPr>
      </w:pPr>
    </w:p>
    <w:p>
      <w:pPr>
        <w:pStyle w:val="Heading2"/>
        <w:spacing w:line="240" w:lineRule="auto"/>
        <w:ind w:left="693" w:right="1118"/>
        <w:jc w:val="left"/>
        <w:rPr>
          <w:rFonts w:ascii="黑体" w:hAnsi="黑体" w:cs="黑体" w:eastAsia="黑体" w:hint="default"/>
          <w:b w:val="0"/>
          <w:bCs w:val="0"/>
        </w:rPr>
      </w:pPr>
      <w:bookmarkStart w:name="二、财务报表的编制基础" w:id="166"/>
      <w:bookmarkEnd w:id="166"/>
      <w:r>
        <w:rPr>
          <w:b w:val="0"/>
          <w:bCs w:val="0"/>
        </w:rPr>
      </w:r>
      <w:r>
        <w:rPr>
          <w:rFonts w:ascii="黑体" w:hAnsi="黑体" w:cs="黑体" w:eastAsia="黑体" w:hint="default"/>
        </w:rPr>
        <w:t>二、财务报表的编制基础</w:t>
      </w:r>
      <w:r>
        <w:rPr>
          <w:rFonts w:ascii="黑体" w:hAnsi="黑体" w:cs="黑体" w:eastAsia="黑体" w:hint="default"/>
          <w:b w:val="0"/>
          <w:bCs w:val="0"/>
        </w:rPr>
      </w:r>
    </w:p>
    <w:p>
      <w:pPr>
        <w:pStyle w:val="BodyText"/>
        <w:spacing w:line="520" w:lineRule="atLeast" w:before="143"/>
        <w:ind w:left="635" w:right="1016"/>
        <w:jc w:val="left"/>
      </w:pPr>
      <w:r>
        <w:rPr/>
        <w:t>（一）编制基础</w:t>
      </w:r>
      <w:r>
        <w:rPr>
          <w:spacing w:val="-102"/>
        </w:rPr>
        <w:t> </w:t>
      </w:r>
      <w:r>
        <w:rPr>
          <w:spacing w:val="-102"/>
        </w:rPr>
      </w:r>
      <w:r>
        <w:rPr/>
        <w:t>本财务报表以公司持续经营假设为基础，根据实际发生的交易事项，按照企业会计准则的有关规定，</w:t>
      </w:r>
    </w:p>
    <w:p>
      <w:pPr>
        <w:pStyle w:val="BodyText"/>
        <w:spacing w:line="240" w:lineRule="auto" w:before="81"/>
        <w:ind w:left="213" w:right="1118"/>
        <w:jc w:val="left"/>
      </w:pPr>
      <w:r>
        <w:rPr/>
        <w:t>并基于以下所述重要会计政策、会计估计进行编制。</w:t>
      </w:r>
    </w:p>
    <w:p>
      <w:pPr>
        <w:spacing w:line="240" w:lineRule="auto" w:before="3"/>
        <w:rPr>
          <w:rFonts w:ascii="宋体" w:hAnsi="宋体" w:cs="宋体" w:eastAsia="宋体" w:hint="default"/>
          <w:sz w:val="18"/>
          <w:szCs w:val="18"/>
        </w:rPr>
      </w:pPr>
    </w:p>
    <w:p>
      <w:pPr>
        <w:pStyle w:val="BodyText"/>
        <w:spacing w:line="240" w:lineRule="auto"/>
        <w:ind w:left="635" w:right="1118"/>
        <w:jc w:val="left"/>
      </w:pPr>
      <w:r>
        <w:rPr/>
        <w:t>（二）持续经营</w:t>
      </w:r>
    </w:p>
    <w:p>
      <w:pPr>
        <w:spacing w:line="240" w:lineRule="auto" w:before="13"/>
        <w:rPr>
          <w:rFonts w:ascii="宋体" w:hAnsi="宋体" w:cs="宋体" w:eastAsia="宋体" w:hint="default"/>
          <w:sz w:val="18"/>
          <w:szCs w:val="18"/>
        </w:rPr>
      </w:pPr>
    </w:p>
    <w:p>
      <w:pPr>
        <w:pStyle w:val="BodyText"/>
        <w:spacing w:line="309" w:lineRule="auto"/>
        <w:ind w:left="213" w:right="1105" w:firstLine="422"/>
        <w:jc w:val="left"/>
      </w:pPr>
      <w:r>
        <w:rPr/>
        <w:t>本公司管理层已评价自报告期末起 </w:t>
      </w:r>
      <w:r>
        <w:rPr>
          <w:rFonts w:ascii="宋体" w:hAnsi="宋体" w:cs="宋体" w:eastAsia="宋体" w:hint="default"/>
          <w:spacing w:val="-3"/>
        </w:rPr>
        <w:t>12</w:t>
      </w:r>
      <w:r>
        <w:rPr>
          <w:rFonts w:ascii="宋体" w:hAnsi="宋体" w:cs="宋体" w:eastAsia="宋体" w:hint="default"/>
          <w:spacing w:val="-10"/>
        </w:rPr>
        <w:t> </w:t>
      </w:r>
      <w:r>
        <w:rPr/>
        <w:t>个月的持续经营能力，本公司不存在可能导致对持续经营假设</w:t>
      </w:r>
      <w:r>
        <w:rPr>
          <w:w w:val="100"/>
        </w:rPr>
        <w:t> </w:t>
      </w:r>
      <w:r>
        <w:rPr/>
        <w:t>产生重大疑虑的事项或情况。</w:t>
      </w:r>
    </w:p>
    <w:p>
      <w:pPr>
        <w:spacing w:line="240" w:lineRule="auto" w:before="1"/>
        <w:rPr>
          <w:rFonts w:ascii="宋体" w:hAnsi="宋体" w:cs="宋体" w:eastAsia="宋体" w:hint="default"/>
          <w:sz w:val="23"/>
          <w:szCs w:val="23"/>
        </w:rPr>
      </w:pPr>
    </w:p>
    <w:p>
      <w:pPr>
        <w:pStyle w:val="Heading2"/>
        <w:spacing w:line="240" w:lineRule="auto"/>
        <w:ind w:left="693" w:right="1118"/>
        <w:jc w:val="left"/>
        <w:rPr>
          <w:rFonts w:ascii="黑体" w:hAnsi="黑体" w:cs="黑体" w:eastAsia="黑体" w:hint="default"/>
          <w:b w:val="0"/>
          <w:bCs w:val="0"/>
        </w:rPr>
      </w:pPr>
      <w:bookmarkStart w:name="三、重要会计政策及会计估计" w:id="167"/>
      <w:bookmarkEnd w:id="167"/>
      <w:r>
        <w:rPr>
          <w:b w:val="0"/>
          <w:bCs w:val="0"/>
        </w:rPr>
      </w:r>
      <w:r>
        <w:rPr>
          <w:rFonts w:ascii="黑体" w:hAnsi="黑体" w:cs="黑体" w:eastAsia="黑体" w:hint="default"/>
        </w:rPr>
        <w:t>三、重要会计政策及会计估计</w:t>
      </w:r>
      <w:r>
        <w:rPr>
          <w:rFonts w:ascii="黑体" w:hAnsi="黑体" w:cs="黑体" w:eastAsia="黑体" w:hint="default"/>
          <w:b w:val="0"/>
          <w:bCs w:val="0"/>
        </w:rPr>
      </w:r>
    </w:p>
    <w:p>
      <w:pPr>
        <w:pStyle w:val="BodyText"/>
        <w:spacing w:line="520" w:lineRule="atLeast" w:before="147"/>
        <w:ind w:left="635" w:right="1118"/>
        <w:jc w:val="left"/>
      </w:pPr>
      <w:bookmarkStart w:name="（一）遵循企业会计准则的声明" w:id="168"/>
      <w:bookmarkEnd w:id="168"/>
      <w:r>
        <w:rPr/>
      </w:r>
      <w:r>
        <w:rPr/>
        <w:t>（一）遵循企业会计准则的声明</w:t>
      </w:r>
      <w:r>
        <w:rPr>
          <w:w w:val="100"/>
        </w:rPr>
        <w:t> </w:t>
      </w:r>
      <w:r>
        <w:rPr>
          <w:spacing w:val="-2"/>
        </w:rPr>
        <w:t>本公司基于上述编制基础编制的财务报表符合财政部已颁布的最新企业会计准则及其应用指南、解释</w:t>
      </w:r>
    </w:p>
    <w:p>
      <w:pPr>
        <w:pStyle w:val="BodyText"/>
        <w:spacing w:line="309" w:lineRule="auto" w:before="85"/>
        <w:ind w:left="213" w:right="1127"/>
        <w:jc w:val="left"/>
      </w:pPr>
      <w:r>
        <w:rPr>
          <w:spacing w:val="-2"/>
          <w:w w:val="100"/>
        </w:rPr>
        <w:t>以及其他相关规定（统称“企业会计准则”）的要求，真实完整地反映了公司的财务状况、经营成果和现</w:t>
      </w:r>
      <w:r>
        <w:rPr>
          <w:spacing w:val="-99"/>
          <w:w w:val="100"/>
        </w:rPr>
        <w:t> </w:t>
      </w:r>
      <w:r>
        <w:rPr>
          <w:spacing w:val="-99"/>
          <w:w w:val="100"/>
        </w:rPr>
      </w:r>
      <w:r>
        <w:rPr/>
        <w:t>金流量等有关信息。</w:t>
      </w:r>
    </w:p>
    <w:p>
      <w:pPr>
        <w:spacing w:line="240" w:lineRule="auto" w:before="4"/>
        <w:rPr>
          <w:rFonts w:ascii="宋体" w:hAnsi="宋体" w:cs="宋体" w:eastAsia="宋体" w:hint="default"/>
          <w:sz w:val="14"/>
          <w:szCs w:val="14"/>
        </w:rPr>
      </w:pPr>
    </w:p>
    <w:p>
      <w:pPr>
        <w:pStyle w:val="BodyText"/>
        <w:spacing w:line="314" w:lineRule="auto"/>
        <w:ind w:left="213" w:right="1108" w:firstLine="422"/>
        <w:jc w:val="left"/>
      </w:pPr>
      <w:r>
        <w:rPr/>
        <w:t>此外，本财务报告编制参照了证监会发布的《公开发行证券的公司信息披露编报规则第 </w:t>
      </w:r>
      <w:r>
        <w:rPr>
          <w:rFonts w:ascii="宋体" w:hAnsi="宋体" w:cs="宋体" w:eastAsia="宋体" w:hint="default"/>
          <w:spacing w:val="-3"/>
        </w:rPr>
        <w:t>15</w:t>
      </w:r>
      <w:r>
        <w:rPr>
          <w:rFonts w:ascii="宋体" w:hAnsi="宋体" w:cs="宋体" w:eastAsia="宋体" w:hint="default"/>
          <w:spacing w:val="-13"/>
        </w:rPr>
        <w:t> </w:t>
      </w:r>
      <w:r>
        <w:rPr/>
        <w:t>号——财</w:t>
      </w:r>
      <w:r>
        <w:rPr>
          <w:w w:val="100"/>
        </w:rPr>
        <w:t> </w:t>
      </w:r>
      <w:r>
        <w:rPr>
          <w:spacing w:val="-10"/>
          <w:w w:val="100"/>
        </w:rPr>
        <w:t>务报告的一般规定》（</w:t>
      </w:r>
      <w:r>
        <w:rPr>
          <w:rFonts w:ascii="宋体" w:hAnsi="宋体" w:cs="宋体" w:eastAsia="宋体" w:hint="default"/>
          <w:spacing w:val="-10"/>
          <w:w w:val="100"/>
        </w:rPr>
        <w:t>2014</w:t>
      </w:r>
      <w:r>
        <w:rPr>
          <w:rFonts w:ascii="宋体" w:hAnsi="宋体" w:cs="宋体" w:eastAsia="宋体" w:hint="default"/>
          <w:spacing w:val="-47"/>
          <w:w w:val="100"/>
        </w:rPr>
        <w:t> </w:t>
      </w:r>
      <w:r>
        <w:rPr>
          <w:spacing w:val="-6"/>
          <w:w w:val="100"/>
        </w:rPr>
        <w:t>年修订）以及《关于上市公司执行新企业会计准则有关事项的通知》（会计部函</w:t>
      </w:r>
    </w:p>
    <w:p>
      <w:pPr>
        <w:pStyle w:val="BodyText"/>
        <w:spacing w:line="240" w:lineRule="auto" w:before="15"/>
        <w:ind w:left="213" w:right="1118"/>
        <w:jc w:val="left"/>
      </w:pPr>
      <w:r>
        <w:rPr/>
        <w:t>〔</w:t>
      </w:r>
      <w:r>
        <w:rPr>
          <w:rFonts w:ascii="宋体" w:hAnsi="宋体" w:cs="宋体" w:eastAsia="宋体" w:hint="default"/>
        </w:rPr>
        <w:t>2018</w:t>
      </w:r>
      <w:r>
        <w:rPr/>
        <w:t>〕</w:t>
      </w:r>
      <w:r>
        <w:rPr>
          <w:rFonts w:ascii="宋体" w:hAnsi="宋体" w:cs="宋体" w:eastAsia="宋体" w:hint="default"/>
        </w:rPr>
        <w:t>453</w:t>
      </w:r>
      <w:r>
        <w:rPr>
          <w:rFonts w:ascii="宋体" w:hAnsi="宋体" w:cs="宋体" w:eastAsia="宋体" w:hint="default"/>
          <w:spacing w:val="-48"/>
        </w:rPr>
        <w:t> </w:t>
      </w:r>
      <w:r>
        <w:rPr/>
        <w:t>号）的列报和披露要求。</w:t>
      </w:r>
    </w:p>
    <w:p>
      <w:pPr>
        <w:spacing w:line="240" w:lineRule="auto" w:before="3"/>
        <w:rPr>
          <w:rFonts w:ascii="宋体" w:hAnsi="宋体" w:cs="宋体" w:eastAsia="宋体" w:hint="default"/>
          <w:sz w:val="18"/>
          <w:szCs w:val="18"/>
        </w:rPr>
      </w:pPr>
    </w:p>
    <w:p>
      <w:pPr>
        <w:pStyle w:val="BodyText"/>
        <w:spacing w:line="453" w:lineRule="auto"/>
        <w:ind w:left="635" w:right="5495"/>
        <w:jc w:val="left"/>
      </w:pPr>
      <w:bookmarkStart w:name="（二）会计期间和经营周期" w:id="169"/>
      <w:bookmarkEnd w:id="169"/>
      <w:r>
        <w:rPr/>
      </w:r>
      <w:r>
        <w:rPr/>
        <w:t>（二）会计期间和经营周期</w:t>
      </w:r>
      <w:r>
        <w:rPr>
          <w:spacing w:val="-101"/>
        </w:rPr>
        <w:t> </w:t>
      </w:r>
      <w:r>
        <w:rPr>
          <w:spacing w:val="-101"/>
        </w:rPr>
      </w:r>
      <w:r>
        <w:rPr/>
        <w:t>本公司的会计年度从公历</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6"/>
        </w:rPr>
        <w:t> </w:t>
      </w:r>
      <w:r>
        <w:rPr>
          <w:rFonts w:ascii="宋体" w:hAnsi="宋体" w:cs="宋体" w:eastAsia="宋体" w:hint="default"/>
        </w:rPr>
        <w:t>1</w:t>
      </w:r>
      <w:r>
        <w:rPr>
          <w:rFonts w:ascii="宋体" w:hAnsi="宋体" w:cs="宋体" w:eastAsia="宋体" w:hint="default"/>
          <w:spacing w:val="-51"/>
        </w:rPr>
        <w:t> </w:t>
      </w:r>
      <w:r>
        <w:rPr/>
        <w:t>日至</w:t>
      </w:r>
      <w:r>
        <w:rPr>
          <w:spacing w:val="-52"/>
        </w:rPr>
        <w:t> </w:t>
      </w:r>
      <w:r>
        <w:rPr>
          <w:rFonts w:ascii="宋体" w:hAnsi="宋体" w:cs="宋体" w:eastAsia="宋体" w:hint="default"/>
        </w:rPr>
        <w:t>12</w:t>
      </w:r>
      <w:r>
        <w:rPr>
          <w:rFonts w:ascii="宋体" w:hAnsi="宋体" w:cs="宋体" w:eastAsia="宋体" w:hint="default"/>
          <w:spacing w:val="-56"/>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日止。</w:t>
      </w:r>
    </w:p>
    <w:p>
      <w:pPr>
        <w:pStyle w:val="BodyText"/>
        <w:spacing w:line="453" w:lineRule="auto" w:before="52"/>
        <w:ind w:left="635" w:right="5495"/>
        <w:jc w:val="left"/>
      </w:pPr>
      <w:bookmarkStart w:name="（三）记账本位币" w:id="170"/>
      <w:bookmarkEnd w:id="170"/>
      <w:r>
        <w:rPr/>
      </w:r>
      <w:r>
        <w:rPr/>
        <w:t>（三）记账本位币</w:t>
      </w:r>
      <w:r>
        <w:rPr>
          <w:spacing w:val="-101"/>
        </w:rPr>
        <w:t> </w:t>
      </w:r>
      <w:r>
        <w:rPr>
          <w:spacing w:val="-101"/>
        </w:rPr>
      </w:r>
      <w:r>
        <w:rPr>
          <w:spacing w:val="-1"/>
        </w:rPr>
        <w:t>本公司采用人民币作为记账本位币。</w:t>
      </w:r>
    </w:p>
    <w:p>
      <w:pPr>
        <w:pStyle w:val="BodyText"/>
        <w:spacing w:line="453" w:lineRule="auto" w:before="52"/>
        <w:ind w:left="635" w:right="1118"/>
        <w:jc w:val="left"/>
      </w:pPr>
      <w:bookmarkStart w:name="（四）计量属性在本期发生变化的报表项目及其本期采用的计量属性" w:id="171"/>
      <w:bookmarkEnd w:id="171"/>
      <w:r>
        <w:rPr/>
      </w:r>
      <w:r>
        <w:rPr/>
        <w:t>（四）计量属性在本期发生变化的报表项目及其本期采用的计量属性</w:t>
      </w:r>
      <w:r>
        <w:rPr>
          <w:w w:val="100"/>
        </w:rPr>
        <w:t> </w:t>
      </w:r>
      <w:r>
        <w:rPr>
          <w:spacing w:val="-2"/>
        </w:rPr>
        <w:t>本公司采用的计量属性包括历史成本、重置成本、可变现净值、现值和公允价值。</w:t>
      </w:r>
    </w:p>
    <w:p>
      <w:pPr>
        <w:pStyle w:val="BodyText"/>
        <w:spacing w:line="240" w:lineRule="auto" w:before="52"/>
        <w:ind w:left="635" w:right="1118"/>
        <w:jc w:val="left"/>
      </w:pPr>
      <w:bookmarkStart w:name="（五）企业合并" w:id="172"/>
      <w:bookmarkEnd w:id="172"/>
      <w:r>
        <w:rPr/>
      </w:r>
      <w:r>
        <w:rPr/>
        <w:t>（五）企业合并</w:t>
      </w:r>
    </w:p>
    <w:p>
      <w:pPr>
        <w:spacing w:after="0" w:line="240" w:lineRule="auto"/>
        <w:jc w:val="left"/>
        <w:sectPr>
          <w:pgSz w:w="11910" w:h="16840"/>
          <w:pgMar w:header="741" w:footer="979" w:top="1060" w:bottom="1160" w:left="920" w:right="0"/>
        </w:sectPr>
      </w:pPr>
    </w:p>
    <w:p>
      <w:pPr>
        <w:spacing w:line="240" w:lineRule="auto" w:before="12"/>
        <w:rPr>
          <w:rFonts w:ascii="宋体" w:hAnsi="宋体" w:cs="宋体" w:eastAsia="宋体" w:hint="default"/>
          <w:sz w:val="28"/>
          <w:szCs w:val="28"/>
        </w:rPr>
      </w:pPr>
    </w:p>
    <w:p>
      <w:pPr>
        <w:pStyle w:val="BodyText"/>
        <w:spacing w:line="240" w:lineRule="auto" w:before="36"/>
        <w:ind w:left="575" w:right="0"/>
        <w:jc w:val="left"/>
      </w:pPr>
      <w:r>
        <w:rPr>
          <w:rFonts w:ascii="宋体" w:hAnsi="宋体" w:cs="宋体" w:eastAsia="宋体" w:hint="default"/>
        </w:rPr>
        <w:t>1.</w:t>
      </w:r>
      <w:r>
        <w:rPr/>
        <w:t>同一控制下企业合并的会计处理方法</w:t>
      </w:r>
    </w:p>
    <w:p>
      <w:pPr>
        <w:spacing w:line="240" w:lineRule="auto" w:before="13"/>
        <w:rPr>
          <w:rFonts w:ascii="宋体" w:hAnsi="宋体" w:cs="宋体" w:eastAsia="宋体" w:hint="default"/>
          <w:sz w:val="18"/>
          <w:szCs w:val="18"/>
        </w:rPr>
      </w:pPr>
    </w:p>
    <w:p>
      <w:pPr>
        <w:pStyle w:val="BodyText"/>
        <w:spacing w:line="312" w:lineRule="auto"/>
        <w:ind w:right="589" w:firstLine="422"/>
        <w:jc w:val="left"/>
      </w:pPr>
      <w:r>
        <w:rPr>
          <w:spacing w:val="-2"/>
        </w:rPr>
        <w:t>本公司在一次交易取得或通过多次交易分步实现同一控制下企业合并，企业合并中取得的资产和负债，</w:t>
      </w:r>
      <w:r>
        <w:rPr>
          <w:w w:val="100"/>
        </w:rPr>
        <w:t> </w:t>
      </w:r>
      <w:r>
        <w:rPr/>
        <w:t>按照合并日被合并方在最终控制方合并财务报表中的的账面价值计量。本公司取得的净资产账面价值与支</w:t>
      </w:r>
      <w:r>
        <w:rPr>
          <w:w w:val="100"/>
        </w:rPr>
        <w:t> </w:t>
      </w:r>
      <w:r>
        <w:rPr/>
        <w:t>付的合并对价账面价值（或发行股份面值总额）的差额，调整资本公积；资本公积不足冲减的，调整留存</w:t>
      </w:r>
      <w:r>
        <w:rPr>
          <w:w w:val="100"/>
        </w:rPr>
        <w:t> </w:t>
      </w:r>
      <w:r>
        <w:rPr/>
        <w:t>收益。</w:t>
      </w:r>
    </w:p>
    <w:p>
      <w:pPr>
        <w:pStyle w:val="BodyText"/>
        <w:spacing w:line="524" w:lineRule="exact" w:before="2"/>
        <w:ind w:left="575" w:right="0"/>
        <w:jc w:val="left"/>
      </w:pPr>
      <w:r>
        <w:rPr>
          <w:rFonts w:ascii="宋体" w:hAnsi="宋体" w:cs="宋体" w:eastAsia="宋体" w:hint="default"/>
        </w:rPr>
        <w:t>2.</w:t>
      </w:r>
      <w:r>
        <w:rPr/>
        <w:t>非同一控制下企业合并的会计处理方法</w:t>
      </w:r>
      <w:r>
        <w:rPr>
          <w:w w:val="100"/>
        </w:rPr>
        <w:t> </w:t>
      </w:r>
      <w:r>
        <w:rPr>
          <w:spacing w:val="-2"/>
        </w:rPr>
        <w:t>本公司在购买日对合并成本大于合并中取得的被购买方可辨认净资产公允价值份额的差额，确认为商</w:t>
      </w:r>
    </w:p>
    <w:p>
      <w:pPr>
        <w:pStyle w:val="BodyText"/>
        <w:spacing w:line="312" w:lineRule="auto" w:before="10"/>
        <w:ind w:right="1122"/>
        <w:jc w:val="both"/>
      </w:pPr>
      <w:r>
        <w:rPr>
          <w:spacing w:val="-2"/>
        </w:rPr>
        <w:t>誉；如果合并成本小于合并中取得的被购买方可辨认净资产公允价值份额，首先对取得的被购买方各项可</w:t>
      </w:r>
      <w:r>
        <w:rPr>
          <w:spacing w:val="-33"/>
        </w:rPr>
        <w:t> </w:t>
      </w:r>
      <w:r>
        <w:rPr>
          <w:spacing w:val="-33"/>
        </w:rPr>
      </w:r>
      <w:r>
        <w:rPr>
          <w:spacing w:val="-2"/>
        </w:rPr>
        <w:t>辨认资产、负债及或有负债的公允价值以及合并成本的计量进行复核，经复核后合并成本仍小于合并中取</w:t>
      </w:r>
      <w:r>
        <w:rPr>
          <w:spacing w:val="-30"/>
        </w:rPr>
        <w:t> </w:t>
      </w:r>
      <w:r>
        <w:rPr>
          <w:spacing w:val="-30"/>
        </w:rPr>
      </w:r>
      <w:r>
        <w:rPr/>
        <w:t>得的被购买方可辨认净资产公允价值份额的，其差额计入当期损益。</w:t>
      </w:r>
    </w:p>
    <w:p>
      <w:pPr>
        <w:pStyle w:val="BodyText"/>
        <w:spacing w:line="240" w:lineRule="auto" w:before="176"/>
        <w:ind w:left="575" w:right="0"/>
        <w:jc w:val="left"/>
      </w:pPr>
      <w:r>
        <w:rPr/>
        <w:t>通过多次交易分步实现非同一控制下企业合并，应按以下顺序处理：</w:t>
      </w:r>
    </w:p>
    <w:p>
      <w:pPr>
        <w:spacing w:line="240" w:lineRule="auto" w:before="13"/>
        <w:rPr>
          <w:rFonts w:ascii="宋体" w:hAnsi="宋体" w:cs="宋体" w:eastAsia="宋体" w:hint="default"/>
          <w:sz w:val="18"/>
          <w:szCs w:val="18"/>
        </w:rPr>
      </w:pPr>
    </w:p>
    <w:p>
      <w:pPr>
        <w:pStyle w:val="BodyText"/>
        <w:spacing w:line="312" w:lineRule="auto"/>
        <w:ind w:right="1125" w:firstLine="422"/>
        <w:jc w:val="both"/>
      </w:pPr>
      <w:r>
        <w:rPr/>
        <w:t>（</w:t>
      </w:r>
      <w:r>
        <w:rPr>
          <w:rFonts w:ascii="宋体" w:hAnsi="宋体" w:cs="宋体" w:eastAsia="宋体" w:hint="default"/>
        </w:rPr>
        <w:t>1</w:t>
      </w:r>
      <w:r>
        <w:rPr/>
        <w:t>）调整长期股权投资初始投资成本。购买日之前持有股权采用权益法核算的，按照该股权在购买</w:t>
      </w:r>
      <w:r>
        <w:rPr>
          <w:w w:val="100"/>
        </w:rPr>
        <w:t> </w:t>
      </w:r>
      <w:r>
        <w:rPr>
          <w:spacing w:val="-2"/>
        </w:rPr>
        <w:t>日的公允价值进行重新计量，公允价值与其账面价值的差额计入当期投资收益；购买日之前持有的被购买</w:t>
      </w:r>
      <w:r>
        <w:rPr>
          <w:spacing w:val="-33"/>
        </w:rPr>
        <w:t> </w:t>
      </w:r>
      <w:r>
        <w:rPr>
          <w:spacing w:val="-33"/>
        </w:rPr>
      </w:r>
      <w:r>
        <w:rPr>
          <w:spacing w:val="-2"/>
        </w:rPr>
        <w:t>方的股权涉及权益法核算下的其他综合收益、其他所有者权益变动的，转为购买日所属当期收益，由于被</w:t>
      </w:r>
      <w:r>
        <w:rPr>
          <w:spacing w:val="-33"/>
        </w:rPr>
        <w:t> </w:t>
      </w:r>
      <w:r>
        <w:rPr>
          <w:spacing w:val="-33"/>
        </w:rPr>
      </w:r>
      <w:r>
        <w:rPr/>
        <w:t>投资方重新计量设定受益计划净负债或净资产变动而产生的其他综合收益除外。</w:t>
      </w:r>
    </w:p>
    <w:p>
      <w:pPr>
        <w:spacing w:line="240" w:lineRule="auto" w:before="11"/>
        <w:rPr>
          <w:rFonts w:ascii="宋体" w:hAnsi="宋体" w:cs="宋体" w:eastAsia="宋体" w:hint="default"/>
          <w:sz w:val="13"/>
          <w:szCs w:val="13"/>
        </w:rPr>
      </w:pPr>
    </w:p>
    <w:p>
      <w:pPr>
        <w:pStyle w:val="BodyText"/>
        <w:spacing w:line="312" w:lineRule="auto"/>
        <w:ind w:right="1120" w:firstLine="422"/>
        <w:jc w:val="both"/>
      </w:pPr>
      <w:r>
        <w:rPr>
          <w:spacing w:val="-4"/>
          <w:w w:val="100"/>
        </w:rPr>
        <w:t>（</w:t>
      </w:r>
      <w:r>
        <w:rPr>
          <w:rFonts w:ascii="宋体" w:hAnsi="宋体" w:cs="宋体" w:eastAsia="宋体" w:hint="default"/>
          <w:spacing w:val="-4"/>
          <w:w w:val="100"/>
        </w:rPr>
        <w:t>2</w:t>
      </w:r>
      <w:r>
        <w:rPr>
          <w:spacing w:val="-4"/>
          <w:w w:val="100"/>
        </w:rPr>
        <w:t>）确认商誉（或计入当期损益的金额）。将第一步调整后长期股权投资初始投资成本与购买日应享</w:t>
      </w:r>
      <w:r>
        <w:rPr>
          <w:w w:val="100"/>
        </w:rPr>
        <w:t> </w:t>
      </w:r>
      <w:r>
        <w:rPr>
          <w:spacing w:val="-2"/>
        </w:rPr>
        <w:t>有子公司可辨认净资产公允价值份额比较，前者大于后者，差额确认为商誉；前者小于后者，差额计入当</w:t>
      </w:r>
      <w:r>
        <w:rPr>
          <w:spacing w:val="-30"/>
        </w:rPr>
        <w:t> </w:t>
      </w:r>
      <w:r>
        <w:rPr>
          <w:spacing w:val="-30"/>
        </w:rPr>
      </w:r>
      <w:r>
        <w:rPr/>
        <w:t>期损益。</w:t>
      </w:r>
    </w:p>
    <w:p>
      <w:pPr>
        <w:spacing w:line="240" w:lineRule="auto" w:before="11"/>
        <w:rPr>
          <w:rFonts w:ascii="宋体" w:hAnsi="宋体" w:cs="宋体" w:eastAsia="宋体" w:hint="default"/>
          <w:sz w:val="13"/>
          <w:szCs w:val="13"/>
        </w:rPr>
      </w:pPr>
    </w:p>
    <w:p>
      <w:pPr>
        <w:pStyle w:val="BodyText"/>
        <w:spacing w:line="240" w:lineRule="auto"/>
        <w:ind w:left="575" w:right="0"/>
        <w:jc w:val="left"/>
      </w:pPr>
      <w:r>
        <w:rPr/>
        <w:t>通过多次交易分步处置股权至丧失对子公司控制权的情形</w:t>
      </w:r>
    </w:p>
    <w:p>
      <w:pPr>
        <w:pStyle w:val="BodyText"/>
        <w:spacing w:line="524" w:lineRule="exact" w:before="65"/>
        <w:ind w:left="575" w:right="0"/>
        <w:jc w:val="left"/>
      </w:pPr>
      <w:r>
        <w:rPr/>
        <w:t>（</w:t>
      </w:r>
      <w:r>
        <w:rPr>
          <w:rFonts w:ascii="宋体" w:hAnsi="宋体" w:cs="宋体" w:eastAsia="宋体" w:hint="default"/>
        </w:rPr>
        <w:t>1</w:t>
      </w:r>
      <w:r>
        <w:rPr/>
        <w:t>）判断分步处置股权至丧失对子公司控制权过程中的各项交易是否属于“一揽子交易”的原则</w:t>
      </w:r>
      <w:r>
        <w:rPr>
          <w:w w:val="100"/>
        </w:rPr>
        <w:t> </w:t>
      </w:r>
      <w:r>
        <w:rPr>
          <w:spacing w:val="-2"/>
        </w:rPr>
        <w:t>处置对子公司股权投资的各项交易的条款、条件以及经济影响符合以下一种或多种情况，通常表明应</w:t>
      </w:r>
    </w:p>
    <w:p>
      <w:pPr>
        <w:pStyle w:val="BodyText"/>
        <w:spacing w:line="448" w:lineRule="auto" w:before="5"/>
        <w:ind w:left="676" w:right="2115" w:hanging="524"/>
        <w:jc w:val="left"/>
      </w:pPr>
      <w:r>
        <w:rPr/>
        <w:t>将多次交易事项作为一揽子交易进行会计处理：</w:t>
      </w:r>
      <w:r>
        <w:rPr>
          <w:spacing w:val="-100"/>
        </w:rPr>
        <w:t> </w:t>
      </w:r>
      <w:r>
        <w:rPr>
          <w:spacing w:val="-100"/>
        </w:rPr>
      </w:r>
      <w:r>
        <w:rPr>
          <w:rFonts w:ascii="宋体" w:hAnsi="宋体" w:cs="宋体" w:eastAsia="宋体" w:hint="default"/>
          <w:spacing w:val="-2"/>
        </w:rPr>
        <w:t>1</w:t>
      </w:r>
      <w:r>
        <w:rPr>
          <w:spacing w:val="-2"/>
        </w:rPr>
        <w:t>）这些交易是同时或者在考虑了彼此影响的情况下订立的；</w:t>
      </w:r>
    </w:p>
    <w:p>
      <w:pPr>
        <w:pStyle w:val="BodyText"/>
        <w:spacing w:line="240" w:lineRule="auto" w:before="61"/>
        <w:ind w:left="676" w:right="0"/>
        <w:jc w:val="left"/>
      </w:pPr>
      <w:r>
        <w:rPr>
          <w:rFonts w:ascii="宋体" w:hAnsi="宋体" w:cs="宋体" w:eastAsia="宋体" w:hint="default"/>
        </w:rPr>
        <w:t>2</w:t>
      </w:r>
      <w:r>
        <w:rPr/>
        <w:t>）这些交易整体才能达成一项完整的商业结果；</w:t>
      </w:r>
    </w:p>
    <w:p>
      <w:pPr>
        <w:spacing w:line="240" w:lineRule="auto" w:before="3"/>
        <w:rPr>
          <w:rFonts w:ascii="宋体" w:hAnsi="宋体" w:cs="宋体" w:eastAsia="宋体" w:hint="default"/>
          <w:sz w:val="18"/>
          <w:szCs w:val="18"/>
        </w:rPr>
      </w:pPr>
    </w:p>
    <w:p>
      <w:pPr>
        <w:pStyle w:val="BodyText"/>
        <w:spacing w:line="240" w:lineRule="auto"/>
        <w:ind w:left="676" w:right="0"/>
        <w:jc w:val="left"/>
      </w:pPr>
      <w:r>
        <w:rPr>
          <w:rFonts w:ascii="宋体" w:hAnsi="宋体" w:cs="宋体" w:eastAsia="宋体" w:hint="default"/>
        </w:rPr>
        <w:t>3</w:t>
      </w:r>
      <w:r>
        <w:rPr/>
        <w:t>）一项交易的发生取决于其他至少一项交易的发生；</w:t>
      </w:r>
    </w:p>
    <w:p>
      <w:pPr>
        <w:spacing w:line="240" w:lineRule="auto" w:before="8"/>
        <w:rPr>
          <w:rFonts w:ascii="宋体" w:hAnsi="宋体" w:cs="宋体" w:eastAsia="宋体" w:hint="default"/>
          <w:sz w:val="18"/>
          <w:szCs w:val="18"/>
        </w:rPr>
      </w:pPr>
    </w:p>
    <w:p>
      <w:pPr>
        <w:pStyle w:val="BodyText"/>
        <w:spacing w:line="240" w:lineRule="auto"/>
        <w:ind w:left="676" w:right="0"/>
        <w:jc w:val="left"/>
      </w:pPr>
      <w:r>
        <w:rPr>
          <w:rFonts w:ascii="宋体" w:hAnsi="宋体" w:cs="宋体" w:eastAsia="宋体" w:hint="default"/>
        </w:rPr>
        <w:t>4</w:t>
      </w:r>
      <w:r>
        <w:rPr/>
        <w:t>）一项交易单独看是不经济的，但是和其他交易一并考虑时是经济的。</w:t>
      </w:r>
    </w:p>
    <w:p>
      <w:pPr>
        <w:pStyle w:val="BodyText"/>
        <w:spacing w:line="524" w:lineRule="exact" w:before="65"/>
        <w:ind w:left="575" w:right="0"/>
        <w:jc w:val="left"/>
      </w:pPr>
      <w:r>
        <w:rPr/>
        <w:t>（</w:t>
      </w:r>
      <w:r>
        <w:rPr>
          <w:rFonts w:ascii="宋体" w:hAnsi="宋体" w:cs="宋体" w:eastAsia="宋体" w:hint="default"/>
        </w:rPr>
        <w:t>2</w:t>
      </w:r>
      <w:r>
        <w:rPr/>
        <w:t>）分步处置股权至丧失对子公司控制权过程中的各项交易属于“一揽子交易”的会计处理方法</w:t>
      </w:r>
      <w:r>
        <w:rPr>
          <w:w w:val="100"/>
        </w:rPr>
        <w:t> </w:t>
      </w:r>
      <w:r>
        <w:rPr>
          <w:spacing w:val="-2"/>
        </w:rPr>
        <w:t>处置对子公司股权投资直至丧失控制权的各项交易属于一揽子交易的，应当将各项交易作为一项处置</w:t>
      </w:r>
    </w:p>
    <w:p>
      <w:pPr>
        <w:pStyle w:val="BodyText"/>
        <w:spacing w:line="312" w:lineRule="auto" w:before="10"/>
        <w:ind w:right="1125"/>
        <w:jc w:val="both"/>
      </w:pPr>
      <w:r>
        <w:rPr>
          <w:spacing w:val="-2"/>
        </w:rPr>
        <w:t>子公司并丧失控制权的交易进行会计处理；但是，在丧失控制权之前每一次处置价款与处置投资对应的享</w:t>
      </w:r>
      <w:r>
        <w:rPr>
          <w:spacing w:val="-33"/>
        </w:rPr>
        <w:t> </w:t>
      </w:r>
      <w:r>
        <w:rPr>
          <w:spacing w:val="-33"/>
        </w:rPr>
      </w:r>
      <w:r>
        <w:rPr>
          <w:spacing w:val="-2"/>
        </w:rPr>
        <w:t>有该子公司净资产份额的差额，在合并财务报表中应当确认为其他综合收益，在丧失控制权时一并转入丧</w:t>
      </w:r>
      <w:r>
        <w:rPr>
          <w:spacing w:val="-33"/>
        </w:rPr>
        <w:t> </w:t>
      </w:r>
      <w:r>
        <w:rPr>
          <w:spacing w:val="-33"/>
        </w:rPr>
      </w:r>
      <w:r>
        <w:rPr/>
        <w:t>失控制权当期的损益。</w:t>
      </w:r>
    </w:p>
    <w:p>
      <w:pPr>
        <w:spacing w:after="0" w:line="312" w:lineRule="auto"/>
        <w:jc w:val="both"/>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12" w:lineRule="auto" w:before="36"/>
        <w:ind w:right="1124" w:firstLine="422"/>
        <w:jc w:val="both"/>
      </w:pPr>
      <w:r>
        <w:rPr>
          <w:spacing w:val="-2"/>
        </w:rPr>
        <w:t>在合并财务报表中，对于剩余股权，应当按照其在丧失控制权日的公允价值进行重新计量。处置股权</w:t>
      </w:r>
      <w:r>
        <w:rPr>
          <w:w w:val="100"/>
        </w:rPr>
        <w:t> </w:t>
      </w:r>
      <w:r>
        <w:rPr>
          <w:spacing w:val="-2"/>
        </w:rPr>
        <w:t>取得的对价与剩余股权公允价值之和，减去按原持股比例计算应享有原子公司自购买日开始持续计算的净</w:t>
      </w:r>
      <w:r>
        <w:rPr>
          <w:spacing w:val="-32"/>
        </w:rPr>
        <w:t> </w:t>
      </w:r>
      <w:r>
        <w:rPr>
          <w:spacing w:val="-32"/>
        </w:rPr>
      </w:r>
      <w:r>
        <w:rPr>
          <w:spacing w:val="-2"/>
        </w:rPr>
        <w:t>资产的份额之间的差额，计入丧失控制权当期的投资收益。与原子公司股权投资相关的其他综合收益，应</w:t>
      </w:r>
      <w:r>
        <w:rPr>
          <w:spacing w:val="-33"/>
        </w:rPr>
        <w:t> </w:t>
      </w:r>
      <w:r>
        <w:rPr>
          <w:spacing w:val="-33"/>
        </w:rPr>
      </w:r>
      <w:r>
        <w:rPr/>
        <w:t>当在丧失控制权时转为当期投资收益。</w:t>
      </w:r>
    </w:p>
    <w:p>
      <w:pPr>
        <w:pStyle w:val="BodyText"/>
        <w:spacing w:line="518" w:lineRule="exact" w:before="11"/>
        <w:ind w:left="575" w:right="0"/>
        <w:jc w:val="left"/>
      </w:pPr>
      <w:r>
        <w:rPr/>
        <w:t>（</w:t>
      </w:r>
      <w:r>
        <w:rPr>
          <w:rFonts w:ascii="宋体" w:hAnsi="宋体" w:cs="宋体" w:eastAsia="宋体" w:hint="default"/>
        </w:rPr>
        <w:t>3</w:t>
      </w:r>
      <w:r>
        <w:rPr/>
        <w:t>）分步处置股权至丧失对子公司控制权过程中的各项交易不属于“一揽子交易”的会计处理方法</w:t>
      </w:r>
      <w:r>
        <w:rPr>
          <w:spacing w:val="-103"/>
        </w:rPr>
        <w:t> </w:t>
      </w:r>
      <w:r>
        <w:rPr>
          <w:spacing w:val="-103"/>
        </w:rPr>
      </w:r>
      <w:r>
        <w:rPr>
          <w:spacing w:val="-2"/>
        </w:rPr>
        <w:t>处置对子公司的投资未丧失控制权的，合并财务报表中处置价款与处置投资对应的享有该子公司净资</w:t>
      </w:r>
    </w:p>
    <w:p>
      <w:pPr>
        <w:pStyle w:val="BodyText"/>
        <w:spacing w:line="240" w:lineRule="auto" w:before="6"/>
        <w:ind w:right="0"/>
        <w:jc w:val="left"/>
      </w:pPr>
      <w:r>
        <w:rPr>
          <w:w w:val="100"/>
        </w:rPr>
        <w:t>产份额的</w:t>
      </w:r>
      <w:r>
        <w:rPr>
          <w:spacing w:val="-5"/>
          <w:w w:val="100"/>
        </w:rPr>
        <w:t>差</w:t>
      </w:r>
      <w:r>
        <w:rPr>
          <w:w w:val="100"/>
        </w:rPr>
        <w:t>额计入</w:t>
      </w:r>
      <w:r>
        <w:rPr>
          <w:spacing w:val="-5"/>
          <w:w w:val="100"/>
        </w:rPr>
        <w:t>资</w:t>
      </w:r>
      <w:r>
        <w:rPr>
          <w:w w:val="100"/>
        </w:rPr>
        <w:t>本公积</w:t>
      </w:r>
      <w:r>
        <w:rPr>
          <w:spacing w:val="-5"/>
          <w:w w:val="100"/>
        </w:rPr>
        <w:t>（</w:t>
      </w:r>
      <w:r>
        <w:rPr>
          <w:w w:val="100"/>
        </w:rPr>
        <w:t>资本溢</w:t>
      </w:r>
      <w:r>
        <w:rPr>
          <w:spacing w:val="-4"/>
          <w:w w:val="100"/>
        </w:rPr>
        <w:t>价</w:t>
      </w:r>
      <w:r>
        <w:rPr>
          <w:w w:val="100"/>
        </w:rPr>
        <w:t>或股本</w:t>
      </w:r>
      <w:r>
        <w:rPr>
          <w:spacing w:val="-5"/>
          <w:w w:val="100"/>
        </w:rPr>
        <w:t>溢</w:t>
      </w:r>
      <w:r>
        <w:rPr>
          <w:w w:val="100"/>
        </w:rPr>
        <w:t>价</w:t>
      </w:r>
      <w:r>
        <w:rPr>
          <w:spacing w:val="-111"/>
          <w:w w:val="100"/>
        </w:rPr>
        <w:t>）</w:t>
      </w:r>
      <w:r>
        <w:rPr>
          <w:w w:val="100"/>
        </w:rPr>
        <w:t>，资本溢</w:t>
      </w:r>
      <w:r>
        <w:rPr>
          <w:spacing w:val="-5"/>
          <w:w w:val="100"/>
        </w:rPr>
        <w:t>价</w:t>
      </w:r>
      <w:r>
        <w:rPr>
          <w:w w:val="100"/>
        </w:rPr>
        <w:t>不足冲</w:t>
      </w:r>
      <w:r>
        <w:rPr>
          <w:spacing w:val="-5"/>
          <w:w w:val="100"/>
        </w:rPr>
        <w:t>减</w:t>
      </w:r>
      <w:r>
        <w:rPr>
          <w:w w:val="100"/>
        </w:rPr>
        <w:t>的，应</w:t>
      </w:r>
      <w:r>
        <w:rPr>
          <w:spacing w:val="-5"/>
          <w:w w:val="100"/>
        </w:rPr>
        <w:t>当</w:t>
      </w:r>
      <w:r>
        <w:rPr>
          <w:w w:val="100"/>
        </w:rPr>
        <w:t>调整留</w:t>
      </w:r>
      <w:r>
        <w:rPr>
          <w:spacing w:val="-5"/>
          <w:w w:val="100"/>
        </w:rPr>
        <w:t>存</w:t>
      </w:r>
      <w:r>
        <w:rPr>
          <w:w w:val="100"/>
        </w:rPr>
        <w:t>收益。</w:t>
      </w:r>
    </w:p>
    <w:p>
      <w:pPr>
        <w:spacing w:line="240" w:lineRule="auto" w:before="0"/>
        <w:rPr>
          <w:rFonts w:ascii="宋体" w:hAnsi="宋体" w:cs="宋体" w:eastAsia="宋体" w:hint="default"/>
          <w:sz w:val="19"/>
          <w:szCs w:val="19"/>
        </w:rPr>
      </w:pPr>
    </w:p>
    <w:p>
      <w:pPr>
        <w:pStyle w:val="BodyText"/>
        <w:spacing w:line="312" w:lineRule="auto"/>
        <w:ind w:right="1119" w:firstLine="422"/>
        <w:jc w:val="both"/>
      </w:pPr>
      <w:r>
        <w:rPr>
          <w:spacing w:val="-2"/>
        </w:rPr>
        <w:t>处置对子公司的投资丧失控制权的，在合并财务报表中，对于剩余股权，应当按照其在丧失控制权日</w:t>
      </w:r>
      <w:r>
        <w:rPr>
          <w:w w:val="100"/>
        </w:rPr>
        <w:t> </w:t>
      </w:r>
      <w:r>
        <w:rPr>
          <w:spacing w:val="-2"/>
        </w:rPr>
        <w:t>的公允价值进行重新计量。处置股权取得的对价与剩余股权公允价值之和，减去按原持股比例计算应享有</w:t>
      </w:r>
      <w:r>
        <w:rPr>
          <w:spacing w:val="-33"/>
        </w:rPr>
        <w:t> </w:t>
      </w:r>
      <w:r>
        <w:rPr>
          <w:spacing w:val="-33"/>
        </w:rPr>
      </w:r>
      <w:r>
        <w:rPr>
          <w:spacing w:val="-2"/>
        </w:rPr>
        <w:t>原有子公司自购买日开始持续计算的净资产的份额之间的差额，计入丧失控制权当期的投资收益。与原有</w:t>
      </w:r>
      <w:r>
        <w:rPr>
          <w:spacing w:val="-33"/>
        </w:rPr>
        <w:t> </w:t>
      </w:r>
      <w:r>
        <w:rPr>
          <w:spacing w:val="-33"/>
        </w:rPr>
      </w:r>
      <w:r>
        <w:rPr/>
        <w:t>子公司股权投资相关的其他综合收益，应当在丧失控制权时转为当期投资收益。</w:t>
      </w:r>
    </w:p>
    <w:p>
      <w:pPr>
        <w:pStyle w:val="BodyText"/>
        <w:spacing w:line="524" w:lineRule="exact" w:before="2"/>
        <w:ind w:left="575" w:right="0"/>
        <w:jc w:val="left"/>
      </w:pPr>
      <w:bookmarkStart w:name="（六）合并财务报表的编制方法" w:id="173"/>
      <w:bookmarkEnd w:id="173"/>
      <w:r>
        <w:rPr/>
      </w:r>
      <w:r>
        <w:rPr/>
        <w:t>（六）合并财务报表的编制方法</w:t>
      </w:r>
      <w:r>
        <w:rPr>
          <w:w w:val="100"/>
        </w:rPr>
        <w:t> </w:t>
      </w:r>
      <w:r>
        <w:rPr>
          <w:spacing w:val="-2"/>
        </w:rPr>
        <w:t>合并财务报表以母公司及其子公司的财务报表为基础，根据其他有关资料，由本公司按照《企业会计</w:t>
      </w:r>
    </w:p>
    <w:p>
      <w:pPr>
        <w:pStyle w:val="BodyText"/>
        <w:spacing w:line="240" w:lineRule="auto" w:before="5"/>
        <w:ind w:right="0"/>
        <w:jc w:val="left"/>
      </w:pPr>
      <w:r>
        <w:rPr/>
        <w:t>准则第</w:t>
      </w:r>
      <w:r>
        <w:rPr>
          <w:spacing w:val="-51"/>
        </w:rPr>
        <w:t> </w:t>
      </w:r>
      <w:r>
        <w:rPr>
          <w:rFonts w:ascii="宋体" w:hAnsi="宋体" w:cs="宋体" w:eastAsia="宋体" w:hint="default"/>
        </w:rPr>
        <w:t>33</w:t>
      </w:r>
      <w:r>
        <w:rPr>
          <w:rFonts w:ascii="宋体" w:hAnsi="宋体" w:cs="宋体" w:eastAsia="宋体" w:hint="default"/>
          <w:spacing w:val="-50"/>
        </w:rPr>
        <w:t> </w:t>
      </w:r>
      <w:r>
        <w:rPr/>
        <w:t>号——合并财务报表》编制。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48" w:lineRule="auto"/>
        <w:ind w:left="575" w:right="4612"/>
        <w:jc w:val="left"/>
      </w:pPr>
      <w:bookmarkStart w:name="（七）合营安排分类及共同经营会计处理方法" w:id="174"/>
      <w:bookmarkEnd w:id="174"/>
      <w:r>
        <w:rPr/>
      </w:r>
      <w:r>
        <w:rPr>
          <w:spacing w:val="-1"/>
        </w:rPr>
        <w:t>（七）合营安排分类及共同经营会计处理方法</w:t>
      </w:r>
      <w:r>
        <w:rPr>
          <w:spacing w:val="-80"/>
        </w:rPr>
        <w:t> </w:t>
      </w:r>
      <w:r>
        <w:rPr>
          <w:spacing w:val="-80"/>
        </w:rPr>
      </w:r>
      <w:r>
        <w:rPr>
          <w:rFonts w:ascii="宋体" w:hAnsi="宋体" w:cs="宋体" w:eastAsia="宋体" w:hint="default"/>
        </w:rPr>
        <w:t>1.</w:t>
      </w:r>
      <w:r>
        <w:rPr/>
        <w:t>合营安排的认定和分类</w:t>
      </w:r>
    </w:p>
    <w:p>
      <w:pPr>
        <w:pStyle w:val="BodyText"/>
        <w:spacing w:line="312" w:lineRule="auto" w:before="65"/>
        <w:ind w:right="1126" w:firstLine="422"/>
        <w:jc w:val="both"/>
      </w:pPr>
      <w:r>
        <w:rPr/>
        <w:t>合营安排，是指一项由两个或两个以上的参与方共同控制的安排。合营安排具有下列特征：（</w:t>
      </w:r>
      <w:r>
        <w:rPr>
          <w:rFonts w:ascii="宋体" w:hAnsi="宋体" w:cs="宋体" w:eastAsia="宋体" w:hint="default"/>
        </w:rPr>
        <w:t>1</w:t>
      </w:r>
      <w:r>
        <w:rPr/>
        <w:t>）各</w:t>
      </w:r>
      <w:r>
        <w:rPr>
          <w:w w:val="100"/>
        </w:rPr>
        <w:t> </w:t>
      </w:r>
      <w:r>
        <w:rPr/>
        <w:t>参与方均受到该安排的约束；（</w:t>
      </w:r>
      <w:r>
        <w:rPr>
          <w:rFonts w:ascii="宋体" w:hAnsi="宋体" w:cs="宋体" w:eastAsia="宋体" w:hint="default"/>
        </w:rPr>
        <w:t>2</w:t>
      </w:r>
      <w:r>
        <w:rPr/>
        <w:t>）两个或两个以上的参与方对该安排实施共同控制。任何一个参与方都</w:t>
      </w:r>
      <w:r>
        <w:rPr>
          <w:spacing w:val="-30"/>
        </w:rPr>
        <w:t> </w:t>
      </w:r>
      <w:r>
        <w:rPr>
          <w:spacing w:val="-30"/>
        </w:rPr>
      </w:r>
      <w:r>
        <w:rPr>
          <w:spacing w:val="-2"/>
        </w:rPr>
        <w:t>不能够单独控制该安排，对该安排具有共同控制的任何一个参与方均能够阻止其他参与方或参与方组合单</w:t>
      </w:r>
      <w:r>
        <w:rPr>
          <w:spacing w:val="-33"/>
        </w:rPr>
        <w:t> </w:t>
      </w:r>
      <w:r>
        <w:rPr>
          <w:spacing w:val="-33"/>
        </w:rPr>
      </w:r>
      <w:r>
        <w:rPr/>
        <w:t>独控制该安排。</w:t>
      </w:r>
    </w:p>
    <w:p>
      <w:pPr>
        <w:spacing w:line="240" w:lineRule="auto" w:before="10"/>
        <w:rPr>
          <w:rFonts w:ascii="宋体" w:hAnsi="宋体" w:cs="宋体" w:eastAsia="宋体" w:hint="default"/>
          <w:sz w:val="13"/>
          <w:szCs w:val="13"/>
        </w:rPr>
      </w:pPr>
    </w:p>
    <w:p>
      <w:pPr>
        <w:pStyle w:val="BodyText"/>
        <w:spacing w:line="309" w:lineRule="auto"/>
        <w:ind w:right="1125" w:firstLine="422"/>
        <w:jc w:val="both"/>
      </w:pPr>
      <w:r>
        <w:rPr>
          <w:spacing w:val="-2"/>
        </w:rPr>
        <w:t>共同控制，是指按照相关约定对某项安排所共有的控制，并且该安排的相关活动必须经过分享控制权</w:t>
      </w:r>
      <w:r>
        <w:rPr>
          <w:w w:val="100"/>
        </w:rPr>
        <w:t> </w:t>
      </w:r>
      <w:r>
        <w:rPr/>
        <w:t>的参与方一致同意后才能决策。</w:t>
      </w:r>
    </w:p>
    <w:p>
      <w:pPr>
        <w:spacing w:line="240" w:lineRule="auto" w:before="4"/>
        <w:rPr>
          <w:rFonts w:ascii="宋体" w:hAnsi="宋体" w:cs="宋体" w:eastAsia="宋体" w:hint="default"/>
          <w:sz w:val="14"/>
          <w:szCs w:val="14"/>
        </w:rPr>
      </w:pPr>
    </w:p>
    <w:p>
      <w:pPr>
        <w:pStyle w:val="BodyText"/>
        <w:spacing w:line="309" w:lineRule="auto"/>
        <w:ind w:right="1117" w:firstLine="422"/>
        <w:jc w:val="both"/>
      </w:pPr>
      <w:r>
        <w:rPr>
          <w:spacing w:val="-2"/>
        </w:rPr>
        <w:t>合营安排分为共同经营和合营企业。共同经营，是指合营方享有该安排相关资产且承担该安排相关负</w:t>
      </w:r>
      <w:r>
        <w:rPr>
          <w:w w:val="100"/>
        </w:rPr>
        <w:t> </w:t>
      </w:r>
      <w:r>
        <w:rPr/>
        <w:t>债的合营安排。合营企业，是指合营方仅对该安排的净资产享有权利的合营安排。</w:t>
      </w:r>
    </w:p>
    <w:p>
      <w:pPr>
        <w:pStyle w:val="BodyText"/>
        <w:spacing w:line="524" w:lineRule="exact" w:before="4"/>
        <w:ind w:left="575" w:right="0"/>
        <w:jc w:val="left"/>
      </w:pPr>
      <w:r>
        <w:rPr>
          <w:rFonts w:ascii="宋体" w:hAnsi="宋体" w:cs="宋体" w:eastAsia="宋体" w:hint="default"/>
        </w:rPr>
        <w:t>2.</w:t>
      </w:r>
      <w:r>
        <w:rPr/>
        <w:t>合营安排的会计处理</w:t>
      </w:r>
      <w:r>
        <w:rPr>
          <w:w w:val="100"/>
        </w:rPr>
        <w:t> </w:t>
      </w:r>
      <w:r>
        <w:rPr>
          <w:spacing w:val="-2"/>
        </w:rPr>
        <w:t>共同经营参与方应当确认其与共同经营中利益份额相关的下列项目，并按照相关企业会计准则的规定</w:t>
      </w:r>
    </w:p>
    <w:p>
      <w:pPr>
        <w:pStyle w:val="BodyText"/>
        <w:spacing w:line="314" w:lineRule="auto" w:before="10"/>
        <w:ind w:right="0"/>
        <w:jc w:val="left"/>
      </w:pPr>
      <w:r>
        <w:rPr>
          <w:spacing w:val="-2"/>
        </w:rPr>
        <w:t>进行会计处理：（</w:t>
      </w:r>
      <w:r>
        <w:rPr>
          <w:rFonts w:ascii="宋体" w:hAnsi="宋体" w:cs="宋体" w:eastAsia="宋体" w:hint="default"/>
          <w:spacing w:val="-2"/>
        </w:rPr>
        <w:t>1</w:t>
      </w:r>
      <w:r>
        <w:rPr>
          <w:spacing w:val="-2"/>
        </w:rPr>
        <w:t>）确认单独所持有的资产，以及按其份额确认共同持有的资产；（</w:t>
      </w:r>
      <w:r>
        <w:rPr>
          <w:rFonts w:ascii="宋体" w:hAnsi="宋体" w:cs="宋体" w:eastAsia="宋体" w:hint="default"/>
          <w:spacing w:val="-2"/>
        </w:rPr>
        <w:t>2</w:t>
      </w:r>
      <w:r>
        <w:rPr>
          <w:spacing w:val="-2"/>
        </w:rPr>
        <w:t>）确认单独所承担</w:t>
      </w:r>
      <w:r>
        <w:rPr>
          <w:spacing w:val="-34"/>
        </w:rPr>
        <w:t> </w:t>
      </w:r>
      <w:r>
        <w:rPr>
          <w:spacing w:val="-34"/>
        </w:rPr>
      </w:r>
      <w:r>
        <w:rPr/>
        <w:t>的负债，以及按其份额确认共同承担的负债；（</w:t>
      </w:r>
      <w:r>
        <w:rPr>
          <w:rFonts w:ascii="宋体" w:hAnsi="宋体" w:cs="宋体" w:eastAsia="宋体" w:hint="default"/>
        </w:rPr>
        <w:t>3</w:t>
      </w:r>
      <w:r>
        <w:rPr/>
        <w:t>）确认出售其享有的共同经营产出份额所产生的收入；</w:t>
      </w:r>
    </w:p>
    <w:p>
      <w:pPr>
        <w:pStyle w:val="BodyText"/>
        <w:spacing w:line="309" w:lineRule="auto" w:before="20"/>
        <w:ind w:right="0"/>
        <w:jc w:val="left"/>
      </w:pPr>
      <w:r>
        <w:rPr>
          <w:spacing w:val="-2"/>
        </w:rPr>
        <w:t>（</w:t>
      </w:r>
      <w:r>
        <w:rPr>
          <w:rFonts w:ascii="宋体" w:hAnsi="宋体" w:cs="宋体" w:eastAsia="宋体" w:hint="default"/>
          <w:spacing w:val="-2"/>
        </w:rPr>
        <w:t>4</w:t>
      </w:r>
      <w:r>
        <w:rPr>
          <w:spacing w:val="-2"/>
        </w:rPr>
        <w:t>）按其份额确认共同经营因出售产出所产生的收入；（</w:t>
      </w:r>
      <w:r>
        <w:rPr>
          <w:rFonts w:ascii="宋体" w:hAnsi="宋体" w:cs="宋体" w:eastAsia="宋体" w:hint="default"/>
          <w:spacing w:val="-2"/>
        </w:rPr>
        <w:t>5</w:t>
      </w:r>
      <w:r>
        <w:rPr>
          <w:spacing w:val="-2"/>
        </w:rPr>
        <w:t>）确认单独所发生的费用，以及按其份额确认</w:t>
      </w:r>
      <w:r>
        <w:rPr>
          <w:spacing w:val="-34"/>
        </w:rPr>
        <w:t> </w:t>
      </w:r>
      <w:r>
        <w:rPr>
          <w:spacing w:val="-34"/>
        </w:rPr>
      </w:r>
      <w:r>
        <w:rPr/>
        <w:t>共同经营发生的费用。</w:t>
      </w:r>
    </w:p>
    <w:p>
      <w:pPr>
        <w:spacing w:line="240" w:lineRule="auto" w:before="12"/>
        <w:rPr>
          <w:rFonts w:ascii="宋体" w:hAnsi="宋体" w:cs="宋体" w:eastAsia="宋体" w:hint="default"/>
          <w:sz w:val="13"/>
          <w:szCs w:val="13"/>
        </w:rPr>
      </w:pPr>
    </w:p>
    <w:p>
      <w:pPr>
        <w:pStyle w:val="BodyText"/>
        <w:spacing w:line="240" w:lineRule="auto"/>
        <w:ind w:left="575" w:right="0"/>
        <w:jc w:val="left"/>
      </w:pPr>
      <w:r>
        <w:rPr>
          <w:spacing w:val="-2"/>
        </w:rPr>
        <w:t>合营企业参与方应当按照《企业会计准则第</w:t>
      </w:r>
      <w:r>
        <w:rPr/>
        <w:t> </w:t>
      </w:r>
      <w:r>
        <w:rPr>
          <w:rFonts w:ascii="宋体" w:hAnsi="宋体" w:cs="宋体" w:eastAsia="宋体" w:hint="default"/>
        </w:rPr>
        <w:t>2</w:t>
      </w:r>
      <w:r>
        <w:rPr>
          <w:rFonts w:ascii="宋体" w:hAnsi="宋体" w:cs="宋体" w:eastAsia="宋体" w:hint="default"/>
          <w:spacing w:val="-41"/>
        </w:rPr>
        <w:t> </w:t>
      </w:r>
      <w:r>
        <w:rPr>
          <w:spacing w:val="-2"/>
        </w:rPr>
        <w:t>号——长期股权投资》的规定对合营企业的投资进行会</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right="0"/>
        <w:jc w:val="left"/>
      </w:pPr>
      <w:r>
        <w:rPr/>
        <w:t>计处理。</w:t>
      </w:r>
    </w:p>
    <w:p>
      <w:pPr>
        <w:pStyle w:val="BodyText"/>
        <w:spacing w:line="520" w:lineRule="exact" w:before="73"/>
        <w:ind w:left="575" w:right="0"/>
        <w:jc w:val="left"/>
      </w:pPr>
      <w:bookmarkStart w:name="（八）现金及现金等价物的确定标准" w:id="175"/>
      <w:bookmarkEnd w:id="175"/>
      <w:r>
        <w:rPr/>
      </w:r>
      <w:r>
        <w:rPr/>
        <w:t>（八）现金及现金等价物的确定标准</w:t>
      </w:r>
      <w:r>
        <w:rPr>
          <w:spacing w:val="-101"/>
        </w:rPr>
        <w:t> </w:t>
      </w:r>
      <w:r>
        <w:rPr>
          <w:spacing w:val="-101"/>
        </w:rPr>
      </w:r>
      <w:r>
        <w:rPr>
          <w:spacing w:val="-2"/>
        </w:rPr>
        <w:t>现金流量表的现金指企业库存现金及可以随时用于支付的存款。现金等价物指持有的期限短（一般是</w:t>
      </w:r>
    </w:p>
    <w:p>
      <w:pPr>
        <w:pStyle w:val="BodyText"/>
        <w:spacing w:line="240" w:lineRule="auto" w:before="6"/>
        <w:ind w:right="0"/>
        <w:jc w:val="left"/>
      </w:pPr>
      <w:r>
        <w:rPr>
          <w:w w:val="100"/>
        </w:rPr>
        <w:t>指从购买</w:t>
      </w:r>
      <w:r>
        <w:rPr>
          <w:spacing w:val="-5"/>
          <w:w w:val="100"/>
        </w:rPr>
        <w:t>日</w:t>
      </w:r>
      <w:r>
        <w:rPr>
          <w:w w:val="100"/>
        </w:rPr>
        <w:t>起三个</w:t>
      </w:r>
      <w:r>
        <w:rPr>
          <w:spacing w:val="-5"/>
          <w:w w:val="100"/>
        </w:rPr>
        <w:t>月</w:t>
      </w:r>
      <w:r>
        <w:rPr>
          <w:w w:val="100"/>
        </w:rPr>
        <w:t>内到期</w:t>
      </w:r>
      <w:r>
        <w:rPr>
          <w:spacing w:val="-106"/>
          <w:w w:val="100"/>
        </w:rPr>
        <w:t>）</w:t>
      </w:r>
      <w:r>
        <w:rPr>
          <w:spacing w:val="-5"/>
          <w:w w:val="100"/>
        </w:rPr>
        <w:t>、</w:t>
      </w:r>
      <w:r>
        <w:rPr>
          <w:w w:val="100"/>
        </w:rPr>
        <w:t>流动性</w:t>
      </w:r>
      <w:r>
        <w:rPr>
          <w:spacing w:val="-5"/>
          <w:w w:val="100"/>
        </w:rPr>
        <w:t>强</w:t>
      </w:r>
      <w:r>
        <w:rPr>
          <w:w w:val="100"/>
        </w:rPr>
        <w:t>、易</w:t>
      </w:r>
      <w:r>
        <w:rPr>
          <w:spacing w:val="-5"/>
          <w:w w:val="100"/>
        </w:rPr>
        <w:t>于</w:t>
      </w:r>
      <w:r>
        <w:rPr>
          <w:w w:val="100"/>
        </w:rPr>
        <w:t>转</w:t>
      </w:r>
      <w:r>
        <w:rPr>
          <w:spacing w:val="-5"/>
          <w:w w:val="100"/>
        </w:rPr>
        <w:t>换</w:t>
      </w:r>
      <w:r>
        <w:rPr>
          <w:w w:val="100"/>
        </w:rPr>
        <w:t>为已知金</w:t>
      </w:r>
      <w:r>
        <w:rPr>
          <w:spacing w:val="-5"/>
          <w:w w:val="100"/>
        </w:rPr>
        <w:t>额</w:t>
      </w:r>
      <w:r>
        <w:rPr>
          <w:w w:val="100"/>
        </w:rPr>
        <w:t>现金、</w:t>
      </w:r>
      <w:r>
        <w:rPr>
          <w:spacing w:val="-5"/>
          <w:w w:val="100"/>
        </w:rPr>
        <w:t>价</w:t>
      </w:r>
      <w:r>
        <w:rPr>
          <w:w w:val="100"/>
        </w:rPr>
        <w:t>值变动</w:t>
      </w:r>
      <w:r>
        <w:rPr>
          <w:spacing w:val="-5"/>
          <w:w w:val="100"/>
        </w:rPr>
        <w:t>风</w:t>
      </w:r>
      <w:r>
        <w:rPr>
          <w:w w:val="100"/>
        </w:rPr>
        <w:t>险很小</w:t>
      </w:r>
      <w:r>
        <w:rPr>
          <w:spacing w:val="-5"/>
          <w:w w:val="100"/>
        </w:rPr>
        <w:t>的</w:t>
      </w:r>
      <w:r>
        <w:rPr>
          <w:w w:val="100"/>
        </w:rPr>
        <w:t>投资。</w:t>
      </w:r>
    </w:p>
    <w:p>
      <w:pPr>
        <w:spacing w:line="240" w:lineRule="auto" w:before="8"/>
        <w:rPr>
          <w:rFonts w:ascii="宋体" w:hAnsi="宋体" w:cs="宋体" w:eastAsia="宋体" w:hint="default"/>
          <w:sz w:val="18"/>
          <w:szCs w:val="18"/>
        </w:rPr>
      </w:pPr>
    </w:p>
    <w:p>
      <w:pPr>
        <w:pStyle w:val="BodyText"/>
        <w:spacing w:line="448" w:lineRule="auto"/>
        <w:ind w:left="575" w:right="6287"/>
        <w:jc w:val="left"/>
      </w:pPr>
      <w:bookmarkStart w:name="（九）外币业务和外币报表折算" w:id="176"/>
      <w:bookmarkEnd w:id="176"/>
      <w:r>
        <w:rPr/>
      </w:r>
      <w:r>
        <w:rPr>
          <w:spacing w:val="-2"/>
        </w:rPr>
        <w:t>（九）外币业务和外币报表折算</w:t>
      </w:r>
      <w:r>
        <w:rPr>
          <w:spacing w:val="-76"/>
        </w:rPr>
        <w:t> </w:t>
      </w:r>
      <w:r>
        <w:rPr>
          <w:spacing w:val="-76"/>
        </w:rPr>
      </w:r>
      <w:r>
        <w:rPr>
          <w:rFonts w:ascii="宋体" w:hAnsi="宋体" w:cs="宋体" w:eastAsia="宋体" w:hint="default"/>
        </w:rPr>
        <w:t>1.</w:t>
      </w:r>
      <w:r>
        <w:rPr/>
        <w:t>外币业务折算</w:t>
      </w:r>
    </w:p>
    <w:p>
      <w:pPr>
        <w:pStyle w:val="BodyText"/>
        <w:spacing w:line="314" w:lineRule="auto" w:before="66"/>
        <w:ind w:right="1120" w:firstLine="422"/>
        <w:jc w:val="both"/>
      </w:pPr>
      <w:r>
        <w:rPr>
          <w:spacing w:val="-2"/>
        </w:rPr>
        <w:t>外币交易在初始确认时，采用交易发生日的即期汇率折算为人民币金额。资产负债表日，外币货币性</w:t>
      </w:r>
      <w:r>
        <w:rPr>
          <w:w w:val="100"/>
        </w:rPr>
        <w:t> </w:t>
      </w:r>
      <w:r>
        <w:rPr>
          <w:spacing w:val="-2"/>
        </w:rPr>
        <w:t>项目采用资产负债表日即期汇率折算，因汇率不同而产生的汇兑差额，除与购建符合资本化条件资产有关</w:t>
      </w:r>
      <w:r>
        <w:rPr>
          <w:spacing w:val="-33"/>
        </w:rPr>
        <w:t> </w:t>
      </w:r>
      <w:r>
        <w:rPr>
          <w:spacing w:val="-33"/>
        </w:rPr>
      </w:r>
      <w:r>
        <w:rPr>
          <w:spacing w:val="-2"/>
        </w:rPr>
        <w:t>的外币专门借款本金及利息的汇兑差额外，计入当期损益；以历史成本计量的外币非货币性项目仍采用交</w:t>
      </w:r>
      <w:r>
        <w:rPr>
          <w:spacing w:val="-33"/>
        </w:rPr>
        <w:t> </w:t>
      </w:r>
      <w:r>
        <w:rPr>
          <w:spacing w:val="-33"/>
        </w:rPr>
      </w:r>
      <w:r>
        <w:rPr>
          <w:spacing w:val="-2"/>
        </w:rPr>
        <w:t>易发生日的即期汇率折算，不改变其人民币金额；以公允价值计量的外币非货币性项目，采用公允价值确</w:t>
      </w:r>
      <w:r>
        <w:rPr>
          <w:spacing w:val="-33"/>
        </w:rPr>
        <w:t> </w:t>
      </w:r>
      <w:r>
        <w:rPr>
          <w:spacing w:val="-33"/>
        </w:rPr>
      </w:r>
      <w:r>
        <w:rPr/>
        <w:t>定日的即期汇率折算，差额计入当期损益或其他综合收益。</w:t>
      </w:r>
    </w:p>
    <w:p>
      <w:pPr>
        <w:pStyle w:val="BodyText"/>
        <w:spacing w:line="524" w:lineRule="exact"/>
        <w:ind w:left="575" w:right="0"/>
        <w:jc w:val="left"/>
      </w:pPr>
      <w:r>
        <w:rPr>
          <w:rFonts w:ascii="宋体" w:hAnsi="宋体" w:cs="宋体" w:eastAsia="宋体" w:hint="default"/>
        </w:rPr>
        <w:t>2.</w:t>
      </w:r>
      <w:r>
        <w:rPr/>
        <w:t>外币财务报表折算</w:t>
      </w:r>
      <w:r>
        <w:rPr>
          <w:spacing w:val="-100"/>
        </w:rPr>
        <w:t> </w:t>
      </w:r>
      <w:r>
        <w:rPr>
          <w:spacing w:val="-100"/>
        </w:rPr>
      </w:r>
      <w:r>
        <w:rPr>
          <w:spacing w:val="-2"/>
        </w:rPr>
        <w:t>资产负债表中的资产和负债项目，采用资产负债表日的即期汇率折算；所有者权益项目除“未分配利</w:t>
      </w:r>
    </w:p>
    <w:p>
      <w:pPr>
        <w:pStyle w:val="BodyText"/>
        <w:spacing w:line="309" w:lineRule="auto" w:before="10"/>
        <w:ind w:right="0"/>
        <w:jc w:val="left"/>
      </w:pPr>
      <w:r>
        <w:rPr>
          <w:spacing w:val="-2"/>
        </w:rPr>
        <w:t>润”项目外，其他项目采用交易发生日的即期汇率折算；利润表中的收入和费用项目，采用交易发生日的</w:t>
      </w:r>
      <w:r>
        <w:rPr>
          <w:spacing w:val="-33"/>
        </w:rPr>
        <w:t> </w:t>
      </w:r>
      <w:r>
        <w:rPr>
          <w:spacing w:val="-33"/>
        </w:rPr>
      </w:r>
      <w:r>
        <w:rPr/>
        <w:t>即期汇率折算。按照上述折算产生的外币财务报表折算差额，确认为其他综合收益。</w:t>
      </w:r>
    </w:p>
    <w:p>
      <w:pPr>
        <w:pStyle w:val="BodyText"/>
        <w:spacing w:line="453" w:lineRule="auto" w:before="178"/>
        <w:ind w:left="575" w:right="6287"/>
        <w:jc w:val="left"/>
      </w:pPr>
      <w:bookmarkStart w:name="（十）金融工具" w:id="177"/>
      <w:bookmarkEnd w:id="177"/>
      <w:r>
        <w:rPr/>
      </w:r>
      <w:r>
        <w:rPr/>
        <w:t>（十）金融工具</w:t>
      </w:r>
      <w:r>
        <w:rPr>
          <w:spacing w:val="-102"/>
        </w:rPr>
        <w:t> </w:t>
      </w:r>
      <w:r>
        <w:rPr>
          <w:spacing w:val="-102"/>
        </w:rPr>
      </w:r>
      <w:r>
        <w:rPr>
          <w:rFonts w:ascii="宋体" w:hAnsi="宋体" w:cs="宋体" w:eastAsia="宋体" w:hint="default"/>
          <w:spacing w:val="-1"/>
        </w:rPr>
        <w:t>1.</w:t>
      </w:r>
      <w:r>
        <w:rPr>
          <w:spacing w:val="-1"/>
        </w:rPr>
        <w:t>金融工具的确认和终止确认</w:t>
      </w:r>
    </w:p>
    <w:p>
      <w:pPr>
        <w:pStyle w:val="BodyText"/>
        <w:spacing w:line="240" w:lineRule="auto" w:before="52"/>
        <w:ind w:left="575" w:right="0"/>
        <w:jc w:val="left"/>
      </w:pPr>
      <w:r>
        <w:rPr/>
        <w:t>本公司于成为金融工具合同的一方时确认一项金融资产或金融负债。</w:t>
      </w:r>
    </w:p>
    <w:p>
      <w:pPr>
        <w:spacing w:line="240" w:lineRule="auto" w:before="13"/>
        <w:rPr>
          <w:rFonts w:ascii="宋体" w:hAnsi="宋体" w:cs="宋体" w:eastAsia="宋体" w:hint="default"/>
          <w:sz w:val="18"/>
          <w:szCs w:val="18"/>
        </w:rPr>
      </w:pPr>
    </w:p>
    <w:p>
      <w:pPr>
        <w:pStyle w:val="BodyText"/>
        <w:spacing w:line="312" w:lineRule="auto"/>
        <w:ind w:right="1120" w:firstLine="422"/>
        <w:jc w:val="both"/>
      </w:pPr>
      <w:r>
        <w:rPr>
          <w:spacing w:val="-2"/>
        </w:rPr>
        <w:t>以常规方式买卖金融资产，按交易日会计进行确认和终止确认。常规方式买卖金融资产，是指按照合</w:t>
      </w:r>
      <w:r>
        <w:rPr>
          <w:w w:val="100"/>
        </w:rPr>
        <w:t> </w:t>
      </w:r>
      <w:r>
        <w:rPr>
          <w:spacing w:val="-2"/>
        </w:rPr>
        <w:t>同条款的约定，在法规或通行惯例规定的期限内收取或交付金融资产。交易日，是指本公司承诺买入或卖</w:t>
      </w:r>
      <w:r>
        <w:rPr>
          <w:spacing w:val="-33"/>
        </w:rPr>
        <w:t> </w:t>
      </w:r>
      <w:r>
        <w:rPr>
          <w:spacing w:val="-33"/>
        </w:rPr>
      </w:r>
      <w:r>
        <w:rPr/>
        <w:t>出金融资产的日期。</w:t>
      </w:r>
    </w:p>
    <w:p>
      <w:pPr>
        <w:spacing w:line="240" w:lineRule="auto" w:before="11"/>
        <w:rPr>
          <w:rFonts w:ascii="宋体" w:hAnsi="宋体" w:cs="宋体" w:eastAsia="宋体" w:hint="default"/>
          <w:sz w:val="13"/>
          <w:szCs w:val="13"/>
        </w:rPr>
      </w:pPr>
    </w:p>
    <w:p>
      <w:pPr>
        <w:pStyle w:val="BodyText"/>
        <w:spacing w:line="309" w:lineRule="auto"/>
        <w:ind w:right="1122" w:firstLine="422"/>
        <w:jc w:val="both"/>
      </w:pPr>
      <w:r>
        <w:rPr>
          <w:spacing w:val="-2"/>
        </w:rPr>
        <w:t>满足下列条件的，终止确认金融资产</w:t>
      </w:r>
      <w:r>
        <w:rPr>
          <w:rFonts w:ascii="宋体" w:hAnsi="宋体" w:cs="宋体" w:eastAsia="宋体" w:hint="default"/>
          <w:spacing w:val="-2"/>
        </w:rPr>
        <w:t>(</w:t>
      </w:r>
      <w:r>
        <w:rPr>
          <w:spacing w:val="-2"/>
        </w:rPr>
        <w:t>或金融资产的一部分，或一组类似金融资产的一部分</w:t>
      </w:r>
      <w:r>
        <w:rPr>
          <w:rFonts w:ascii="宋体" w:hAnsi="宋体" w:cs="宋体" w:eastAsia="宋体" w:hint="default"/>
          <w:spacing w:val="-2"/>
        </w:rPr>
        <w:t>)</w:t>
      </w:r>
      <w:r>
        <w:rPr>
          <w:spacing w:val="-2"/>
        </w:rPr>
        <w:t>，即从其</w:t>
      </w:r>
      <w:r>
        <w:rPr>
          <w:w w:val="100"/>
        </w:rPr>
        <w:t> </w:t>
      </w:r>
      <w:r>
        <w:rPr/>
        <w:t>账户和资产负债表内予以转销：</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w:t>
      </w:r>
      <w:r>
        <w:rPr>
          <w:rFonts w:ascii="宋体" w:hAnsi="宋体" w:cs="宋体" w:eastAsia="宋体" w:hint="default"/>
        </w:rPr>
        <w:t>1</w:t>
      </w:r>
      <w:r>
        <w:rPr/>
        <w:t>）收取金融资产现金流量的权利届满；</w:t>
      </w:r>
    </w:p>
    <w:p>
      <w:pPr>
        <w:spacing w:line="240" w:lineRule="auto" w:before="8"/>
        <w:rPr>
          <w:rFonts w:ascii="宋体" w:hAnsi="宋体" w:cs="宋体" w:eastAsia="宋体" w:hint="default"/>
          <w:sz w:val="18"/>
          <w:szCs w:val="18"/>
        </w:rPr>
      </w:pPr>
    </w:p>
    <w:p>
      <w:pPr>
        <w:pStyle w:val="BodyText"/>
        <w:spacing w:line="312" w:lineRule="auto"/>
        <w:ind w:right="1127" w:firstLine="422"/>
        <w:jc w:val="both"/>
      </w:pPr>
      <w:r>
        <w:rPr/>
        <w:t>（</w:t>
      </w:r>
      <w:r>
        <w:rPr>
          <w:rFonts w:ascii="宋体" w:hAnsi="宋体" w:cs="宋体" w:eastAsia="宋体" w:hint="default"/>
        </w:rPr>
        <w:t>2</w:t>
      </w:r>
      <w:r>
        <w:rPr/>
        <w:t>）转移了收取金融资产现金流量的权利，或在“过手协议”下承担了及时将收取的现金流量全额</w:t>
      </w:r>
      <w:r>
        <w:rPr>
          <w:w w:val="100"/>
        </w:rPr>
        <w:t> </w:t>
      </w:r>
      <w:r>
        <w:rPr>
          <w:spacing w:val="-2"/>
        </w:rPr>
        <w:t>支付给第三方的义务；并且（</w:t>
      </w:r>
      <w:r>
        <w:rPr>
          <w:rFonts w:ascii="宋体" w:hAnsi="宋体" w:cs="宋体" w:eastAsia="宋体" w:hint="default"/>
          <w:spacing w:val="-2"/>
        </w:rPr>
        <w:t>a</w:t>
      </w:r>
      <w:r>
        <w:rPr>
          <w:spacing w:val="-2"/>
        </w:rPr>
        <w:t>）实质上转让了金融资产所有权上几乎所有的风险和报酬，或（</w:t>
      </w:r>
      <w:r>
        <w:rPr>
          <w:rFonts w:ascii="宋体" w:hAnsi="宋体" w:cs="宋体" w:eastAsia="宋体" w:hint="default"/>
          <w:spacing w:val="-2"/>
        </w:rPr>
        <w:t>b</w:t>
      </w:r>
      <w:r>
        <w:rPr>
          <w:spacing w:val="-2"/>
        </w:rPr>
        <w:t>）虽然实</w:t>
      </w:r>
      <w:r>
        <w:rPr>
          <w:spacing w:val="-33"/>
        </w:rPr>
        <w:t> </w:t>
      </w:r>
      <w:r>
        <w:rPr>
          <w:spacing w:val="-33"/>
        </w:rPr>
      </w:r>
      <w:r>
        <w:rPr/>
        <w:t>质上既没有转移也没有保留金融资产所有权上几乎所有的风险和报酬，但放弃了对该金融资产的控制。</w:t>
      </w:r>
    </w:p>
    <w:p>
      <w:pPr>
        <w:pStyle w:val="BodyText"/>
        <w:spacing w:line="518" w:lineRule="exact" w:before="11"/>
        <w:ind w:left="575" w:right="0"/>
        <w:jc w:val="left"/>
      </w:pPr>
      <w:r>
        <w:rPr>
          <w:rFonts w:ascii="宋体" w:hAnsi="宋体" w:cs="宋体" w:eastAsia="宋体" w:hint="default"/>
        </w:rPr>
        <w:t>2.</w:t>
      </w:r>
      <w:r>
        <w:rPr/>
        <w:t>金融资产分类和计量</w:t>
      </w:r>
      <w:r>
        <w:rPr>
          <w:w w:val="100"/>
        </w:rPr>
        <w:t> </w:t>
      </w:r>
      <w:r>
        <w:rPr>
          <w:spacing w:val="2"/>
        </w:rPr>
        <w:t>本公司的金融资产于初始确认时根据本公司管理金融资产的业务模式和金融资产的合同现金流量特</w:t>
      </w:r>
    </w:p>
    <w:p>
      <w:pPr>
        <w:pStyle w:val="BodyText"/>
        <w:spacing w:line="309" w:lineRule="auto" w:before="11"/>
        <w:ind w:right="0"/>
        <w:jc w:val="left"/>
      </w:pPr>
      <w:r>
        <w:rPr>
          <w:spacing w:val="-2"/>
        </w:rPr>
        <w:t>征分类为：以摊余成本计量的金融资产、以公允价值计量且其变动计入其他综合收益的金融资产以及以公</w:t>
      </w:r>
      <w:r>
        <w:rPr>
          <w:spacing w:val="-33"/>
        </w:rPr>
        <w:t> </w:t>
      </w:r>
      <w:r>
        <w:rPr>
          <w:spacing w:val="-33"/>
        </w:rPr>
      </w:r>
      <w:r>
        <w:rPr/>
        <w:t>允价值计量且其变动计入当期损益的金融资产。金融资产的后续计量取决于其分类。</w:t>
      </w:r>
    </w:p>
    <w:p>
      <w:pPr>
        <w:spacing w:after="0" w:line="309" w:lineRule="auto"/>
        <w:jc w:val="left"/>
        <w:sectPr>
          <w:footerReference w:type="default" r:id="rId23"/>
          <w:pgSz w:w="11910" w:h="16840"/>
          <w:pgMar w:footer="979" w:header="741"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left="575" w:right="0"/>
        <w:jc w:val="left"/>
      </w:pPr>
      <w:r>
        <w:rPr/>
        <w:t>本公司对金融资产的分类，依据本公司管理金融资产的业务模式和金融资产的现金流量特征进行分类。</w:t>
      </w:r>
    </w:p>
    <w:p>
      <w:pPr>
        <w:pStyle w:val="BodyText"/>
        <w:spacing w:line="520" w:lineRule="exact" w:before="73"/>
        <w:ind w:left="575" w:right="0"/>
        <w:jc w:val="left"/>
      </w:pPr>
      <w:r>
        <w:rPr/>
        <w:t>（</w:t>
      </w:r>
      <w:r>
        <w:rPr>
          <w:rFonts w:ascii="宋体" w:hAnsi="宋体" w:cs="宋体" w:eastAsia="宋体" w:hint="default"/>
        </w:rPr>
        <w:t>1</w:t>
      </w:r>
      <w:r>
        <w:rPr/>
        <w:t>）以摊余成本计量的金融资产</w:t>
      </w:r>
      <w:r>
        <w:rPr>
          <w:spacing w:val="-103"/>
        </w:rPr>
        <w:t> </w:t>
      </w:r>
      <w:r>
        <w:rPr>
          <w:spacing w:val="-103"/>
        </w:rPr>
      </w:r>
      <w:r>
        <w:rPr>
          <w:spacing w:val="-2"/>
        </w:rPr>
        <w:t>金融资产同时符合下列条件的，分类为以摊余成本计量的金融资产：本公司管理该金融资产的业务模</w:t>
      </w:r>
    </w:p>
    <w:p>
      <w:pPr>
        <w:pStyle w:val="BodyText"/>
        <w:spacing w:line="312" w:lineRule="auto" w:before="10"/>
        <w:ind w:right="1125"/>
        <w:jc w:val="both"/>
      </w:pPr>
      <w:r>
        <w:rPr>
          <w:spacing w:val="-2"/>
        </w:rPr>
        <w:t>式是以收取合同现金流量为目标；该金融资产的合同条款规定，在特定日期产生的现金流量，仅为对本金</w:t>
      </w:r>
      <w:r>
        <w:rPr>
          <w:spacing w:val="-33"/>
        </w:rPr>
        <w:t> </w:t>
      </w:r>
      <w:r>
        <w:rPr>
          <w:spacing w:val="-33"/>
        </w:rPr>
      </w:r>
      <w:r>
        <w:rPr>
          <w:spacing w:val="-2"/>
        </w:rPr>
        <w:t>和以未偿付本金金额为基础的利息的支付。对于此类金融资产，采用实际利率法，按照摊余成本进行后续</w:t>
      </w:r>
      <w:r>
        <w:rPr>
          <w:spacing w:val="-33"/>
        </w:rPr>
        <w:t> </w:t>
      </w:r>
      <w:r>
        <w:rPr>
          <w:spacing w:val="-33"/>
        </w:rPr>
      </w:r>
      <w:r>
        <w:rPr/>
        <w:t>计量，其摊销或减值产生的利得或损失，均计入当期损益。</w:t>
      </w:r>
    </w:p>
    <w:p>
      <w:pPr>
        <w:pStyle w:val="BodyText"/>
        <w:spacing w:line="518" w:lineRule="exact" w:before="12"/>
        <w:ind w:left="575" w:right="0"/>
        <w:jc w:val="left"/>
      </w:pPr>
      <w:r>
        <w:rPr/>
        <w:t>（</w:t>
      </w:r>
      <w:r>
        <w:rPr>
          <w:rFonts w:ascii="宋体" w:hAnsi="宋体" w:cs="宋体" w:eastAsia="宋体" w:hint="default"/>
        </w:rPr>
        <w:t>2</w:t>
      </w:r>
      <w:r>
        <w:rPr/>
        <w:t>）以公允价值计量且其变动计入其他综合收益的债务工具投资</w:t>
      </w:r>
      <w:r>
        <w:rPr>
          <w:w w:val="100"/>
        </w:rPr>
        <w:t> </w:t>
      </w:r>
      <w:r>
        <w:rPr>
          <w:spacing w:val="-2"/>
        </w:rPr>
        <w:t>金融资产同时符合下列条件的，分类为以公允价值计量且其变动计入其他综合收益的金融资产：本公</w:t>
      </w:r>
    </w:p>
    <w:p>
      <w:pPr>
        <w:pStyle w:val="BodyText"/>
        <w:spacing w:line="314" w:lineRule="auto" w:before="11"/>
        <w:ind w:right="1124"/>
        <w:jc w:val="both"/>
      </w:pPr>
      <w:r>
        <w:rPr>
          <w:spacing w:val="-2"/>
        </w:rPr>
        <w:t>司管理该金融资产的业务模式是既以收取合同现金流量为目标又以出售金融资产为目标；该金融资产的合</w:t>
      </w:r>
      <w:r>
        <w:rPr>
          <w:spacing w:val="-33"/>
        </w:rPr>
        <w:t> </w:t>
      </w:r>
      <w:r>
        <w:rPr>
          <w:spacing w:val="-33"/>
        </w:rPr>
      </w:r>
      <w:r>
        <w:rPr>
          <w:spacing w:val="-2"/>
        </w:rPr>
        <w:t>同条款规定，在特定日期产生的现金流量，仅为对本金和以未偿付本金金额为基础的利息的支付。对于此</w:t>
      </w:r>
      <w:r>
        <w:rPr>
          <w:spacing w:val="-33"/>
        </w:rPr>
        <w:t> </w:t>
      </w:r>
      <w:r>
        <w:rPr>
          <w:spacing w:val="-33"/>
        </w:rPr>
      </w:r>
      <w:r>
        <w:rPr>
          <w:spacing w:val="-2"/>
        </w:rPr>
        <w:t>类金融资产，采用公允价值进行后续计量。其折价或溢价采用实际利率法进行摊销并确认为利息收入或费</w:t>
      </w:r>
      <w:r>
        <w:rPr>
          <w:spacing w:val="-32"/>
        </w:rPr>
        <w:t> </w:t>
      </w:r>
      <w:r>
        <w:rPr>
          <w:spacing w:val="-32"/>
        </w:rPr>
      </w:r>
      <w:r>
        <w:rPr>
          <w:spacing w:val="-2"/>
        </w:rPr>
        <w:t>用。除减值损失及外币货币性金融资产的汇兑差额确认为当期损益外，此类金融资产的公允价值变动作为</w:t>
      </w:r>
      <w:r>
        <w:rPr>
          <w:spacing w:val="-33"/>
        </w:rPr>
        <w:t> </w:t>
      </w:r>
      <w:r>
        <w:rPr>
          <w:spacing w:val="-33"/>
        </w:rPr>
      </w:r>
      <w:r>
        <w:rPr>
          <w:spacing w:val="-2"/>
        </w:rPr>
        <w:t>其他综合收益确认，直到该金融资产终止确认时，其累计利得或损失转入当期损益。与此类金融资产相关</w:t>
      </w:r>
      <w:r>
        <w:rPr>
          <w:spacing w:val="-33"/>
        </w:rPr>
        <w:t> </w:t>
      </w:r>
      <w:r>
        <w:rPr>
          <w:spacing w:val="-33"/>
        </w:rPr>
      </w:r>
      <w:r>
        <w:rPr/>
        <w:t>利息收入，计入当期损益。</w:t>
      </w:r>
    </w:p>
    <w:p>
      <w:pPr>
        <w:pStyle w:val="BodyText"/>
        <w:spacing w:line="518" w:lineRule="exact" w:before="9"/>
        <w:ind w:left="575" w:right="0"/>
        <w:jc w:val="left"/>
      </w:pPr>
      <w:r>
        <w:rPr/>
        <w:t>（</w:t>
      </w:r>
      <w:r>
        <w:rPr>
          <w:rFonts w:ascii="宋体" w:hAnsi="宋体" w:cs="宋体" w:eastAsia="宋体" w:hint="default"/>
        </w:rPr>
        <w:t>3</w:t>
      </w:r>
      <w:r>
        <w:rPr/>
        <w:t>）以公允价值计量且其变动计入其他综合收益的权益工具投资</w:t>
      </w:r>
      <w:r>
        <w:rPr>
          <w:w w:val="100"/>
        </w:rPr>
        <w:t> </w:t>
      </w:r>
      <w:r>
        <w:rPr>
          <w:spacing w:val="2"/>
        </w:rPr>
        <w:t>本公司不可撤销地选择将部分非交易性权益工具投资指定为以公允价值计量且其变动计入其他综合</w:t>
      </w:r>
    </w:p>
    <w:p>
      <w:pPr>
        <w:pStyle w:val="BodyText"/>
        <w:spacing w:line="309" w:lineRule="auto" w:before="11"/>
        <w:ind w:right="1125"/>
        <w:jc w:val="both"/>
      </w:pPr>
      <w:r>
        <w:rPr>
          <w:spacing w:val="-2"/>
        </w:rPr>
        <w:t>收益的金融资产，仅将相关股利收入计入当期损益，公允价值变动作为其他综合收益确认，直到该金融资</w:t>
      </w:r>
      <w:r>
        <w:rPr>
          <w:spacing w:val="-33"/>
        </w:rPr>
        <w:t> </w:t>
      </w:r>
      <w:r>
        <w:rPr>
          <w:spacing w:val="-33"/>
        </w:rPr>
      </w:r>
      <w:r>
        <w:rPr/>
        <w:t>产终止确认时，其累计利得或损失转入留存收益。</w:t>
      </w:r>
    </w:p>
    <w:p>
      <w:pPr>
        <w:pStyle w:val="BodyText"/>
        <w:spacing w:line="518" w:lineRule="exact" w:before="14"/>
        <w:ind w:left="575" w:right="0"/>
        <w:jc w:val="left"/>
      </w:pPr>
      <w:r>
        <w:rPr/>
        <w:t>（</w:t>
      </w:r>
      <w:r>
        <w:rPr>
          <w:rFonts w:ascii="宋体" w:hAnsi="宋体" w:cs="宋体" w:eastAsia="宋体" w:hint="default"/>
        </w:rPr>
        <w:t>4</w:t>
      </w:r>
      <w:r>
        <w:rPr/>
        <w:t>）以公允价值计量且其变动计入当期损益的金融资产</w:t>
      </w:r>
      <w:r>
        <w:rPr>
          <w:w w:val="100"/>
        </w:rPr>
        <w:t> </w:t>
      </w:r>
      <w:r>
        <w:rPr>
          <w:spacing w:val="2"/>
        </w:rPr>
        <w:t>上述以摊余成本计量的金融资产和以公允价值计量且其变动计入其他综合收益的金融资产之外的金</w:t>
      </w:r>
    </w:p>
    <w:p>
      <w:pPr>
        <w:pStyle w:val="BodyText"/>
        <w:spacing w:line="312" w:lineRule="auto" w:before="11"/>
        <w:ind w:right="1122"/>
        <w:jc w:val="both"/>
      </w:pPr>
      <w:r>
        <w:rPr>
          <w:spacing w:val="-2"/>
        </w:rPr>
        <w:t>融资产，分类为以公允价值计量且其变动计入当期损益的金融资产。在初始确认时，为了能够消除或显著</w:t>
      </w:r>
      <w:r>
        <w:rPr>
          <w:spacing w:val="-31"/>
        </w:rPr>
        <w:t> </w:t>
      </w:r>
      <w:r>
        <w:rPr>
          <w:spacing w:val="-31"/>
        </w:rPr>
      </w:r>
      <w:r>
        <w:rPr>
          <w:spacing w:val="-2"/>
        </w:rPr>
        <w:t>减少会计错配，可以将金融资产指定为以公允价值计量且其变动计入当期损益的金融资产。对于此类金融</w:t>
      </w:r>
      <w:r>
        <w:rPr>
          <w:spacing w:val="-30"/>
        </w:rPr>
        <w:t> </w:t>
      </w:r>
      <w:r>
        <w:rPr>
          <w:spacing w:val="-30"/>
        </w:rPr>
      </w:r>
      <w:r>
        <w:rPr/>
        <w:t>资产，采用公允价值进行后续计量，所有公允价值变动计入当期损益。</w:t>
      </w:r>
    </w:p>
    <w:p>
      <w:pPr>
        <w:pStyle w:val="BodyText"/>
        <w:spacing w:line="518" w:lineRule="exact" w:before="12"/>
        <w:ind w:left="575" w:right="0"/>
        <w:jc w:val="left"/>
      </w:pPr>
      <w:r>
        <w:rPr/>
        <w:t>当且仅当本公司改变管理金融资产的业务模式时，才对所有受影响的相关金融资产进行重分类。</w:t>
      </w:r>
      <w:r>
        <w:rPr>
          <w:w w:val="100"/>
        </w:rPr>
        <w:t> </w:t>
      </w:r>
      <w:r>
        <w:rPr>
          <w:spacing w:val="-2"/>
        </w:rPr>
        <w:t>对于以公允价值计量且其变动计入当期损益的金融资产，相关交易费用直接计入当期损益，其他类别</w:t>
      </w:r>
    </w:p>
    <w:p>
      <w:pPr>
        <w:pStyle w:val="BodyText"/>
        <w:spacing w:line="453" w:lineRule="auto" w:before="6"/>
        <w:ind w:left="575" w:right="4612" w:hanging="423"/>
        <w:jc w:val="left"/>
      </w:pPr>
      <w:r>
        <w:rPr>
          <w:spacing w:val="-1"/>
        </w:rPr>
        <w:t>的金融资产相关交易费用计入其初始确认金额。</w:t>
      </w:r>
      <w:r>
        <w:rPr>
          <w:spacing w:val="-79"/>
        </w:rPr>
        <w:t> </w:t>
      </w:r>
      <w:r>
        <w:rPr>
          <w:spacing w:val="-79"/>
        </w:rPr>
      </w:r>
      <w:r>
        <w:rPr>
          <w:rFonts w:ascii="宋体" w:hAnsi="宋体" w:cs="宋体" w:eastAsia="宋体" w:hint="default"/>
        </w:rPr>
        <w:t>3.</w:t>
      </w:r>
      <w:r>
        <w:rPr/>
        <w:t>金融负债分类和计量</w:t>
      </w:r>
    </w:p>
    <w:p>
      <w:pPr>
        <w:pStyle w:val="BodyText"/>
        <w:spacing w:line="309" w:lineRule="auto" w:before="56"/>
        <w:ind w:right="1118" w:firstLine="422"/>
        <w:jc w:val="both"/>
      </w:pPr>
      <w:r>
        <w:rPr>
          <w:spacing w:val="-2"/>
        </w:rPr>
        <w:t>本公司的金融负债于初始确认时分类为：以摊余成本计量的金融负债与以公允价值计量且其变动计入</w:t>
      </w:r>
      <w:r>
        <w:rPr>
          <w:w w:val="100"/>
        </w:rPr>
        <w:t> </w:t>
      </w:r>
      <w:r>
        <w:rPr/>
        <w:t>当期损益的金融负债。</w:t>
      </w:r>
    </w:p>
    <w:p>
      <w:pPr>
        <w:spacing w:line="240" w:lineRule="auto" w:before="4"/>
        <w:rPr>
          <w:rFonts w:ascii="宋体" w:hAnsi="宋体" w:cs="宋体" w:eastAsia="宋体" w:hint="default"/>
          <w:sz w:val="14"/>
          <w:szCs w:val="14"/>
        </w:rPr>
      </w:pPr>
    </w:p>
    <w:p>
      <w:pPr>
        <w:pStyle w:val="BodyText"/>
        <w:spacing w:line="312" w:lineRule="auto"/>
        <w:ind w:right="1122" w:firstLine="422"/>
        <w:jc w:val="both"/>
      </w:pPr>
      <w:r>
        <w:rPr>
          <w:spacing w:val="2"/>
        </w:rPr>
        <w:t>符合以下条件之一的金融负债可在初始计量时指定为以公允价值计量且其变动计入当期损益的金融</w:t>
      </w:r>
      <w:r>
        <w:rPr>
          <w:w w:val="100"/>
        </w:rPr>
        <w:t> </w:t>
      </w:r>
      <w:r>
        <w:rPr>
          <w:spacing w:val="-7"/>
          <w:w w:val="100"/>
        </w:rPr>
        <w:t>负债：（</w:t>
      </w:r>
      <w:r>
        <w:rPr>
          <w:rFonts w:ascii="宋体" w:hAnsi="宋体" w:cs="宋体" w:eastAsia="宋体" w:hint="default"/>
          <w:spacing w:val="-7"/>
          <w:w w:val="100"/>
        </w:rPr>
        <w:t>1</w:t>
      </w:r>
      <w:r>
        <w:rPr>
          <w:spacing w:val="-7"/>
          <w:w w:val="100"/>
        </w:rPr>
        <w:t>）该项指定能够消除或显著减少会计错配；（</w:t>
      </w:r>
      <w:r>
        <w:rPr>
          <w:rFonts w:ascii="宋体" w:hAnsi="宋体" w:cs="宋体" w:eastAsia="宋体" w:hint="default"/>
          <w:spacing w:val="-7"/>
          <w:w w:val="100"/>
        </w:rPr>
        <w:t>2</w:t>
      </w:r>
      <w:r>
        <w:rPr>
          <w:spacing w:val="-7"/>
          <w:w w:val="100"/>
        </w:rPr>
        <w:t>）根据正式书面文件载明的公司风险管理或投资策</w:t>
      </w:r>
      <w:r>
        <w:rPr>
          <w:spacing w:val="-61"/>
          <w:w w:val="100"/>
        </w:rPr>
        <w:t> </w:t>
      </w:r>
      <w:r>
        <w:rPr>
          <w:spacing w:val="-61"/>
          <w:w w:val="100"/>
        </w:rPr>
      </w:r>
      <w:r>
        <w:rPr>
          <w:spacing w:val="-2"/>
        </w:rPr>
        <w:t>略，以公允价值为基础对金融负债组合或金融资产和金融负债组合进行管理和业绩评价，并在公司内部以</w:t>
      </w:r>
      <w:r>
        <w:rPr>
          <w:spacing w:val="-30"/>
        </w:rPr>
        <w:t> </w:t>
      </w:r>
      <w:r>
        <w:rPr>
          <w:spacing w:val="-30"/>
        </w:rPr>
      </w:r>
      <w:r>
        <w:rPr>
          <w:spacing w:val="-4"/>
          <w:w w:val="100"/>
        </w:rPr>
        <w:t>此为基础向关键管理人员报告；（</w:t>
      </w:r>
      <w:r>
        <w:rPr>
          <w:rFonts w:ascii="宋体" w:hAnsi="宋体" w:cs="宋体" w:eastAsia="宋体" w:hint="default"/>
          <w:spacing w:val="-4"/>
          <w:w w:val="100"/>
        </w:rPr>
        <w:t>3</w:t>
      </w:r>
      <w:r>
        <w:rPr>
          <w:spacing w:val="-4"/>
          <w:w w:val="100"/>
        </w:rPr>
        <w:t>）该金融负债包含需单独分拆的嵌入衍生工具。</w:t>
      </w:r>
    </w:p>
    <w:p>
      <w:pPr>
        <w:spacing w:after="0" w:line="312" w:lineRule="auto"/>
        <w:jc w:val="both"/>
        <w:sectPr>
          <w:footerReference w:type="default" r:id="rId24"/>
          <w:pgSz w:w="11910" w:h="16840"/>
          <w:pgMar w:footer="979" w:header="741" w:top="1060" w:bottom="1160" w:left="980" w:right="0"/>
          <w:pgNumType w:start="101"/>
        </w:sectPr>
      </w:pPr>
    </w:p>
    <w:p>
      <w:pPr>
        <w:spacing w:line="240" w:lineRule="auto" w:before="4"/>
        <w:rPr>
          <w:rFonts w:ascii="宋体" w:hAnsi="宋体" w:cs="宋体" w:eastAsia="宋体" w:hint="default"/>
          <w:sz w:val="29"/>
          <w:szCs w:val="29"/>
        </w:rPr>
      </w:pPr>
    </w:p>
    <w:p>
      <w:pPr>
        <w:pStyle w:val="BodyText"/>
        <w:spacing w:line="309" w:lineRule="auto" w:before="36"/>
        <w:ind w:right="0" w:firstLine="422"/>
        <w:jc w:val="left"/>
      </w:pPr>
      <w:r>
        <w:rPr/>
        <w:t>本公司在初始确认时确定金融负债的分类。对于以公允价值计量且其变动计入当期损益的金融负债，</w:t>
      </w:r>
      <w:r>
        <w:rPr>
          <w:w w:val="100"/>
        </w:rPr>
        <w:t> </w:t>
      </w:r>
      <w:r>
        <w:rPr/>
        <w:t>相关交易费用直接计入当期损益，其他金融负债的相关交易费用计入其初始确认金额。</w:t>
      </w:r>
    </w:p>
    <w:p>
      <w:pPr>
        <w:spacing w:line="240" w:lineRule="auto" w:before="0"/>
        <w:rPr>
          <w:rFonts w:ascii="宋体" w:hAnsi="宋体" w:cs="宋体" w:eastAsia="宋体" w:hint="default"/>
          <w:sz w:val="14"/>
          <w:szCs w:val="14"/>
        </w:rPr>
      </w:pPr>
    </w:p>
    <w:p>
      <w:pPr>
        <w:pStyle w:val="BodyText"/>
        <w:spacing w:line="240" w:lineRule="auto"/>
        <w:ind w:left="575" w:right="0"/>
        <w:jc w:val="left"/>
      </w:pPr>
      <w:r>
        <w:rPr/>
        <w:t>金融负债的后续计量取决于其分类：</w:t>
      </w:r>
    </w:p>
    <w:p>
      <w:pPr>
        <w:spacing w:line="240" w:lineRule="auto" w:before="3"/>
        <w:rPr>
          <w:rFonts w:ascii="宋体" w:hAnsi="宋体" w:cs="宋体" w:eastAsia="宋体" w:hint="default"/>
          <w:sz w:val="18"/>
          <w:szCs w:val="18"/>
        </w:rPr>
      </w:pPr>
    </w:p>
    <w:p>
      <w:pPr>
        <w:pStyle w:val="BodyText"/>
        <w:spacing w:line="453" w:lineRule="auto"/>
        <w:ind w:left="575" w:right="2115"/>
        <w:jc w:val="left"/>
      </w:pPr>
      <w:r>
        <w:rPr/>
        <w:t>（</w:t>
      </w:r>
      <w:r>
        <w:rPr>
          <w:rFonts w:ascii="宋体" w:hAnsi="宋体" w:cs="宋体" w:eastAsia="宋体" w:hint="default"/>
        </w:rPr>
        <w:t>1</w:t>
      </w:r>
      <w:r>
        <w:rPr/>
        <w:t>）以摊余成本计量的金融负债</w:t>
      </w:r>
      <w:r>
        <w:rPr>
          <w:spacing w:val="-102"/>
        </w:rPr>
        <w:t> </w:t>
      </w:r>
      <w:r>
        <w:rPr>
          <w:spacing w:val="-102"/>
        </w:rPr>
      </w:r>
      <w:r>
        <w:rPr>
          <w:spacing w:val="-2"/>
        </w:rPr>
        <w:t>对于此类金融负债，采用实际利率法，按照摊余成本进行后续计量。</w:t>
      </w:r>
    </w:p>
    <w:p>
      <w:pPr>
        <w:pStyle w:val="BodyText"/>
        <w:spacing w:line="240" w:lineRule="auto" w:before="52"/>
        <w:ind w:left="575" w:right="0"/>
        <w:jc w:val="left"/>
      </w:pPr>
      <w:r>
        <w:rPr/>
        <w:t>（</w:t>
      </w:r>
      <w:r>
        <w:rPr>
          <w:rFonts w:ascii="宋体" w:hAnsi="宋体" w:cs="宋体" w:eastAsia="宋体" w:hint="default"/>
        </w:rPr>
        <w:t>2</w:t>
      </w:r>
      <w:r>
        <w:rPr/>
        <w:t>）以公允价值计量且其变动计入当期损益的金融负债</w:t>
      </w:r>
    </w:p>
    <w:p>
      <w:pPr>
        <w:spacing w:line="240" w:lineRule="auto" w:before="0"/>
        <w:rPr>
          <w:rFonts w:ascii="宋体" w:hAnsi="宋体" w:cs="宋体" w:eastAsia="宋体" w:hint="default"/>
          <w:sz w:val="19"/>
          <w:szCs w:val="19"/>
        </w:rPr>
      </w:pPr>
    </w:p>
    <w:p>
      <w:pPr>
        <w:pStyle w:val="BodyText"/>
        <w:spacing w:line="309" w:lineRule="auto"/>
        <w:ind w:right="0" w:firstLine="422"/>
        <w:jc w:val="left"/>
      </w:pPr>
      <w:r>
        <w:rPr/>
        <w:t>以公允价值计量且其变动计入当期损益的金融负债，包括交易性金融负债</w:t>
      </w:r>
      <w:r>
        <w:rPr>
          <w:rFonts w:ascii="宋体" w:hAnsi="宋体" w:cs="宋体" w:eastAsia="宋体" w:hint="default"/>
        </w:rPr>
        <w:t>(</w:t>
      </w:r>
      <w:r>
        <w:rPr/>
        <w:t>含属于金融负债的衍生工</w:t>
      </w:r>
      <w:r>
        <w:rPr>
          <w:w w:val="100"/>
        </w:rPr>
        <w:t> </w:t>
      </w:r>
      <w:r>
        <w:rPr/>
        <w:t>具</w:t>
      </w:r>
      <w:r>
        <w:rPr>
          <w:rFonts w:ascii="宋体" w:hAnsi="宋体" w:cs="宋体" w:eastAsia="宋体" w:hint="default"/>
        </w:rPr>
        <w:t>)</w:t>
      </w:r>
      <w:r>
        <w:rPr/>
        <w:t>和初始确认时指定为以公允价值计量且其变动计入当期损益的金融负债。</w:t>
      </w:r>
    </w:p>
    <w:p>
      <w:pPr>
        <w:pStyle w:val="BodyText"/>
        <w:spacing w:line="524" w:lineRule="exact" w:before="4"/>
        <w:ind w:left="575" w:right="0"/>
        <w:jc w:val="left"/>
      </w:pPr>
      <w:r>
        <w:rPr>
          <w:rFonts w:ascii="宋体" w:hAnsi="宋体" w:cs="宋体" w:eastAsia="宋体" w:hint="default"/>
        </w:rPr>
        <w:t>4.</w:t>
      </w:r>
      <w:r>
        <w:rPr/>
        <w:t>金融工具抵销</w:t>
      </w:r>
      <w:r>
        <w:rPr>
          <w:spacing w:val="-102"/>
        </w:rPr>
        <w:t> </w:t>
      </w:r>
      <w:r>
        <w:rPr>
          <w:spacing w:val="-102"/>
        </w:rPr>
      </w:r>
      <w:r>
        <w:rPr>
          <w:spacing w:val="-2"/>
        </w:rPr>
        <w:t>同时满足下列条件的，金融资产和金融负债以相互抵销后的净额在资产负债表内列示：具有抵销已确</w:t>
      </w:r>
    </w:p>
    <w:p>
      <w:pPr>
        <w:pStyle w:val="BodyText"/>
        <w:spacing w:line="309" w:lineRule="auto" w:before="10"/>
        <w:ind w:right="1125"/>
        <w:jc w:val="both"/>
      </w:pPr>
      <w:r>
        <w:rPr>
          <w:spacing w:val="-2"/>
        </w:rPr>
        <w:t>认金额的法定权利，且该种法定权利是当前可执行的；计划以净额结算，或同时变现该金融资产和清偿该</w:t>
      </w:r>
      <w:r>
        <w:rPr>
          <w:spacing w:val="-33"/>
        </w:rPr>
        <w:t> </w:t>
      </w:r>
      <w:r>
        <w:rPr>
          <w:spacing w:val="-33"/>
        </w:rPr>
      </w:r>
      <w:r>
        <w:rPr/>
        <w:t>金融负债。</w:t>
      </w:r>
    </w:p>
    <w:p>
      <w:pPr>
        <w:pStyle w:val="BodyText"/>
        <w:spacing w:line="524" w:lineRule="exact" w:before="4"/>
        <w:ind w:left="575" w:right="0"/>
        <w:jc w:val="left"/>
      </w:pPr>
      <w:r>
        <w:rPr>
          <w:rFonts w:ascii="宋体" w:hAnsi="宋体" w:cs="宋体" w:eastAsia="宋体" w:hint="default"/>
        </w:rPr>
        <w:t>5.</w:t>
      </w:r>
      <w:r>
        <w:rPr/>
        <w:t>金融资产减值</w:t>
      </w:r>
      <w:r>
        <w:rPr>
          <w:spacing w:val="-102"/>
        </w:rPr>
        <w:t> </w:t>
      </w:r>
      <w:r>
        <w:rPr>
          <w:spacing w:val="-102"/>
        </w:rPr>
      </w:r>
      <w:r>
        <w:rPr>
          <w:spacing w:val="-2"/>
        </w:rPr>
        <w:t>本公司对于以摊余成本计量的金融资产、以公允价值计量且其变动计入其他综合收益的债务工具投资</w:t>
      </w:r>
    </w:p>
    <w:p>
      <w:pPr>
        <w:pStyle w:val="BodyText"/>
        <w:spacing w:line="309" w:lineRule="auto" w:before="10"/>
        <w:ind w:right="1122"/>
        <w:jc w:val="both"/>
      </w:pPr>
      <w:r>
        <w:rPr>
          <w:spacing w:val="-7"/>
        </w:rPr>
        <w:t>和财务担保合同等，以预期信用损失为基础确认损失准备。信用损失，是指本公司按照原实际利率折现的、</w:t>
      </w:r>
      <w:r>
        <w:rPr>
          <w:spacing w:val="-3"/>
        </w:rPr>
        <w:t> </w:t>
      </w:r>
      <w:r>
        <w:rPr>
          <w:spacing w:val="-3"/>
        </w:rPr>
      </w:r>
      <w:r>
        <w:rPr/>
        <w:t>根据合同应收的所有合同现金流量与预期收取的所有现金流量之间的差额，即全部现金短缺的现值。</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t>本公司考虑所有合理且有依据的信息，包括前瞻性信息，以单项或组合的方式对以摊余成本计量的金</w:t>
      </w:r>
      <w:r>
        <w:rPr>
          <w:w w:val="100"/>
        </w:rPr>
        <w:t> </w:t>
      </w:r>
      <w:r>
        <w:rPr/>
        <w:t>融资产和以公允价值计量且其变动计入其他综合收益的金融资产（债务工具）的预期信用损失进行估计。</w:t>
      </w:r>
    </w:p>
    <w:p>
      <w:pPr>
        <w:pStyle w:val="BodyText"/>
        <w:spacing w:line="518" w:lineRule="exact" w:before="13"/>
        <w:ind w:left="575" w:right="0"/>
        <w:jc w:val="left"/>
      </w:pPr>
      <w:r>
        <w:rPr/>
        <w:t>（</w:t>
      </w:r>
      <w:r>
        <w:rPr>
          <w:rFonts w:ascii="宋体" w:hAnsi="宋体" w:cs="宋体" w:eastAsia="宋体" w:hint="default"/>
        </w:rPr>
        <w:t>1</w:t>
      </w:r>
      <w:r>
        <w:rPr/>
        <w:t>）预期信用损失一般模型</w:t>
      </w:r>
      <w:r>
        <w:rPr>
          <w:spacing w:val="-100"/>
        </w:rPr>
        <w:t> </w:t>
      </w:r>
      <w:r>
        <w:rPr>
          <w:spacing w:val="-100"/>
        </w:rPr>
      </w:r>
      <w:r>
        <w:rPr>
          <w:spacing w:val="-2"/>
        </w:rPr>
        <w:t>如果该金融工具的信用风险自初始确认后已显著增加，本公司按照相当于该金融工具整个存续期内预</w:t>
      </w:r>
    </w:p>
    <w:p>
      <w:pPr>
        <w:pStyle w:val="BodyText"/>
        <w:spacing w:line="312" w:lineRule="auto" w:before="11"/>
        <w:ind w:right="1125"/>
        <w:jc w:val="both"/>
      </w:pPr>
      <w:r>
        <w:rPr>
          <w:spacing w:val="-2"/>
        </w:rPr>
        <w:t>期信用损失的金额计量其损失准备；如果该金融工具的信用风险自初始确认后并未显著增加，本公司按照</w:t>
      </w:r>
      <w:r>
        <w:rPr>
          <w:spacing w:val="-33"/>
        </w:rPr>
        <w:t> </w:t>
      </w:r>
      <w:r>
        <w:rPr>
          <w:spacing w:val="-33"/>
        </w:rPr>
      </w:r>
      <w:r>
        <w:rPr/>
        <w:t>相当于该金融工具未来 </w:t>
      </w:r>
      <w:r>
        <w:rPr>
          <w:rFonts w:ascii="宋体" w:hAnsi="宋体" w:cs="宋体" w:eastAsia="宋体" w:hint="default"/>
        </w:rPr>
        <w:t>12</w:t>
      </w:r>
      <w:r>
        <w:rPr>
          <w:rFonts w:ascii="宋体" w:hAnsi="宋体" w:cs="宋体" w:eastAsia="宋体" w:hint="default"/>
          <w:spacing w:val="-19"/>
        </w:rPr>
        <w:t> </w:t>
      </w:r>
      <w:r>
        <w:rPr/>
        <w:t>个月内预期信用损失的金额计量其损失准备。由此形成的损失准备的增加或转</w:t>
      </w:r>
      <w:r>
        <w:rPr>
          <w:w w:val="100"/>
        </w:rPr>
        <w:t> </w:t>
      </w:r>
      <w:r>
        <w:rPr>
          <w:spacing w:val="-2"/>
        </w:rPr>
        <w:t>回金额，作为减值损失或利得计入当期损益。本公司对信用风险的具体评估，详见本报告附注十一、与金</w:t>
      </w:r>
      <w:r>
        <w:rPr>
          <w:spacing w:val="-33"/>
        </w:rPr>
        <w:t> </w:t>
      </w:r>
      <w:r>
        <w:rPr>
          <w:spacing w:val="-33"/>
        </w:rPr>
      </w:r>
      <w:r>
        <w:rPr/>
        <w:t>融工具相关的风险。</w:t>
      </w:r>
    </w:p>
    <w:p>
      <w:pPr>
        <w:spacing w:line="240" w:lineRule="auto" w:before="2"/>
        <w:rPr>
          <w:rFonts w:ascii="宋体" w:hAnsi="宋体" w:cs="宋体" w:eastAsia="宋体" w:hint="default"/>
          <w:sz w:val="14"/>
          <w:szCs w:val="14"/>
        </w:rPr>
      </w:pPr>
    </w:p>
    <w:p>
      <w:pPr>
        <w:pStyle w:val="BodyText"/>
        <w:spacing w:line="309" w:lineRule="auto"/>
        <w:ind w:right="1110" w:firstLine="422"/>
        <w:jc w:val="left"/>
      </w:pPr>
      <w:r>
        <w:rPr/>
        <w:t>通常逾期超过</w:t>
      </w:r>
      <w:r>
        <w:rPr>
          <w:spacing w:val="-63"/>
        </w:rPr>
        <w:t> </w:t>
      </w:r>
      <w:r>
        <w:rPr>
          <w:rFonts w:ascii="宋体" w:hAnsi="宋体" w:cs="宋体" w:eastAsia="宋体" w:hint="default"/>
        </w:rPr>
        <w:t>120</w:t>
      </w:r>
      <w:r>
        <w:rPr>
          <w:rFonts w:ascii="宋体" w:hAnsi="宋体" w:cs="宋体" w:eastAsia="宋体" w:hint="default"/>
          <w:spacing w:val="-63"/>
        </w:rPr>
        <w:t> </w:t>
      </w:r>
      <w:r>
        <w:rPr/>
        <w:t>日，本公司即认为该金融工具的信用风险已显著增加，除非有确凿证据证明该金融</w:t>
      </w:r>
      <w:r>
        <w:rPr>
          <w:w w:val="100"/>
        </w:rPr>
        <w:t> </w:t>
      </w:r>
      <w:r>
        <w:rPr/>
        <w:t>工具的信用风险自初始确认后并未显著增加。</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spacing w:val="-2"/>
        </w:rPr>
        <w:t>具体来说，本公司将购买或源生时未发生信用减值的金融工具发生信用减值的过程分为三个阶段，对</w:t>
      </w:r>
      <w:r>
        <w:rPr>
          <w:w w:val="100"/>
        </w:rPr>
        <w:t> </w:t>
      </w:r>
      <w:r>
        <w:rPr/>
        <w:t>于不同阶段的金融工具的减值有不同的会计处理方法：</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t>第一阶段：信用风险自初始确认后未显著增加</w:t>
      </w:r>
    </w:p>
    <w:p>
      <w:pPr>
        <w:spacing w:line="240" w:lineRule="auto" w:before="9"/>
        <w:rPr>
          <w:rFonts w:ascii="宋体" w:hAnsi="宋体" w:cs="宋体" w:eastAsia="宋体" w:hint="default"/>
          <w:sz w:val="18"/>
          <w:szCs w:val="18"/>
        </w:rPr>
      </w:pPr>
    </w:p>
    <w:p>
      <w:pPr>
        <w:pStyle w:val="BodyText"/>
        <w:spacing w:line="309" w:lineRule="auto"/>
        <w:ind w:right="1105" w:firstLine="422"/>
        <w:jc w:val="left"/>
      </w:pPr>
      <w:r>
        <w:rPr/>
        <w:t>对于处于该阶段的金融工具，企业应当按照未来 </w:t>
      </w:r>
      <w:r>
        <w:rPr>
          <w:rFonts w:ascii="宋体" w:hAnsi="宋体" w:cs="宋体" w:eastAsia="宋体" w:hint="default"/>
        </w:rPr>
        <w:t>12</w:t>
      </w:r>
      <w:r>
        <w:rPr>
          <w:rFonts w:ascii="宋体" w:hAnsi="宋体" w:cs="宋体" w:eastAsia="宋体" w:hint="default"/>
          <w:spacing w:val="-16"/>
        </w:rPr>
        <w:t> </w:t>
      </w:r>
      <w:r>
        <w:rPr/>
        <w:t>个月的预期信用损失计量损失准备，并按其账面</w:t>
      </w:r>
      <w:r>
        <w:rPr>
          <w:w w:val="100"/>
        </w:rPr>
        <w:t> </w:t>
      </w:r>
      <w:r>
        <w:rPr>
          <w:spacing w:val="-4"/>
          <w:w w:val="100"/>
        </w:rPr>
        <w:t>余额（即未扣除减值准备）和实际利率计算利息收入（若该工具为金融资产，下同）。</w:t>
      </w:r>
    </w:p>
    <w:p>
      <w:pPr>
        <w:spacing w:after="0" w:line="309" w:lineRule="auto"/>
        <w:jc w:val="left"/>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left="575" w:right="0"/>
        <w:jc w:val="left"/>
      </w:pPr>
      <w:r>
        <w:rPr/>
        <w:t>第二阶段：信用风险自初始确认后己显著增加但尚未发生信用减值</w:t>
      </w:r>
    </w:p>
    <w:p>
      <w:pPr>
        <w:spacing w:line="240" w:lineRule="auto" w:before="13"/>
        <w:rPr>
          <w:rFonts w:ascii="宋体" w:hAnsi="宋体" w:cs="宋体" w:eastAsia="宋体" w:hint="default"/>
          <w:sz w:val="18"/>
          <w:szCs w:val="18"/>
        </w:rPr>
      </w:pPr>
    </w:p>
    <w:p>
      <w:pPr>
        <w:pStyle w:val="BodyText"/>
        <w:spacing w:line="309" w:lineRule="auto"/>
        <w:ind w:right="1125" w:firstLine="422"/>
        <w:jc w:val="both"/>
      </w:pPr>
      <w:r>
        <w:rPr>
          <w:spacing w:val="-2"/>
        </w:rPr>
        <w:t>对于处于该阶段的金融工具，企业应当按照该工具整个存续期的预期信用损失计量损失准备，并按其</w:t>
      </w:r>
      <w:r>
        <w:rPr>
          <w:w w:val="100"/>
        </w:rPr>
        <w:t> </w:t>
      </w:r>
      <w:r>
        <w:rPr/>
        <w:t>账面余额和实际利率计算利息收入。</w:t>
      </w:r>
    </w:p>
    <w:p>
      <w:pPr>
        <w:pStyle w:val="BodyText"/>
        <w:spacing w:line="524" w:lineRule="exact" w:before="4"/>
        <w:ind w:left="575" w:right="0"/>
        <w:jc w:val="left"/>
      </w:pPr>
      <w:r>
        <w:rPr/>
        <w:t>第三阶段：初始确认后发生信用减值</w:t>
      </w:r>
      <w:r>
        <w:rPr>
          <w:spacing w:val="-101"/>
        </w:rPr>
        <w:t> </w:t>
      </w:r>
      <w:r>
        <w:rPr>
          <w:spacing w:val="-101"/>
        </w:rPr>
      </w:r>
      <w:r>
        <w:rPr>
          <w:spacing w:val="-2"/>
        </w:rPr>
        <w:t>对于处于该阶段的金融工具，企业应当按照该工具整个存续期的预期信用损失计量损失准备，但对利</w:t>
      </w:r>
    </w:p>
    <w:p>
      <w:pPr>
        <w:pStyle w:val="BodyText"/>
        <w:spacing w:line="240" w:lineRule="auto" w:before="10"/>
        <w:ind w:right="0"/>
        <w:jc w:val="left"/>
      </w:pPr>
      <w:r>
        <w:rPr/>
        <w:t>息收入的计算不同于处于前两阶段的金融资产。对于已发生信用减值的金融资产，企业应当按其摊余成本</w:t>
      </w:r>
    </w:p>
    <w:p>
      <w:pPr>
        <w:pStyle w:val="BodyText"/>
        <w:spacing w:line="240" w:lineRule="auto" w:before="80"/>
        <w:ind w:right="0"/>
        <w:jc w:val="left"/>
      </w:pPr>
      <w:r>
        <w:rPr/>
        <w:t>（账面余额减已计提减值准备，也即账面价值）和实际利率计算利息收入。</w:t>
      </w:r>
    </w:p>
    <w:p>
      <w:pPr>
        <w:spacing w:line="240" w:lineRule="auto" w:before="8"/>
        <w:rPr>
          <w:rFonts w:ascii="宋体" w:hAnsi="宋体" w:cs="宋体" w:eastAsia="宋体" w:hint="default"/>
          <w:sz w:val="18"/>
          <w:szCs w:val="18"/>
        </w:rPr>
      </w:pPr>
    </w:p>
    <w:p>
      <w:pPr>
        <w:pStyle w:val="BodyText"/>
        <w:spacing w:line="309" w:lineRule="auto"/>
        <w:ind w:right="1121" w:firstLine="422"/>
        <w:jc w:val="both"/>
      </w:pPr>
      <w:r>
        <w:rPr>
          <w:spacing w:val="-2"/>
        </w:rPr>
        <w:t>对于购买或源生时已发生信用减值的金融资产，企业应当仅将初始确认后整个存续期内预期信用损失</w:t>
      </w:r>
      <w:r>
        <w:rPr>
          <w:w w:val="100"/>
        </w:rPr>
        <w:t> </w:t>
      </w:r>
      <w:r>
        <w:rPr/>
        <w:t>的变动确认为损失准备，并按其摊余成本和经信用调整的实际利率计算利息收入。</w:t>
      </w:r>
    </w:p>
    <w:p>
      <w:pPr>
        <w:spacing w:line="240" w:lineRule="auto" w:before="4"/>
        <w:rPr>
          <w:rFonts w:ascii="宋体" w:hAnsi="宋体" w:cs="宋体" w:eastAsia="宋体" w:hint="default"/>
          <w:sz w:val="14"/>
          <w:szCs w:val="14"/>
        </w:rPr>
      </w:pPr>
    </w:p>
    <w:p>
      <w:pPr>
        <w:pStyle w:val="BodyText"/>
        <w:spacing w:line="309" w:lineRule="auto"/>
        <w:ind w:right="1135" w:firstLine="422"/>
        <w:jc w:val="both"/>
      </w:pPr>
      <w:r>
        <w:rPr/>
        <w:t>（</w:t>
      </w:r>
      <w:r>
        <w:rPr>
          <w:rFonts w:ascii="宋体" w:hAnsi="宋体" w:cs="宋体" w:eastAsia="宋体" w:hint="default"/>
        </w:rPr>
        <w:t>2</w:t>
      </w:r>
      <w:r>
        <w:rPr/>
        <w:t>）本公司对在资产负债表日具有较低信用风险的金融工具，选择不与其初始确认时的信用风险进</w:t>
      </w:r>
      <w:r>
        <w:rPr>
          <w:w w:val="100"/>
        </w:rPr>
        <w:t> </w:t>
      </w:r>
      <w:r>
        <w:rPr/>
        <w:t>行比较，而直接做出该工具的信用风险自初始确认后未显著增加的假定。</w:t>
      </w:r>
    </w:p>
    <w:p>
      <w:pPr>
        <w:spacing w:line="240" w:lineRule="auto" w:before="13"/>
        <w:rPr>
          <w:rFonts w:ascii="宋体" w:hAnsi="宋体" w:cs="宋体" w:eastAsia="宋体" w:hint="default"/>
          <w:sz w:val="13"/>
          <w:szCs w:val="13"/>
        </w:rPr>
      </w:pPr>
    </w:p>
    <w:p>
      <w:pPr>
        <w:pStyle w:val="BodyText"/>
        <w:spacing w:line="312" w:lineRule="auto"/>
        <w:ind w:right="0" w:firstLine="422"/>
        <w:jc w:val="left"/>
      </w:pPr>
      <w:r>
        <w:rPr/>
        <w:t>如果企业确定金融工具的违约风险较低，借款人在短期内履行其支付合同现金流量义务的能力很强，</w:t>
      </w:r>
      <w:r>
        <w:rPr>
          <w:w w:val="100"/>
        </w:rPr>
        <w:t> </w:t>
      </w:r>
      <w:r>
        <w:rPr>
          <w:spacing w:val="-2"/>
        </w:rPr>
        <w:t>并且即使较长时期内经济形势和经营环境存在不利变化，也不一定会降低借款人履行其支付合同现金流量</w:t>
      </w:r>
      <w:r>
        <w:rPr>
          <w:spacing w:val="-33"/>
        </w:rPr>
        <w:t> </w:t>
      </w:r>
      <w:r>
        <w:rPr>
          <w:spacing w:val="-33"/>
        </w:rPr>
      </w:r>
      <w:r>
        <w:rPr/>
        <w:t>义务的能力，那么该金融工具可被视为具有较低的信用风险。</w:t>
      </w:r>
    </w:p>
    <w:p>
      <w:pPr>
        <w:spacing w:line="240" w:lineRule="auto" w:before="11"/>
        <w:rPr>
          <w:rFonts w:ascii="宋体" w:hAnsi="宋体" w:cs="宋体" w:eastAsia="宋体" w:hint="default"/>
          <w:sz w:val="13"/>
          <w:szCs w:val="13"/>
        </w:rPr>
      </w:pPr>
    </w:p>
    <w:p>
      <w:pPr>
        <w:pStyle w:val="BodyText"/>
        <w:spacing w:line="240" w:lineRule="auto"/>
        <w:ind w:left="575" w:right="0"/>
        <w:jc w:val="left"/>
      </w:pPr>
      <w:r>
        <w:rPr/>
        <w:t>（</w:t>
      </w:r>
      <w:r>
        <w:rPr>
          <w:rFonts w:ascii="宋体" w:hAnsi="宋体" w:cs="宋体" w:eastAsia="宋体" w:hint="default"/>
        </w:rPr>
        <w:t>3</w:t>
      </w:r>
      <w:r>
        <w:rPr/>
        <w:t>）应收款项及租赁应收款</w:t>
      </w:r>
    </w:p>
    <w:p>
      <w:pPr>
        <w:spacing w:line="240" w:lineRule="auto" w:before="8"/>
        <w:rPr>
          <w:rFonts w:ascii="宋体" w:hAnsi="宋体" w:cs="宋体" w:eastAsia="宋体" w:hint="default"/>
          <w:sz w:val="18"/>
          <w:szCs w:val="18"/>
        </w:rPr>
      </w:pPr>
    </w:p>
    <w:p>
      <w:pPr>
        <w:pStyle w:val="BodyText"/>
        <w:spacing w:line="312" w:lineRule="auto"/>
        <w:ind w:right="1119" w:firstLine="422"/>
        <w:jc w:val="both"/>
      </w:pPr>
      <w:r>
        <w:rPr/>
        <w:t>本公司对于《企业会计准则第 </w:t>
      </w:r>
      <w:r>
        <w:rPr>
          <w:rFonts w:ascii="宋体" w:hAnsi="宋体" w:cs="宋体" w:eastAsia="宋体" w:hint="default"/>
        </w:rPr>
        <w:t>14</w:t>
      </w:r>
      <w:r>
        <w:rPr>
          <w:rFonts w:ascii="宋体" w:hAnsi="宋体" w:cs="宋体" w:eastAsia="宋体" w:hint="default"/>
          <w:spacing w:val="-16"/>
        </w:rPr>
        <w:t> </w:t>
      </w:r>
      <w:r>
        <w:rPr/>
        <w:t>号——收入》所规定的、不含重大融资成分（包括根据该准则不考</w:t>
      </w:r>
      <w:r>
        <w:rPr>
          <w:w w:val="100"/>
        </w:rPr>
        <w:t> </w:t>
      </w:r>
      <w:r>
        <w:rPr>
          <w:spacing w:val="-2"/>
        </w:rPr>
        <w:t>虑不超过一年的合同中融资成分的情况）的应收款项，采用预期信用损失的简化模型，始终按照整个存续</w:t>
      </w:r>
      <w:r>
        <w:rPr>
          <w:spacing w:val="-33"/>
        </w:rPr>
        <w:t> </w:t>
      </w:r>
      <w:r>
        <w:rPr>
          <w:spacing w:val="-33"/>
        </w:rPr>
      </w:r>
      <w:r>
        <w:rPr/>
        <w:t>期内预期信用损失的金额计量其损失准备。</w:t>
      </w:r>
    </w:p>
    <w:p>
      <w:pPr>
        <w:spacing w:line="240" w:lineRule="auto" w:before="3"/>
        <w:rPr>
          <w:rFonts w:ascii="宋体" w:hAnsi="宋体" w:cs="宋体" w:eastAsia="宋体" w:hint="default"/>
          <w:sz w:val="14"/>
          <w:szCs w:val="14"/>
        </w:rPr>
      </w:pPr>
    </w:p>
    <w:p>
      <w:pPr>
        <w:pStyle w:val="BodyText"/>
        <w:spacing w:line="312" w:lineRule="auto"/>
        <w:ind w:right="1123" w:firstLine="422"/>
        <w:jc w:val="both"/>
      </w:pPr>
      <w:r>
        <w:rPr/>
        <w:t>本公司对包含重大融资成分的应收款项和《企业会计准则第 </w:t>
      </w:r>
      <w:r>
        <w:rPr>
          <w:rFonts w:ascii="宋体" w:hAnsi="宋体" w:cs="宋体" w:eastAsia="宋体" w:hint="default"/>
          <w:spacing w:val="-3"/>
        </w:rPr>
        <w:t>21</w:t>
      </w:r>
      <w:r>
        <w:rPr>
          <w:rFonts w:ascii="宋体" w:hAnsi="宋体" w:cs="宋体" w:eastAsia="宋体" w:hint="default"/>
          <w:spacing w:val="-14"/>
        </w:rPr>
        <w:t> </w:t>
      </w:r>
      <w:r>
        <w:rPr/>
        <w:t>号——租赁》规范的租赁应收款，本</w:t>
      </w:r>
      <w:r>
        <w:rPr>
          <w:w w:val="100"/>
        </w:rPr>
        <w:t> </w:t>
      </w:r>
      <w:r>
        <w:rPr>
          <w:spacing w:val="-2"/>
        </w:rPr>
        <w:t>公司作出会计政策选择，选择采用预期信用损失的简化模型，即按照相当于整个存续期内预期信用损失的</w:t>
      </w:r>
      <w:r>
        <w:rPr>
          <w:spacing w:val="-32"/>
        </w:rPr>
        <w:t> </w:t>
      </w:r>
      <w:r>
        <w:rPr>
          <w:spacing w:val="-32"/>
        </w:rPr>
      </w:r>
      <w:r>
        <w:rPr/>
        <w:t>金额计量损失准备。</w:t>
      </w:r>
    </w:p>
    <w:p>
      <w:pPr>
        <w:pStyle w:val="BodyText"/>
        <w:spacing w:line="524" w:lineRule="exact" w:before="2"/>
        <w:ind w:left="575" w:right="0"/>
        <w:jc w:val="left"/>
      </w:pPr>
      <w:r>
        <w:rPr>
          <w:rFonts w:ascii="宋体" w:hAnsi="宋体" w:cs="宋体" w:eastAsia="宋体" w:hint="default"/>
        </w:rPr>
        <w:t>6.</w:t>
      </w:r>
      <w:r>
        <w:rPr/>
        <w:t>金融资产转移</w:t>
      </w:r>
      <w:r>
        <w:rPr>
          <w:spacing w:val="-102"/>
        </w:rPr>
        <w:t> </w:t>
      </w:r>
      <w:r>
        <w:rPr>
          <w:spacing w:val="-102"/>
        </w:rPr>
      </w:r>
      <w:r>
        <w:rPr>
          <w:spacing w:val="-2"/>
        </w:rPr>
        <w:t>本公司已将金融资产所有权上几乎所有的风险和报酬转移给转入方的，终止确认该金融资产；保留了</w:t>
      </w:r>
    </w:p>
    <w:p>
      <w:pPr>
        <w:pStyle w:val="BodyText"/>
        <w:spacing w:line="240" w:lineRule="auto" w:before="5"/>
        <w:ind w:right="0"/>
        <w:jc w:val="left"/>
      </w:pPr>
      <w:r>
        <w:rPr/>
        <w:t>金融资产所有权上几乎所有的风险和报酬的，不终止确认该金融资产。</w:t>
      </w:r>
    </w:p>
    <w:p>
      <w:pPr>
        <w:spacing w:line="240" w:lineRule="auto" w:before="8"/>
        <w:rPr>
          <w:rFonts w:ascii="宋体" w:hAnsi="宋体" w:cs="宋体" w:eastAsia="宋体" w:hint="default"/>
          <w:sz w:val="18"/>
          <w:szCs w:val="18"/>
        </w:rPr>
      </w:pPr>
    </w:p>
    <w:p>
      <w:pPr>
        <w:pStyle w:val="BodyText"/>
        <w:spacing w:line="312" w:lineRule="auto"/>
        <w:ind w:right="1125" w:firstLine="422"/>
        <w:jc w:val="both"/>
      </w:pPr>
      <w:r>
        <w:rPr>
          <w:spacing w:val="-2"/>
        </w:rPr>
        <w:t>本公司既没有转移也没有保留金融资产所有权上几乎所有的风险和报酬的，分别下列情况处理：放弃</w:t>
      </w:r>
      <w:r>
        <w:rPr>
          <w:w w:val="100"/>
        </w:rPr>
        <w:t> </w:t>
      </w:r>
      <w:r>
        <w:rPr>
          <w:spacing w:val="-2"/>
        </w:rPr>
        <w:t>了对该金融资产控制的，终止确认该金融资产并确认产生的资产和负债；未放弃对该金融资产控制的，按</w:t>
      </w:r>
      <w:r>
        <w:rPr>
          <w:spacing w:val="-33"/>
        </w:rPr>
        <w:t> </w:t>
      </w:r>
      <w:r>
        <w:rPr>
          <w:spacing w:val="-33"/>
        </w:rPr>
      </w:r>
      <w:r>
        <w:rPr/>
        <w:t>照其继续涉入所转移金融资产的程度确认有关金融资产，并相应确认有关负债。</w:t>
      </w:r>
    </w:p>
    <w:p>
      <w:pPr>
        <w:spacing w:line="240" w:lineRule="auto" w:before="2"/>
        <w:rPr>
          <w:rFonts w:ascii="宋体" w:hAnsi="宋体" w:cs="宋体" w:eastAsia="宋体" w:hint="default"/>
          <w:sz w:val="14"/>
          <w:szCs w:val="14"/>
        </w:rPr>
      </w:pPr>
    </w:p>
    <w:p>
      <w:pPr>
        <w:pStyle w:val="BodyText"/>
        <w:spacing w:line="312" w:lineRule="auto"/>
        <w:ind w:right="1126" w:firstLine="422"/>
        <w:jc w:val="both"/>
      </w:pPr>
      <w:r>
        <w:rPr>
          <w:spacing w:val="-2"/>
        </w:rPr>
        <w:t>通过对所转移金融资产提供财务担保方式继续涉入的，按照金融资产的账面价值和财务担保金额两者</w:t>
      </w:r>
      <w:r>
        <w:rPr>
          <w:w w:val="100"/>
        </w:rPr>
        <w:t> </w:t>
      </w:r>
      <w:r>
        <w:rPr>
          <w:spacing w:val="-2"/>
        </w:rPr>
        <w:t>之中的较低者，确认继续涉入形成的资产。财务担保金额，是指所收到的对价中，将被要求偿还的最高金</w:t>
      </w:r>
      <w:r>
        <w:rPr>
          <w:spacing w:val="-33"/>
        </w:rPr>
        <w:t> </w:t>
      </w:r>
      <w:r>
        <w:rPr>
          <w:spacing w:val="-33"/>
        </w:rPr>
      </w:r>
      <w:r>
        <w:rPr/>
        <w:t>额。</w:t>
      </w:r>
    </w:p>
    <w:p>
      <w:pPr>
        <w:pStyle w:val="BodyText"/>
        <w:spacing w:line="240" w:lineRule="auto" w:before="176"/>
        <w:ind w:left="575" w:right="0"/>
        <w:jc w:val="left"/>
      </w:pPr>
      <w:bookmarkStart w:name="（十一）应收款项" w:id="178"/>
      <w:bookmarkEnd w:id="178"/>
      <w:r>
        <w:rPr/>
      </w:r>
      <w:r>
        <w:rPr/>
        <w:t>（十一）应收款项</w:t>
      </w:r>
    </w:p>
    <w:p>
      <w:pPr>
        <w:spacing w:line="240" w:lineRule="auto" w:before="13"/>
        <w:rPr>
          <w:rFonts w:ascii="宋体" w:hAnsi="宋体" w:cs="宋体" w:eastAsia="宋体" w:hint="default"/>
          <w:sz w:val="18"/>
          <w:szCs w:val="18"/>
        </w:rPr>
      </w:pPr>
    </w:p>
    <w:p>
      <w:pPr>
        <w:pStyle w:val="BodyText"/>
        <w:spacing w:line="240" w:lineRule="auto"/>
        <w:ind w:left="575" w:right="0"/>
        <w:jc w:val="left"/>
      </w:pPr>
      <w:r>
        <w:rPr/>
        <w:t>本公司对于《企业会计准则第 </w:t>
      </w:r>
      <w:r>
        <w:rPr>
          <w:rFonts w:ascii="宋体" w:hAnsi="宋体" w:cs="宋体" w:eastAsia="宋体" w:hint="default"/>
        </w:rPr>
        <w:t>14</w:t>
      </w:r>
      <w:r>
        <w:rPr>
          <w:rFonts w:ascii="宋体" w:hAnsi="宋体" w:cs="宋体" w:eastAsia="宋体" w:hint="default"/>
          <w:spacing w:val="-16"/>
        </w:rPr>
        <w:t> </w:t>
      </w:r>
      <w:r>
        <w:rPr/>
        <w:t>号——收入》所规定的、不含重大融资成分（包括根据该准则不考</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12" w:lineRule="auto" w:before="36"/>
        <w:ind w:right="1125"/>
        <w:jc w:val="both"/>
      </w:pPr>
      <w:r>
        <w:rPr>
          <w:spacing w:val="-2"/>
        </w:rPr>
        <w:t>虑不超过一年的合同中融资成分的情况）的应收款项，采用预期信用损失的简化模型，即始终按照整个存</w:t>
      </w:r>
      <w:r>
        <w:rPr>
          <w:spacing w:val="-33"/>
        </w:rPr>
        <w:t> </w:t>
      </w:r>
      <w:r>
        <w:rPr>
          <w:spacing w:val="-33"/>
        </w:rPr>
      </w:r>
      <w:r>
        <w:rPr>
          <w:spacing w:val="-2"/>
        </w:rPr>
        <w:t>续期内预期信用损失的金额计量其损失准备，由此形成的损失准备的增加或转回金额，作为减值损失或利</w:t>
      </w:r>
      <w:r>
        <w:rPr>
          <w:spacing w:val="-33"/>
        </w:rPr>
        <w:t> </w:t>
      </w:r>
      <w:r>
        <w:rPr>
          <w:spacing w:val="-33"/>
        </w:rPr>
      </w:r>
      <w:r>
        <w:rPr/>
        <w:t>得计入当期损益。</w:t>
      </w:r>
    </w:p>
    <w:p>
      <w:pPr>
        <w:spacing w:line="240" w:lineRule="auto" w:before="3"/>
        <w:rPr>
          <w:rFonts w:ascii="宋体" w:hAnsi="宋体" w:cs="宋体" w:eastAsia="宋体" w:hint="default"/>
          <w:sz w:val="14"/>
          <w:szCs w:val="14"/>
        </w:rPr>
      </w:pPr>
    </w:p>
    <w:p>
      <w:pPr>
        <w:pStyle w:val="BodyText"/>
        <w:spacing w:line="309" w:lineRule="auto"/>
        <w:ind w:right="0" w:firstLine="422"/>
        <w:jc w:val="left"/>
      </w:pPr>
      <w:r>
        <w:rPr>
          <w:spacing w:val="-2"/>
        </w:rPr>
        <w:t>对于包含重大融资成分的应收款项，本公司选择采用预期信用损失的简化模型，即始终按照整个存续</w:t>
      </w:r>
      <w:r>
        <w:rPr>
          <w:w w:val="100"/>
        </w:rPr>
        <w:t> </w:t>
      </w:r>
      <w:r>
        <w:rPr/>
        <w:t>期内预期信用损失的金额计量其损失准备。</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spacing w:val="-2"/>
        </w:rPr>
        <w:t>本公司考虑所有合理且有依据的信息，包括前瞻性信息，以单项或组合的方式对应收账款预期信用损</w:t>
      </w:r>
      <w:r>
        <w:rPr>
          <w:w w:val="100"/>
        </w:rPr>
        <w:t> </w:t>
      </w:r>
      <w:r>
        <w:rPr/>
        <w:t>失进行估计。其余单项计提的标准如下：</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rFonts w:ascii="宋体" w:hAnsi="宋体" w:cs="宋体" w:eastAsia="宋体" w:hint="default"/>
        </w:rPr>
        <w:t>1.</w:t>
      </w:r>
      <w:r>
        <w:rPr/>
        <w:t>对于单项金额重大并单项计提坏账准备的应收款项：</w:t>
      </w:r>
    </w:p>
    <w:p>
      <w:pPr>
        <w:spacing w:line="240" w:lineRule="auto" w:before="5"/>
        <w:rPr>
          <w:rFonts w:ascii="宋体" w:hAnsi="宋体" w:cs="宋体" w:eastAsia="宋体" w:hint="default"/>
          <w:sz w:val="25"/>
          <w:szCs w:val="25"/>
        </w:rPr>
      </w:pPr>
    </w:p>
    <w:tbl>
      <w:tblPr>
        <w:tblW w:w="0" w:type="auto"/>
        <w:jc w:val="left"/>
        <w:tblInd w:w="630" w:type="dxa"/>
        <w:tblLayout w:type="fixed"/>
        <w:tblCellMar>
          <w:top w:w="0" w:type="dxa"/>
          <w:left w:w="0" w:type="dxa"/>
          <w:bottom w:w="0" w:type="dxa"/>
          <w:right w:w="0" w:type="dxa"/>
        </w:tblCellMar>
        <w:tblLook w:val="01E0"/>
      </w:tblPr>
      <w:tblGrid>
        <w:gridCol w:w="3417"/>
        <w:gridCol w:w="5276"/>
      </w:tblGrid>
      <w:tr>
        <w:trPr>
          <w:trHeight w:val="631"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0"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5276" w:type="dxa"/>
            <w:tcBorders>
              <w:top w:val="nil" w:sz="6" w:space="0" w:color="auto"/>
              <w:left w:val="nil" w:sz="6" w:space="0" w:color="auto"/>
              <w:bottom w:val="nil" w:sz="6" w:space="0" w:color="auto"/>
              <w:right w:val="nil" w:sz="6" w:space="0" w:color="auto"/>
            </w:tcBorders>
          </w:tcPr>
          <w:p>
            <w:pPr>
              <w:pStyle w:val="TableParagraph"/>
              <w:spacing w:line="182" w:lineRule="exact"/>
              <w:ind w:left="106" w:right="0"/>
              <w:jc w:val="left"/>
              <w:rPr>
                <w:rFonts w:ascii="宋体" w:hAnsi="宋体" w:cs="宋体" w:eastAsia="宋体" w:hint="default"/>
                <w:sz w:val="18"/>
                <w:szCs w:val="18"/>
              </w:rPr>
            </w:pPr>
            <w:r>
              <w:rPr>
                <w:rFonts w:ascii="宋体" w:hAnsi="宋体" w:cs="宋体" w:eastAsia="宋体" w:hint="default"/>
                <w:sz w:val="18"/>
                <w:szCs w:val="18"/>
              </w:rPr>
              <w:t>本公司将金额为人民币 </w:t>
            </w:r>
            <w:r>
              <w:rPr>
                <w:rFonts w:ascii="宋体" w:hAnsi="宋体" w:cs="宋体" w:eastAsia="宋体" w:hint="default"/>
                <w:sz w:val="18"/>
                <w:szCs w:val="18"/>
              </w:rPr>
              <w:t>100.00</w:t>
            </w:r>
            <w:r>
              <w:rPr>
                <w:rFonts w:ascii="宋体" w:hAnsi="宋体" w:cs="宋体" w:eastAsia="宋体" w:hint="default"/>
                <w:spacing w:val="-34"/>
                <w:sz w:val="18"/>
                <w:szCs w:val="18"/>
              </w:rPr>
              <w:t> </w:t>
            </w:r>
            <w:r>
              <w:rPr>
                <w:rFonts w:ascii="宋体" w:hAnsi="宋体" w:cs="宋体" w:eastAsia="宋体" w:hint="default"/>
                <w:spacing w:val="-3"/>
                <w:sz w:val="18"/>
                <w:szCs w:val="18"/>
              </w:rPr>
              <w:t>万元以上的应收款项确认为单项</w:t>
            </w:r>
          </w:p>
          <w:p>
            <w:pPr>
              <w:pStyle w:val="TableParagraph"/>
              <w:spacing w:line="240" w:lineRule="auto" w:before="124"/>
              <w:ind w:left="106" w:right="0"/>
              <w:jc w:val="left"/>
              <w:rPr>
                <w:rFonts w:ascii="宋体" w:hAnsi="宋体" w:cs="宋体" w:eastAsia="宋体" w:hint="default"/>
                <w:sz w:val="18"/>
                <w:szCs w:val="18"/>
              </w:rPr>
            </w:pPr>
            <w:r>
              <w:rPr>
                <w:rFonts w:ascii="宋体" w:hAnsi="宋体" w:cs="宋体" w:eastAsia="宋体" w:hint="default"/>
                <w:sz w:val="18"/>
                <w:szCs w:val="18"/>
              </w:rPr>
              <w:t>金额重大的应收款项。</w:t>
            </w:r>
          </w:p>
        </w:tc>
      </w:tr>
      <w:tr>
        <w:trPr>
          <w:trHeight w:val="632" w:hRule="exact"/>
        </w:trPr>
        <w:tc>
          <w:tcPr>
            <w:tcW w:w="34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0"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w:t>
            </w:r>
          </w:p>
          <w:p>
            <w:pPr>
              <w:pStyle w:val="TableParagraph"/>
              <w:spacing w:line="240" w:lineRule="auto" w:before="124"/>
              <w:ind w:left="200" w:right="0"/>
              <w:jc w:val="left"/>
              <w:rPr>
                <w:rFonts w:ascii="宋体" w:hAnsi="宋体" w:cs="宋体" w:eastAsia="宋体" w:hint="default"/>
                <w:sz w:val="18"/>
                <w:szCs w:val="18"/>
              </w:rPr>
            </w:pPr>
            <w:r>
              <w:rPr>
                <w:rFonts w:ascii="宋体" w:hAnsi="宋体" w:cs="宋体" w:eastAsia="宋体" w:hint="default"/>
                <w:sz w:val="18"/>
                <w:szCs w:val="18"/>
              </w:rPr>
              <w:t>提方法</w:t>
            </w:r>
          </w:p>
        </w:tc>
        <w:tc>
          <w:tcPr>
            <w:tcW w:w="52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6" w:right="0"/>
              <w:jc w:val="left"/>
              <w:rPr>
                <w:rFonts w:ascii="宋体" w:hAnsi="宋体" w:cs="宋体" w:eastAsia="宋体" w:hint="default"/>
                <w:sz w:val="18"/>
                <w:szCs w:val="18"/>
              </w:rPr>
            </w:pPr>
            <w:r>
              <w:rPr>
                <w:rFonts w:ascii="宋体" w:hAnsi="宋体" w:cs="宋体" w:eastAsia="宋体" w:hint="default"/>
                <w:w w:val="101"/>
                <w:sz w:val="18"/>
                <w:szCs w:val="18"/>
              </w:rPr>
              <w:t>单</w:t>
            </w:r>
            <w:r>
              <w:rPr>
                <w:rFonts w:ascii="宋体" w:hAnsi="宋体" w:cs="宋体" w:eastAsia="宋体" w:hint="default"/>
                <w:spacing w:val="-5"/>
                <w:w w:val="101"/>
                <w:sz w:val="18"/>
                <w:szCs w:val="18"/>
              </w:rPr>
              <w:t>独</w:t>
            </w:r>
            <w:r>
              <w:rPr>
                <w:rFonts w:ascii="宋体" w:hAnsi="宋体" w:cs="宋体" w:eastAsia="宋体" w:hint="default"/>
                <w:w w:val="101"/>
                <w:sz w:val="18"/>
                <w:szCs w:val="18"/>
              </w:rPr>
              <w:t>进</w:t>
            </w:r>
            <w:r>
              <w:rPr>
                <w:rFonts w:ascii="宋体" w:hAnsi="宋体" w:cs="宋体" w:eastAsia="宋体" w:hint="default"/>
                <w:spacing w:val="-5"/>
                <w:w w:val="101"/>
                <w:sz w:val="18"/>
                <w:szCs w:val="18"/>
              </w:rPr>
              <w:t>行</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测</w:t>
            </w:r>
            <w:r>
              <w:rPr>
                <w:rFonts w:ascii="宋体" w:hAnsi="宋体" w:cs="宋体" w:eastAsia="宋体" w:hint="default"/>
                <w:spacing w:val="-5"/>
                <w:w w:val="101"/>
                <w:sz w:val="18"/>
                <w:szCs w:val="18"/>
              </w:rPr>
              <w:t>试</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根</w:t>
            </w:r>
            <w:r>
              <w:rPr>
                <w:rFonts w:ascii="宋体" w:hAnsi="宋体" w:cs="宋体" w:eastAsia="宋体" w:hint="default"/>
                <w:w w:val="101"/>
                <w:sz w:val="18"/>
                <w:szCs w:val="18"/>
              </w:rPr>
              <w:t>据</w:t>
            </w:r>
            <w:r>
              <w:rPr>
                <w:rFonts w:ascii="宋体" w:hAnsi="宋体" w:cs="宋体" w:eastAsia="宋体" w:hint="default"/>
                <w:spacing w:val="-5"/>
                <w:w w:val="101"/>
                <w:sz w:val="18"/>
                <w:szCs w:val="18"/>
              </w:rPr>
              <w:t>其</w:t>
            </w:r>
            <w:r>
              <w:rPr>
                <w:rFonts w:ascii="宋体" w:hAnsi="宋体" w:cs="宋体" w:eastAsia="宋体" w:hint="default"/>
                <w:w w:val="101"/>
                <w:sz w:val="18"/>
                <w:szCs w:val="18"/>
              </w:rPr>
              <w:t>未</w:t>
            </w:r>
            <w:r>
              <w:rPr>
                <w:rFonts w:ascii="宋体" w:hAnsi="宋体" w:cs="宋体" w:eastAsia="宋体" w:hint="default"/>
                <w:spacing w:val="-5"/>
                <w:w w:val="101"/>
                <w:sz w:val="18"/>
                <w:szCs w:val="18"/>
              </w:rPr>
              <w:t>来现</w:t>
            </w:r>
            <w:r>
              <w:rPr>
                <w:rFonts w:ascii="宋体" w:hAnsi="宋体" w:cs="宋体" w:eastAsia="宋体" w:hint="default"/>
                <w:w w:val="101"/>
                <w:sz w:val="18"/>
                <w:szCs w:val="18"/>
              </w:rPr>
              <w:t>金</w:t>
            </w:r>
            <w:r>
              <w:rPr>
                <w:rFonts w:ascii="宋体" w:hAnsi="宋体" w:cs="宋体" w:eastAsia="宋体" w:hint="default"/>
                <w:spacing w:val="-5"/>
                <w:w w:val="101"/>
                <w:sz w:val="18"/>
                <w:szCs w:val="18"/>
              </w:rPr>
              <w:t>流</w:t>
            </w:r>
            <w:r>
              <w:rPr>
                <w:rFonts w:ascii="宋体" w:hAnsi="宋体" w:cs="宋体" w:eastAsia="宋体" w:hint="default"/>
                <w:w w:val="101"/>
                <w:sz w:val="18"/>
                <w:szCs w:val="18"/>
              </w:rPr>
              <w:t>量</w:t>
            </w:r>
            <w:r>
              <w:rPr>
                <w:rFonts w:ascii="宋体" w:hAnsi="宋体" w:cs="宋体" w:eastAsia="宋体" w:hint="default"/>
                <w:spacing w:val="-5"/>
                <w:w w:val="101"/>
                <w:sz w:val="18"/>
                <w:szCs w:val="18"/>
              </w:rPr>
              <w:t>现</w:t>
            </w:r>
            <w:r>
              <w:rPr>
                <w:rFonts w:ascii="宋体" w:hAnsi="宋体" w:cs="宋体" w:eastAsia="宋体" w:hint="default"/>
                <w:w w:val="101"/>
                <w:sz w:val="18"/>
                <w:szCs w:val="18"/>
              </w:rPr>
              <w:t>值</w:t>
            </w:r>
            <w:r>
              <w:rPr>
                <w:rFonts w:ascii="宋体" w:hAnsi="宋体" w:cs="宋体" w:eastAsia="宋体" w:hint="default"/>
                <w:spacing w:val="-5"/>
                <w:w w:val="101"/>
                <w:sz w:val="18"/>
                <w:szCs w:val="18"/>
              </w:rPr>
              <w:t>低</w:t>
            </w:r>
            <w:r>
              <w:rPr>
                <w:rFonts w:ascii="宋体" w:hAnsi="宋体" w:cs="宋体" w:eastAsia="宋体" w:hint="default"/>
                <w:w w:val="101"/>
                <w:sz w:val="18"/>
                <w:szCs w:val="18"/>
              </w:rPr>
              <w:t>于</w:t>
            </w:r>
            <w:r>
              <w:rPr>
                <w:rFonts w:ascii="宋体" w:hAnsi="宋体" w:cs="宋体" w:eastAsia="宋体" w:hint="default"/>
                <w:spacing w:val="-5"/>
                <w:w w:val="101"/>
                <w:sz w:val="18"/>
                <w:szCs w:val="18"/>
              </w:rPr>
              <w:t>其</w:t>
            </w:r>
            <w:r>
              <w:rPr>
                <w:rFonts w:ascii="宋体" w:hAnsi="宋体" w:cs="宋体" w:eastAsia="宋体" w:hint="default"/>
                <w:w w:val="101"/>
                <w:sz w:val="18"/>
                <w:szCs w:val="18"/>
              </w:rPr>
              <w:t>账</w:t>
            </w:r>
            <w:r>
              <w:rPr>
                <w:rFonts w:ascii="宋体" w:hAnsi="宋体" w:cs="宋体" w:eastAsia="宋体" w:hint="default"/>
                <w:spacing w:val="-5"/>
                <w:w w:val="101"/>
                <w:sz w:val="18"/>
                <w:szCs w:val="18"/>
              </w:rPr>
              <w:t>面</w:t>
            </w:r>
            <w:r>
              <w:rPr>
                <w:rFonts w:ascii="宋体" w:hAnsi="宋体" w:cs="宋体" w:eastAsia="宋体" w:hint="default"/>
                <w:w w:val="101"/>
                <w:sz w:val="18"/>
                <w:szCs w:val="18"/>
              </w:rPr>
              <w:t>价</w:t>
            </w:r>
            <w:r>
              <w:rPr>
                <w:rFonts w:ascii="宋体" w:hAnsi="宋体" w:cs="宋体" w:eastAsia="宋体" w:hint="default"/>
                <w:spacing w:val="-5"/>
                <w:w w:val="101"/>
                <w:sz w:val="18"/>
                <w:szCs w:val="18"/>
              </w:rPr>
              <w:t>值</w:t>
            </w:r>
            <w:r>
              <w:rPr>
                <w:rFonts w:ascii="宋体" w:hAnsi="宋体" w:cs="宋体" w:eastAsia="宋体" w:hint="default"/>
                <w:w w:val="101"/>
                <w:sz w:val="18"/>
                <w:szCs w:val="18"/>
              </w:rPr>
              <w:t>的</w:t>
            </w:r>
            <w:r>
              <w:rPr>
                <w:rFonts w:ascii="宋体" w:hAnsi="宋体" w:cs="宋体" w:eastAsia="宋体" w:hint="default"/>
                <w:sz w:val="18"/>
                <w:szCs w:val="18"/>
              </w:rPr>
            </w:r>
          </w:p>
          <w:p>
            <w:pPr>
              <w:pStyle w:val="TableParagraph"/>
              <w:spacing w:line="240" w:lineRule="auto" w:before="124"/>
              <w:ind w:left="106" w:right="0"/>
              <w:jc w:val="left"/>
              <w:rPr>
                <w:rFonts w:ascii="宋体" w:hAnsi="宋体" w:cs="宋体" w:eastAsia="宋体" w:hint="default"/>
                <w:sz w:val="18"/>
                <w:szCs w:val="18"/>
              </w:rPr>
            </w:pPr>
            <w:r>
              <w:rPr>
                <w:rFonts w:ascii="宋体" w:hAnsi="宋体" w:cs="宋体" w:eastAsia="宋体" w:hint="default"/>
                <w:spacing w:val="-3"/>
                <w:sz w:val="18"/>
                <w:szCs w:val="18"/>
              </w:rPr>
              <w:t>差额计提坏账准备。</w:t>
            </w:r>
          </w:p>
        </w:tc>
      </w:tr>
    </w:tbl>
    <w:p>
      <w:pPr>
        <w:spacing w:line="240" w:lineRule="auto" w:before="1"/>
        <w:rPr>
          <w:rFonts w:ascii="宋体" w:hAnsi="宋体" w:cs="宋体" w:eastAsia="宋体" w:hint="default"/>
          <w:sz w:val="19"/>
          <w:szCs w:val="19"/>
        </w:rPr>
      </w:pPr>
    </w:p>
    <w:p>
      <w:pPr>
        <w:pStyle w:val="BodyText"/>
        <w:spacing w:line="240" w:lineRule="auto" w:before="36"/>
        <w:ind w:left="575" w:right="0"/>
        <w:jc w:val="left"/>
      </w:pPr>
      <w:r>
        <w:rPr>
          <w:rFonts w:ascii="宋体" w:hAnsi="宋体" w:cs="宋体" w:eastAsia="宋体" w:hint="default"/>
        </w:rPr>
        <w:t>2.</w:t>
      </w:r>
      <w:r>
        <w:rPr/>
        <w:t>对于单项金额虽不重大但单项计提坏账准备的应收款项：</w:t>
      </w:r>
    </w:p>
    <w:p>
      <w:pPr>
        <w:spacing w:line="240" w:lineRule="auto" w:before="5"/>
        <w:rPr>
          <w:rFonts w:ascii="宋体" w:hAnsi="宋体" w:cs="宋体" w:eastAsia="宋体" w:hint="default"/>
          <w:sz w:val="25"/>
          <w:szCs w:val="25"/>
        </w:rPr>
      </w:pPr>
    </w:p>
    <w:tbl>
      <w:tblPr>
        <w:tblW w:w="0" w:type="auto"/>
        <w:jc w:val="left"/>
        <w:tblInd w:w="630" w:type="dxa"/>
        <w:tblLayout w:type="fixed"/>
        <w:tblCellMar>
          <w:top w:w="0" w:type="dxa"/>
          <w:left w:w="0" w:type="dxa"/>
          <w:bottom w:w="0" w:type="dxa"/>
          <w:right w:w="0" w:type="dxa"/>
        </w:tblCellMar>
        <w:tblLook w:val="01E0"/>
      </w:tblPr>
      <w:tblGrid>
        <w:gridCol w:w="2519"/>
        <w:gridCol w:w="6172"/>
      </w:tblGrid>
      <w:tr>
        <w:trPr>
          <w:trHeight w:val="992"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6172" w:type="dxa"/>
            <w:tcBorders>
              <w:top w:val="nil" w:sz="6" w:space="0" w:color="auto"/>
              <w:left w:val="nil" w:sz="6" w:space="0" w:color="auto"/>
              <w:bottom w:val="nil" w:sz="6" w:space="0" w:color="auto"/>
              <w:right w:val="nil" w:sz="6" w:space="0" w:color="auto"/>
            </w:tcBorders>
          </w:tcPr>
          <w:p>
            <w:pPr>
              <w:pStyle w:val="TableParagraph"/>
              <w:spacing w:line="182" w:lineRule="exact"/>
              <w:ind w:left="336" w:right="0"/>
              <w:jc w:val="left"/>
              <w:rPr>
                <w:rFonts w:ascii="宋体" w:hAnsi="宋体" w:cs="宋体" w:eastAsia="宋体" w:hint="default"/>
                <w:sz w:val="18"/>
                <w:szCs w:val="18"/>
              </w:rPr>
            </w:pPr>
            <w:r>
              <w:rPr>
                <w:rFonts w:ascii="宋体" w:hAnsi="宋体" w:cs="宋体" w:eastAsia="宋体" w:hint="default"/>
                <w:sz w:val="18"/>
                <w:szCs w:val="18"/>
              </w:rPr>
              <w:t>对单项金额不重大但个别信用风险特征明显不同，已有客观证据表明其</w:t>
            </w:r>
          </w:p>
          <w:p>
            <w:pPr>
              <w:pStyle w:val="TableParagraph"/>
              <w:spacing w:line="367" w:lineRule="auto" w:before="125"/>
              <w:ind w:left="336" w:right="199"/>
              <w:jc w:val="left"/>
              <w:rPr>
                <w:rFonts w:ascii="宋体" w:hAnsi="宋体" w:cs="宋体" w:eastAsia="宋体" w:hint="default"/>
                <w:sz w:val="18"/>
                <w:szCs w:val="18"/>
              </w:rPr>
            </w:pPr>
            <w:r>
              <w:rPr>
                <w:rFonts w:ascii="宋体" w:hAnsi="宋体" w:cs="宋体" w:eastAsia="宋体" w:hint="default"/>
                <w:spacing w:val="-1"/>
                <w:sz w:val="18"/>
                <w:szCs w:val="18"/>
              </w:rPr>
              <w:t>发生了减值的应收款项，按账龄分析法计提的坏账准备不能反映实际情</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况，本公司单独进行减值测试。</w:t>
            </w:r>
          </w:p>
        </w:tc>
      </w:tr>
      <w:tr>
        <w:trPr>
          <w:trHeight w:val="631" w:hRule="exact"/>
        </w:trPr>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61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6"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单独进行减值测试，根据其未来现金流量现值低于其账面价值的差额计</w:t>
            </w:r>
          </w:p>
          <w:p>
            <w:pPr>
              <w:pStyle w:val="TableParagraph"/>
              <w:spacing w:line="240" w:lineRule="auto" w:before="124"/>
              <w:ind w:left="336" w:right="0"/>
              <w:jc w:val="left"/>
              <w:rPr>
                <w:rFonts w:ascii="宋体" w:hAnsi="宋体" w:cs="宋体" w:eastAsia="宋体" w:hint="default"/>
                <w:sz w:val="18"/>
                <w:szCs w:val="18"/>
              </w:rPr>
            </w:pPr>
            <w:r>
              <w:rPr>
                <w:rFonts w:ascii="宋体" w:hAnsi="宋体" w:cs="宋体" w:eastAsia="宋体" w:hint="default"/>
                <w:sz w:val="18"/>
                <w:szCs w:val="18"/>
              </w:rPr>
              <w:t>提坏账准备。</w:t>
            </w:r>
          </w:p>
        </w:tc>
      </w:tr>
    </w:tbl>
    <w:p>
      <w:pPr>
        <w:spacing w:line="240" w:lineRule="auto" w:before="12"/>
        <w:rPr>
          <w:rFonts w:ascii="宋体" w:hAnsi="宋体" w:cs="宋体" w:eastAsia="宋体" w:hint="default"/>
          <w:sz w:val="27"/>
          <w:szCs w:val="27"/>
        </w:rPr>
      </w:pPr>
    </w:p>
    <w:p>
      <w:pPr>
        <w:pStyle w:val="BodyText"/>
        <w:spacing w:line="312" w:lineRule="auto" w:before="36"/>
        <w:ind w:right="1125" w:firstLine="422"/>
        <w:jc w:val="both"/>
      </w:pPr>
      <w:r>
        <w:rPr>
          <w:rFonts w:ascii="宋体" w:hAnsi="宋体" w:cs="宋体" w:eastAsia="宋体" w:hint="default"/>
          <w:spacing w:val="-2"/>
        </w:rPr>
        <w:t>3.</w:t>
      </w:r>
      <w:r>
        <w:rPr>
          <w:spacing w:val="-2"/>
        </w:rPr>
        <w:t>对于划分为组合的应收账款，本公司在计量应收款项预期信用损失时参照历史信用损失经验，以应</w:t>
      </w:r>
      <w:r>
        <w:rPr>
          <w:w w:val="100"/>
        </w:rPr>
        <w:t> </w:t>
      </w:r>
      <w:r>
        <w:rPr>
          <w:spacing w:val="-2"/>
        </w:rPr>
        <w:t>收账款账龄为基础，考虑客户性质和业务性质及前瞻性信息的影响，使用业务、客户性质与预期损失率对</w:t>
      </w:r>
      <w:r>
        <w:rPr>
          <w:spacing w:val="-33"/>
        </w:rPr>
        <w:t> </w:t>
      </w:r>
      <w:r>
        <w:rPr>
          <w:spacing w:val="-33"/>
        </w:rPr>
      </w:r>
      <w:r>
        <w:rPr/>
        <w:t>照表确定该应收账款组合的预期信用损失。</w:t>
      </w:r>
    </w:p>
    <w:p>
      <w:pPr>
        <w:spacing w:line="240" w:lineRule="auto" w:before="10"/>
        <w:rPr>
          <w:rFonts w:ascii="宋体" w:hAnsi="宋体" w:cs="宋体" w:eastAsia="宋体" w:hint="default"/>
          <w:sz w:val="13"/>
          <w:szCs w:val="13"/>
        </w:rPr>
      </w:pPr>
    </w:p>
    <w:p>
      <w:pPr>
        <w:pStyle w:val="BodyText"/>
        <w:spacing w:line="448" w:lineRule="auto"/>
        <w:ind w:left="575" w:right="9069"/>
        <w:jc w:val="left"/>
      </w:pPr>
      <w:bookmarkStart w:name="（十二）存货" w:id="179"/>
      <w:bookmarkEnd w:id="179"/>
      <w:r>
        <w:rPr/>
      </w:r>
      <w:r>
        <w:rPr/>
        <w:t>（十二）存货</w:t>
      </w:r>
      <w:r>
        <w:rPr>
          <w:spacing w:val="-103"/>
        </w:rPr>
        <w:t> </w:t>
      </w:r>
      <w:r>
        <w:rPr>
          <w:spacing w:val="-103"/>
        </w:rPr>
      </w:r>
      <w:r>
        <w:rPr>
          <w:rFonts w:ascii="宋体" w:hAnsi="宋体" w:cs="宋体" w:eastAsia="宋体" w:hint="default"/>
        </w:rPr>
        <w:t>1.</w:t>
      </w:r>
      <w:r>
        <w:rPr/>
        <w:t>存货的分类</w:t>
      </w:r>
    </w:p>
    <w:p>
      <w:pPr>
        <w:pStyle w:val="BodyText"/>
        <w:spacing w:line="309" w:lineRule="auto" w:before="65"/>
        <w:ind w:right="1125" w:firstLine="422"/>
        <w:jc w:val="both"/>
      </w:pPr>
      <w:r>
        <w:rPr>
          <w:spacing w:val="-2"/>
        </w:rPr>
        <w:t>存货包括在日常活动中持有以备出售的产成品或商品、处在生产过程中的在产品、在生产过程或提供</w:t>
      </w:r>
      <w:r>
        <w:rPr>
          <w:w w:val="100"/>
        </w:rPr>
        <w:t> </w:t>
      </w:r>
      <w:r>
        <w:rPr/>
        <w:t>劳务过程中耗用的材料和物料等。</w:t>
      </w:r>
    </w:p>
    <w:p>
      <w:pPr>
        <w:pStyle w:val="BodyText"/>
        <w:spacing w:line="453" w:lineRule="auto" w:before="178"/>
        <w:ind w:left="575" w:right="6287"/>
        <w:jc w:val="left"/>
      </w:pPr>
      <w:r>
        <w:rPr>
          <w:rFonts w:ascii="宋体" w:hAnsi="宋体" w:cs="宋体" w:eastAsia="宋体" w:hint="default"/>
        </w:rPr>
        <w:t>2.</w:t>
      </w:r>
      <w:r>
        <w:rPr/>
        <w:t>发出存货的计价方法</w:t>
      </w:r>
      <w:r>
        <w:rPr>
          <w:w w:val="100"/>
        </w:rPr>
        <w:t> </w:t>
      </w:r>
      <w:r>
        <w:rPr>
          <w:spacing w:val="-2"/>
        </w:rPr>
        <w:t>发出存货采用移动加权平均法。</w:t>
      </w:r>
    </w:p>
    <w:p>
      <w:pPr>
        <w:pStyle w:val="BodyText"/>
        <w:spacing w:line="240" w:lineRule="auto" w:before="52"/>
        <w:ind w:left="575" w:right="0"/>
        <w:jc w:val="left"/>
      </w:pPr>
      <w:r>
        <w:rPr>
          <w:rFonts w:ascii="宋体" w:hAnsi="宋体" w:cs="宋体" w:eastAsia="宋体" w:hint="default"/>
        </w:rPr>
        <w:t>3.</w:t>
      </w:r>
      <w:r>
        <w:rPr/>
        <w:t>存货可变现净值的确定依据及存货跌价准备的计提方法</w:t>
      </w:r>
    </w:p>
    <w:p>
      <w:pPr>
        <w:spacing w:line="240" w:lineRule="auto" w:before="13"/>
        <w:rPr>
          <w:rFonts w:ascii="宋体" w:hAnsi="宋体" w:cs="宋体" w:eastAsia="宋体" w:hint="default"/>
          <w:sz w:val="18"/>
          <w:szCs w:val="18"/>
        </w:rPr>
      </w:pPr>
    </w:p>
    <w:p>
      <w:pPr>
        <w:pStyle w:val="BodyText"/>
        <w:spacing w:line="314" w:lineRule="auto"/>
        <w:ind w:right="1123" w:firstLine="422"/>
        <w:jc w:val="both"/>
      </w:pPr>
      <w:r>
        <w:rPr>
          <w:spacing w:val="-2"/>
        </w:rPr>
        <w:t>资产负债表日，存货采用成本与可变现净值孰低计量，按照单个存货成本高于可变现净值的差额计提</w:t>
      </w:r>
      <w:r>
        <w:rPr>
          <w:w w:val="100"/>
        </w:rPr>
        <w:t> </w:t>
      </w:r>
      <w:r>
        <w:rPr>
          <w:spacing w:val="-2"/>
        </w:rPr>
        <w:t>存货跌价准备。直接用于出售的存货，在正常生产经营过程中以该存货的估计售价减去估计的销售费用和</w:t>
      </w:r>
      <w:r>
        <w:rPr>
          <w:spacing w:val="-33"/>
        </w:rPr>
        <w:t> </w:t>
      </w:r>
      <w:r>
        <w:rPr>
          <w:spacing w:val="-33"/>
        </w:rPr>
      </w:r>
      <w:r>
        <w:rPr>
          <w:spacing w:val="-2"/>
        </w:rPr>
        <w:t>相关税费后的金额确定其可变现净值；需要经过加工的存货，在正常生产经营过程中以所生产的产成品的</w:t>
      </w:r>
      <w:r>
        <w:rPr>
          <w:spacing w:val="-33"/>
        </w:rPr>
        <w:t> </w:t>
      </w:r>
      <w:r>
        <w:rPr>
          <w:spacing w:val="-33"/>
        </w:rPr>
      </w:r>
      <w:r>
        <w:rPr>
          <w:spacing w:val="-2"/>
        </w:rPr>
        <w:t>估计售价减去至完工时估计将要发生的成本、估计的销售费用和相关税费后的金额确定其可变现净值；资</w:t>
      </w:r>
    </w:p>
    <w:p>
      <w:pPr>
        <w:spacing w:after="0" w:line="314" w:lineRule="auto"/>
        <w:jc w:val="both"/>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09" w:lineRule="auto" w:before="36"/>
        <w:ind w:right="0"/>
        <w:jc w:val="left"/>
      </w:pPr>
      <w:r>
        <w:rPr>
          <w:spacing w:val="-7"/>
        </w:rPr>
        <w:t>产负债表日，同一项存货中一部分有合同价格约定、其他部分不存在合同价格的，分别确定其可变现净值，</w:t>
      </w:r>
      <w:r>
        <w:rPr>
          <w:spacing w:val="-6"/>
        </w:rPr>
        <w:t> </w:t>
      </w:r>
      <w:r>
        <w:rPr>
          <w:spacing w:val="-6"/>
        </w:rPr>
      </w:r>
      <w:r>
        <w:rPr/>
        <w:t>并与其对应的成本进行比较，分别确定存货跌价准备的计提或转回的金额。</w:t>
      </w:r>
    </w:p>
    <w:p>
      <w:pPr>
        <w:spacing w:line="240" w:lineRule="auto" w:before="0"/>
        <w:rPr>
          <w:rFonts w:ascii="宋体" w:hAnsi="宋体" w:cs="宋体" w:eastAsia="宋体" w:hint="default"/>
          <w:sz w:val="14"/>
          <w:szCs w:val="14"/>
        </w:rPr>
      </w:pPr>
    </w:p>
    <w:p>
      <w:pPr>
        <w:pStyle w:val="BodyText"/>
        <w:spacing w:line="451" w:lineRule="auto"/>
        <w:ind w:left="575" w:right="6287"/>
        <w:jc w:val="left"/>
      </w:pPr>
      <w:r>
        <w:rPr>
          <w:rFonts w:ascii="宋体" w:hAnsi="宋体" w:cs="宋体" w:eastAsia="宋体" w:hint="default"/>
        </w:rPr>
        <w:t>4.</w:t>
      </w:r>
      <w:r>
        <w:rPr/>
        <w:t>存货的盘存制度</w:t>
      </w:r>
      <w:r>
        <w:rPr>
          <w:spacing w:val="-101"/>
        </w:rPr>
        <w:t> </w:t>
      </w:r>
      <w:r>
        <w:rPr>
          <w:spacing w:val="-101"/>
        </w:rPr>
      </w:r>
      <w:r>
        <w:rPr/>
        <w:t>存货的盘存制度为永续盘存制。</w:t>
      </w:r>
      <w:r>
        <w:rPr>
          <w:w w:val="100"/>
        </w:rPr>
        <w:t> </w:t>
      </w:r>
      <w:r>
        <w:rPr>
          <w:rFonts w:ascii="宋体" w:hAnsi="宋体" w:cs="宋体" w:eastAsia="宋体" w:hint="default"/>
          <w:spacing w:val="-1"/>
        </w:rPr>
        <w:t>5.</w:t>
      </w:r>
      <w:r>
        <w:rPr>
          <w:spacing w:val="-1"/>
        </w:rPr>
        <w:t>低值易耗品和包装物的摊销方法</w:t>
      </w:r>
    </w:p>
    <w:p>
      <w:pPr>
        <w:pStyle w:val="BodyText"/>
        <w:spacing w:line="453" w:lineRule="auto" w:before="54"/>
        <w:ind w:left="575" w:right="6287"/>
        <w:jc w:val="left"/>
      </w:pPr>
      <w:r>
        <w:rPr/>
        <w:t>（</w:t>
      </w:r>
      <w:r>
        <w:rPr>
          <w:rFonts w:ascii="宋体" w:hAnsi="宋体" w:cs="宋体" w:eastAsia="宋体" w:hint="default"/>
        </w:rPr>
        <w:t>1</w:t>
      </w:r>
      <w:r>
        <w:rPr/>
        <w:t>）低值易耗品</w:t>
      </w:r>
      <w:r>
        <w:rPr>
          <w:spacing w:val="-101"/>
        </w:rPr>
        <w:t> </w:t>
      </w:r>
      <w:r>
        <w:rPr>
          <w:spacing w:val="-101"/>
        </w:rPr>
      </w:r>
      <w:r>
        <w:rPr>
          <w:spacing w:val="-1"/>
        </w:rPr>
        <w:t>按照一次转销法进行摊销。</w:t>
      </w:r>
    </w:p>
    <w:p>
      <w:pPr>
        <w:pStyle w:val="BodyText"/>
        <w:spacing w:line="453" w:lineRule="auto" w:before="52"/>
        <w:ind w:left="575" w:right="7272"/>
        <w:jc w:val="left"/>
      </w:pPr>
      <w:r>
        <w:rPr/>
        <w:t>（</w:t>
      </w:r>
      <w:r>
        <w:rPr>
          <w:rFonts w:ascii="宋体" w:hAnsi="宋体" w:cs="宋体" w:eastAsia="宋体" w:hint="default"/>
        </w:rPr>
        <w:t>2</w:t>
      </w:r>
      <w:r>
        <w:rPr/>
        <w:t>）包装物</w:t>
      </w:r>
      <w:r>
        <w:rPr>
          <w:spacing w:val="-99"/>
        </w:rPr>
        <w:t> </w:t>
      </w:r>
      <w:r>
        <w:rPr>
          <w:spacing w:val="-1"/>
        </w:rPr>
        <w:t>按照一次转销法进行摊销。</w:t>
      </w:r>
    </w:p>
    <w:p>
      <w:pPr>
        <w:pStyle w:val="BodyText"/>
        <w:spacing w:line="240" w:lineRule="auto" w:before="52"/>
        <w:ind w:left="575" w:right="0"/>
        <w:jc w:val="left"/>
      </w:pPr>
      <w:bookmarkStart w:name="（十三）持有待售资产" w:id="180"/>
      <w:bookmarkEnd w:id="180"/>
      <w:r>
        <w:rPr/>
      </w:r>
      <w:r>
        <w:rPr/>
        <w:t>（十三）持有待售资产</w:t>
      </w:r>
    </w:p>
    <w:p>
      <w:pPr>
        <w:spacing w:line="240" w:lineRule="auto" w:before="13"/>
        <w:rPr>
          <w:rFonts w:ascii="宋体" w:hAnsi="宋体" w:cs="宋体" w:eastAsia="宋体" w:hint="default"/>
          <w:sz w:val="18"/>
          <w:szCs w:val="18"/>
        </w:rPr>
      </w:pPr>
    </w:p>
    <w:p>
      <w:pPr>
        <w:pStyle w:val="BodyText"/>
        <w:spacing w:line="314" w:lineRule="auto"/>
        <w:ind w:right="1027" w:firstLine="422"/>
        <w:jc w:val="both"/>
      </w:pPr>
      <w:r>
        <w:rPr/>
        <w:t>本公司将同时满足下列条件的公司组成部分（或非流动资产）划分为持有待售：（</w:t>
      </w:r>
      <w:r>
        <w:rPr>
          <w:rFonts w:ascii="宋体" w:hAnsi="宋体" w:cs="宋体" w:eastAsia="宋体" w:hint="default"/>
        </w:rPr>
        <w:t>1</w:t>
      </w:r>
      <w:r>
        <w:rPr/>
        <w:t>）根据类似交易</w:t>
      </w:r>
      <w:r>
        <w:rPr>
          <w:w w:val="100"/>
        </w:rPr>
        <w:t> </w:t>
      </w:r>
      <w:r>
        <w:rPr/>
        <w:t>中出售此类资产或处置组的惯例，在当前状况下即可立即出售；（</w:t>
      </w:r>
      <w:r>
        <w:rPr>
          <w:rFonts w:ascii="宋体" w:hAnsi="宋体" w:cs="宋体" w:eastAsia="宋体" w:hint="default"/>
        </w:rPr>
        <w:t>2</w:t>
      </w:r>
      <w:r>
        <w:rPr/>
        <w:t>）出售极可能发生，已经就一项出售</w:t>
      </w:r>
      <w:r>
        <w:rPr>
          <w:spacing w:val="-29"/>
        </w:rPr>
        <w:t> </w:t>
      </w:r>
      <w:r>
        <w:rPr>
          <w:spacing w:val="-29"/>
        </w:rPr>
      </w:r>
      <w:r>
        <w:rPr>
          <w:spacing w:val="-2"/>
        </w:rPr>
        <w:t>计划作出决议且获得确定的购买承诺（确定的购买承诺，是指企业与其他方签订的具有法律约束力的购买</w:t>
      </w:r>
      <w:r>
        <w:rPr>
          <w:spacing w:val="-33"/>
        </w:rPr>
        <w:t> </w:t>
      </w:r>
      <w:r>
        <w:rPr>
          <w:spacing w:val="-33"/>
        </w:rPr>
      </w:r>
      <w:r>
        <w:rPr>
          <w:spacing w:val="-2"/>
        </w:rPr>
        <w:t>协议，该协议包含交易价格、时间和足够严厉的违约惩罚等重要条款，使协议出现重大调整或者撤销的可</w:t>
      </w:r>
      <w:r>
        <w:rPr>
          <w:spacing w:val="-32"/>
        </w:rPr>
        <w:t> </w:t>
      </w:r>
      <w:r>
        <w:rPr>
          <w:spacing w:val="-32"/>
        </w:rPr>
      </w:r>
      <w:r>
        <w:rPr/>
        <w:t>能性极小。预计出售将在一年内完成。已经获得按照有关规定需得到相关权力机构或者监管部门的批准。</w:t>
      </w:r>
    </w:p>
    <w:p>
      <w:pPr>
        <w:pStyle w:val="BodyText"/>
        <w:spacing w:line="314" w:lineRule="auto" w:before="178"/>
        <w:ind w:right="1123" w:firstLine="422"/>
        <w:jc w:val="both"/>
      </w:pPr>
      <w:r>
        <w:rPr>
          <w:spacing w:val="-2"/>
        </w:rPr>
        <w:t>本公司将持有待售的预计净残值调整为反映其公允价值减去出售费用后的净额（但不得超过该项持有</w:t>
      </w:r>
      <w:r>
        <w:rPr>
          <w:w w:val="100"/>
        </w:rPr>
        <w:t> </w:t>
      </w:r>
      <w:r>
        <w:rPr>
          <w:spacing w:val="-2"/>
        </w:rPr>
        <w:t>待售的原账面价值），原账面价值高于调整后预计净残值的差额，作为资产减值损失计入当期损益，同时</w:t>
      </w:r>
      <w:r>
        <w:rPr>
          <w:spacing w:val="-33"/>
        </w:rPr>
        <w:t> </w:t>
      </w:r>
      <w:r>
        <w:rPr>
          <w:spacing w:val="-33"/>
        </w:rPr>
      </w:r>
      <w:r>
        <w:rPr>
          <w:spacing w:val="-2"/>
        </w:rPr>
        <w:t>计提持有待售资产减值准备。对于持有待售的处置组确认的资产减值损失金额，应当先抵减处置组中商誉</w:t>
      </w:r>
      <w:r>
        <w:rPr>
          <w:spacing w:val="-31"/>
        </w:rPr>
        <w:t> </w:t>
      </w:r>
      <w:r>
        <w:rPr>
          <w:spacing w:val="-31"/>
        </w:rPr>
      </w:r>
      <w:r>
        <w:rPr>
          <w:spacing w:val="-2"/>
        </w:rPr>
        <w:t>的账面价值，再根据处置组中适用本准则计量规定的各项非流动资产账面价值所占比重，按比例抵减其账</w:t>
      </w:r>
      <w:r>
        <w:rPr>
          <w:spacing w:val="-33"/>
        </w:rPr>
        <w:t> </w:t>
      </w:r>
      <w:r>
        <w:rPr>
          <w:spacing w:val="-33"/>
        </w:rPr>
      </w:r>
      <w:r>
        <w:rPr/>
        <w:t>面价值。</w:t>
      </w:r>
    </w:p>
    <w:p>
      <w:pPr>
        <w:spacing w:line="240" w:lineRule="auto" w:before="0"/>
        <w:rPr>
          <w:rFonts w:ascii="宋体" w:hAnsi="宋体" w:cs="宋体" w:eastAsia="宋体" w:hint="default"/>
          <w:sz w:val="14"/>
          <w:szCs w:val="14"/>
        </w:rPr>
      </w:pPr>
    </w:p>
    <w:p>
      <w:pPr>
        <w:pStyle w:val="BodyText"/>
        <w:spacing w:line="314" w:lineRule="auto"/>
        <w:ind w:right="1125" w:firstLine="422"/>
        <w:jc w:val="both"/>
      </w:pPr>
      <w:r>
        <w:rPr>
          <w:spacing w:val="-2"/>
        </w:rPr>
        <w:t>后续资产负债表日持有待售的非流动资产公允价值减去出售费用后的净额增加的，以前减记的金额应</w:t>
      </w:r>
      <w:r>
        <w:rPr>
          <w:w w:val="100"/>
        </w:rPr>
        <w:t> </w:t>
      </w:r>
      <w:r>
        <w:rPr>
          <w:spacing w:val="-2"/>
        </w:rPr>
        <w:t>当予以恢复，并在划分为持有待售类别后确认的资产减值损失金额内转回，转回金额计入当期损益。划分</w:t>
      </w:r>
      <w:r>
        <w:rPr>
          <w:spacing w:val="-33"/>
        </w:rPr>
        <w:t> </w:t>
      </w:r>
      <w:r>
        <w:rPr>
          <w:spacing w:val="-33"/>
        </w:rPr>
      </w:r>
      <w:r>
        <w:rPr>
          <w:spacing w:val="-2"/>
        </w:rPr>
        <w:t>为持有待售类别前确认的资产减值损失不得转回。后续资产负债表日持有待售的处置组公允价值减去出售</w:t>
      </w:r>
      <w:r>
        <w:rPr>
          <w:spacing w:val="-33"/>
        </w:rPr>
        <w:t> </w:t>
      </w:r>
      <w:r>
        <w:rPr>
          <w:spacing w:val="-33"/>
        </w:rPr>
      </w:r>
      <w:r>
        <w:rPr>
          <w:spacing w:val="-2"/>
        </w:rPr>
        <w:t>费用后的净额增加的，以前减记的金额应当予以恢复，并在划分为持有待售类别后适用本准则计量规定的</w:t>
      </w:r>
      <w:r>
        <w:rPr>
          <w:spacing w:val="-33"/>
        </w:rPr>
        <w:t> </w:t>
      </w:r>
      <w:r>
        <w:rPr>
          <w:spacing w:val="-33"/>
        </w:rPr>
      </w:r>
      <w:r>
        <w:rPr>
          <w:spacing w:val="-2"/>
        </w:rPr>
        <w:t>非流动资产确认的资产减值损失金额内转回，转回金额计入当期损益。已抵减的商誉账面价值，以及适用</w:t>
      </w:r>
      <w:r>
        <w:rPr>
          <w:spacing w:val="-33"/>
        </w:rPr>
        <w:t> </w:t>
      </w:r>
      <w:r>
        <w:rPr>
          <w:spacing w:val="-33"/>
        </w:rPr>
      </w:r>
      <w:r>
        <w:rPr>
          <w:spacing w:val="-2"/>
        </w:rPr>
        <w:t>本准则计量规定的非流动资产在划分为持有待售类别前确认的资产减值损失不得转回。持有待售的处置组</w:t>
      </w:r>
      <w:r>
        <w:rPr>
          <w:spacing w:val="-33"/>
        </w:rPr>
        <w:t> </w:t>
      </w:r>
      <w:r>
        <w:rPr>
          <w:spacing w:val="-33"/>
        </w:rPr>
      </w:r>
      <w:r>
        <w:rPr>
          <w:spacing w:val="-2"/>
        </w:rPr>
        <w:t>确认的资产减值损失后续转回金额，应当根据处置组中除商誉外适用本准则计量规定的各项非流动资产账</w:t>
      </w:r>
      <w:r>
        <w:rPr>
          <w:spacing w:val="-33"/>
        </w:rPr>
        <w:t> </w:t>
      </w:r>
      <w:r>
        <w:rPr>
          <w:spacing w:val="-33"/>
        </w:rPr>
      </w:r>
      <w:r>
        <w:rPr/>
        <w:t>面价值所占比重，按比例增加其账面价值。</w:t>
      </w:r>
    </w:p>
    <w:p>
      <w:pPr>
        <w:pStyle w:val="BodyText"/>
        <w:spacing w:line="312" w:lineRule="auto" w:before="178"/>
        <w:ind w:right="1125" w:firstLine="422"/>
        <w:jc w:val="both"/>
      </w:pPr>
      <w:r>
        <w:rPr>
          <w:spacing w:val="-2"/>
        </w:rPr>
        <w:t>企业因出售对子公司的投资等原因导致其丧失对子公司控制权的，无论出售后企业是否保留部分权益</w:t>
      </w:r>
      <w:r>
        <w:rPr>
          <w:w w:val="100"/>
        </w:rPr>
        <w:t> </w:t>
      </w:r>
      <w:r>
        <w:rPr>
          <w:spacing w:val="-2"/>
        </w:rPr>
        <w:t>性投资，应当在拟出售的对子公司投资满足持有待售类别划分条件时，在母公司个别财务报表中将对子公</w:t>
      </w:r>
      <w:r>
        <w:rPr>
          <w:spacing w:val="-33"/>
        </w:rPr>
        <w:t> </w:t>
      </w:r>
      <w:r>
        <w:rPr>
          <w:spacing w:val="-33"/>
        </w:rPr>
      </w:r>
      <w:r>
        <w:rPr/>
        <w:t>司投资整体划分为持有待售类别，在合并财务报表中将子公司所有资产和负债划分为持有待售类别。</w:t>
      </w:r>
    </w:p>
    <w:p>
      <w:pPr>
        <w:spacing w:after="0" w:line="312" w:lineRule="auto"/>
        <w:jc w:val="both"/>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453" w:lineRule="auto" w:before="36"/>
        <w:ind w:left="575" w:right="8239"/>
        <w:jc w:val="left"/>
      </w:pPr>
      <w:bookmarkStart w:name="（十四）长期股权投资" w:id="181"/>
      <w:bookmarkEnd w:id="181"/>
      <w:r>
        <w:rPr/>
      </w:r>
      <w:r>
        <w:rPr>
          <w:spacing w:val="-1"/>
        </w:rPr>
        <w:t>（十四）长期股权投资</w:t>
      </w:r>
      <w:r>
        <w:rPr>
          <w:spacing w:val="-93"/>
        </w:rPr>
        <w:t> </w:t>
      </w:r>
      <w:r>
        <w:rPr>
          <w:spacing w:val="-93"/>
        </w:rPr>
      </w:r>
      <w:r>
        <w:rPr>
          <w:rFonts w:ascii="宋体" w:hAnsi="宋体" w:cs="宋体" w:eastAsia="宋体" w:hint="default"/>
        </w:rPr>
        <w:t>1.</w:t>
      </w:r>
      <w:r>
        <w:rPr/>
        <w:t>投资成本的确定</w:t>
      </w:r>
    </w:p>
    <w:p>
      <w:pPr>
        <w:pStyle w:val="BodyText"/>
        <w:spacing w:line="312" w:lineRule="auto" w:before="57"/>
        <w:ind w:right="1126" w:firstLine="422"/>
        <w:jc w:val="both"/>
      </w:pPr>
      <w:r>
        <w:rPr/>
        <w:t>（</w:t>
      </w:r>
      <w:r>
        <w:rPr>
          <w:rFonts w:ascii="宋体" w:hAnsi="宋体" w:cs="宋体" w:eastAsia="宋体" w:hint="default"/>
        </w:rPr>
        <w:t>1</w:t>
      </w:r>
      <w:r>
        <w:rPr/>
        <w:t>）同一控制下的企业合并形成的，合并方以支付现金、转让非现金资产、承担债务或发行权益性</w:t>
      </w:r>
      <w:r>
        <w:rPr>
          <w:w w:val="100"/>
        </w:rPr>
        <w:t> </w:t>
      </w:r>
      <w:r>
        <w:rPr>
          <w:spacing w:val="-2"/>
        </w:rPr>
        <w:t>证券作为合并对价的，在合并日按照被合并方所有者权益在最终控制方合并财务报表中的账面价值的份额</w:t>
      </w:r>
      <w:r>
        <w:rPr>
          <w:spacing w:val="-33"/>
        </w:rPr>
        <w:t> </w:t>
      </w:r>
      <w:r>
        <w:rPr>
          <w:spacing w:val="-33"/>
        </w:rPr>
      </w:r>
      <w:r>
        <w:rPr>
          <w:spacing w:val="-2"/>
        </w:rPr>
        <w:t>作为其初始投资成本。长期股权投资初始投资成本与支付的合并对价的账面价值或发行股份的面值总额之</w:t>
      </w:r>
      <w:r>
        <w:rPr>
          <w:spacing w:val="-33"/>
        </w:rPr>
        <w:t> </w:t>
      </w:r>
      <w:r>
        <w:rPr>
          <w:spacing w:val="-33"/>
        </w:rPr>
      </w:r>
      <w:r>
        <w:rPr/>
        <w:t>间的差额调整资本公积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p>
    <w:p>
      <w:pPr>
        <w:spacing w:line="240" w:lineRule="auto" w:before="3"/>
        <w:rPr>
          <w:rFonts w:ascii="宋体" w:hAnsi="宋体" w:cs="宋体" w:eastAsia="宋体" w:hint="default"/>
          <w:sz w:val="14"/>
          <w:szCs w:val="14"/>
        </w:rPr>
      </w:pPr>
    </w:p>
    <w:p>
      <w:pPr>
        <w:pStyle w:val="BodyText"/>
        <w:spacing w:line="312" w:lineRule="auto"/>
        <w:ind w:right="1119" w:firstLine="422"/>
        <w:jc w:val="both"/>
      </w:pPr>
      <w:r>
        <w:rPr>
          <w:spacing w:val="-2"/>
        </w:rPr>
        <w:t>分步实现同一控制下企业合并的，应当以持股比例计算的合并日应享有被合并方账面所有者权益份额</w:t>
      </w:r>
      <w:r>
        <w:rPr>
          <w:w w:val="100"/>
        </w:rPr>
        <w:t> </w:t>
      </w:r>
      <w:r>
        <w:rPr>
          <w:spacing w:val="-2"/>
        </w:rPr>
        <w:t>作为该项投资的初始投资成本。初始投资成本与其原长期股权投资账面价值加上合并日取得进一步股份新</w:t>
      </w:r>
      <w:r>
        <w:rPr>
          <w:spacing w:val="-33"/>
        </w:rPr>
        <w:t> </w:t>
      </w:r>
      <w:r>
        <w:rPr>
          <w:spacing w:val="-33"/>
        </w:rPr>
      </w:r>
      <w:r>
        <w:rPr>
          <w:spacing w:val="-2"/>
        </w:rPr>
        <w:t>支付对价的账面价值之和的差额，调整资本公积（资本溢价或股本溢价），资本公积不足冲减的，冲减留</w:t>
      </w:r>
      <w:r>
        <w:rPr>
          <w:spacing w:val="-38"/>
        </w:rPr>
        <w:t> </w:t>
      </w:r>
      <w:r>
        <w:rPr>
          <w:spacing w:val="-38"/>
        </w:rPr>
      </w:r>
      <w:r>
        <w:rPr/>
        <w:t>存收益。</w:t>
      </w:r>
    </w:p>
    <w:p>
      <w:pPr>
        <w:spacing w:line="240" w:lineRule="auto" w:before="11"/>
        <w:rPr>
          <w:rFonts w:ascii="宋体" w:hAnsi="宋体" w:cs="宋体" w:eastAsia="宋体" w:hint="default"/>
          <w:sz w:val="13"/>
          <w:szCs w:val="13"/>
        </w:rPr>
      </w:pPr>
    </w:p>
    <w:p>
      <w:pPr>
        <w:pStyle w:val="BodyText"/>
        <w:spacing w:line="309" w:lineRule="auto"/>
        <w:ind w:right="1135" w:firstLine="422"/>
        <w:jc w:val="both"/>
      </w:pPr>
      <w:r>
        <w:rPr/>
        <w:t>（</w:t>
      </w:r>
      <w:r>
        <w:rPr>
          <w:rFonts w:ascii="宋体" w:hAnsi="宋体" w:cs="宋体" w:eastAsia="宋体" w:hint="default"/>
        </w:rPr>
        <w:t>2</w:t>
      </w:r>
      <w:r>
        <w:rPr/>
        <w:t>）非同一控制下的企业合并形成的，在购买日按照支付的合并对价的公允价值作为其初始投资成</w:t>
      </w:r>
      <w:r>
        <w:rPr>
          <w:w w:val="100"/>
        </w:rPr>
        <w:t> </w:t>
      </w:r>
      <w:r>
        <w:rPr/>
        <w:t>本。</w:t>
      </w:r>
    </w:p>
    <w:p>
      <w:pPr>
        <w:spacing w:line="240" w:lineRule="auto" w:before="4"/>
        <w:rPr>
          <w:rFonts w:ascii="宋体" w:hAnsi="宋体" w:cs="宋体" w:eastAsia="宋体" w:hint="default"/>
          <w:sz w:val="14"/>
          <w:szCs w:val="14"/>
        </w:rPr>
      </w:pPr>
    </w:p>
    <w:p>
      <w:pPr>
        <w:pStyle w:val="BodyText"/>
        <w:spacing w:line="312" w:lineRule="auto"/>
        <w:ind w:right="1122" w:firstLine="422"/>
        <w:jc w:val="both"/>
      </w:pPr>
      <w:r>
        <w:rPr/>
        <w:t>（</w:t>
      </w:r>
      <w:r>
        <w:rPr>
          <w:rFonts w:ascii="宋体" w:hAnsi="宋体" w:cs="宋体" w:eastAsia="宋体" w:hint="default"/>
        </w:rPr>
        <w:t>3</w:t>
      </w:r>
      <w:r>
        <w:rPr/>
        <w:t>）除企业合并形成以外的：以支付现金取得的，按照实际支付的购买价款作为其初始投资成本；</w:t>
      </w:r>
      <w:r>
        <w:rPr>
          <w:w w:val="100"/>
        </w:rPr>
        <w:t> </w:t>
      </w:r>
      <w:r>
        <w:rPr>
          <w:spacing w:val="-2"/>
        </w:rPr>
        <w:t>以发行权益性证券取得的，按照发行权益性证券的公允价值作为其初始投资成本；投资者投入的，按照投</w:t>
      </w:r>
      <w:r>
        <w:rPr>
          <w:spacing w:val="-30"/>
        </w:rPr>
        <w:t> </w:t>
      </w:r>
      <w:r>
        <w:rPr>
          <w:spacing w:val="-30"/>
        </w:rPr>
      </w:r>
      <w:r>
        <w:rPr/>
        <w:t>资合同或协议约定的价值作为其初始投资成本（合同或协议约定价值不公允的除外）。</w:t>
      </w:r>
    </w:p>
    <w:p>
      <w:pPr>
        <w:pStyle w:val="BodyText"/>
        <w:spacing w:line="524" w:lineRule="exact" w:before="2"/>
        <w:ind w:left="575" w:right="0"/>
        <w:jc w:val="left"/>
      </w:pPr>
      <w:r>
        <w:rPr>
          <w:rFonts w:ascii="宋体" w:hAnsi="宋体" w:cs="宋体" w:eastAsia="宋体" w:hint="default"/>
        </w:rPr>
        <w:t>2.</w:t>
      </w:r>
      <w:r>
        <w:rPr/>
        <w:t>后续计量及损益确认方法</w:t>
      </w:r>
      <w:r>
        <w:rPr>
          <w:spacing w:val="-101"/>
        </w:rPr>
        <w:t> </w:t>
      </w:r>
      <w:r>
        <w:rPr>
          <w:spacing w:val="-101"/>
        </w:rPr>
      </w:r>
      <w:r>
        <w:rPr/>
        <w:t>本公司能够对被投资单位实施控制的长期股权投资</w:t>
      </w:r>
      <w:r>
        <w:rPr>
          <w:rFonts w:ascii="宋体" w:hAnsi="宋体" w:cs="宋体" w:eastAsia="宋体" w:hint="default"/>
        </w:rPr>
        <w:t>,</w:t>
      </w:r>
      <w:r>
        <w:rPr/>
        <w:t>在本公司个别财务报表中采用成本法核算；对具</w:t>
      </w:r>
    </w:p>
    <w:p>
      <w:pPr>
        <w:pStyle w:val="BodyText"/>
        <w:spacing w:line="240" w:lineRule="auto" w:before="5"/>
        <w:ind w:right="0"/>
        <w:jc w:val="left"/>
      </w:pPr>
      <w:r>
        <w:rPr/>
        <w:t>有共同控制或重大影响的长期股权投资，采用权益法核算。</w:t>
      </w:r>
    </w:p>
    <w:p>
      <w:pPr>
        <w:spacing w:line="240" w:lineRule="auto" w:before="8"/>
        <w:rPr>
          <w:rFonts w:ascii="宋体" w:hAnsi="宋体" w:cs="宋体" w:eastAsia="宋体" w:hint="default"/>
          <w:sz w:val="18"/>
          <w:szCs w:val="18"/>
        </w:rPr>
      </w:pPr>
    </w:p>
    <w:p>
      <w:pPr>
        <w:pStyle w:val="BodyText"/>
        <w:spacing w:line="312" w:lineRule="auto"/>
        <w:ind w:right="1125" w:firstLine="422"/>
        <w:jc w:val="both"/>
      </w:pPr>
      <w:r>
        <w:rPr>
          <w:spacing w:val="2"/>
        </w:rPr>
        <w:t>采用成本法时</w:t>
      </w:r>
      <w:r>
        <w:rPr>
          <w:rFonts w:ascii="宋体" w:hAnsi="宋体" w:cs="宋体" w:eastAsia="宋体" w:hint="default"/>
          <w:spacing w:val="2"/>
        </w:rPr>
        <w:t>,</w:t>
      </w:r>
      <w:r>
        <w:rPr>
          <w:spacing w:val="2"/>
        </w:rPr>
        <w:t>长期股权投资按初始投资成本计价</w:t>
      </w:r>
      <w:r>
        <w:rPr>
          <w:rFonts w:ascii="宋体" w:hAnsi="宋体" w:cs="宋体" w:eastAsia="宋体" w:hint="default"/>
          <w:spacing w:val="2"/>
        </w:rPr>
        <w:t>,</w:t>
      </w:r>
      <w:r>
        <w:rPr>
          <w:spacing w:val="2"/>
        </w:rPr>
        <w:t>除取得投资时实际支付的价款或对价中包含的已</w:t>
      </w:r>
      <w:r>
        <w:rPr>
          <w:w w:val="100"/>
        </w:rPr>
        <w:t> </w:t>
      </w:r>
      <w:r>
        <w:rPr/>
        <w:t>宣告但尚未发放的现金股利或利润外</w:t>
      </w:r>
      <w:r>
        <w:rPr>
          <w:rFonts w:ascii="宋体" w:hAnsi="宋体" w:cs="宋体" w:eastAsia="宋体" w:hint="default"/>
        </w:rPr>
        <w:t>,</w:t>
      </w:r>
      <w:r>
        <w:rPr/>
        <w:t>按享有被投资单位宣告分派的现金股利或利润</w:t>
      </w:r>
      <w:r>
        <w:rPr>
          <w:rFonts w:ascii="宋体" w:hAnsi="宋体" w:cs="宋体" w:eastAsia="宋体" w:hint="default"/>
        </w:rPr>
        <w:t>,</w:t>
      </w:r>
      <w:r>
        <w:rPr/>
        <w:t>确认为当期投资收</w:t>
      </w:r>
      <w:r>
        <w:rPr>
          <w:spacing w:val="66"/>
        </w:rPr>
        <w:t> </w:t>
      </w:r>
      <w:r>
        <w:rPr>
          <w:spacing w:val="66"/>
        </w:rPr>
      </w:r>
      <w:r>
        <w:rPr/>
        <w:t>益</w:t>
      </w:r>
      <w:r>
        <w:rPr>
          <w:rFonts w:ascii="宋体" w:hAnsi="宋体" w:cs="宋体" w:eastAsia="宋体" w:hint="default"/>
        </w:rPr>
        <w:t>,</w:t>
      </w:r>
      <w:r>
        <w:rPr/>
        <w:t>并同时根据有关资产减值政策考虑长期投资是否减值。</w:t>
      </w:r>
    </w:p>
    <w:p>
      <w:pPr>
        <w:spacing w:line="240" w:lineRule="auto" w:before="2"/>
        <w:rPr>
          <w:rFonts w:ascii="宋体" w:hAnsi="宋体" w:cs="宋体" w:eastAsia="宋体" w:hint="default"/>
          <w:sz w:val="14"/>
          <w:szCs w:val="14"/>
        </w:rPr>
      </w:pPr>
    </w:p>
    <w:p>
      <w:pPr>
        <w:pStyle w:val="BodyText"/>
        <w:spacing w:line="312" w:lineRule="auto"/>
        <w:ind w:right="1134" w:firstLine="422"/>
        <w:jc w:val="both"/>
      </w:pPr>
      <w:r>
        <w:rPr/>
        <w:t>采用权益法时</w:t>
      </w:r>
      <w:r>
        <w:rPr>
          <w:rFonts w:ascii="宋体" w:hAnsi="宋体" w:cs="宋体" w:eastAsia="宋体" w:hint="default"/>
        </w:rPr>
        <w:t>,</w:t>
      </w:r>
      <w:r>
        <w:rPr/>
        <w:t>长期股权投资的初始投资成本大于投资时应享有被投资单位可辨认净资产公允价值份</w:t>
      </w:r>
      <w:r>
        <w:rPr>
          <w:w w:val="100"/>
        </w:rPr>
        <w:t> </w:t>
      </w:r>
      <w:r>
        <w:rPr/>
        <w:t>额的</w:t>
      </w:r>
      <w:r>
        <w:rPr>
          <w:rFonts w:ascii="宋体" w:hAnsi="宋体" w:cs="宋体" w:eastAsia="宋体" w:hint="default"/>
        </w:rPr>
        <w:t>,</w:t>
      </w:r>
      <w:r>
        <w:rPr/>
        <w:t>归入长期股权投资的初始投资成本；长期股权投资的初始投资成本小于投资时应享有被投资单位可</w:t>
      </w:r>
      <w:r>
        <w:rPr>
          <w:spacing w:val="-31"/>
        </w:rPr>
        <w:t> </w:t>
      </w:r>
      <w:r>
        <w:rPr>
          <w:spacing w:val="-31"/>
        </w:rPr>
      </w:r>
      <w:r>
        <w:rPr/>
        <w:t>辨认净资产公允价值份额的</w:t>
      </w:r>
      <w:r>
        <w:rPr>
          <w:rFonts w:ascii="宋体" w:hAnsi="宋体" w:cs="宋体" w:eastAsia="宋体" w:hint="default"/>
        </w:rPr>
        <w:t>,</w:t>
      </w:r>
      <w:r>
        <w:rPr/>
        <w:t>其差额计入当期损益</w:t>
      </w:r>
      <w:r>
        <w:rPr>
          <w:rFonts w:ascii="宋体" w:hAnsi="宋体" w:cs="宋体" w:eastAsia="宋体" w:hint="default"/>
        </w:rPr>
        <w:t>,</w:t>
      </w:r>
      <w:r>
        <w:rPr/>
        <w:t>同时调整长期股权投资的成本。</w:t>
      </w:r>
    </w:p>
    <w:p>
      <w:pPr>
        <w:spacing w:line="240" w:lineRule="auto" w:before="10"/>
        <w:rPr>
          <w:rFonts w:ascii="宋体" w:hAnsi="宋体" w:cs="宋体" w:eastAsia="宋体" w:hint="default"/>
          <w:sz w:val="13"/>
          <w:szCs w:val="13"/>
        </w:rPr>
      </w:pPr>
    </w:p>
    <w:p>
      <w:pPr>
        <w:pStyle w:val="BodyText"/>
        <w:spacing w:line="314" w:lineRule="auto"/>
        <w:ind w:right="1125" w:firstLine="422"/>
        <w:jc w:val="both"/>
      </w:pPr>
      <w:r>
        <w:rPr/>
        <w:t>采用权益法时</w:t>
      </w:r>
      <w:r>
        <w:rPr>
          <w:rFonts w:ascii="宋体" w:hAnsi="宋体" w:cs="宋体" w:eastAsia="宋体" w:hint="default"/>
        </w:rPr>
        <w:t>,</w:t>
      </w:r>
      <w:r>
        <w:rPr/>
        <w:t>取得长期股权投资后</w:t>
      </w:r>
      <w:r>
        <w:rPr>
          <w:rFonts w:ascii="宋体" w:hAnsi="宋体" w:cs="宋体" w:eastAsia="宋体" w:hint="default"/>
        </w:rPr>
        <w:t>,</w:t>
      </w:r>
      <w:r>
        <w:rPr/>
        <w:t>按照应享有或应分担的被投资单位实现的净损益的份额</w:t>
      </w:r>
      <w:r>
        <w:rPr>
          <w:rFonts w:ascii="宋体" w:hAnsi="宋体" w:cs="宋体" w:eastAsia="宋体" w:hint="default"/>
        </w:rPr>
        <w:t>,</w:t>
      </w:r>
      <w:r>
        <w:rPr/>
        <w:t>确认投</w:t>
      </w:r>
      <w:r>
        <w:rPr>
          <w:w w:val="100"/>
        </w:rPr>
        <w:t> </w:t>
      </w:r>
      <w:r>
        <w:rPr/>
        <w:t>资损益并调整长期股权投资的账面价值。在确认应享有被投资单位净损益的份额时</w:t>
      </w:r>
      <w:r>
        <w:rPr>
          <w:rFonts w:ascii="宋体" w:hAnsi="宋体" w:cs="宋体" w:eastAsia="宋体" w:hint="default"/>
        </w:rPr>
        <w:t>,</w:t>
      </w:r>
      <w:r>
        <w:rPr/>
        <w:t>以取得投资时被投资</w:t>
      </w:r>
      <w:r>
        <w:rPr>
          <w:spacing w:val="-28"/>
        </w:rPr>
        <w:t> </w:t>
      </w:r>
      <w:r>
        <w:rPr>
          <w:spacing w:val="-28"/>
        </w:rPr>
      </w:r>
      <w:r>
        <w:rPr/>
        <w:t>单位各项可辨认资产等的公允价值为基础</w:t>
      </w:r>
      <w:r>
        <w:rPr>
          <w:rFonts w:ascii="宋体" w:hAnsi="宋体" w:cs="宋体" w:eastAsia="宋体" w:hint="default"/>
        </w:rPr>
        <w:t>,</w:t>
      </w:r>
      <w:r>
        <w:rPr/>
        <w:t>按照本公司的会计政策及会计期间</w:t>
      </w:r>
      <w:r>
        <w:rPr>
          <w:rFonts w:ascii="宋体" w:hAnsi="宋体" w:cs="宋体" w:eastAsia="宋体" w:hint="default"/>
        </w:rPr>
        <w:t>,</w:t>
      </w:r>
      <w:r>
        <w:rPr/>
        <w:t>并抵销与联营企业及合营</w:t>
      </w:r>
      <w:r>
        <w:rPr>
          <w:spacing w:val="66"/>
        </w:rPr>
        <w:t> </w:t>
      </w:r>
      <w:r>
        <w:rPr>
          <w:spacing w:val="66"/>
        </w:rPr>
      </w:r>
      <w:r>
        <w:rPr/>
        <w:t>企业之间发生的内部交易损益按照持股比例计算归属于投资企业的部分</w:t>
      </w:r>
      <w:r>
        <w:rPr>
          <w:rFonts w:ascii="宋体" w:hAnsi="宋体" w:cs="宋体" w:eastAsia="宋体" w:hint="default"/>
        </w:rPr>
        <w:t>(</w:t>
      </w:r>
      <w:r>
        <w:rPr/>
        <w:t>但内部交易损失属于资产减值损</w:t>
      </w:r>
      <w:r>
        <w:rPr>
          <w:spacing w:val="-29"/>
        </w:rPr>
        <w:t> </w:t>
      </w:r>
      <w:r>
        <w:rPr>
          <w:spacing w:val="-29"/>
        </w:rPr>
      </w:r>
      <w:r>
        <w:rPr>
          <w:spacing w:val="-2"/>
        </w:rPr>
        <w:t>失的</w:t>
      </w:r>
      <w:r>
        <w:rPr>
          <w:rFonts w:ascii="宋体" w:hAnsi="宋体" w:cs="宋体" w:eastAsia="宋体" w:hint="default"/>
          <w:spacing w:val="-2"/>
        </w:rPr>
        <w:t>,</w:t>
      </w:r>
      <w:r>
        <w:rPr>
          <w:spacing w:val="-2"/>
        </w:rPr>
        <w:t>应全额确认</w:t>
      </w:r>
      <w:r>
        <w:rPr>
          <w:rFonts w:ascii="宋体" w:hAnsi="宋体" w:cs="宋体" w:eastAsia="宋体" w:hint="default"/>
          <w:spacing w:val="-2"/>
        </w:rPr>
        <w:t>)</w:t>
      </w:r>
      <w:r>
        <w:rPr>
          <w:spacing w:val="-2"/>
        </w:rPr>
        <w:t>，对被投资单位的净利润进行调整后确认。按照被投资单位宣告分派的利润或现金股利</w:t>
      </w:r>
      <w:r>
        <w:rPr>
          <w:spacing w:val="-31"/>
        </w:rPr>
        <w:t> </w:t>
      </w:r>
      <w:r>
        <w:rPr>
          <w:spacing w:val="-31"/>
        </w:rPr>
      </w:r>
      <w:r>
        <w:rPr>
          <w:spacing w:val="-2"/>
        </w:rPr>
        <w:t>计算应分得的部分</w:t>
      </w:r>
      <w:r>
        <w:rPr>
          <w:rFonts w:ascii="宋体" w:hAnsi="宋体" w:cs="宋体" w:eastAsia="宋体" w:hint="default"/>
          <w:spacing w:val="-2"/>
        </w:rPr>
        <w:t>,</w:t>
      </w:r>
      <w:r>
        <w:rPr>
          <w:spacing w:val="-2"/>
        </w:rPr>
        <w:t>相应减少长期股权投资的账面价值。本公司确认被投资单位发生的净亏损</w:t>
      </w:r>
      <w:r>
        <w:rPr>
          <w:rFonts w:ascii="宋体" w:hAnsi="宋体" w:cs="宋体" w:eastAsia="宋体" w:hint="default"/>
          <w:spacing w:val="-2"/>
        </w:rPr>
        <w:t>,</w:t>
      </w:r>
      <w:r>
        <w:rPr>
          <w:spacing w:val="-2"/>
        </w:rPr>
        <w:t>以长期股权</w:t>
      </w:r>
      <w:r>
        <w:rPr>
          <w:spacing w:val="-33"/>
        </w:rPr>
        <w:t> </w:t>
      </w:r>
      <w:r>
        <w:rPr>
          <w:spacing w:val="-33"/>
        </w:rPr>
      </w:r>
      <w:r>
        <w:rPr/>
        <w:t>投资的账面价值以及其他实质上构成对被投资单位净投资的长期权益减记至零为限</w:t>
      </w:r>
      <w:r>
        <w:rPr>
          <w:rFonts w:ascii="宋体" w:hAnsi="宋体" w:cs="宋体" w:eastAsia="宋体" w:hint="default"/>
        </w:rPr>
        <w:t>,</w:t>
      </w:r>
      <w:r>
        <w:rPr/>
        <w:t>本公司负有承担额外</w:t>
      </w:r>
      <w:r>
        <w:rPr>
          <w:spacing w:val="-28"/>
        </w:rPr>
        <w:t> </w:t>
      </w:r>
      <w:r>
        <w:rPr>
          <w:spacing w:val="-28"/>
        </w:rPr>
      </w:r>
      <w:r>
        <w:rPr/>
        <w:t>损失义务的除外。对于被投资单位除净损益以外所有者权益的其他变动</w:t>
      </w:r>
      <w:r>
        <w:rPr>
          <w:rFonts w:ascii="宋体" w:hAnsi="宋体" w:cs="宋体" w:eastAsia="宋体" w:hint="default"/>
        </w:rPr>
        <w:t>,</w:t>
      </w:r>
      <w:r>
        <w:rPr/>
        <w:t>调整长期股权投资的账面价值并</w:t>
      </w:r>
      <w:r>
        <w:rPr>
          <w:spacing w:val="-29"/>
        </w:rPr>
        <w:t> </w:t>
      </w:r>
      <w:r>
        <w:rPr>
          <w:spacing w:val="-29"/>
        </w:rPr>
      </w:r>
      <w:r>
        <w:rPr/>
        <w:t>计入所有者权益。</w:t>
      </w:r>
    </w:p>
    <w:p>
      <w:pPr>
        <w:pStyle w:val="BodyText"/>
        <w:spacing w:line="240" w:lineRule="auto" w:before="178"/>
        <w:ind w:left="575" w:right="0"/>
        <w:jc w:val="left"/>
      </w:pPr>
      <w:r>
        <w:rPr>
          <w:rFonts w:ascii="宋体" w:hAnsi="宋体" w:cs="宋体" w:eastAsia="宋体" w:hint="default"/>
        </w:rPr>
        <w:t>3.</w:t>
      </w:r>
      <w:r>
        <w:rPr/>
        <w:t>确定对被投资单位具有控制、重大影响的依据</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12" w:lineRule="auto" w:before="36"/>
        <w:ind w:right="1125" w:firstLine="422"/>
        <w:jc w:val="both"/>
      </w:pPr>
      <w:r>
        <w:rPr>
          <w:spacing w:val="-2"/>
        </w:rPr>
        <w:t>控制，是指拥有对被投资方的权力，通过参与被投资方的相关活动而享有可变回报，并且有能力运用</w:t>
      </w:r>
      <w:r>
        <w:rPr>
          <w:w w:val="100"/>
        </w:rPr>
        <w:t> </w:t>
      </w:r>
      <w:r>
        <w:rPr>
          <w:spacing w:val="-2"/>
        </w:rPr>
        <w:t>对被投资方的权力影响回报金额；重大影响，是指投资方对被投资单位的财务和经营政策有参与决策的权</w:t>
      </w:r>
      <w:r>
        <w:rPr>
          <w:spacing w:val="-33"/>
        </w:rPr>
        <w:t> </w:t>
      </w:r>
      <w:r>
        <w:rPr>
          <w:spacing w:val="-33"/>
        </w:rPr>
      </w:r>
      <w:r>
        <w:rPr/>
        <w:t>力，但并不能够控制或者与其他方一起共同控制这些政策的制定。</w:t>
      </w:r>
    </w:p>
    <w:p>
      <w:pPr>
        <w:spacing w:line="240" w:lineRule="auto" w:before="11"/>
        <w:rPr>
          <w:rFonts w:ascii="宋体" w:hAnsi="宋体" w:cs="宋体" w:eastAsia="宋体" w:hint="default"/>
          <w:sz w:val="13"/>
          <w:szCs w:val="13"/>
        </w:rPr>
      </w:pPr>
    </w:p>
    <w:p>
      <w:pPr>
        <w:pStyle w:val="BodyText"/>
        <w:spacing w:line="240" w:lineRule="auto"/>
        <w:ind w:left="575" w:right="0"/>
        <w:jc w:val="left"/>
      </w:pPr>
      <w:r>
        <w:rPr>
          <w:rFonts w:ascii="宋体" w:hAnsi="宋体" w:cs="宋体" w:eastAsia="宋体" w:hint="default"/>
        </w:rPr>
        <w:t>4.</w:t>
      </w:r>
      <w:r>
        <w:rPr/>
        <w:t>长期股权投资的处置</w:t>
      </w:r>
    </w:p>
    <w:p>
      <w:pPr>
        <w:pStyle w:val="BodyText"/>
        <w:spacing w:line="524" w:lineRule="exact" w:before="65"/>
        <w:ind w:left="575" w:right="0"/>
        <w:jc w:val="left"/>
      </w:pPr>
      <w:r>
        <w:rPr/>
        <w:t>（</w:t>
      </w:r>
      <w:r>
        <w:rPr>
          <w:rFonts w:ascii="宋体" w:hAnsi="宋体" w:cs="宋体" w:eastAsia="宋体" w:hint="default"/>
        </w:rPr>
        <w:t>1</w:t>
      </w:r>
      <w:r>
        <w:rPr/>
        <w:t>）部分处置对子公司的长期股权投资，但不丧失控制权的情形</w:t>
      </w:r>
      <w:r>
        <w:rPr>
          <w:w w:val="100"/>
        </w:rPr>
        <w:t> </w:t>
      </w:r>
      <w:r>
        <w:rPr>
          <w:spacing w:val="-2"/>
        </w:rPr>
        <w:t>部分处置对子公司的长期股权投资，但不丧失控制权时，应当将处置价款与处置投资对应的账面价值</w:t>
      </w:r>
    </w:p>
    <w:p>
      <w:pPr>
        <w:pStyle w:val="BodyText"/>
        <w:spacing w:line="240" w:lineRule="auto" w:before="5"/>
        <w:ind w:right="0"/>
        <w:jc w:val="both"/>
      </w:pPr>
      <w:r>
        <w:rPr/>
        <w:t>的差额确认为当期投资收益。</w:t>
      </w:r>
    </w:p>
    <w:p>
      <w:pPr>
        <w:pStyle w:val="BodyText"/>
        <w:spacing w:line="524" w:lineRule="exact" w:before="65"/>
        <w:ind w:left="575" w:right="0"/>
        <w:jc w:val="left"/>
      </w:pPr>
      <w:r>
        <w:rPr/>
        <w:t>（</w:t>
      </w:r>
      <w:r>
        <w:rPr>
          <w:rFonts w:ascii="宋体" w:hAnsi="宋体" w:cs="宋体" w:eastAsia="宋体" w:hint="default"/>
        </w:rPr>
        <w:t>2</w:t>
      </w:r>
      <w:r>
        <w:rPr/>
        <w:t>）部分处置股权投资或其他原因丧失了对子公司控制权的情形</w:t>
      </w:r>
      <w:r>
        <w:rPr>
          <w:spacing w:val="-5"/>
          <w:w w:val="100"/>
        </w:rPr>
        <w:t> </w:t>
      </w:r>
      <w:r>
        <w:rPr>
          <w:spacing w:val="-2"/>
        </w:rPr>
        <w:t>部分处置股权投资或其他原因丧失了对子公司控制权的，对于处置的股权，应结转与所售股权相对应</w:t>
      </w:r>
    </w:p>
    <w:p>
      <w:pPr>
        <w:pStyle w:val="BodyText"/>
        <w:spacing w:line="312" w:lineRule="auto" w:before="10"/>
        <w:ind w:right="1125"/>
        <w:jc w:val="both"/>
      </w:pPr>
      <w:r>
        <w:rPr>
          <w:spacing w:val="-2"/>
        </w:rPr>
        <w:t>的长期股权投资的账面价值，出售所得价款与处置长期股权投资账面价值之间差额，确认为投资收益（损</w:t>
      </w:r>
      <w:r>
        <w:rPr>
          <w:spacing w:val="-33"/>
        </w:rPr>
        <w:t> </w:t>
      </w:r>
      <w:r>
        <w:rPr>
          <w:spacing w:val="-33"/>
        </w:rPr>
      </w:r>
      <w:r>
        <w:rPr>
          <w:spacing w:val="-2"/>
          <w:w w:val="100"/>
        </w:rPr>
        <w:t>失）；同时，对于剩余股权，应当按其账面价值确认为长期股权投资或其它相关金融资产。处置后的剩余</w:t>
      </w:r>
      <w:r>
        <w:rPr>
          <w:spacing w:val="-99"/>
          <w:w w:val="100"/>
        </w:rPr>
        <w:t> </w:t>
      </w:r>
      <w:r>
        <w:rPr>
          <w:spacing w:val="-99"/>
          <w:w w:val="100"/>
        </w:rPr>
      </w:r>
      <w:r>
        <w:rPr/>
        <w:t>股权能够对子公司实施共同控制或重大影响的，应按有关成本法转为权益法的相关规定进行会计处理。</w:t>
      </w:r>
    </w:p>
    <w:p>
      <w:pPr>
        <w:pStyle w:val="BodyText"/>
        <w:spacing w:line="524" w:lineRule="exact" w:before="2"/>
        <w:ind w:left="575" w:right="0"/>
        <w:jc w:val="left"/>
      </w:pPr>
      <w:r>
        <w:rPr>
          <w:rFonts w:ascii="宋体" w:hAnsi="宋体" w:cs="宋体" w:eastAsia="宋体" w:hint="default"/>
        </w:rPr>
        <w:t>5.</w:t>
      </w:r>
      <w:r>
        <w:rPr/>
        <w:t>减值测试方法及减值准备计提方法</w:t>
      </w:r>
      <w:r>
        <w:rPr>
          <w:spacing w:val="-101"/>
        </w:rPr>
        <w:t> </w:t>
      </w:r>
      <w:r>
        <w:rPr>
          <w:spacing w:val="-101"/>
        </w:rPr>
      </w:r>
      <w:r>
        <w:rPr>
          <w:spacing w:val="-2"/>
        </w:rPr>
        <w:t>对子公司、联营企业及合营企业的投资，在资产负债表日有客观证据表明其发生减值的，按照账面价</w:t>
      </w:r>
    </w:p>
    <w:p>
      <w:pPr>
        <w:pStyle w:val="BodyText"/>
        <w:spacing w:line="240" w:lineRule="auto" w:before="5"/>
        <w:ind w:right="0"/>
        <w:jc w:val="both"/>
      </w:pPr>
      <w:r>
        <w:rPr/>
        <w:t>值与可收回金额的差额计提相应的减值准备。</w:t>
      </w:r>
    </w:p>
    <w:p>
      <w:pPr>
        <w:spacing w:line="240" w:lineRule="auto" w:before="3"/>
        <w:rPr>
          <w:rFonts w:ascii="宋体" w:hAnsi="宋体" w:cs="宋体" w:eastAsia="宋体" w:hint="default"/>
          <w:sz w:val="18"/>
          <w:szCs w:val="18"/>
        </w:rPr>
      </w:pPr>
    </w:p>
    <w:p>
      <w:pPr>
        <w:pStyle w:val="BodyText"/>
        <w:spacing w:line="453" w:lineRule="auto"/>
        <w:ind w:left="575" w:right="0"/>
        <w:jc w:val="left"/>
      </w:pPr>
      <w:bookmarkStart w:name="（十五）投资性房地产" w:id="182"/>
      <w:bookmarkEnd w:id="182"/>
      <w:r>
        <w:rPr/>
      </w:r>
      <w:r>
        <w:rPr/>
        <w:t>（十五）投资性房地产</w:t>
      </w:r>
      <w:r>
        <w:rPr>
          <w:w w:val="100"/>
        </w:rPr>
        <w:t> </w:t>
      </w:r>
      <w:r>
        <w:rPr>
          <w:rFonts w:ascii="宋体" w:hAnsi="宋体" w:cs="宋体" w:eastAsia="宋体" w:hint="default"/>
        </w:rPr>
        <w:t>1.</w:t>
      </w:r>
      <w:r>
        <w:rPr/>
        <w:t>投资性房地产包括已出租的土地使用权、持有并准备增值后转让的土地使用权和已出租的建筑物。</w:t>
      </w:r>
    </w:p>
    <w:p>
      <w:pPr>
        <w:pStyle w:val="BodyText"/>
        <w:spacing w:line="312" w:lineRule="auto" w:before="57"/>
        <w:ind w:right="1122" w:firstLine="422"/>
        <w:jc w:val="both"/>
      </w:pPr>
      <w:r>
        <w:rPr>
          <w:rFonts w:ascii="宋体" w:hAnsi="宋体" w:cs="宋体" w:eastAsia="宋体" w:hint="default"/>
          <w:spacing w:val="-2"/>
        </w:rPr>
        <w:t>2.</w:t>
      </w:r>
      <w:r>
        <w:rPr>
          <w:spacing w:val="-2"/>
        </w:rPr>
        <w:t>投资性房地产按照成本进行初始计量，采用成本模式进行后续计量，并采用与固定资产和无形资产</w:t>
      </w:r>
      <w:r>
        <w:rPr>
          <w:w w:val="100"/>
        </w:rPr>
        <w:t> </w:t>
      </w:r>
      <w:r>
        <w:rPr>
          <w:spacing w:val="-2"/>
        </w:rPr>
        <w:t>相同的方法计提折旧或进行摊销。资产负债表日，有迹象表明投资性房地产发生减值的，按照账面价值与</w:t>
      </w:r>
      <w:r>
        <w:rPr>
          <w:spacing w:val="-30"/>
        </w:rPr>
        <w:t> </w:t>
      </w:r>
      <w:r>
        <w:rPr>
          <w:spacing w:val="-30"/>
        </w:rPr>
      </w:r>
      <w:r>
        <w:rPr/>
        <w:t>可收回金额的差额计提相应的减值准备。</w:t>
      </w:r>
    </w:p>
    <w:p>
      <w:pPr>
        <w:spacing w:line="240" w:lineRule="auto" w:before="10"/>
        <w:rPr>
          <w:rFonts w:ascii="宋体" w:hAnsi="宋体" w:cs="宋体" w:eastAsia="宋体" w:hint="default"/>
          <w:sz w:val="13"/>
          <w:szCs w:val="13"/>
        </w:rPr>
      </w:pPr>
    </w:p>
    <w:p>
      <w:pPr>
        <w:pStyle w:val="BodyText"/>
        <w:spacing w:line="448" w:lineRule="auto"/>
        <w:ind w:left="575" w:right="6287"/>
        <w:jc w:val="left"/>
      </w:pPr>
      <w:bookmarkStart w:name="（十六）固定资产" w:id="183"/>
      <w:bookmarkEnd w:id="183"/>
      <w:r>
        <w:rPr/>
      </w:r>
      <w:r>
        <w:rPr/>
        <w:t>（十六）固定资产</w:t>
      </w:r>
      <w:r>
        <w:rPr>
          <w:spacing w:val="-101"/>
        </w:rPr>
        <w:t> </w:t>
      </w:r>
      <w:r>
        <w:rPr>
          <w:spacing w:val="-101"/>
        </w:rPr>
      </w:r>
      <w:r>
        <w:rPr>
          <w:rFonts w:ascii="宋体" w:hAnsi="宋体" w:cs="宋体" w:eastAsia="宋体" w:hint="default"/>
          <w:spacing w:val="-1"/>
        </w:rPr>
        <w:t>1.</w:t>
      </w:r>
      <w:r>
        <w:rPr>
          <w:spacing w:val="-1"/>
        </w:rPr>
        <w:t>固定资产确认条件、计价和折旧方法</w:t>
      </w:r>
    </w:p>
    <w:p>
      <w:pPr>
        <w:pStyle w:val="BodyText"/>
        <w:spacing w:line="309" w:lineRule="auto" w:before="65"/>
        <w:ind w:right="1125" w:firstLine="422"/>
        <w:jc w:val="both"/>
      </w:pPr>
      <w:r>
        <w:rPr>
          <w:spacing w:val="-2"/>
        </w:rPr>
        <w:t>固定资产是指为生产商品、提供劳务、出租或经营管理而持有的，使用年限超过一个会计年度的有形</w:t>
      </w:r>
      <w:r>
        <w:rPr>
          <w:w w:val="100"/>
        </w:rPr>
        <w:t> </w:t>
      </w:r>
      <w:r>
        <w:rPr/>
        <w:t>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48" w:lineRule="auto" w:before="173"/>
        <w:ind w:left="575" w:right="0"/>
        <w:jc w:val="left"/>
      </w:pPr>
      <w:r>
        <w:rPr/>
        <w:t>固定资产以取得时的实际成本入账，并从其达到预定可使用状态的次月起采用年限平均法计提折旧。</w:t>
      </w:r>
      <w:r>
        <w:rPr>
          <w:spacing w:val="-30"/>
        </w:rPr>
        <w:t> </w:t>
      </w:r>
      <w:r>
        <w:rPr>
          <w:spacing w:val="-30"/>
        </w:rPr>
      </w:r>
      <w:r>
        <w:rPr>
          <w:rFonts w:ascii="宋体" w:hAnsi="宋体" w:cs="宋体" w:eastAsia="宋体" w:hint="default"/>
        </w:rPr>
        <w:t>2.</w:t>
      </w:r>
      <w:r>
        <w:rPr/>
        <w:t>各类固定资产的折旧方法</w:t>
      </w:r>
    </w:p>
    <w:p>
      <w:pPr>
        <w:spacing w:line="240" w:lineRule="auto" w:before="10"/>
        <w:rPr>
          <w:rFonts w:ascii="宋体" w:hAnsi="宋体" w:cs="宋体" w:eastAsia="宋体" w:hint="default"/>
          <w:sz w:val="11"/>
          <w:szCs w:val="11"/>
        </w:rPr>
      </w:pPr>
    </w:p>
    <w:tbl>
      <w:tblPr>
        <w:tblW w:w="0" w:type="auto"/>
        <w:jc w:val="left"/>
        <w:tblInd w:w="575" w:type="dxa"/>
        <w:tblLayout w:type="fixed"/>
        <w:tblCellMar>
          <w:top w:w="0" w:type="dxa"/>
          <w:left w:w="0" w:type="dxa"/>
          <w:bottom w:w="0" w:type="dxa"/>
          <w:right w:w="0" w:type="dxa"/>
        </w:tblCellMar>
        <w:tblLook w:val="01E0"/>
      </w:tblPr>
      <w:tblGrid>
        <w:gridCol w:w="1899"/>
        <w:gridCol w:w="1592"/>
        <w:gridCol w:w="1712"/>
        <w:gridCol w:w="1750"/>
        <w:gridCol w:w="1844"/>
      </w:tblGrid>
      <w:tr>
        <w:trPr>
          <w:trHeight w:val="267" w:hRule="exact"/>
        </w:trPr>
        <w:tc>
          <w:tcPr>
            <w:tcW w:w="1899" w:type="dxa"/>
            <w:tcBorders>
              <w:top w:val="nil" w:sz="6" w:space="0" w:color="auto"/>
              <w:left w:val="nil" w:sz="6" w:space="0" w:color="auto"/>
              <w:bottom w:val="single" w:sz="4" w:space="0" w:color="000000"/>
              <w:right w:val="nil" w:sz="6" w:space="0" w:color="auto"/>
            </w:tcBorders>
          </w:tcPr>
          <w:p>
            <w:pPr>
              <w:pStyle w:val="TableParagraph"/>
              <w:spacing w:line="182" w:lineRule="exact"/>
              <w:ind w:left="2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182" w:lineRule="exact"/>
              <w:ind w:left="275" w:right="0"/>
              <w:jc w:val="center"/>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712" w:type="dxa"/>
            <w:tcBorders>
              <w:top w:val="nil" w:sz="6" w:space="0" w:color="auto"/>
              <w:left w:val="nil" w:sz="6" w:space="0" w:color="auto"/>
              <w:bottom w:val="single" w:sz="4" w:space="0" w:color="000000"/>
              <w:right w:val="nil" w:sz="6" w:space="0" w:color="auto"/>
            </w:tcBorders>
          </w:tcPr>
          <w:p>
            <w:pPr>
              <w:pStyle w:val="TableParagraph"/>
              <w:spacing w:line="182" w:lineRule="exact"/>
              <w:ind w:right="29"/>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182" w:lineRule="exact"/>
              <w:ind w:right="91"/>
              <w:jc w:val="center"/>
              <w:rPr>
                <w:rFonts w:ascii="宋体" w:hAnsi="宋体" w:cs="宋体" w:eastAsia="宋体" w:hint="default"/>
                <w:sz w:val="18"/>
                <w:szCs w:val="18"/>
              </w:rPr>
            </w:pPr>
            <w:r>
              <w:rPr>
                <w:rFonts w:ascii="宋体" w:hAnsi="宋体" w:cs="宋体" w:eastAsia="宋体" w:hint="default"/>
                <w:b/>
                <w:bCs/>
                <w:sz w:val="18"/>
                <w:szCs w:val="18"/>
              </w:rPr>
              <w:t>净残值率（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4"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6" w:hRule="exact"/>
        </w:trPr>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09"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7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
              <w:jc w:val="center"/>
              <w:rPr>
                <w:rFonts w:ascii="宋体" w:hAnsi="宋体" w:cs="宋体" w:eastAsia="宋体" w:hint="default"/>
                <w:sz w:val="18"/>
                <w:szCs w:val="18"/>
              </w:rPr>
            </w:pPr>
            <w:r>
              <w:rPr>
                <w:rFonts w:ascii="宋体"/>
                <w:w w:val="101"/>
                <w:sz w:val="18"/>
              </w:rPr>
              <w:t>5</w:t>
            </w:r>
            <w:r>
              <w:rPr>
                <w:rFonts w:ascii="宋体"/>
                <w:sz w:val="18"/>
              </w:rPr>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6"/>
              <w:jc w:val="center"/>
              <w:rPr>
                <w:rFonts w:ascii="宋体" w:hAnsi="宋体" w:cs="宋体" w:eastAsia="宋体" w:hint="default"/>
                <w:sz w:val="18"/>
                <w:szCs w:val="18"/>
              </w:rPr>
            </w:pPr>
            <w:r>
              <w:rPr>
                <w:rFonts w:ascii="宋体"/>
                <w:w w:val="101"/>
                <w:sz w:val="18"/>
              </w:rPr>
              <w:t>3</w:t>
            </w:r>
            <w:r>
              <w:rPr>
                <w:rFonts w:ascii="宋体"/>
                <w:sz w:val="18"/>
              </w:rPr>
            </w: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 w:right="0"/>
              <w:jc w:val="center"/>
              <w:rPr>
                <w:rFonts w:ascii="宋体" w:hAnsi="宋体" w:cs="宋体" w:eastAsia="宋体" w:hint="default"/>
                <w:sz w:val="18"/>
                <w:szCs w:val="18"/>
              </w:rPr>
            </w:pPr>
            <w:r>
              <w:rPr>
                <w:rFonts w:ascii="宋体"/>
                <w:sz w:val="18"/>
              </w:rPr>
              <w:t>19.40</w:t>
            </w:r>
          </w:p>
        </w:tc>
      </w:tr>
      <w:tr>
        <w:trPr>
          <w:trHeight w:val="29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9" w:right="0"/>
              <w:jc w:val="center"/>
              <w:rPr>
                <w:rFonts w:ascii="宋体" w:hAnsi="宋体" w:cs="宋体" w:eastAsia="宋体" w:hint="default"/>
                <w:sz w:val="18"/>
                <w:szCs w:val="18"/>
              </w:rPr>
            </w:pPr>
            <w:r>
              <w:rPr>
                <w:rFonts w:ascii="宋体" w:hAnsi="宋体" w:cs="宋体" w:eastAsia="宋体" w:hint="default"/>
                <w:sz w:val="18"/>
                <w:szCs w:val="18"/>
              </w:rPr>
              <w:t>办公设备</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center"/>
              <w:rPr>
                <w:rFonts w:ascii="宋体" w:hAnsi="宋体" w:cs="宋体" w:eastAsia="宋体" w:hint="default"/>
                <w:sz w:val="18"/>
                <w:szCs w:val="18"/>
              </w:rPr>
            </w:pPr>
            <w:r>
              <w:rPr>
                <w:rFonts w:ascii="宋体"/>
                <w:w w:val="101"/>
                <w:sz w:val="18"/>
              </w:rPr>
              <w:t>5</w:t>
            </w:r>
            <w:r>
              <w:rPr>
                <w:rFonts w:ascii="宋体"/>
                <w:sz w:val="18"/>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6"/>
              <w:jc w:val="center"/>
              <w:rPr>
                <w:rFonts w:ascii="宋体" w:hAnsi="宋体" w:cs="宋体" w:eastAsia="宋体" w:hint="default"/>
                <w:sz w:val="18"/>
                <w:szCs w:val="18"/>
              </w:rPr>
            </w:pPr>
            <w:r>
              <w:rPr>
                <w:rFonts w:ascii="宋体"/>
                <w:w w:val="101"/>
                <w:sz w:val="18"/>
              </w:rPr>
              <w:t>3</w:t>
            </w:r>
            <w:r>
              <w:rPr>
                <w:rFonts w:ascii="宋体"/>
                <w:sz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sz w:val="18"/>
              </w:rPr>
              <w:t>19.40</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575" w:type="dxa"/>
        <w:tblLayout w:type="fixed"/>
        <w:tblCellMar>
          <w:top w:w="0" w:type="dxa"/>
          <w:left w:w="0" w:type="dxa"/>
          <w:bottom w:w="0" w:type="dxa"/>
          <w:right w:w="0" w:type="dxa"/>
        </w:tblCellMar>
        <w:tblLook w:val="01E0"/>
      </w:tblPr>
      <w:tblGrid>
        <w:gridCol w:w="1899"/>
        <w:gridCol w:w="1592"/>
        <w:gridCol w:w="1712"/>
        <w:gridCol w:w="1750"/>
        <w:gridCol w:w="1844"/>
      </w:tblGrid>
      <w:tr>
        <w:trPr>
          <w:trHeight w:val="272" w:hRule="exact"/>
        </w:trPr>
        <w:tc>
          <w:tcPr>
            <w:tcW w:w="1899" w:type="dxa"/>
            <w:tcBorders>
              <w:top w:val="nil" w:sz="6" w:space="0" w:color="auto"/>
              <w:left w:val="nil" w:sz="6" w:space="0" w:color="auto"/>
              <w:bottom w:val="single" w:sz="4" w:space="0" w:color="000000"/>
              <w:right w:val="nil" w:sz="6" w:space="0" w:color="auto"/>
            </w:tcBorders>
          </w:tcPr>
          <w:p>
            <w:pPr>
              <w:pStyle w:val="TableParagraph"/>
              <w:spacing w:line="182" w:lineRule="exact"/>
              <w:ind w:left="2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182" w:lineRule="exact"/>
              <w:ind w:left="275" w:right="0"/>
              <w:jc w:val="center"/>
              <w:rPr>
                <w:rFonts w:ascii="宋体" w:hAnsi="宋体" w:cs="宋体" w:eastAsia="宋体" w:hint="default"/>
                <w:sz w:val="18"/>
                <w:szCs w:val="18"/>
              </w:rPr>
            </w:pPr>
            <w:r>
              <w:rPr>
                <w:rFonts w:ascii="宋体" w:hAnsi="宋体" w:cs="宋体" w:eastAsia="宋体" w:hint="default"/>
                <w:b/>
                <w:bCs/>
                <w:sz w:val="18"/>
                <w:szCs w:val="18"/>
              </w:rPr>
              <w:t>折旧方法</w:t>
            </w:r>
            <w:r>
              <w:rPr>
                <w:rFonts w:ascii="宋体" w:hAnsi="宋体" w:cs="宋体" w:eastAsia="宋体" w:hint="default"/>
                <w:sz w:val="18"/>
                <w:szCs w:val="18"/>
              </w:rPr>
            </w:r>
          </w:p>
        </w:tc>
        <w:tc>
          <w:tcPr>
            <w:tcW w:w="1712" w:type="dxa"/>
            <w:tcBorders>
              <w:top w:val="nil" w:sz="6" w:space="0" w:color="auto"/>
              <w:left w:val="nil" w:sz="6" w:space="0" w:color="auto"/>
              <w:bottom w:val="single" w:sz="4" w:space="0" w:color="000000"/>
              <w:right w:val="nil" w:sz="6" w:space="0" w:color="auto"/>
            </w:tcBorders>
          </w:tcPr>
          <w:p>
            <w:pPr>
              <w:pStyle w:val="TableParagraph"/>
              <w:spacing w:line="182" w:lineRule="exact"/>
              <w:ind w:right="29"/>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750" w:type="dxa"/>
            <w:tcBorders>
              <w:top w:val="nil" w:sz="6" w:space="0" w:color="auto"/>
              <w:left w:val="nil" w:sz="6" w:space="0" w:color="auto"/>
              <w:bottom w:val="single" w:sz="4" w:space="0" w:color="000000"/>
              <w:right w:val="nil" w:sz="6" w:space="0" w:color="auto"/>
            </w:tcBorders>
          </w:tcPr>
          <w:p>
            <w:pPr>
              <w:pStyle w:val="TableParagraph"/>
              <w:spacing w:line="182" w:lineRule="exact"/>
              <w:ind w:right="91"/>
              <w:jc w:val="center"/>
              <w:rPr>
                <w:rFonts w:ascii="宋体" w:hAnsi="宋体" w:cs="宋体" w:eastAsia="宋体" w:hint="default"/>
                <w:sz w:val="18"/>
                <w:szCs w:val="18"/>
              </w:rPr>
            </w:pPr>
            <w:r>
              <w:rPr>
                <w:rFonts w:ascii="宋体" w:hAnsi="宋体" w:cs="宋体" w:eastAsia="宋体" w:hint="default"/>
                <w:b/>
                <w:bCs/>
                <w:sz w:val="18"/>
                <w:szCs w:val="18"/>
              </w:rPr>
              <w:t>净残值率（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44"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8" w:hRule="exact"/>
        </w:trPr>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09"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75"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
              <w:jc w:val="center"/>
              <w:rPr>
                <w:rFonts w:ascii="宋体" w:hAnsi="宋体" w:cs="宋体" w:eastAsia="宋体" w:hint="default"/>
                <w:sz w:val="18"/>
                <w:szCs w:val="18"/>
              </w:rPr>
            </w:pPr>
            <w:r>
              <w:rPr>
                <w:rFonts w:ascii="宋体"/>
                <w:w w:val="101"/>
                <w:sz w:val="18"/>
              </w:rPr>
              <w:t>3</w:t>
            </w:r>
            <w:r>
              <w:rPr>
                <w:rFonts w:ascii="宋体"/>
                <w:sz w:val="18"/>
              </w:rPr>
            </w:r>
          </w:p>
        </w:tc>
        <w:tc>
          <w:tcPr>
            <w:tcW w:w="17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6"/>
              <w:jc w:val="center"/>
              <w:rPr>
                <w:rFonts w:ascii="宋体" w:hAnsi="宋体" w:cs="宋体" w:eastAsia="宋体" w:hint="default"/>
                <w:sz w:val="18"/>
                <w:szCs w:val="18"/>
              </w:rPr>
            </w:pPr>
            <w:r>
              <w:rPr>
                <w:rFonts w:ascii="宋体"/>
                <w:w w:val="101"/>
                <w:sz w:val="18"/>
              </w:rPr>
              <w:t>3</w:t>
            </w:r>
            <w:r>
              <w:rPr>
                <w:rFonts w:ascii="宋体"/>
                <w:sz w:val="18"/>
              </w:rPr>
            </w: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 w:right="0"/>
              <w:jc w:val="center"/>
              <w:rPr>
                <w:rFonts w:ascii="宋体" w:hAnsi="宋体" w:cs="宋体" w:eastAsia="宋体" w:hint="default"/>
                <w:sz w:val="18"/>
                <w:szCs w:val="18"/>
              </w:rPr>
            </w:pPr>
            <w:r>
              <w:rPr>
                <w:rFonts w:ascii="宋体"/>
                <w:sz w:val="18"/>
              </w:rPr>
              <w:t>32.33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575" w:right="0"/>
        <w:jc w:val="left"/>
      </w:pPr>
      <w:r>
        <w:rPr>
          <w:rFonts w:ascii="宋体" w:hAnsi="宋体" w:cs="宋体" w:eastAsia="宋体" w:hint="default"/>
        </w:rPr>
        <w:t>3.</w:t>
      </w:r>
      <w:r>
        <w:rPr/>
        <w:t>固定资产的减值测试方法、减值准备计提方法</w:t>
      </w:r>
    </w:p>
    <w:p>
      <w:pPr>
        <w:spacing w:line="240" w:lineRule="auto" w:before="13"/>
        <w:rPr>
          <w:rFonts w:ascii="宋体" w:hAnsi="宋体" w:cs="宋体" w:eastAsia="宋体" w:hint="default"/>
          <w:sz w:val="18"/>
          <w:szCs w:val="18"/>
        </w:rPr>
      </w:pPr>
    </w:p>
    <w:p>
      <w:pPr>
        <w:pStyle w:val="BodyText"/>
        <w:spacing w:line="309" w:lineRule="auto"/>
        <w:ind w:right="1119" w:firstLine="422"/>
        <w:jc w:val="both"/>
      </w:pPr>
      <w:r>
        <w:rPr>
          <w:spacing w:val="-2"/>
        </w:rPr>
        <w:t>资产负债表日，有迹象表明固定资产发生减值的，按照账面价值与可收回金额的差额计提相应的减值</w:t>
      </w:r>
      <w:r>
        <w:rPr>
          <w:w w:val="100"/>
        </w:rPr>
        <w:t> </w:t>
      </w:r>
      <w:r>
        <w:rPr/>
        <w:t>准备。</w:t>
      </w:r>
    </w:p>
    <w:p>
      <w:pPr>
        <w:pStyle w:val="BodyText"/>
        <w:spacing w:line="524" w:lineRule="exact" w:before="4"/>
        <w:ind w:left="575" w:right="1110"/>
        <w:jc w:val="left"/>
      </w:pPr>
      <w:r>
        <w:rPr>
          <w:rFonts w:ascii="宋体" w:hAnsi="宋体" w:cs="宋体" w:eastAsia="宋体" w:hint="default"/>
        </w:rPr>
        <w:t>4.</w:t>
      </w:r>
      <w:r>
        <w:rPr/>
        <w:t>融资租入固定资产的认定依据、计价方法和折旧方法</w:t>
      </w:r>
      <w:r>
        <w:rPr>
          <w:w w:val="100"/>
        </w:rPr>
        <w:t> </w:t>
      </w:r>
      <w:r>
        <w:rPr>
          <w:spacing w:val="-4"/>
          <w:w w:val="100"/>
        </w:rPr>
        <w:t>符合下列一项或数项标准的，认定为融资租赁：（</w:t>
      </w:r>
      <w:r>
        <w:rPr>
          <w:rFonts w:ascii="宋体" w:hAnsi="宋体" w:cs="宋体" w:eastAsia="宋体" w:hint="default"/>
          <w:spacing w:val="-4"/>
          <w:w w:val="100"/>
        </w:rPr>
        <w:t>1</w:t>
      </w:r>
      <w:r>
        <w:rPr>
          <w:spacing w:val="-4"/>
          <w:w w:val="100"/>
        </w:rPr>
        <w:t>）在租赁期届满时，租赁资产的所有权转移给承租</w:t>
      </w:r>
    </w:p>
    <w:p>
      <w:pPr>
        <w:pStyle w:val="BodyText"/>
        <w:spacing w:line="314" w:lineRule="auto" w:before="10"/>
        <w:ind w:right="1123"/>
        <w:jc w:val="both"/>
      </w:pPr>
      <w:r>
        <w:rPr>
          <w:spacing w:val="-4"/>
          <w:w w:val="100"/>
        </w:rPr>
        <w:t>人；（</w:t>
      </w:r>
      <w:r>
        <w:rPr>
          <w:rFonts w:ascii="宋体" w:hAnsi="宋体" w:cs="宋体" w:eastAsia="宋体" w:hint="default"/>
          <w:spacing w:val="-4"/>
          <w:w w:val="100"/>
        </w:rPr>
        <w:t>2</w:t>
      </w:r>
      <w:r>
        <w:rPr>
          <w:spacing w:val="-4"/>
          <w:w w:val="100"/>
        </w:rPr>
        <w:t>）承租人有购买租赁资产的选择权，所订立的购买价款预计将远低于行使选择权时租赁资产的公允</w:t>
      </w:r>
      <w:r>
        <w:rPr>
          <w:spacing w:val="-100"/>
          <w:w w:val="100"/>
        </w:rPr>
        <w:t> </w:t>
      </w:r>
      <w:r>
        <w:rPr>
          <w:spacing w:val="-100"/>
          <w:w w:val="100"/>
        </w:rPr>
      </w:r>
      <w:r>
        <w:rPr>
          <w:spacing w:val="-4"/>
          <w:w w:val="100"/>
        </w:rPr>
        <w:t>价值，因而在租赁开始日就可以合理确定承租人将会行使这种选择权；（</w:t>
      </w:r>
      <w:r>
        <w:rPr>
          <w:rFonts w:ascii="宋体" w:hAnsi="宋体" w:cs="宋体" w:eastAsia="宋体" w:hint="default"/>
          <w:spacing w:val="-4"/>
          <w:w w:val="100"/>
        </w:rPr>
        <w:t>3</w:t>
      </w:r>
      <w:r>
        <w:rPr>
          <w:spacing w:val="-4"/>
          <w:w w:val="100"/>
        </w:rPr>
        <w:t>）即使资产的所有权不转移，但</w:t>
      </w:r>
      <w:r>
        <w:rPr>
          <w:spacing w:val="-97"/>
          <w:w w:val="100"/>
        </w:rPr>
        <w:t> </w:t>
      </w:r>
      <w:r>
        <w:rPr>
          <w:spacing w:val="-97"/>
          <w:w w:val="100"/>
        </w:rPr>
      </w:r>
      <w:r>
        <w:rPr>
          <w:spacing w:val="-2"/>
          <w:w w:val="100"/>
        </w:rPr>
        <w:t>租赁期占租赁资产使用寿命的大部分</w:t>
      </w:r>
      <w:r>
        <w:rPr>
          <w:rFonts w:ascii="宋体" w:hAnsi="宋体" w:cs="宋体" w:eastAsia="宋体" w:hint="default"/>
          <w:spacing w:val="-2"/>
          <w:w w:val="100"/>
        </w:rPr>
        <w:t>[</w:t>
      </w:r>
      <w:r>
        <w:rPr>
          <w:spacing w:val="-2"/>
          <w:w w:val="100"/>
        </w:rPr>
        <w:t>通常占租赁资产使用寿命的</w:t>
      </w:r>
      <w:r>
        <w:rPr>
          <w:spacing w:val="6"/>
          <w:w w:val="100"/>
        </w:rPr>
        <w:t> </w:t>
      </w:r>
      <w:r>
        <w:rPr>
          <w:rFonts w:ascii="宋体" w:hAnsi="宋体" w:cs="宋体" w:eastAsia="宋体" w:hint="default"/>
          <w:spacing w:val="-2"/>
          <w:w w:val="100"/>
        </w:rPr>
        <w:t>75%</w:t>
      </w:r>
      <w:r>
        <w:rPr>
          <w:spacing w:val="-2"/>
          <w:w w:val="100"/>
        </w:rPr>
        <w:t>以上（含</w:t>
      </w:r>
      <w:r>
        <w:rPr>
          <w:spacing w:val="5"/>
          <w:w w:val="100"/>
        </w:rPr>
        <w:t> </w:t>
      </w:r>
      <w:r>
        <w:rPr>
          <w:rFonts w:ascii="宋体" w:hAnsi="宋体" w:cs="宋体" w:eastAsia="宋体" w:hint="default"/>
          <w:spacing w:val="-9"/>
          <w:w w:val="100"/>
        </w:rPr>
        <w:t>75%</w:t>
      </w:r>
      <w:r>
        <w:rPr>
          <w:spacing w:val="-9"/>
          <w:w w:val="100"/>
        </w:rPr>
        <w:t>）</w:t>
      </w:r>
      <w:r>
        <w:rPr>
          <w:rFonts w:ascii="宋体" w:hAnsi="宋体" w:cs="宋体" w:eastAsia="宋体" w:hint="default"/>
          <w:spacing w:val="-9"/>
          <w:w w:val="100"/>
        </w:rPr>
        <w:t>]</w:t>
      </w:r>
      <w:r>
        <w:rPr>
          <w:spacing w:val="-9"/>
          <w:w w:val="100"/>
        </w:rPr>
        <w:t>；（</w:t>
      </w:r>
      <w:r>
        <w:rPr>
          <w:rFonts w:ascii="宋体" w:hAnsi="宋体" w:cs="宋体" w:eastAsia="宋体" w:hint="default"/>
          <w:spacing w:val="-9"/>
          <w:w w:val="100"/>
        </w:rPr>
        <w:t>4</w:t>
      </w:r>
      <w:r>
        <w:rPr>
          <w:spacing w:val="-9"/>
          <w:w w:val="100"/>
        </w:rPr>
        <w:t>）承租人在租</w:t>
      </w:r>
      <w:r>
        <w:rPr>
          <w:spacing w:val="-103"/>
          <w:w w:val="100"/>
        </w:rPr>
        <w:t> </w:t>
      </w:r>
      <w:r>
        <w:rPr>
          <w:spacing w:val="-103"/>
          <w:w w:val="100"/>
        </w:rPr>
      </w:r>
      <w:r>
        <w:rPr>
          <w:spacing w:val="-3"/>
        </w:rPr>
        <w:t>赁开始日的最低租赁付款额现值，几乎相当于租赁开始日租赁资产公允价值</w:t>
      </w:r>
      <w:r>
        <w:rPr>
          <w:rFonts w:ascii="宋体" w:hAnsi="宋体" w:cs="宋体" w:eastAsia="宋体" w:hint="default"/>
          <w:spacing w:val="-3"/>
        </w:rPr>
        <w:t>[90%</w:t>
      </w:r>
      <w:r>
        <w:rPr>
          <w:spacing w:val="-3"/>
        </w:rPr>
        <w:t>以上（含 </w:t>
      </w:r>
      <w:r>
        <w:rPr>
          <w:rFonts w:ascii="宋体" w:hAnsi="宋体" w:cs="宋体" w:eastAsia="宋体" w:hint="default"/>
          <w:spacing w:val="-6"/>
        </w:rPr>
        <w:t>90%</w:t>
      </w:r>
      <w:r>
        <w:rPr>
          <w:spacing w:val="-6"/>
        </w:rPr>
        <w:t>）</w:t>
      </w:r>
      <w:r>
        <w:rPr>
          <w:rFonts w:ascii="宋体" w:hAnsi="宋体" w:cs="宋体" w:eastAsia="宋体" w:hint="default"/>
          <w:spacing w:val="-6"/>
        </w:rPr>
        <w:t>]</w:t>
      </w:r>
      <w:r>
        <w:rPr>
          <w:spacing w:val="-6"/>
        </w:rPr>
        <w:t>；出租人</w:t>
      </w:r>
      <w:r>
        <w:rPr>
          <w:spacing w:val="-56"/>
        </w:rPr>
        <w:t> </w:t>
      </w:r>
      <w:r>
        <w:rPr>
          <w:spacing w:val="-56"/>
        </w:rPr>
      </w:r>
      <w:r>
        <w:rPr>
          <w:spacing w:val="-5"/>
          <w:w w:val="100"/>
        </w:rPr>
        <w:t>在租赁开始日的最低租赁收款额现值，几乎相当于租赁开始日租赁资产公允价值</w:t>
      </w:r>
      <w:r>
        <w:rPr>
          <w:rFonts w:ascii="宋体" w:hAnsi="宋体" w:cs="宋体" w:eastAsia="宋体" w:hint="default"/>
          <w:spacing w:val="-5"/>
          <w:w w:val="100"/>
        </w:rPr>
        <w:t>[90%</w:t>
      </w:r>
      <w:r>
        <w:rPr>
          <w:spacing w:val="-5"/>
          <w:w w:val="100"/>
        </w:rPr>
        <w:t>以上（含</w:t>
      </w:r>
      <w:r>
        <w:rPr>
          <w:spacing w:val="-31"/>
          <w:w w:val="100"/>
        </w:rPr>
        <w:t> </w:t>
      </w:r>
      <w:r>
        <w:rPr>
          <w:rFonts w:ascii="宋体" w:hAnsi="宋体" w:cs="宋体" w:eastAsia="宋体" w:hint="default"/>
          <w:spacing w:val="-29"/>
          <w:w w:val="100"/>
        </w:rPr>
        <w:t>90%</w:t>
      </w:r>
      <w:r>
        <w:rPr>
          <w:spacing w:val="-29"/>
          <w:w w:val="100"/>
        </w:rPr>
        <w:t>）</w:t>
      </w:r>
      <w:r>
        <w:rPr>
          <w:rFonts w:ascii="宋体" w:hAnsi="宋体" w:cs="宋体" w:eastAsia="宋体" w:hint="default"/>
          <w:spacing w:val="-29"/>
          <w:w w:val="100"/>
        </w:rPr>
        <w:t>]</w:t>
      </w:r>
      <w:r>
        <w:rPr>
          <w:spacing w:val="-29"/>
          <w:w w:val="100"/>
        </w:rPr>
        <w:t>；（</w:t>
      </w:r>
      <w:r>
        <w:rPr>
          <w:rFonts w:ascii="宋体" w:hAnsi="宋体" w:cs="宋体" w:eastAsia="宋体" w:hint="default"/>
          <w:spacing w:val="-29"/>
          <w:w w:val="100"/>
        </w:rPr>
        <w:t>5</w:t>
      </w:r>
      <w:r>
        <w:rPr>
          <w:spacing w:val="-29"/>
          <w:w w:val="100"/>
        </w:rPr>
        <w:t>）</w:t>
      </w:r>
      <w:r>
        <w:rPr>
          <w:spacing w:val="-99"/>
          <w:w w:val="100"/>
        </w:rPr>
        <w:t> </w:t>
      </w:r>
      <w:r>
        <w:rPr/>
        <w:t>租赁资产性质特殊，如果不作较大改造，只有承租人才能使用。</w:t>
      </w:r>
    </w:p>
    <w:p>
      <w:pPr>
        <w:pStyle w:val="BodyText"/>
        <w:spacing w:line="309" w:lineRule="auto" w:before="179"/>
        <w:ind w:right="1125" w:firstLine="422"/>
        <w:jc w:val="both"/>
      </w:pPr>
      <w:r>
        <w:rPr>
          <w:spacing w:val="-2"/>
        </w:rPr>
        <w:t>融资租入的固定资产，按租赁开始日租赁资产的公允价值与最低租赁付款额的现值中较低者入账，按</w:t>
      </w:r>
      <w:r>
        <w:rPr>
          <w:w w:val="100"/>
        </w:rPr>
        <w:t> </w:t>
      </w:r>
      <w:r>
        <w:rPr/>
        <w:t>自有固定资产的折旧政策计提折旧。</w:t>
      </w:r>
    </w:p>
    <w:p>
      <w:pPr>
        <w:pStyle w:val="BodyText"/>
        <w:spacing w:line="518" w:lineRule="exact" w:before="13"/>
        <w:ind w:left="575" w:right="0"/>
        <w:jc w:val="left"/>
      </w:pPr>
      <w:bookmarkStart w:name="（十七）在建工程" w:id="184"/>
      <w:bookmarkEnd w:id="184"/>
      <w:r>
        <w:rPr/>
      </w:r>
      <w:r>
        <w:rPr/>
        <w:t>（十七）在建工程</w:t>
      </w:r>
      <w:r>
        <w:rPr>
          <w:spacing w:val="-101"/>
        </w:rPr>
        <w:t> </w:t>
      </w:r>
      <w:r>
        <w:rPr>
          <w:spacing w:val="-101"/>
        </w:rPr>
      </w:r>
      <w:r>
        <w:rPr>
          <w:rFonts w:ascii="宋体" w:hAnsi="宋体" w:cs="宋体" w:eastAsia="宋体" w:hint="default"/>
          <w:spacing w:val="-2"/>
        </w:rPr>
        <w:t>1.</w:t>
      </w:r>
      <w:r>
        <w:rPr>
          <w:spacing w:val="-2"/>
        </w:rPr>
        <w:t>在建工程达到预定可使用状态时，按工程实际成本转入固定资产。已达到预定可使用状态但尚未办</w:t>
      </w:r>
    </w:p>
    <w:p>
      <w:pPr>
        <w:pStyle w:val="BodyText"/>
        <w:spacing w:line="309" w:lineRule="auto" w:before="11"/>
        <w:ind w:right="1125"/>
        <w:jc w:val="both"/>
      </w:pPr>
      <w:r>
        <w:rPr>
          <w:spacing w:val="-2"/>
        </w:rPr>
        <w:t>理竣工决算的，先按估计价值转入固定资产，待办理竣工决算后再按实际成本调整原暂估价值，但不再调</w:t>
      </w:r>
      <w:r>
        <w:rPr>
          <w:spacing w:val="-33"/>
        </w:rPr>
        <w:t> </w:t>
      </w:r>
      <w:r>
        <w:rPr>
          <w:spacing w:val="-33"/>
        </w:rPr>
      </w:r>
      <w:r>
        <w:rPr/>
        <w:t>整原已计提的折旧。</w:t>
      </w:r>
    </w:p>
    <w:p>
      <w:pPr>
        <w:spacing w:line="240" w:lineRule="auto" w:before="4"/>
        <w:rPr>
          <w:rFonts w:ascii="宋体" w:hAnsi="宋体" w:cs="宋体" w:eastAsia="宋体" w:hint="default"/>
          <w:sz w:val="14"/>
          <w:szCs w:val="14"/>
        </w:rPr>
      </w:pPr>
    </w:p>
    <w:p>
      <w:pPr>
        <w:pStyle w:val="BodyText"/>
        <w:spacing w:line="309" w:lineRule="auto"/>
        <w:ind w:right="1121" w:firstLine="422"/>
        <w:jc w:val="both"/>
      </w:pPr>
      <w:r>
        <w:rPr>
          <w:rFonts w:ascii="宋体" w:hAnsi="宋体" w:cs="宋体" w:eastAsia="宋体" w:hint="default"/>
          <w:spacing w:val="-2"/>
        </w:rPr>
        <w:t>2.</w:t>
      </w:r>
      <w:r>
        <w:rPr>
          <w:spacing w:val="-2"/>
        </w:rPr>
        <w:t>资产负债表日，有迹象表明在建工程发生减值的，按照账面价值与可收回金额的差额计提相应的减</w:t>
      </w:r>
      <w:r>
        <w:rPr>
          <w:w w:val="100"/>
        </w:rPr>
        <w:t> </w:t>
      </w:r>
      <w:r>
        <w:rPr/>
        <w:t>值准备。</w:t>
      </w:r>
    </w:p>
    <w:p>
      <w:pPr>
        <w:pStyle w:val="BodyText"/>
        <w:spacing w:line="453" w:lineRule="auto" w:before="178"/>
        <w:ind w:left="575" w:right="6287"/>
        <w:jc w:val="left"/>
      </w:pPr>
      <w:bookmarkStart w:name="（十八）借款费用" w:id="185"/>
      <w:bookmarkEnd w:id="185"/>
      <w:r>
        <w:rPr/>
      </w:r>
      <w:r>
        <w:rPr/>
        <w:t>（十八）借款费用</w:t>
      </w:r>
      <w:r>
        <w:rPr>
          <w:spacing w:val="-101"/>
        </w:rPr>
        <w:t> </w:t>
      </w:r>
      <w:r>
        <w:rPr>
          <w:spacing w:val="-101"/>
        </w:rPr>
      </w:r>
      <w:r>
        <w:rPr>
          <w:rFonts w:ascii="宋体" w:hAnsi="宋体" w:cs="宋体" w:eastAsia="宋体" w:hint="default"/>
          <w:spacing w:val="-1"/>
        </w:rPr>
        <w:t>1.</w:t>
      </w:r>
      <w:r>
        <w:rPr>
          <w:spacing w:val="-1"/>
        </w:rPr>
        <w:t>借款费用资本化的确认原则</w:t>
      </w:r>
    </w:p>
    <w:p>
      <w:pPr>
        <w:pStyle w:val="BodyText"/>
        <w:spacing w:line="309" w:lineRule="auto" w:before="56"/>
        <w:ind w:right="1120" w:firstLine="422"/>
        <w:jc w:val="both"/>
      </w:pPr>
      <w:r>
        <w:rPr>
          <w:spacing w:val="-2"/>
        </w:rPr>
        <w:t>本公司发生的借款费用，可直接归属于符合资本化条件的资产的购建或者生产的，予以资本化，计入</w:t>
      </w:r>
      <w:r>
        <w:rPr>
          <w:w w:val="100"/>
        </w:rPr>
        <w:t> </w:t>
      </w:r>
      <w:r>
        <w:rPr/>
        <w:t>相关资产成本；其他借款费用，在发生时确认为费用，计入当期损益。</w:t>
      </w:r>
    </w:p>
    <w:p>
      <w:pPr>
        <w:spacing w:line="240" w:lineRule="auto" w:before="13"/>
        <w:rPr>
          <w:rFonts w:ascii="宋体" w:hAnsi="宋体" w:cs="宋体" w:eastAsia="宋体" w:hint="default"/>
          <w:sz w:val="13"/>
          <w:szCs w:val="13"/>
        </w:rPr>
      </w:pPr>
    </w:p>
    <w:p>
      <w:pPr>
        <w:pStyle w:val="BodyText"/>
        <w:spacing w:line="240" w:lineRule="auto"/>
        <w:ind w:left="575" w:right="0"/>
        <w:jc w:val="left"/>
      </w:pPr>
      <w:r>
        <w:rPr>
          <w:rFonts w:ascii="宋体" w:hAnsi="宋体" w:cs="宋体" w:eastAsia="宋体" w:hint="default"/>
        </w:rPr>
        <w:t>2</w:t>
      </w:r>
      <w:r>
        <w:rPr/>
        <w:t>．借款费用资本化期间</w:t>
      </w:r>
    </w:p>
    <w:p>
      <w:pPr>
        <w:spacing w:line="240" w:lineRule="auto" w:before="8"/>
        <w:rPr>
          <w:rFonts w:ascii="宋体" w:hAnsi="宋体" w:cs="宋体" w:eastAsia="宋体" w:hint="default"/>
          <w:sz w:val="18"/>
          <w:szCs w:val="18"/>
        </w:rPr>
      </w:pPr>
    </w:p>
    <w:p>
      <w:pPr>
        <w:pStyle w:val="BodyText"/>
        <w:spacing w:line="309" w:lineRule="auto"/>
        <w:ind w:right="1122" w:firstLine="422"/>
        <w:jc w:val="both"/>
      </w:pPr>
      <w:r>
        <w:rPr>
          <w:spacing w:val="-4"/>
        </w:rPr>
        <w:t>（</w:t>
      </w:r>
      <w:r>
        <w:rPr>
          <w:rFonts w:ascii="宋体" w:hAnsi="宋体" w:cs="宋体" w:eastAsia="宋体" w:hint="default"/>
          <w:spacing w:val="-4"/>
        </w:rPr>
        <w:t>1</w:t>
      </w:r>
      <w:r>
        <w:rPr>
          <w:spacing w:val="-4"/>
        </w:rPr>
        <w:t>）当借款费用同时满足下列条件时，开始资本化：</w:t>
      </w:r>
      <w:r>
        <w:rPr>
          <w:rFonts w:ascii="宋体" w:hAnsi="宋体" w:cs="宋体" w:eastAsia="宋体" w:hint="default"/>
          <w:spacing w:val="-4"/>
        </w:rPr>
        <w:t>1</w:t>
      </w:r>
      <w:r>
        <w:rPr>
          <w:spacing w:val="-4"/>
        </w:rPr>
        <w:t>）资产支出已经发生；</w:t>
      </w:r>
      <w:r>
        <w:rPr>
          <w:rFonts w:ascii="宋体" w:hAnsi="宋体" w:cs="宋体" w:eastAsia="宋体" w:hint="default"/>
          <w:spacing w:val="-4"/>
        </w:rPr>
        <w:t>2</w:t>
      </w:r>
      <w:r>
        <w:rPr>
          <w:spacing w:val="-4"/>
        </w:rPr>
        <w:t>）借款费用已经发生；</w:t>
      </w:r>
      <w:r>
        <w:rPr>
          <w:w w:val="100"/>
        </w:rPr>
        <w:t> </w:t>
      </w:r>
      <w:r>
        <w:rPr>
          <w:rFonts w:ascii="宋体" w:hAnsi="宋体" w:cs="宋体" w:eastAsia="宋体" w:hint="default"/>
        </w:rPr>
        <w:t>3</w:t>
      </w:r>
      <w:r>
        <w:rPr/>
        <w:t>）为使资产达到预定可使用或可销售状态所必要的购建或者生产活动已经开始。</w:t>
      </w:r>
    </w:p>
    <w:p>
      <w:pPr>
        <w:spacing w:line="240" w:lineRule="auto" w:before="5"/>
        <w:rPr>
          <w:rFonts w:ascii="宋体" w:hAnsi="宋体" w:cs="宋体" w:eastAsia="宋体" w:hint="default"/>
          <w:sz w:val="14"/>
          <w:szCs w:val="14"/>
        </w:rPr>
      </w:pPr>
    </w:p>
    <w:p>
      <w:pPr>
        <w:pStyle w:val="BodyText"/>
        <w:spacing w:line="312" w:lineRule="auto"/>
        <w:ind w:right="1122" w:firstLine="422"/>
        <w:jc w:val="both"/>
      </w:pPr>
      <w:r>
        <w:rPr/>
        <w:t>（</w:t>
      </w:r>
      <w:r>
        <w:rPr>
          <w:rFonts w:ascii="宋体" w:hAnsi="宋体" w:cs="宋体" w:eastAsia="宋体" w:hint="default"/>
        </w:rPr>
        <w:t>2</w:t>
      </w:r>
      <w:r>
        <w:rPr/>
        <w:t>）若符合资本化条件的资产在购建或者生产过程中发生非正常中断，并且中断时间连续超过 </w:t>
      </w:r>
      <w:r>
        <w:rPr>
          <w:rFonts w:ascii="宋体" w:hAnsi="宋体" w:cs="宋体" w:eastAsia="宋体" w:hint="default"/>
        </w:rPr>
        <w:t>3</w:t>
      </w:r>
      <w:r>
        <w:rPr>
          <w:rFonts w:ascii="宋体" w:hAnsi="宋体" w:cs="宋体" w:eastAsia="宋体" w:hint="default"/>
          <w:spacing w:val="-18"/>
        </w:rPr>
        <w:t> </w:t>
      </w:r>
      <w:r>
        <w:rPr/>
        <w:t>个</w:t>
      </w:r>
      <w:r>
        <w:rPr>
          <w:w w:val="100"/>
        </w:rPr>
        <w:t> </w:t>
      </w:r>
      <w:r>
        <w:rPr>
          <w:spacing w:val="-2"/>
        </w:rPr>
        <w:t>月，暂停借款费用的资本化；中断期间发生的借款费用确认为当期费用，直至资产的购建或者生产活动重</w:t>
      </w:r>
      <w:r>
        <w:rPr>
          <w:spacing w:val="-33"/>
        </w:rPr>
        <w:t> </w:t>
      </w:r>
      <w:r>
        <w:rPr>
          <w:spacing w:val="-33"/>
        </w:rPr>
      </w:r>
      <w:r>
        <w:rPr/>
        <w:t>新开始。</w:t>
      </w:r>
    </w:p>
    <w:p>
      <w:pPr>
        <w:spacing w:after="0" w:line="312" w:lineRule="auto"/>
        <w:jc w:val="both"/>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09" w:lineRule="auto" w:before="36"/>
        <w:ind w:right="1012" w:firstLine="422"/>
        <w:jc w:val="left"/>
      </w:pPr>
      <w:r>
        <w:rPr/>
        <w:t>（</w:t>
      </w:r>
      <w:r>
        <w:rPr>
          <w:rFonts w:ascii="宋体" w:hAnsi="宋体" w:cs="宋体" w:eastAsia="宋体" w:hint="default"/>
        </w:rPr>
        <w:t>3</w:t>
      </w:r>
      <w:r>
        <w:rPr/>
        <w:t>）当所购建或者生产符合资本化条件的资产达到预定可使用或可销售状态时，借款费用停止资本</w:t>
      </w:r>
      <w:r>
        <w:rPr>
          <w:w w:val="100"/>
        </w:rPr>
        <w:t> </w:t>
      </w:r>
      <w:r>
        <w:rPr/>
        <w:t>化。</w:t>
      </w:r>
    </w:p>
    <w:p>
      <w:pPr>
        <w:pStyle w:val="BodyText"/>
        <w:spacing w:line="518" w:lineRule="exact" w:before="14"/>
        <w:ind w:left="575" w:right="0"/>
        <w:jc w:val="left"/>
      </w:pPr>
      <w:r>
        <w:rPr>
          <w:rFonts w:ascii="宋体" w:hAnsi="宋体" w:cs="宋体" w:eastAsia="宋体" w:hint="default"/>
        </w:rPr>
        <w:t>3</w:t>
      </w:r>
      <w:r>
        <w:rPr/>
        <w:t>．借款费用资本化金额</w:t>
      </w:r>
      <w:r>
        <w:rPr>
          <w:spacing w:val="-103"/>
        </w:rPr>
        <w:t> </w:t>
      </w:r>
      <w:r>
        <w:rPr>
          <w:spacing w:val="-103"/>
        </w:rPr>
      </w:r>
      <w:r>
        <w:rPr>
          <w:spacing w:val="-2"/>
        </w:rPr>
        <w:t>为购建或者生产符合资本化条件的资产而借入专门借款的，以专门借款当期实际发生的利息费用（包</w:t>
      </w:r>
    </w:p>
    <w:p>
      <w:pPr>
        <w:pStyle w:val="BodyText"/>
        <w:spacing w:line="312" w:lineRule="auto" w:before="11"/>
        <w:ind w:right="1123"/>
        <w:jc w:val="both"/>
      </w:pPr>
      <w:r>
        <w:rPr>
          <w:spacing w:val="-2"/>
        </w:rPr>
        <w:t>括按照实际利率法确定的折价或溢价的摊销），减去将尚未动用的借款资金存入银行取得的利息收入或进</w:t>
      </w:r>
      <w:r>
        <w:rPr>
          <w:spacing w:val="-33"/>
        </w:rPr>
        <w:t> </w:t>
      </w:r>
      <w:r>
        <w:rPr>
          <w:spacing w:val="-33"/>
        </w:rPr>
      </w:r>
      <w:r>
        <w:rPr>
          <w:spacing w:val="-2"/>
        </w:rPr>
        <w:t>行暂时性投资取得的投资收益后的金额，确定应予资本化的利息金额；为购建或者生产符合资本化条件的</w:t>
      </w:r>
      <w:r>
        <w:rPr>
          <w:spacing w:val="-31"/>
        </w:rPr>
        <w:t> </w:t>
      </w:r>
      <w:r>
        <w:rPr>
          <w:spacing w:val="-31"/>
        </w:rPr>
      </w:r>
      <w:r>
        <w:rPr>
          <w:spacing w:val="-2"/>
        </w:rPr>
        <w:t>资产占用了一般借款的，根据累计资产支出超过专门借款的资产支出加权平均数乘以占用一般借款的资本</w:t>
      </w:r>
      <w:r>
        <w:rPr>
          <w:spacing w:val="-33"/>
        </w:rPr>
        <w:t> </w:t>
      </w:r>
      <w:r>
        <w:rPr>
          <w:spacing w:val="-33"/>
        </w:rPr>
      </w:r>
      <w:r>
        <w:rPr/>
        <w:t>化率，计算确定一般借款应予资本化的利息金额。</w:t>
      </w:r>
    </w:p>
    <w:p>
      <w:pPr>
        <w:spacing w:line="240" w:lineRule="auto" w:before="10"/>
        <w:rPr>
          <w:rFonts w:ascii="宋体" w:hAnsi="宋体" w:cs="宋体" w:eastAsia="宋体" w:hint="default"/>
          <w:sz w:val="13"/>
          <w:szCs w:val="13"/>
        </w:rPr>
      </w:pPr>
    </w:p>
    <w:p>
      <w:pPr>
        <w:pStyle w:val="BodyText"/>
        <w:spacing w:line="448" w:lineRule="auto"/>
        <w:ind w:left="575" w:right="4612"/>
        <w:jc w:val="left"/>
      </w:pPr>
      <w:bookmarkStart w:name="（十九）无形资产" w:id="186"/>
      <w:bookmarkEnd w:id="186"/>
      <w:r>
        <w:rPr/>
      </w:r>
      <w:r>
        <w:rPr/>
        <w:t>（十九）无形资产</w:t>
      </w:r>
      <w:r>
        <w:rPr>
          <w:spacing w:val="-101"/>
        </w:rPr>
        <w:t> </w:t>
      </w:r>
      <w:r>
        <w:rPr>
          <w:spacing w:val="-101"/>
        </w:rPr>
      </w:r>
      <w:r>
        <w:rPr>
          <w:rFonts w:ascii="宋体" w:hAnsi="宋体" w:cs="宋体" w:eastAsia="宋体" w:hint="default"/>
          <w:spacing w:val="-2"/>
        </w:rPr>
        <w:t>1.</w:t>
      </w:r>
      <w:r>
        <w:rPr>
          <w:spacing w:val="-2"/>
        </w:rPr>
        <w:t>无形资产主要是软件使用权，按成本进行初始计量。</w:t>
      </w:r>
    </w:p>
    <w:p>
      <w:pPr>
        <w:pStyle w:val="BodyText"/>
        <w:spacing w:line="309" w:lineRule="auto" w:before="66"/>
        <w:ind w:right="0" w:firstLine="422"/>
        <w:jc w:val="left"/>
      </w:pPr>
      <w:r>
        <w:rPr>
          <w:rFonts w:ascii="宋体" w:hAnsi="宋体" w:cs="宋体" w:eastAsia="宋体" w:hint="default"/>
          <w:spacing w:val="-2"/>
        </w:rPr>
        <w:t>2.</w:t>
      </w:r>
      <w:r>
        <w:rPr>
          <w:spacing w:val="-2"/>
        </w:rPr>
        <w:t>使用寿命有限的无形资产，在使用寿命内按照与该项无形资产有关的经济利益的预期实现方式系统</w:t>
      </w:r>
      <w:r>
        <w:rPr>
          <w:w w:val="100"/>
        </w:rPr>
        <w:t> </w:t>
      </w:r>
      <w:r>
        <w:rPr/>
        <w:t>合理地摊销，无法可靠确定预期实现方式的，采用直线法摊销。具体年限如下：</w:t>
      </w:r>
    </w:p>
    <w:p>
      <w:pPr>
        <w:spacing w:line="240" w:lineRule="auto" w:before="9"/>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3923"/>
        <w:gridCol w:w="4586"/>
      </w:tblGrid>
      <w:tr>
        <w:trPr>
          <w:trHeight w:val="272" w:hRule="exact"/>
        </w:trPr>
        <w:tc>
          <w:tcPr>
            <w:tcW w:w="3923" w:type="dxa"/>
            <w:tcBorders>
              <w:top w:val="nil" w:sz="6" w:space="0" w:color="auto"/>
              <w:left w:val="nil" w:sz="6" w:space="0" w:color="auto"/>
              <w:bottom w:val="single" w:sz="4" w:space="0" w:color="000000"/>
              <w:right w:val="nil" w:sz="6" w:space="0" w:color="auto"/>
            </w:tcBorders>
          </w:tcPr>
          <w:p>
            <w:pPr>
              <w:pStyle w:val="TableParagraph"/>
              <w:spacing w:line="182" w:lineRule="exact"/>
              <w:ind w:right="14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86" w:type="dxa"/>
            <w:tcBorders>
              <w:top w:val="nil" w:sz="6" w:space="0" w:color="auto"/>
              <w:left w:val="nil" w:sz="6" w:space="0" w:color="auto"/>
              <w:bottom w:val="single" w:sz="4" w:space="0" w:color="000000"/>
              <w:right w:val="nil" w:sz="6" w:space="0" w:color="auto"/>
            </w:tcBorders>
          </w:tcPr>
          <w:p>
            <w:pPr>
              <w:pStyle w:val="TableParagraph"/>
              <w:spacing w:line="182" w:lineRule="exact"/>
              <w:ind w:right="147"/>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318" w:hRule="exact"/>
        </w:trPr>
        <w:tc>
          <w:tcPr>
            <w:tcW w:w="392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47"/>
              <w:jc w:val="center"/>
              <w:rPr>
                <w:rFonts w:ascii="宋体" w:hAnsi="宋体" w:cs="宋体" w:eastAsia="宋体" w:hint="default"/>
                <w:sz w:val="18"/>
                <w:szCs w:val="18"/>
              </w:rPr>
            </w:pPr>
            <w:r>
              <w:rPr>
                <w:rFonts w:ascii="宋体" w:hAnsi="宋体" w:cs="宋体" w:eastAsia="宋体" w:hint="default"/>
                <w:sz w:val="18"/>
                <w:szCs w:val="18"/>
              </w:rPr>
              <w:t>软件使用权</w:t>
            </w:r>
          </w:p>
        </w:tc>
        <w:tc>
          <w:tcPr>
            <w:tcW w:w="458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51"/>
              <w:jc w:val="center"/>
              <w:rPr>
                <w:rFonts w:ascii="宋体" w:hAnsi="宋体" w:cs="宋体" w:eastAsia="宋体" w:hint="default"/>
                <w:sz w:val="18"/>
                <w:szCs w:val="18"/>
              </w:rPr>
            </w:pPr>
            <w:r>
              <w:rPr>
                <w:rFonts w:ascii="宋体"/>
                <w:w w:val="101"/>
                <w:sz w:val="18"/>
              </w:rPr>
              <w:t>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312" w:lineRule="auto" w:before="36"/>
        <w:ind w:right="1124" w:firstLine="422"/>
        <w:jc w:val="both"/>
      </w:pPr>
      <w:r>
        <w:rPr>
          <w:rFonts w:ascii="宋体" w:hAnsi="宋体" w:cs="宋体" w:eastAsia="宋体" w:hint="default"/>
        </w:rPr>
        <w:t>3</w:t>
      </w:r>
      <w:r>
        <w:rPr/>
        <w:t>．使用寿命确定的无形资产，在资产负债表日有迹象表明发生减值的，按照账面价值与可收回金额</w:t>
      </w:r>
      <w:r>
        <w:rPr>
          <w:w w:val="100"/>
        </w:rPr>
        <w:t> </w:t>
      </w:r>
      <w:r>
        <w:rPr>
          <w:spacing w:val="-2"/>
        </w:rPr>
        <w:t>的差额计提相应的减值准备；使用寿命不确定的无形资产和尚未达到可使用状态的无形资产，无论是否存</w:t>
      </w:r>
      <w:r>
        <w:rPr>
          <w:spacing w:val="-32"/>
        </w:rPr>
        <w:t> </w:t>
      </w:r>
      <w:r>
        <w:rPr>
          <w:spacing w:val="-32"/>
        </w:rPr>
      </w:r>
      <w:r>
        <w:rPr/>
        <w:t>在减值迹象，每年均进行减值测试。</w:t>
      </w:r>
    </w:p>
    <w:p>
      <w:pPr>
        <w:spacing w:line="240" w:lineRule="auto" w:before="3"/>
        <w:rPr>
          <w:rFonts w:ascii="宋体" w:hAnsi="宋体" w:cs="宋体" w:eastAsia="宋体" w:hint="default"/>
          <w:sz w:val="14"/>
          <w:szCs w:val="14"/>
        </w:rPr>
      </w:pPr>
    </w:p>
    <w:p>
      <w:pPr>
        <w:pStyle w:val="BodyText"/>
        <w:spacing w:line="314" w:lineRule="auto"/>
        <w:ind w:right="1007" w:firstLine="422"/>
        <w:jc w:val="left"/>
      </w:pPr>
      <w:r>
        <w:rPr>
          <w:rFonts w:ascii="宋体" w:hAnsi="宋体" w:cs="宋体" w:eastAsia="宋体" w:hint="default"/>
        </w:rPr>
        <w:t>4.</w:t>
      </w:r>
      <w:r>
        <w:rPr/>
        <w:t>内部研究开发项目研究阶段的支出，于发生时计入当期损益。内部研究开发项目开发阶段的支出，</w:t>
      </w:r>
      <w:r>
        <w:rPr>
          <w:w w:val="100"/>
        </w:rPr>
        <w:t> </w:t>
      </w:r>
      <w:r>
        <w:rPr>
          <w:spacing w:val="-6"/>
          <w:w w:val="100"/>
        </w:rPr>
        <w:t>同时满足下列条件的，确认为无形资产：（</w:t>
      </w:r>
      <w:r>
        <w:rPr>
          <w:rFonts w:ascii="宋体" w:hAnsi="宋体" w:cs="宋体" w:eastAsia="宋体" w:hint="default"/>
          <w:spacing w:val="-6"/>
          <w:w w:val="100"/>
        </w:rPr>
        <w:t>1</w:t>
      </w:r>
      <w:r>
        <w:rPr>
          <w:spacing w:val="-6"/>
          <w:w w:val="100"/>
        </w:rPr>
        <w:t>）完成该无形资产以使其能够使用或出售在技术上具有可行性；</w:t>
      </w:r>
    </w:p>
    <w:p>
      <w:pPr>
        <w:pStyle w:val="BodyText"/>
        <w:spacing w:line="314" w:lineRule="auto" w:before="20"/>
        <w:ind w:right="0"/>
        <w:jc w:val="left"/>
      </w:pPr>
      <w:r>
        <w:rPr>
          <w:spacing w:val="-2"/>
          <w:w w:val="100"/>
        </w:rPr>
        <w:t>（</w:t>
      </w:r>
      <w:r>
        <w:rPr>
          <w:rFonts w:ascii="宋体" w:hAnsi="宋体" w:cs="宋体" w:eastAsia="宋体" w:hint="default"/>
          <w:spacing w:val="-2"/>
          <w:w w:val="100"/>
        </w:rPr>
        <w:t>2</w:t>
      </w:r>
      <w:r>
        <w:rPr>
          <w:spacing w:val="-2"/>
          <w:w w:val="100"/>
        </w:rPr>
        <w:t>）具有完成该无形资产并使用或出售的意图；（</w:t>
      </w:r>
      <w:r>
        <w:rPr>
          <w:rFonts w:ascii="宋体" w:hAnsi="宋体" w:cs="宋体" w:eastAsia="宋体" w:hint="default"/>
          <w:spacing w:val="-2"/>
          <w:w w:val="100"/>
        </w:rPr>
        <w:t>3</w:t>
      </w:r>
      <w:r>
        <w:rPr>
          <w:spacing w:val="-2"/>
          <w:w w:val="100"/>
        </w:rPr>
        <w:t>）无形资产产生经济利益的方式，包括能够证明运用</w:t>
      </w:r>
      <w:r>
        <w:rPr>
          <w:spacing w:val="-95"/>
          <w:w w:val="100"/>
        </w:rPr>
        <w:t> </w:t>
      </w:r>
      <w:r>
        <w:rPr>
          <w:spacing w:val="-95"/>
          <w:w w:val="100"/>
        </w:rPr>
      </w:r>
      <w:r>
        <w:rPr/>
        <w:t>该无形资产生产的产品存在市场或无形资产自身存在市场，无形资产将在内部使用的，能证明其有用性；</w:t>
      </w:r>
    </w:p>
    <w:p>
      <w:pPr>
        <w:pStyle w:val="BodyText"/>
        <w:spacing w:line="309" w:lineRule="auto" w:before="20"/>
        <w:ind w:right="0"/>
        <w:jc w:val="left"/>
      </w:pPr>
      <w:r>
        <w:rPr/>
        <w:t>（</w:t>
      </w:r>
      <w:r>
        <w:rPr>
          <w:rFonts w:ascii="宋体" w:hAnsi="宋体" w:cs="宋体" w:eastAsia="宋体" w:hint="default"/>
        </w:rPr>
        <w:t>4</w:t>
      </w:r>
      <w:r>
        <w:rPr/>
        <w:t>）有足够的技术、财务资源和其他资源支持，以完成该无形资产的开发，并有能力使用或出售该无形</w:t>
      </w:r>
      <w:r>
        <w:rPr>
          <w:spacing w:val="-31"/>
        </w:rPr>
        <w:t> </w:t>
      </w:r>
      <w:r>
        <w:rPr>
          <w:spacing w:val="-31"/>
        </w:rPr>
      </w:r>
      <w:r>
        <w:rPr>
          <w:spacing w:val="-5"/>
          <w:w w:val="100"/>
        </w:rPr>
        <w:t>资产；（</w:t>
      </w:r>
      <w:r>
        <w:rPr>
          <w:rFonts w:ascii="宋体" w:hAnsi="宋体" w:cs="宋体" w:eastAsia="宋体" w:hint="default"/>
          <w:spacing w:val="-5"/>
          <w:w w:val="100"/>
        </w:rPr>
        <w:t>5</w:t>
      </w:r>
      <w:r>
        <w:rPr>
          <w:spacing w:val="-5"/>
          <w:w w:val="100"/>
        </w:rPr>
        <w:t>）归属于该无形资产开发阶段的支出能够可靠地计量。</w:t>
      </w:r>
    </w:p>
    <w:p>
      <w:pPr>
        <w:pStyle w:val="BodyText"/>
        <w:spacing w:line="240" w:lineRule="auto" w:before="178"/>
        <w:ind w:left="575" w:right="0"/>
        <w:jc w:val="left"/>
      </w:pPr>
      <w:r>
        <w:rPr/>
        <w:t>无法区分研究阶段支出和开发阶段支出的，将发生的研发支出全部计入当期损益。</w:t>
      </w:r>
    </w:p>
    <w:p>
      <w:pPr>
        <w:pStyle w:val="BodyText"/>
        <w:spacing w:line="518" w:lineRule="exact" w:before="74"/>
        <w:ind w:left="575" w:right="0"/>
        <w:jc w:val="left"/>
      </w:pPr>
      <w:bookmarkStart w:name="（二十）长期待摊费用" w:id="187"/>
      <w:bookmarkEnd w:id="187"/>
      <w:r>
        <w:rPr/>
      </w:r>
      <w:r>
        <w:rPr/>
        <w:t>（二十）长期待摊费用</w:t>
      </w:r>
      <w:r>
        <w:rPr>
          <w:w w:val="100"/>
        </w:rPr>
        <w:t> </w:t>
      </w:r>
      <w:r>
        <w:rPr>
          <w:spacing w:val="-2"/>
        </w:rPr>
        <w:t>长期待摊费用按实际发生额入账，在受益期或规定的期限内分期平均摊销。如果长期待摊的费用项目</w:t>
      </w:r>
    </w:p>
    <w:p>
      <w:pPr>
        <w:pStyle w:val="BodyText"/>
        <w:spacing w:line="240" w:lineRule="auto" w:before="6"/>
        <w:ind w:right="0"/>
        <w:jc w:val="left"/>
      </w:pPr>
      <w:r>
        <w:rPr/>
        <w:t>不能使以后会计期间受益则将尚未摊销的该项目的摊余价值全部转入当期损益。</w:t>
      </w:r>
    </w:p>
    <w:p>
      <w:pPr>
        <w:pStyle w:val="BodyText"/>
        <w:spacing w:line="520" w:lineRule="atLeast"/>
        <w:ind w:left="575" w:right="0"/>
        <w:jc w:val="left"/>
      </w:pPr>
      <w:bookmarkStart w:name="（二十一）职工薪酬" w:id="188"/>
      <w:bookmarkEnd w:id="188"/>
      <w:r>
        <w:rPr/>
      </w:r>
      <w:r>
        <w:rPr/>
        <w:t>（二十一）职工薪酬</w:t>
      </w:r>
      <w:r>
        <w:rPr>
          <w:spacing w:val="-100"/>
        </w:rPr>
        <w:t> </w:t>
      </w:r>
      <w:r>
        <w:rPr>
          <w:spacing w:val="-100"/>
        </w:rPr>
      </w:r>
      <w:r>
        <w:rPr/>
        <w:t>职工薪酬</w:t>
      </w:r>
      <w:r>
        <w:rPr>
          <w:rFonts w:ascii="宋体" w:hAnsi="宋体" w:cs="宋体" w:eastAsia="宋体" w:hint="default"/>
        </w:rPr>
        <w:t>,</w:t>
      </w:r>
      <w:r>
        <w:rPr/>
        <w:t>是指本公司为获得职工提供的服务或解除劳动关系而给予的除股份支付以外各种形式的报</w:t>
      </w:r>
    </w:p>
    <w:p>
      <w:pPr>
        <w:pStyle w:val="BodyText"/>
        <w:spacing w:line="309" w:lineRule="auto" w:before="85"/>
        <w:ind w:right="0"/>
        <w:jc w:val="left"/>
      </w:pPr>
      <w:r>
        <w:rPr>
          <w:spacing w:val="-7"/>
        </w:rPr>
        <w:t>酬或补偿。职工薪酬包括短期薪酬、离职后福利、辞退福利和其他长期职工福利。本公司提供给职工配偶、 </w:t>
      </w:r>
      <w:r>
        <w:rPr/>
        <w:t>子女、受赡养人、已故员工遗属及其他受益人等的福利，也属于职工薪酬。</w:t>
      </w:r>
    </w:p>
    <w:p>
      <w:pPr>
        <w:spacing w:after="0" w:line="309" w:lineRule="auto"/>
        <w:jc w:val="left"/>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left="575" w:right="0"/>
        <w:jc w:val="left"/>
      </w:pPr>
      <w:r>
        <w:rPr>
          <w:rFonts w:ascii="宋体" w:hAnsi="宋体" w:cs="宋体" w:eastAsia="宋体" w:hint="default"/>
        </w:rPr>
        <w:t>1.</w:t>
      </w:r>
      <w:r>
        <w:rPr/>
        <w:t>短期薪酬</w:t>
      </w:r>
    </w:p>
    <w:p>
      <w:pPr>
        <w:spacing w:line="240" w:lineRule="auto" w:before="13"/>
        <w:rPr>
          <w:rFonts w:ascii="宋体" w:hAnsi="宋体" w:cs="宋体" w:eastAsia="宋体" w:hint="default"/>
          <w:sz w:val="18"/>
          <w:szCs w:val="18"/>
        </w:rPr>
      </w:pPr>
    </w:p>
    <w:p>
      <w:pPr>
        <w:pStyle w:val="BodyText"/>
        <w:spacing w:line="309" w:lineRule="auto"/>
        <w:ind w:right="0" w:firstLine="422"/>
        <w:jc w:val="left"/>
      </w:pPr>
      <w:r>
        <w:rPr>
          <w:spacing w:val="-2"/>
        </w:rPr>
        <w:t>本公司在职工提供服务的会计期间，将实际发生的短期薪酬确认为负债，并计入当期损益或相关资产</w:t>
      </w:r>
      <w:r>
        <w:rPr>
          <w:w w:val="100"/>
        </w:rPr>
        <w:t> </w:t>
      </w:r>
      <w:r>
        <w:rPr/>
        <w:t>成本。其中，非货币性福利按照公允价值计量。</w:t>
      </w:r>
    </w:p>
    <w:p>
      <w:pPr>
        <w:pStyle w:val="BodyText"/>
        <w:spacing w:line="524" w:lineRule="exact" w:before="4"/>
        <w:ind w:left="575" w:right="1012"/>
        <w:jc w:val="left"/>
      </w:pPr>
      <w:r>
        <w:rPr>
          <w:rFonts w:ascii="宋体" w:hAnsi="宋体" w:cs="宋体" w:eastAsia="宋体" w:hint="default"/>
        </w:rPr>
        <w:t>2.</w:t>
      </w:r>
      <w:r>
        <w:rPr/>
        <w:t>辞退福利</w:t>
      </w:r>
      <w:r>
        <w:rPr>
          <w:spacing w:val="-99"/>
        </w:rPr>
        <w:t> </w:t>
      </w:r>
      <w:r>
        <w:rPr>
          <w:spacing w:val="-2"/>
        </w:rPr>
        <w:t>本公司在职工劳动合同到期之前解除与职工的劳动关系、或者为鼓励职工自愿接受裁减而提出给予补</w:t>
      </w:r>
    </w:p>
    <w:p>
      <w:pPr>
        <w:pStyle w:val="BodyText"/>
        <w:spacing w:line="309" w:lineRule="auto" w:before="10"/>
        <w:ind w:right="1126"/>
        <w:jc w:val="both"/>
      </w:pPr>
      <w:r>
        <w:rPr>
          <w:spacing w:val="-2"/>
        </w:rPr>
        <w:t>偿，在本公司不能单方面撤回解除劳动关系计划或裁减建议时和确认与涉及支付辞退福利的重组相关的成</w:t>
      </w:r>
      <w:r>
        <w:rPr>
          <w:spacing w:val="-33"/>
        </w:rPr>
        <w:t> </w:t>
      </w:r>
      <w:r>
        <w:rPr>
          <w:spacing w:val="-33"/>
        </w:rPr>
      </w:r>
      <w:r>
        <w:rPr/>
        <w:t>本费用时两者孰早日，确认因解除与职工的劳动关系给予补偿而产生的负债，同时计入当期损益。</w:t>
      </w:r>
    </w:p>
    <w:p>
      <w:pPr>
        <w:pStyle w:val="BodyText"/>
        <w:spacing w:line="524" w:lineRule="exact" w:before="4"/>
        <w:ind w:left="575" w:right="0"/>
        <w:jc w:val="left"/>
      </w:pPr>
      <w:r>
        <w:rPr>
          <w:rFonts w:ascii="宋体" w:hAnsi="宋体" w:cs="宋体" w:eastAsia="宋体" w:hint="default"/>
        </w:rPr>
        <w:t>3.</w:t>
      </w:r>
      <w:r>
        <w:rPr/>
        <w:t>设定提存计划</w:t>
      </w:r>
      <w:r>
        <w:rPr>
          <w:spacing w:val="-102"/>
        </w:rPr>
        <w:t> </w:t>
      </w:r>
      <w:r>
        <w:rPr>
          <w:spacing w:val="-102"/>
        </w:rPr>
      </w:r>
      <w:r>
        <w:rPr>
          <w:spacing w:val="-2"/>
        </w:rPr>
        <w:t>本公司职工参加了由当地劳动和社会保障部门组织实施的社会基本养老保险。本公司以当地规定的社</w:t>
      </w:r>
    </w:p>
    <w:p>
      <w:pPr>
        <w:pStyle w:val="BodyText"/>
        <w:spacing w:line="312" w:lineRule="auto" w:before="10"/>
        <w:ind w:right="1027"/>
        <w:jc w:val="both"/>
      </w:pPr>
      <w:r>
        <w:rPr/>
        <w:t>会基本养老保险缴纳基数和比例，按月向当地社会基本养老保险经办机构缴纳养老保险费。职工退休后，</w:t>
      </w:r>
      <w:r>
        <w:rPr>
          <w:spacing w:val="-28"/>
        </w:rPr>
        <w:t> </w:t>
      </w:r>
      <w:r>
        <w:rPr>
          <w:spacing w:val="-28"/>
        </w:rPr>
      </w:r>
      <w:r>
        <w:rPr/>
        <w:t>当地劳动及社会保障部门有责任向已退休员工支付社会基本养老金。本公司在职工提供服务的会计期间，</w:t>
      </w:r>
      <w:r>
        <w:rPr>
          <w:spacing w:val="-30"/>
        </w:rPr>
        <w:t> </w:t>
      </w:r>
      <w:r>
        <w:rPr>
          <w:spacing w:val="-30"/>
        </w:rPr>
      </w:r>
      <w:r>
        <w:rPr/>
        <w:t>将根据上述社保规定计算应缴纳的金额确认为负债，并计入当期损益或相关资产成本。</w:t>
      </w:r>
    </w:p>
    <w:p>
      <w:pPr>
        <w:pStyle w:val="BodyText"/>
        <w:spacing w:line="524" w:lineRule="exact" w:before="2"/>
        <w:ind w:left="575" w:right="0"/>
        <w:jc w:val="left"/>
      </w:pPr>
      <w:bookmarkStart w:name="（二十二）预计负债" w:id="189"/>
      <w:bookmarkEnd w:id="189"/>
      <w:r>
        <w:rPr/>
      </w:r>
      <w:r>
        <w:rPr/>
        <w:t>（二十二）预计负债</w:t>
      </w:r>
      <w:r>
        <w:rPr>
          <w:spacing w:val="-100"/>
        </w:rPr>
        <w:t> </w:t>
      </w:r>
      <w:r>
        <w:rPr>
          <w:spacing w:val="-100"/>
        </w:rPr>
      </w:r>
      <w:r>
        <w:rPr>
          <w:rFonts w:ascii="宋体" w:hAnsi="宋体" w:cs="宋体" w:eastAsia="宋体" w:hint="default"/>
          <w:spacing w:val="-2"/>
        </w:rPr>
        <w:t>1.</w:t>
      </w:r>
      <w:r>
        <w:rPr>
          <w:spacing w:val="-2"/>
        </w:rPr>
        <w:t>因对外提供担保、诉讼事项、产品质量保证、亏损合同等或有事项形成的义务成为本公司承担的现</w:t>
      </w:r>
    </w:p>
    <w:p>
      <w:pPr>
        <w:pStyle w:val="BodyText"/>
        <w:spacing w:line="309" w:lineRule="auto" w:before="10"/>
        <w:ind w:right="1125"/>
        <w:jc w:val="both"/>
      </w:pPr>
      <w:r>
        <w:rPr>
          <w:spacing w:val="-2"/>
        </w:rPr>
        <w:t>时义务，履行该义务很可能导致经济利益流出本公司，且该义务的金额能够可靠的计量时，本公司将该项</w:t>
      </w:r>
      <w:r>
        <w:rPr>
          <w:spacing w:val="-33"/>
        </w:rPr>
        <w:t> </w:t>
      </w:r>
      <w:r>
        <w:rPr>
          <w:spacing w:val="-33"/>
        </w:rPr>
      </w:r>
      <w:r>
        <w:rPr/>
        <w:t>义务确认为预计负债。</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rFonts w:ascii="宋体" w:hAnsi="宋体" w:cs="宋体" w:eastAsia="宋体" w:hint="default"/>
          <w:spacing w:val="-2"/>
        </w:rPr>
        <w:t>2.</w:t>
      </w:r>
      <w:r>
        <w:rPr>
          <w:spacing w:val="-2"/>
        </w:rPr>
        <w:t>本公司按照履行相关现时义务所需支出的最佳估计数对预计负债进行初始计量，并在资产负债表日</w:t>
      </w:r>
      <w:r>
        <w:rPr>
          <w:w w:val="100"/>
        </w:rPr>
        <w:t> </w:t>
      </w:r>
      <w:r>
        <w:rPr/>
        <w:t>对预计负债的账面价值进行复核。</w:t>
      </w:r>
    </w:p>
    <w:p>
      <w:pPr>
        <w:spacing w:line="240" w:lineRule="auto" w:before="13"/>
        <w:rPr>
          <w:rFonts w:ascii="宋体" w:hAnsi="宋体" w:cs="宋体" w:eastAsia="宋体" w:hint="default"/>
          <w:sz w:val="13"/>
          <w:szCs w:val="13"/>
        </w:rPr>
      </w:pPr>
    </w:p>
    <w:p>
      <w:pPr>
        <w:pStyle w:val="BodyText"/>
        <w:spacing w:line="448" w:lineRule="auto"/>
        <w:ind w:left="575" w:right="8439"/>
        <w:jc w:val="left"/>
      </w:pPr>
      <w:bookmarkStart w:name="（二十三）股份支付" w:id="190"/>
      <w:bookmarkEnd w:id="190"/>
      <w:r>
        <w:rPr/>
      </w:r>
      <w:r>
        <w:rPr/>
        <w:t>（二十三）股份支付</w:t>
      </w:r>
      <w:r>
        <w:rPr>
          <w:spacing w:val="-100"/>
        </w:rPr>
        <w:t> </w:t>
      </w:r>
      <w:r>
        <w:rPr>
          <w:spacing w:val="-100"/>
        </w:rPr>
      </w:r>
      <w:r>
        <w:rPr>
          <w:rFonts w:ascii="宋体" w:hAnsi="宋体" w:cs="宋体" w:eastAsia="宋体" w:hint="default"/>
        </w:rPr>
        <w:t>1.</w:t>
      </w:r>
      <w:r>
        <w:rPr/>
        <w:t>股份支付的种类</w:t>
      </w:r>
    </w:p>
    <w:p>
      <w:pPr>
        <w:pStyle w:val="BodyText"/>
        <w:spacing w:line="448" w:lineRule="auto" w:before="61"/>
        <w:ind w:left="575" w:right="4612"/>
        <w:jc w:val="left"/>
      </w:pPr>
      <w:r>
        <w:rPr>
          <w:spacing w:val="-2"/>
        </w:rPr>
        <w:t>包括以权益结算的股份支付和以现金结算的股份支付。</w:t>
      </w:r>
      <w:r>
        <w:rPr>
          <w:spacing w:val="-59"/>
        </w:rPr>
        <w:t> </w:t>
      </w:r>
      <w:r>
        <w:rPr>
          <w:spacing w:val="-59"/>
        </w:rPr>
      </w:r>
      <w:r>
        <w:rPr>
          <w:rFonts w:ascii="宋体" w:hAnsi="宋体" w:cs="宋体" w:eastAsia="宋体" w:hint="default"/>
        </w:rPr>
        <w:t>2.</w:t>
      </w:r>
      <w:r>
        <w:rPr/>
        <w:t>权益工具公允价值的确定方法</w:t>
      </w:r>
    </w:p>
    <w:p>
      <w:pPr>
        <w:pStyle w:val="BodyText"/>
        <w:spacing w:line="240" w:lineRule="auto" w:before="61"/>
        <w:ind w:left="575" w:right="0"/>
        <w:jc w:val="left"/>
      </w:pPr>
      <w:r>
        <w:rPr/>
        <w:t>（</w:t>
      </w:r>
      <w:r>
        <w:rPr>
          <w:rFonts w:ascii="宋体" w:hAnsi="宋体" w:cs="宋体" w:eastAsia="宋体" w:hint="default"/>
        </w:rPr>
        <w:t>1</w:t>
      </w:r>
      <w:r>
        <w:rPr/>
        <w:t>）存在活跃市场的，按照活跃市场中的报价确定。</w:t>
      </w:r>
    </w:p>
    <w:p>
      <w:pPr>
        <w:spacing w:line="240" w:lineRule="auto" w:before="8"/>
        <w:rPr>
          <w:rFonts w:ascii="宋体" w:hAnsi="宋体" w:cs="宋体" w:eastAsia="宋体" w:hint="default"/>
          <w:sz w:val="18"/>
          <w:szCs w:val="18"/>
        </w:rPr>
      </w:pPr>
    </w:p>
    <w:p>
      <w:pPr>
        <w:pStyle w:val="BodyText"/>
        <w:spacing w:line="309" w:lineRule="auto"/>
        <w:ind w:right="0" w:firstLine="422"/>
        <w:jc w:val="left"/>
      </w:pPr>
      <w:r>
        <w:rPr/>
        <w:t>（</w:t>
      </w:r>
      <w:r>
        <w:rPr>
          <w:rFonts w:ascii="宋体" w:hAnsi="宋体" w:cs="宋体" w:eastAsia="宋体" w:hint="default"/>
        </w:rPr>
        <w:t>2</w:t>
      </w:r>
      <w:r>
        <w:rPr/>
        <w:t>）不存在活跃市场的，采用估值技术确定，包括参考熟悉情况并自愿交易的各方最近进行的市场</w:t>
      </w:r>
      <w:r>
        <w:rPr>
          <w:w w:val="100"/>
        </w:rPr>
        <w:t> </w:t>
      </w:r>
      <w:r>
        <w:rPr>
          <w:spacing w:val="-4"/>
        </w:rPr>
        <w:t>交易中使用的价格、参照实质上相同的其他金融工具的当前公允价值、现金流量折现法和期权定价模型等。</w:t>
      </w:r>
    </w:p>
    <w:p>
      <w:pPr>
        <w:spacing w:line="240" w:lineRule="auto" w:before="13"/>
        <w:rPr>
          <w:rFonts w:ascii="宋体" w:hAnsi="宋体" w:cs="宋体" w:eastAsia="宋体" w:hint="default"/>
          <w:sz w:val="13"/>
          <w:szCs w:val="13"/>
        </w:rPr>
      </w:pPr>
    </w:p>
    <w:p>
      <w:pPr>
        <w:pStyle w:val="BodyText"/>
        <w:spacing w:line="451" w:lineRule="auto"/>
        <w:ind w:left="575" w:right="0"/>
        <w:jc w:val="left"/>
      </w:pPr>
      <w:r>
        <w:rPr>
          <w:rFonts w:ascii="宋体" w:hAnsi="宋体" w:cs="宋体" w:eastAsia="宋体" w:hint="default"/>
        </w:rPr>
        <w:t>3.</w:t>
      </w:r>
      <w:r>
        <w:rPr/>
        <w:t>确认可行权权益工具最佳估计的依据</w:t>
      </w:r>
      <w:r>
        <w:rPr>
          <w:spacing w:val="-100"/>
        </w:rPr>
        <w:t> </w:t>
      </w:r>
      <w:r>
        <w:rPr>
          <w:spacing w:val="-100"/>
        </w:rPr>
      </w:r>
      <w:r>
        <w:rPr>
          <w:spacing w:val="-2"/>
        </w:rPr>
        <w:t>本公司参照公司层面的业绩考核和个人层面的绩效考核两个方面的考核结果确认。</w:t>
      </w:r>
      <w:r>
        <w:rPr>
          <w:spacing w:val="-30"/>
        </w:rPr>
        <w:t> </w:t>
      </w:r>
      <w:r>
        <w:rPr>
          <w:spacing w:val="-30"/>
        </w:rPr>
      </w:r>
      <w:r>
        <w:rPr>
          <w:rFonts w:ascii="宋体" w:hAnsi="宋体" w:cs="宋体" w:eastAsia="宋体" w:hint="default"/>
        </w:rPr>
        <w:t>4.</w:t>
      </w:r>
      <w:r>
        <w:rPr/>
        <w:t>实施、修改、终止股份支付计划的相关会计处理</w:t>
      </w:r>
    </w:p>
    <w:p>
      <w:pPr>
        <w:pStyle w:val="BodyText"/>
        <w:spacing w:line="456" w:lineRule="auto" w:before="54"/>
        <w:ind w:left="575" w:right="0"/>
        <w:jc w:val="left"/>
      </w:pPr>
      <w:r>
        <w:rPr/>
        <w:t>（</w:t>
      </w:r>
      <w:r>
        <w:rPr>
          <w:rFonts w:ascii="宋体" w:hAnsi="宋体" w:cs="宋体" w:eastAsia="宋体" w:hint="default"/>
        </w:rPr>
        <w:t>1</w:t>
      </w:r>
      <w:r>
        <w:rPr/>
        <w:t>）以权益结算的股份支付</w:t>
      </w:r>
      <w:r>
        <w:rPr>
          <w:spacing w:val="-100"/>
        </w:rPr>
        <w:t> </w:t>
      </w:r>
      <w:r>
        <w:rPr>
          <w:spacing w:val="-100"/>
        </w:rPr>
      </w:r>
      <w:r>
        <w:rPr>
          <w:spacing w:val="-2"/>
        </w:rPr>
        <w:t>授予后立即可行权的换取职工服务的以权益结算的股份支付，在授予日按照权益工具的公允价值计入</w:t>
      </w:r>
    </w:p>
    <w:p>
      <w:pPr>
        <w:spacing w:after="0" w:line="456" w:lineRule="auto"/>
        <w:jc w:val="left"/>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12" w:lineRule="auto" w:before="36"/>
        <w:ind w:right="0"/>
        <w:jc w:val="left"/>
      </w:pPr>
      <w:r>
        <w:rPr/>
        <w:t>相关成本或费用，相应调整资本公积。完成等待期内的服务或达到规定业绩条件才可行权的换取职工服务</w:t>
      </w:r>
      <w:r>
        <w:rPr>
          <w:w w:val="100"/>
        </w:rPr>
        <w:t> </w:t>
      </w:r>
      <w:r>
        <w:rPr>
          <w:spacing w:val="-4"/>
        </w:rPr>
        <w:t>的以权益结算的股份支付，在等待期内的每个资产负债表日，以对可行权权益工具数量的最佳估计为基础，</w:t>
      </w:r>
      <w:r>
        <w:rPr>
          <w:spacing w:val="-42"/>
        </w:rPr>
        <w:t> </w:t>
      </w:r>
      <w:r>
        <w:rPr>
          <w:spacing w:val="-42"/>
        </w:rPr>
      </w:r>
      <w:r>
        <w:rPr/>
        <w:t>按权益工具授予日的公允价值，将当期取得的服务计入相关成本或费用，相应调整资本公积。</w:t>
      </w:r>
    </w:p>
    <w:p>
      <w:pPr>
        <w:spacing w:line="240" w:lineRule="auto" w:before="3"/>
        <w:rPr>
          <w:rFonts w:ascii="宋体" w:hAnsi="宋体" w:cs="宋体" w:eastAsia="宋体" w:hint="default"/>
          <w:sz w:val="14"/>
          <w:szCs w:val="14"/>
        </w:rPr>
      </w:pPr>
    </w:p>
    <w:p>
      <w:pPr>
        <w:pStyle w:val="BodyText"/>
        <w:spacing w:line="312" w:lineRule="auto"/>
        <w:ind w:right="1122" w:firstLine="422"/>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33"/>
        </w:rPr>
        <w:t> </w:t>
      </w:r>
      <w:r>
        <w:rPr>
          <w:spacing w:val="-33"/>
        </w:rPr>
      </w:r>
      <w:r>
        <w:rPr/>
        <w:t>计量的，按照权益工具在服务取得日的公允价值计量，计入相关成本或费用，相应增加所有者权益。</w:t>
      </w:r>
    </w:p>
    <w:p>
      <w:pPr>
        <w:pStyle w:val="BodyText"/>
        <w:spacing w:line="524" w:lineRule="exact" w:before="2"/>
        <w:ind w:left="575" w:right="0"/>
        <w:jc w:val="left"/>
      </w:pPr>
      <w:r>
        <w:rPr/>
        <w:t>（</w:t>
      </w:r>
      <w:r>
        <w:rPr>
          <w:rFonts w:ascii="宋体" w:hAnsi="宋体" w:cs="宋体" w:eastAsia="宋体" w:hint="default"/>
        </w:rPr>
        <w:t>2</w:t>
      </w:r>
      <w:r>
        <w:rPr/>
        <w:t>）以现金结算的股份支付</w:t>
      </w:r>
      <w:r>
        <w:rPr>
          <w:spacing w:val="-100"/>
        </w:rPr>
        <w:t> </w:t>
      </w:r>
      <w:r>
        <w:rPr>
          <w:spacing w:val="-100"/>
        </w:rPr>
      </w:r>
      <w:r>
        <w:rPr>
          <w:spacing w:val="-2"/>
        </w:rPr>
        <w:t>授予后立即可行权的换取职工服务的以现金结算的股份支付，在授予日按本公司承担负债的公允价值</w:t>
      </w:r>
    </w:p>
    <w:p>
      <w:pPr>
        <w:pStyle w:val="BodyText"/>
        <w:spacing w:line="312" w:lineRule="auto" w:before="10"/>
        <w:ind w:right="1125"/>
        <w:jc w:val="both"/>
      </w:pPr>
      <w:r>
        <w:rPr>
          <w:spacing w:val="-2"/>
        </w:rPr>
        <w:t>计入相关成本或费用，相应增加负债。完成等待期内的服务或达到规定业绩条件才可行权的换取职工服务</w:t>
      </w:r>
      <w:r>
        <w:rPr>
          <w:spacing w:val="-33"/>
        </w:rPr>
        <w:t> </w:t>
      </w:r>
      <w:r>
        <w:rPr>
          <w:spacing w:val="-33"/>
        </w:rPr>
      </w:r>
      <w:r>
        <w:rPr>
          <w:spacing w:val="-2"/>
        </w:rPr>
        <w:t>的以现金结算的股份支付，在等待期内的每个资产负债表日，以对可行权情况的最佳估计为基础，按本公</w:t>
      </w:r>
      <w:r>
        <w:rPr>
          <w:spacing w:val="-33"/>
        </w:rPr>
        <w:t> </w:t>
      </w:r>
      <w:r>
        <w:rPr>
          <w:spacing w:val="-33"/>
        </w:rPr>
      </w:r>
      <w:r>
        <w:rPr/>
        <w:t>司承担负债的公允价值，将当期取得的服务计入相关成本或费用和相应的负债。</w:t>
      </w:r>
    </w:p>
    <w:p>
      <w:pPr>
        <w:pStyle w:val="BodyText"/>
        <w:spacing w:line="524" w:lineRule="exact" w:before="2"/>
        <w:ind w:left="575" w:right="0"/>
        <w:jc w:val="left"/>
      </w:pPr>
      <w:r>
        <w:rPr/>
        <w:t>（</w:t>
      </w:r>
      <w:r>
        <w:rPr>
          <w:rFonts w:ascii="宋体" w:hAnsi="宋体" w:cs="宋体" w:eastAsia="宋体" w:hint="default"/>
        </w:rPr>
        <w:t>3</w:t>
      </w:r>
      <w:r>
        <w:rPr/>
        <w:t>）修改、终止股份支付计划</w:t>
      </w:r>
      <w:r>
        <w:rPr>
          <w:spacing w:val="-99"/>
        </w:rPr>
        <w:t> </w:t>
      </w:r>
      <w:r>
        <w:rPr>
          <w:spacing w:val="-99"/>
        </w:rPr>
      </w:r>
      <w:r>
        <w:rPr>
          <w:spacing w:val="-2"/>
        </w:rPr>
        <w:t>如果修改增加了所授予的权益工具的公允价值，本公司按照权益工具公允价值的增加相应地确认取得</w:t>
      </w:r>
    </w:p>
    <w:p>
      <w:pPr>
        <w:pStyle w:val="BodyText"/>
        <w:spacing w:line="312" w:lineRule="auto" w:before="10"/>
        <w:ind w:right="1125"/>
        <w:jc w:val="both"/>
      </w:pPr>
      <w:r>
        <w:rPr>
          <w:spacing w:val="-2"/>
        </w:rPr>
        <w:t>服务的增加；如果修改增加了所授予的权益工具的数量，本公司将增加的权益工具的公允价值相应地确认</w:t>
      </w:r>
      <w:r>
        <w:rPr>
          <w:spacing w:val="-33"/>
        </w:rPr>
        <w:t> </w:t>
      </w:r>
      <w:r>
        <w:rPr>
          <w:spacing w:val="-33"/>
        </w:rPr>
      </w:r>
      <w:r>
        <w:rPr>
          <w:spacing w:val="-2"/>
        </w:rPr>
        <w:t>为取得服务的增加；如果本公司按照有利于职工的方式修改可行权条件，公司在处理可行权条件时，考虑</w:t>
      </w:r>
      <w:r>
        <w:rPr>
          <w:spacing w:val="-33"/>
        </w:rPr>
        <w:t> </w:t>
      </w:r>
      <w:r>
        <w:rPr>
          <w:spacing w:val="-33"/>
        </w:rPr>
      </w:r>
      <w:r>
        <w:rPr/>
        <w:t>修改后的可行权条件。</w:t>
      </w:r>
    </w:p>
    <w:p>
      <w:pPr>
        <w:spacing w:line="240" w:lineRule="auto" w:before="10"/>
        <w:rPr>
          <w:rFonts w:ascii="宋体" w:hAnsi="宋体" w:cs="宋体" w:eastAsia="宋体" w:hint="default"/>
          <w:sz w:val="13"/>
          <w:szCs w:val="13"/>
        </w:rPr>
      </w:pPr>
    </w:p>
    <w:p>
      <w:pPr>
        <w:pStyle w:val="BodyText"/>
        <w:spacing w:line="312" w:lineRule="auto"/>
        <w:ind w:right="1123" w:firstLine="422"/>
        <w:jc w:val="both"/>
      </w:pPr>
      <w:r>
        <w:rPr>
          <w:spacing w:val="-2"/>
        </w:rPr>
        <w:t>如果修改减少了授予的权益工具的公允价值，本公司继续以权益工具在授予日的公允价值为基础，确</w:t>
      </w:r>
      <w:r>
        <w:rPr>
          <w:w w:val="100"/>
        </w:rPr>
        <w:t> </w:t>
      </w:r>
      <w:r>
        <w:rPr>
          <w:spacing w:val="-2"/>
        </w:rPr>
        <w:t>认取得服务的金额，而不考虑权益工具公允价值的减少；如果修改减少了授予的权益工具的数量，本公司</w:t>
      </w:r>
      <w:r>
        <w:rPr>
          <w:spacing w:val="-31"/>
        </w:rPr>
        <w:t> </w:t>
      </w:r>
      <w:r>
        <w:rPr>
          <w:spacing w:val="-31"/>
        </w:rPr>
      </w:r>
      <w:r>
        <w:rPr>
          <w:spacing w:val="-2"/>
        </w:rPr>
        <w:t>将减少部分作为已授予的权益工具的取消来进行处理；如果以不利于职工的方式修改了可行权条件，在处</w:t>
      </w:r>
      <w:r>
        <w:rPr>
          <w:spacing w:val="-33"/>
        </w:rPr>
        <w:t> </w:t>
      </w:r>
      <w:r>
        <w:rPr>
          <w:spacing w:val="-33"/>
        </w:rPr>
      </w:r>
      <w:r>
        <w:rPr/>
        <w:t>理可行权条件时，不考虑修改后的可行权条件。</w:t>
      </w:r>
    </w:p>
    <w:p>
      <w:pPr>
        <w:spacing w:line="240" w:lineRule="auto" w:before="2"/>
        <w:rPr>
          <w:rFonts w:ascii="宋体" w:hAnsi="宋体" w:cs="宋体" w:eastAsia="宋体" w:hint="default"/>
          <w:sz w:val="14"/>
          <w:szCs w:val="14"/>
        </w:rPr>
      </w:pPr>
    </w:p>
    <w:p>
      <w:pPr>
        <w:pStyle w:val="BodyText"/>
        <w:spacing w:line="309" w:lineRule="auto"/>
        <w:ind w:right="1126" w:firstLine="422"/>
        <w:jc w:val="both"/>
      </w:pPr>
      <w:r>
        <w:rPr>
          <w:spacing w:val="-2"/>
        </w:rPr>
        <w:t>如果本公司在等待期内取消了所授予的权益工具或结算了所授予的权益工具（因未满足可行权条件而</w:t>
      </w:r>
      <w:r>
        <w:rPr>
          <w:w w:val="100"/>
        </w:rPr>
        <w:t> </w:t>
      </w:r>
      <w:r>
        <w:rPr/>
        <w:t>被取消的除外），则将取消或结算作为加速可行权处理，立即确认原本在剩余等待期内确认的金额。</w:t>
      </w:r>
    </w:p>
    <w:p>
      <w:pPr>
        <w:pStyle w:val="BodyText"/>
        <w:spacing w:line="453" w:lineRule="auto" w:before="178"/>
        <w:ind w:left="575" w:right="8649"/>
        <w:jc w:val="left"/>
      </w:pPr>
      <w:bookmarkStart w:name="（二十四）收入" w:id="191"/>
      <w:bookmarkEnd w:id="191"/>
      <w:r>
        <w:rPr/>
      </w:r>
      <w:r>
        <w:rPr/>
        <w:t>（二十四）收入</w:t>
      </w:r>
      <w:r>
        <w:rPr>
          <w:spacing w:val="-102"/>
        </w:rPr>
        <w:t> </w:t>
      </w:r>
      <w:r>
        <w:rPr>
          <w:spacing w:val="-102"/>
        </w:rPr>
      </w:r>
      <w:r>
        <w:rPr>
          <w:rFonts w:ascii="宋体" w:hAnsi="宋体" w:cs="宋体" w:eastAsia="宋体" w:hint="default"/>
        </w:rPr>
        <w:t>1.</w:t>
      </w:r>
      <w:r>
        <w:rPr/>
        <w:t>商品销售收入：</w:t>
      </w:r>
    </w:p>
    <w:p>
      <w:pPr>
        <w:pStyle w:val="BodyText"/>
        <w:spacing w:line="240" w:lineRule="auto" w:before="52"/>
        <w:ind w:left="575" w:right="0"/>
        <w:jc w:val="left"/>
      </w:pPr>
      <w:r>
        <w:rPr/>
        <w:t>（</w:t>
      </w:r>
      <w:r>
        <w:rPr>
          <w:rFonts w:ascii="宋体" w:hAnsi="宋体" w:cs="宋体" w:eastAsia="宋体" w:hint="default"/>
        </w:rPr>
        <w:t>1</w:t>
      </w:r>
      <w:r>
        <w:rPr/>
        <w:t>）公司已将商品所有权上的主要风险和报酬转移给购货方；</w:t>
      </w:r>
    </w:p>
    <w:p>
      <w:pPr>
        <w:spacing w:line="240" w:lineRule="auto" w:before="8"/>
        <w:rPr>
          <w:rFonts w:ascii="宋体" w:hAnsi="宋体" w:cs="宋体" w:eastAsia="宋体" w:hint="default"/>
          <w:sz w:val="18"/>
          <w:szCs w:val="18"/>
        </w:rPr>
      </w:pPr>
    </w:p>
    <w:p>
      <w:pPr>
        <w:pStyle w:val="BodyText"/>
        <w:spacing w:line="240" w:lineRule="auto"/>
        <w:ind w:left="566" w:right="0"/>
        <w:jc w:val="left"/>
      </w:pPr>
      <w:r>
        <w:rPr>
          <w:spacing w:val="-6"/>
        </w:rPr>
        <w:t>（</w:t>
      </w:r>
      <w:r>
        <w:rPr>
          <w:rFonts w:ascii="宋体" w:hAnsi="宋体" w:cs="宋体" w:eastAsia="宋体" w:hint="default"/>
          <w:spacing w:val="-6"/>
        </w:rPr>
        <w:t>2</w:t>
      </w:r>
      <w:r>
        <w:rPr>
          <w:spacing w:val="-6"/>
        </w:rPr>
        <w:t>）既没有保留通常与所有权相联系的继续管理权，也没有对已售出的商品实施有效控制；</w:t>
      </w:r>
    </w:p>
    <w:p>
      <w:pPr>
        <w:spacing w:line="240" w:lineRule="auto" w:before="4"/>
        <w:rPr>
          <w:rFonts w:ascii="宋体" w:hAnsi="宋体" w:cs="宋体" w:eastAsia="宋体" w:hint="default"/>
          <w:sz w:val="18"/>
          <w:szCs w:val="18"/>
        </w:rPr>
      </w:pPr>
    </w:p>
    <w:p>
      <w:pPr>
        <w:pStyle w:val="BodyText"/>
        <w:spacing w:line="240" w:lineRule="auto"/>
        <w:ind w:left="575" w:right="0"/>
        <w:jc w:val="left"/>
      </w:pPr>
      <w:r>
        <w:rPr/>
        <w:t>（</w:t>
      </w:r>
      <w:r>
        <w:rPr>
          <w:rFonts w:ascii="宋体" w:hAnsi="宋体" w:cs="宋体" w:eastAsia="宋体" w:hint="default"/>
        </w:rPr>
        <w:t>3</w:t>
      </w:r>
      <w:r>
        <w:rPr/>
        <w:t>）相关的经济利益很可能流入企业；</w:t>
      </w:r>
    </w:p>
    <w:p>
      <w:pPr>
        <w:pStyle w:val="BodyText"/>
        <w:spacing w:line="520" w:lineRule="atLeast"/>
        <w:ind w:left="575" w:right="0"/>
        <w:jc w:val="left"/>
      </w:pPr>
      <w:r>
        <w:rPr/>
        <w:t>（</w:t>
      </w:r>
      <w:r>
        <w:rPr>
          <w:rFonts w:ascii="宋体" w:hAnsi="宋体" w:cs="宋体" w:eastAsia="宋体" w:hint="default"/>
        </w:rPr>
        <w:t>4</w:t>
      </w:r>
      <w:r>
        <w:rPr/>
        <w:t>）收入的金额和相关的成本能够可靠地计量，确认收入的实现。</w:t>
      </w:r>
      <w:r>
        <w:rPr>
          <w:w w:val="100"/>
        </w:rPr>
        <w:t> </w:t>
      </w:r>
      <w:r>
        <w:rPr>
          <w:rFonts w:ascii="宋体" w:hAnsi="宋体" w:cs="宋体" w:eastAsia="宋体" w:hint="default"/>
          <w:spacing w:val="-2"/>
        </w:rPr>
        <w:t>2.</w:t>
      </w:r>
      <w:r>
        <w:rPr>
          <w:spacing w:val="-2"/>
        </w:rPr>
        <w:t>提供劳务收入：在提供劳务交易的结果能够可靠估计的情况下，于期末按完工百分比法确认相关的</w:t>
      </w:r>
    </w:p>
    <w:p>
      <w:pPr>
        <w:pStyle w:val="BodyText"/>
        <w:spacing w:line="240" w:lineRule="auto" w:before="81"/>
        <w:ind w:right="0"/>
        <w:jc w:val="both"/>
      </w:pPr>
      <w:r>
        <w:rPr/>
        <w:t>劳务收入。</w:t>
      </w:r>
    </w:p>
    <w:p>
      <w:pPr>
        <w:spacing w:line="240" w:lineRule="auto" w:before="13"/>
        <w:rPr>
          <w:rFonts w:ascii="宋体" w:hAnsi="宋体" w:cs="宋体" w:eastAsia="宋体" w:hint="default"/>
          <w:sz w:val="18"/>
          <w:szCs w:val="18"/>
        </w:rPr>
      </w:pPr>
    </w:p>
    <w:p>
      <w:pPr>
        <w:pStyle w:val="BodyText"/>
        <w:spacing w:line="314" w:lineRule="auto"/>
        <w:ind w:right="1122" w:firstLine="422"/>
        <w:jc w:val="both"/>
      </w:pPr>
      <w:r>
        <w:rPr>
          <w:spacing w:val="-2"/>
        </w:rPr>
        <w:t>提供劳务交易的结果能够可靠估计是指同时满足：</w:t>
      </w:r>
      <w:r>
        <w:rPr>
          <w:rFonts w:ascii="宋体" w:hAnsi="宋体" w:cs="宋体" w:eastAsia="宋体" w:hint="default"/>
          <w:spacing w:val="-2"/>
        </w:rPr>
        <w:t>A</w:t>
      </w:r>
      <w:r>
        <w:rPr>
          <w:spacing w:val="-2"/>
        </w:rPr>
        <w:t>、收入的金额能够可靠地计量；</w:t>
      </w:r>
      <w:r>
        <w:rPr>
          <w:rFonts w:ascii="宋体" w:hAnsi="宋体" w:cs="宋体" w:eastAsia="宋体" w:hint="default"/>
          <w:spacing w:val="-2"/>
        </w:rPr>
        <w:t>B</w:t>
      </w:r>
      <w:r>
        <w:rPr>
          <w:spacing w:val="-2"/>
        </w:rPr>
        <w:t>、相关的经济利</w:t>
      </w:r>
      <w:r>
        <w:rPr>
          <w:w w:val="100"/>
        </w:rPr>
        <w:t> </w:t>
      </w:r>
      <w:r>
        <w:rPr>
          <w:spacing w:val="-2"/>
        </w:rPr>
        <w:t>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、交易中已发生和将发生的成本能够可靠地计</w:t>
      </w:r>
    </w:p>
    <w:p>
      <w:pPr>
        <w:spacing w:after="0" w:line="314" w:lineRule="auto"/>
        <w:jc w:val="both"/>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right="0"/>
        <w:jc w:val="left"/>
      </w:pPr>
      <w:r>
        <w:rPr/>
        <w:t>量。</w:t>
      </w:r>
    </w:p>
    <w:p>
      <w:pPr>
        <w:spacing w:line="240" w:lineRule="auto" w:before="8"/>
        <w:rPr>
          <w:rFonts w:ascii="宋体" w:hAnsi="宋体" w:cs="宋体" w:eastAsia="宋体" w:hint="default"/>
          <w:sz w:val="18"/>
          <w:szCs w:val="18"/>
        </w:rPr>
      </w:pPr>
    </w:p>
    <w:p>
      <w:pPr>
        <w:pStyle w:val="BodyText"/>
        <w:spacing w:line="240" w:lineRule="auto"/>
        <w:ind w:left="575" w:right="0"/>
        <w:jc w:val="left"/>
      </w:pPr>
      <w:r>
        <w:rPr/>
        <w:t>企业在资产负债表日提供劳务交易结果不能够可靠估计的，区分以下情况处理：</w:t>
      </w:r>
    </w:p>
    <w:p>
      <w:pPr>
        <w:spacing w:line="240" w:lineRule="auto" w:before="9"/>
        <w:rPr>
          <w:rFonts w:ascii="宋体" w:hAnsi="宋体" w:cs="宋体" w:eastAsia="宋体" w:hint="default"/>
          <w:sz w:val="18"/>
          <w:szCs w:val="18"/>
        </w:rPr>
      </w:pPr>
    </w:p>
    <w:p>
      <w:pPr>
        <w:pStyle w:val="BodyText"/>
        <w:spacing w:line="309" w:lineRule="auto"/>
        <w:ind w:right="0" w:firstLine="422"/>
        <w:jc w:val="left"/>
      </w:pPr>
      <w:r>
        <w:rPr>
          <w:spacing w:val="-2"/>
        </w:rPr>
        <w:t>（</w:t>
      </w:r>
      <w:r>
        <w:rPr>
          <w:rFonts w:ascii="宋体" w:hAnsi="宋体" w:cs="宋体" w:eastAsia="宋体" w:hint="default"/>
          <w:spacing w:val="-2"/>
        </w:rPr>
        <w:t>1</w:t>
      </w:r>
      <w:r>
        <w:rPr>
          <w:spacing w:val="-2"/>
        </w:rPr>
        <w:t>）已经发生的劳务成本预计能够得到补偿的，按照已经发生的劳务成本金额确认提供劳务收入，</w:t>
      </w:r>
      <w:r>
        <w:rPr>
          <w:w w:val="100"/>
        </w:rPr>
        <w:t> </w:t>
      </w:r>
      <w:r>
        <w:rPr/>
        <w:t>并按相同金额结转劳务成本。</w:t>
      </w:r>
    </w:p>
    <w:p>
      <w:pPr>
        <w:spacing w:line="240" w:lineRule="auto" w:before="4"/>
        <w:rPr>
          <w:rFonts w:ascii="宋体" w:hAnsi="宋体" w:cs="宋体" w:eastAsia="宋体" w:hint="default"/>
          <w:sz w:val="14"/>
          <w:szCs w:val="14"/>
        </w:rPr>
      </w:pPr>
    </w:p>
    <w:p>
      <w:pPr>
        <w:pStyle w:val="BodyText"/>
        <w:spacing w:line="309" w:lineRule="auto"/>
        <w:ind w:right="0" w:firstLine="422"/>
        <w:jc w:val="left"/>
      </w:pPr>
      <w:r>
        <w:rPr>
          <w:spacing w:val="-2"/>
        </w:rPr>
        <w:t>（</w:t>
      </w:r>
      <w:r>
        <w:rPr>
          <w:rFonts w:ascii="宋体" w:hAnsi="宋体" w:cs="宋体" w:eastAsia="宋体" w:hint="default"/>
          <w:spacing w:val="-2"/>
        </w:rPr>
        <w:t>2</w:t>
      </w:r>
      <w:r>
        <w:rPr>
          <w:spacing w:val="-2"/>
        </w:rPr>
        <w:t>）已经发生的劳务成本预计不能够得到补偿的，将已经发生的劳务成本计入当期损益，则不确认</w:t>
      </w:r>
      <w:r>
        <w:rPr>
          <w:w w:val="100"/>
        </w:rPr>
        <w:t> </w:t>
      </w:r>
      <w:r>
        <w:rPr/>
        <w:t>提供劳务收入。</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rFonts w:ascii="宋体" w:hAnsi="宋体" w:cs="宋体" w:eastAsia="宋体" w:hint="default"/>
          <w:spacing w:val="-2"/>
        </w:rPr>
        <w:t>3.</w:t>
      </w:r>
      <w:r>
        <w:rPr>
          <w:spacing w:val="-2"/>
        </w:rPr>
        <w:t>本公司主要提供创业辅导培训、公关服务（包括企业严选服务</w:t>
      </w:r>
      <w:r>
        <w:rPr>
          <w:rFonts w:ascii="宋体" w:hAnsi="宋体" w:cs="宋体" w:eastAsia="宋体" w:hint="default"/>
          <w:spacing w:val="-2"/>
        </w:rPr>
        <w:t>-</w:t>
      </w:r>
      <w:r>
        <w:rPr>
          <w:spacing w:val="-2"/>
        </w:rPr>
        <w:t>城市拓展）、广告类、会员服务业</w:t>
      </w:r>
      <w:r>
        <w:rPr>
          <w:w w:val="100"/>
        </w:rPr>
        <w:t> </w:t>
      </w:r>
      <w:r>
        <w:rPr/>
        <w:t>务，具体收入确认原则如下：</w:t>
      </w:r>
    </w:p>
    <w:p>
      <w:pPr>
        <w:spacing w:line="240" w:lineRule="auto" w:before="4"/>
        <w:rPr>
          <w:rFonts w:ascii="宋体" w:hAnsi="宋体" w:cs="宋体" w:eastAsia="宋体" w:hint="default"/>
          <w:sz w:val="14"/>
          <w:szCs w:val="14"/>
        </w:rPr>
      </w:pPr>
    </w:p>
    <w:p>
      <w:pPr>
        <w:pStyle w:val="BodyText"/>
        <w:spacing w:line="312" w:lineRule="auto"/>
        <w:ind w:right="0" w:firstLine="422"/>
        <w:jc w:val="left"/>
      </w:pPr>
      <w:r>
        <w:rPr/>
        <w:t>（</w:t>
      </w:r>
      <w:r>
        <w:rPr>
          <w:rFonts w:ascii="宋体" w:hAnsi="宋体" w:cs="宋体" w:eastAsia="宋体" w:hint="default"/>
        </w:rPr>
        <w:t>1</w:t>
      </w:r>
      <w:r>
        <w:rPr/>
        <w:t>）创业辅导培训：对于短期一次性培训班业务在培训业务完成后确认收入，同时确认该培训班次</w:t>
      </w:r>
      <w:r>
        <w:rPr>
          <w:w w:val="100"/>
        </w:rPr>
        <w:t> </w:t>
      </w:r>
      <w:r>
        <w:rPr>
          <w:spacing w:val="-2"/>
        </w:rPr>
        <w:t>产生的成本；对于多期培训业务，则将多期培训业务按班次平均拆分为多次培训业务，每完成一个班次的</w:t>
      </w:r>
      <w:r>
        <w:rPr>
          <w:spacing w:val="-30"/>
        </w:rPr>
        <w:t> </w:t>
      </w:r>
      <w:r>
        <w:rPr>
          <w:spacing w:val="-30"/>
        </w:rPr>
      </w:r>
      <w:r>
        <w:rPr/>
        <w:t>培训确认该次培训的收入，并同时确认该次培训产生的成本。</w:t>
      </w:r>
    </w:p>
    <w:p>
      <w:pPr>
        <w:spacing w:line="240" w:lineRule="auto" w:before="10"/>
        <w:rPr>
          <w:rFonts w:ascii="宋体" w:hAnsi="宋体" w:cs="宋体" w:eastAsia="宋体" w:hint="default"/>
          <w:sz w:val="13"/>
          <w:szCs w:val="13"/>
        </w:rPr>
      </w:pPr>
    </w:p>
    <w:p>
      <w:pPr>
        <w:pStyle w:val="BodyText"/>
        <w:spacing w:line="309" w:lineRule="auto"/>
        <w:ind w:right="0" w:firstLine="422"/>
        <w:jc w:val="left"/>
      </w:pPr>
      <w:r>
        <w:rPr>
          <w:spacing w:val="-2"/>
        </w:rPr>
        <w:t>（</w:t>
      </w:r>
      <w:r>
        <w:rPr>
          <w:rFonts w:ascii="宋体" w:hAnsi="宋体" w:cs="宋体" w:eastAsia="宋体" w:hint="default"/>
          <w:spacing w:val="-2"/>
        </w:rPr>
        <w:t>2</w:t>
      </w:r>
      <w:r>
        <w:rPr>
          <w:spacing w:val="-2"/>
        </w:rPr>
        <w:t>）公关服务（包括企业严选服务</w:t>
      </w:r>
      <w:r>
        <w:rPr>
          <w:rFonts w:ascii="宋体" w:hAnsi="宋体" w:cs="宋体" w:eastAsia="宋体" w:hint="default"/>
          <w:spacing w:val="-2"/>
        </w:rPr>
        <w:t>-</w:t>
      </w:r>
      <w:r>
        <w:rPr>
          <w:spacing w:val="-2"/>
        </w:rPr>
        <w:t>城市拓展）：公司根据合同提供劳务服务，客户对已完成的项目</w:t>
      </w:r>
      <w:r>
        <w:rPr>
          <w:w w:val="100"/>
        </w:rPr>
        <w:t> </w:t>
      </w:r>
      <w:r>
        <w:rPr/>
        <w:t>确认验收，公司于客户确认验收后，确认相应服务的收入。同时，公司对已确认收入项目结转相应成本。</w:t>
      </w:r>
    </w:p>
    <w:p>
      <w:pPr>
        <w:spacing w:line="240" w:lineRule="auto" w:before="4"/>
        <w:rPr>
          <w:rFonts w:ascii="宋体" w:hAnsi="宋体" w:cs="宋体" w:eastAsia="宋体" w:hint="default"/>
          <w:sz w:val="14"/>
          <w:szCs w:val="14"/>
        </w:rPr>
      </w:pPr>
    </w:p>
    <w:p>
      <w:pPr>
        <w:pStyle w:val="BodyText"/>
        <w:spacing w:line="312" w:lineRule="auto"/>
        <w:ind w:right="0" w:firstLine="422"/>
        <w:jc w:val="left"/>
      </w:pPr>
      <w:r>
        <w:rPr/>
        <w:t>对于未完工的项目区分以下情况处理：已经发生的劳务成本预计能够得到补偿的，按照已经发生的劳</w:t>
      </w:r>
      <w:r>
        <w:rPr>
          <w:w w:val="100"/>
        </w:rPr>
        <w:t> </w:t>
      </w:r>
      <w:r>
        <w:rPr>
          <w:spacing w:val="-4"/>
        </w:rPr>
        <w:t>务成本金额确认提供劳务收入，并按相同金额结转劳务成本；已经发生的劳务成本预计不能够得到补偿的，</w:t>
      </w:r>
      <w:r>
        <w:rPr>
          <w:spacing w:val="-42"/>
        </w:rPr>
        <w:t> </w:t>
      </w:r>
      <w:r>
        <w:rPr>
          <w:spacing w:val="-42"/>
        </w:rPr>
      </w:r>
      <w:r>
        <w:rPr/>
        <w:t>将已经发生的劳务成本计入当期损益，则不确认提供劳务收入。</w:t>
      </w:r>
    </w:p>
    <w:p>
      <w:pPr>
        <w:spacing w:line="240" w:lineRule="auto" w:before="10"/>
        <w:rPr>
          <w:rFonts w:ascii="宋体" w:hAnsi="宋体" w:cs="宋体" w:eastAsia="宋体" w:hint="default"/>
          <w:sz w:val="13"/>
          <w:szCs w:val="13"/>
        </w:rPr>
      </w:pPr>
    </w:p>
    <w:p>
      <w:pPr>
        <w:pStyle w:val="BodyText"/>
        <w:spacing w:line="309" w:lineRule="auto"/>
        <w:ind w:right="0" w:firstLine="422"/>
        <w:jc w:val="left"/>
      </w:pPr>
      <w:r>
        <w:rPr/>
        <w:t>（</w:t>
      </w:r>
      <w:r>
        <w:rPr>
          <w:rFonts w:ascii="宋体" w:hAnsi="宋体" w:cs="宋体" w:eastAsia="宋体" w:hint="default"/>
        </w:rPr>
        <w:t>3</w:t>
      </w:r>
      <w:r>
        <w:rPr/>
        <w:t>）广告类收入：公司根据客户的广告投放需求编制广告投放明细表，约定投放的媒体、期间、频</w:t>
      </w:r>
      <w:r>
        <w:rPr>
          <w:w w:val="100"/>
        </w:rPr>
        <w:t> </w:t>
      </w:r>
      <w:r>
        <w:rPr/>
        <w:t>次等要素，公司根据投放明细表执行进度逐月确认收入。</w:t>
      </w:r>
    </w:p>
    <w:p>
      <w:pPr>
        <w:pStyle w:val="BodyText"/>
        <w:spacing w:line="439" w:lineRule="auto" w:before="178"/>
        <w:ind w:left="575" w:right="3816"/>
        <w:jc w:val="left"/>
      </w:pPr>
      <w:r>
        <w:rPr>
          <w:spacing w:val="-2"/>
        </w:rPr>
        <w:t>（</w:t>
      </w:r>
      <w:r>
        <w:rPr>
          <w:rFonts w:ascii="宋体" w:hAnsi="宋体" w:cs="宋体" w:eastAsia="宋体" w:hint="default"/>
          <w:spacing w:val="-2"/>
        </w:rPr>
        <w:t>4</w:t>
      </w:r>
      <w:r>
        <w:rPr>
          <w:spacing w:val="-2"/>
        </w:rPr>
        <w:t>）会员服务：自会员缴纳入会费后在整个受益期内分期确认收入。</w:t>
      </w:r>
      <w:r>
        <w:rPr>
          <w:spacing w:val="-42"/>
        </w:rPr>
        <w:t> </w:t>
      </w:r>
      <w:r>
        <w:rPr>
          <w:spacing w:val="-42"/>
        </w:rPr>
      </w:r>
      <w:r>
        <w:rPr>
          <w:rFonts w:ascii="宋体" w:hAnsi="宋体" w:cs="宋体" w:eastAsia="宋体" w:hint="default"/>
        </w:rPr>
        <w:t>4.</w:t>
      </w:r>
      <w:r>
        <w:rPr>
          <w:rFonts w:ascii="宋体" w:hAnsi="宋体" w:cs="宋体" w:eastAsia="宋体" w:hint="default"/>
          <w:spacing w:val="4"/>
        </w:rPr>
        <w:t> </w:t>
      </w:r>
      <w:r>
        <w:rPr/>
        <w:t>让渡资产使用权</w:t>
      </w:r>
    </w:p>
    <w:p>
      <w:pPr>
        <w:pStyle w:val="BodyText"/>
        <w:spacing w:line="307" w:lineRule="auto" w:before="55"/>
        <w:ind w:right="1125" w:firstLine="422"/>
        <w:jc w:val="both"/>
      </w:pPr>
      <w:r>
        <w:rPr>
          <w:spacing w:val="-2"/>
        </w:rPr>
        <w:t>让渡资产使用权在同时满足相关的经济利益很可能流入、收入金额能够可靠计量时，确认让渡资产使</w:t>
      </w:r>
      <w:r>
        <w:rPr>
          <w:w w:val="100"/>
        </w:rPr>
        <w:t> </w:t>
      </w:r>
      <w:r>
        <w:rPr>
          <w:spacing w:val="-2"/>
        </w:rPr>
        <w:t>用权的收入。利息收入按照他人使用本公司货币资金的时间和实际利率计算确定；使用费收入按有关合同</w:t>
      </w:r>
      <w:r>
        <w:rPr>
          <w:spacing w:val="-33"/>
        </w:rPr>
        <w:t> </w:t>
      </w:r>
      <w:r>
        <w:rPr>
          <w:spacing w:val="-33"/>
        </w:rPr>
      </w:r>
      <w:r>
        <w:rPr/>
        <w:t>或协议约定的收费时间和方法计算确定。</w:t>
      </w:r>
    </w:p>
    <w:p>
      <w:pPr>
        <w:pStyle w:val="BodyText"/>
        <w:spacing w:line="240" w:lineRule="auto" w:before="175"/>
        <w:ind w:left="575" w:right="0"/>
        <w:jc w:val="left"/>
      </w:pPr>
      <w:r>
        <w:rPr>
          <w:rFonts w:ascii="宋体" w:hAnsi="宋体" w:cs="宋体" w:eastAsia="宋体" w:hint="default"/>
        </w:rPr>
        <w:t>5.</w:t>
      </w:r>
      <w:r>
        <w:rPr>
          <w:rFonts w:ascii="宋体" w:hAnsi="宋体" w:cs="宋体" w:eastAsia="宋体" w:hint="default"/>
          <w:spacing w:val="6"/>
        </w:rPr>
        <w:t> </w:t>
      </w:r>
      <w:r>
        <w:rPr/>
        <w:t>建造合同</w:t>
      </w:r>
    </w:p>
    <w:p>
      <w:pPr>
        <w:spacing w:line="240" w:lineRule="auto" w:before="7"/>
        <w:rPr>
          <w:rFonts w:ascii="宋体" w:hAnsi="宋体" w:cs="宋体" w:eastAsia="宋体" w:hint="default"/>
          <w:sz w:val="17"/>
          <w:szCs w:val="17"/>
        </w:rPr>
      </w:pPr>
    </w:p>
    <w:p>
      <w:pPr>
        <w:pStyle w:val="BodyText"/>
        <w:spacing w:line="307" w:lineRule="auto"/>
        <w:ind w:right="1022" w:firstLine="422"/>
        <w:jc w:val="left"/>
      </w:pPr>
      <w:r>
        <w:rPr>
          <w:rFonts w:ascii="宋体" w:hAnsi="宋体" w:cs="宋体" w:eastAsia="宋体" w:hint="default"/>
        </w:rPr>
        <w:t>(1)</w:t>
      </w:r>
      <w:r>
        <w:rPr>
          <w:rFonts w:ascii="宋体" w:hAnsi="宋体" w:cs="宋体" w:eastAsia="宋体" w:hint="default"/>
          <w:spacing w:val="67"/>
        </w:rPr>
        <w:t> </w:t>
      </w:r>
      <w:r>
        <w:rPr/>
        <w:t>建造合同的结果在资产负债表日能够可靠估计的，根据完工百分比法确认合同收入和合同费用。</w:t>
      </w:r>
      <w:r>
        <w:rPr>
          <w:w w:val="100"/>
        </w:rPr>
        <w:t> </w:t>
      </w:r>
      <w:r>
        <w:rPr>
          <w:spacing w:val="-2"/>
        </w:rPr>
        <w:t>建造合同的结果在资产负债表日不能够可靠估计的，若合同成本能够收回的，合同收入根据能够收回的实</w:t>
      </w:r>
      <w:r>
        <w:rPr>
          <w:spacing w:val="-33"/>
        </w:rPr>
        <w:t> </w:t>
      </w:r>
      <w:r>
        <w:rPr>
          <w:spacing w:val="-33"/>
        </w:rPr>
      </w:r>
      <w:r>
        <w:rPr>
          <w:spacing w:val="-2"/>
        </w:rPr>
        <w:t>际合同成本予以确认，合同成本在其发生的当期确认为合同费用；若合同成本不可能收回的，在发生时立</w:t>
      </w:r>
      <w:r>
        <w:rPr>
          <w:spacing w:val="-33"/>
        </w:rPr>
        <w:t> </w:t>
      </w:r>
      <w:r>
        <w:rPr>
          <w:spacing w:val="-33"/>
        </w:rPr>
      </w:r>
      <w:r>
        <w:rPr/>
        <w:t>即确认为合同费用，不确认合同收入。</w:t>
      </w:r>
    </w:p>
    <w:p>
      <w:pPr>
        <w:pStyle w:val="BodyText"/>
        <w:spacing w:line="307" w:lineRule="auto" w:before="170"/>
        <w:ind w:right="1125" w:firstLine="422"/>
        <w:jc w:val="both"/>
      </w:pPr>
      <w:r>
        <w:rPr>
          <w:rFonts w:ascii="宋体" w:hAnsi="宋体" w:cs="宋体" w:eastAsia="宋体" w:hint="default"/>
        </w:rPr>
        <w:t>(2)</w:t>
      </w:r>
      <w:r>
        <w:rPr>
          <w:rFonts w:ascii="宋体" w:hAnsi="宋体" w:cs="宋体" w:eastAsia="宋体" w:hint="default"/>
          <w:spacing w:val="-20"/>
        </w:rPr>
        <w:t> </w:t>
      </w:r>
      <w:r>
        <w:rPr/>
        <w:t>固定造价合同同时满足下列条件表明其结果能够可靠估计：合同总收入能够可靠计量、与合同相</w:t>
      </w:r>
      <w:r>
        <w:rPr>
          <w:w w:val="100"/>
        </w:rPr>
        <w:t> </w:t>
      </w:r>
      <w:r>
        <w:rPr>
          <w:spacing w:val="-2"/>
        </w:rPr>
        <w:t>关的经济利益很可能流入、实际发生的合同成本能够清楚地区分和可靠地计量、合同完工进度和为完成合</w:t>
      </w:r>
      <w:r>
        <w:rPr>
          <w:spacing w:val="-33"/>
        </w:rPr>
        <w:t> </w:t>
      </w:r>
      <w:r>
        <w:rPr>
          <w:spacing w:val="-33"/>
        </w:rPr>
      </w:r>
      <w:r>
        <w:rPr>
          <w:spacing w:val="-2"/>
        </w:rPr>
        <w:t>同尚需发生的成本能够可靠地计量。成本加成合同同时满足下列条件表明其结果能够可靠估计：与合同相</w:t>
      </w:r>
      <w:r>
        <w:rPr>
          <w:spacing w:val="-33"/>
        </w:rPr>
        <w:t> </w:t>
      </w:r>
      <w:r>
        <w:rPr>
          <w:spacing w:val="-33"/>
        </w:rPr>
      </w:r>
      <w:r>
        <w:rPr/>
        <w:t>关的经济利益很可能流入、实际发生的合同成本能够清楚地区分和可靠地计量。</w:t>
      </w:r>
    </w:p>
    <w:p>
      <w:pPr>
        <w:spacing w:after="0" w:line="307" w:lineRule="auto"/>
        <w:jc w:val="both"/>
        <w:sectPr>
          <w:pgSz w:w="11910" w:h="16840"/>
          <w:pgMar w:header="741" w:footer="979" w:top="1060" w:bottom="1160" w:left="980" w:right="0"/>
        </w:sectPr>
      </w:pPr>
    </w:p>
    <w:p>
      <w:pPr>
        <w:spacing w:line="240" w:lineRule="auto" w:before="8"/>
        <w:rPr>
          <w:rFonts w:ascii="宋体" w:hAnsi="宋体" w:cs="宋体" w:eastAsia="宋体" w:hint="default"/>
          <w:sz w:val="28"/>
          <w:szCs w:val="28"/>
        </w:rPr>
      </w:pPr>
    </w:p>
    <w:p>
      <w:pPr>
        <w:pStyle w:val="BodyText"/>
        <w:spacing w:line="240" w:lineRule="auto" w:before="36"/>
        <w:ind w:left="575" w:right="0"/>
        <w:jc w:val="left"/>
      </w:pPr>
      <w:r>
        <w:rPr>
          <w:rFonts w:ascii="宋体" w:hAnsi="宋体" w:cs="宋体" w:eastAsia="宋体" w:hint="default"/>
        </w:rPr>
        <w:t>(3) </w:t>
      </w:r>
      <w:r>
        <w:rPr/>
        <w:t>确定合同完工进度的方法为累计实际发生的合同成本占合同预计总成本的比例。</w:t>
      </w:r>
    </w:p>
    <w:p>
      <w:pPr>
        <w:spacing w:line="240" w:lineRule="auto" w:before="7"/>
        <w:rPr>
          <w:rFonts w:ascii="宋体" w:hAnsi="宋体" w:cs="宋体" w:eastAsia="宋体" w:hint="default"/>
          <w:sz w:val="17"/>
          <w:szCs w:val="17"/>
        </w:rPr>
      </w:pPr>
    </w:p>
    <w:p>
      <w:pPr>
        <w:pStyle w:val="BodyText"/>
        <w:spacing w:line="307" w:lineRule="auto"/>
        <w:ind w:right="1105" w:firstLine="422"/>
        <w:jc w:val="left"/>
      </w:pPr>
      <w:r>
        <w:rPr>
          <w:rFonts w:ascii="宋体" w:hAnsi="宋体" w:cs="宋体" w:eastAsia="宋体" w:hint="default"/>
        </w:rPr>
        <w:t>(4)</w:t>
      </w:r>
      <w:r>
        <w:rPr>
          <w:rFonts w:ascii="宋体" w:hAnsi="宋体" w:cs="宋体" w:eastAsia="宋体" w:hint="default"/>
          <w:spacing w:val="-16"/>
        </w:rPr>
        <w:t> </w:t>
      </w:r>
      <w:r>
        <w:rPr/>
        <w:t>资产负债表日，合同预计总成本超过合同总收入的，将预计损失确认为当期费用。执行中的建造</w:t>
      </w:r>
      <w:r>
        <w:rPr>
          <w:w w:val="100"/>
        </w:rPr>
        <w:t> </w:t>
      </w:r>
      <w:r>
        <w:rPr/>
        <w:t>合同，按其差额计提存货跌价准备；待执行的亏损合同，按其差额确认预计负债。</w:t>
      </w:r>
    </w:p>
    <w:p>
      <w:pPr>
        <w:pStyle w:val="BodyText"/>
        <w:spacing w:line="439" w:lineRule="auto" w:before="175"/>
        <w:ind w:left="575" w:right="2924"/>
        <w:jc w:val="left"/>
      </w:pPr>
      <w:bookmarkStart w:name="（二十五）政府补助" w:id="192"/>
      <w:bookmarkEnd w:id="192"/>
      <w:r>
        <w:rPr/>
      </w:r>
      <w:r>
        <w:rPr/>
        <w:t>（二十五）政府补助</w:t>
      </w:r>
      <w:r>
        <w:rPr>
          <w:spacing w:val="-100"/>
        </w:rPr>
        <w:t> </w:t>
      </w:r>
      <w:r>
        <w:rPr>
          <w:spacing w:val="-100"/>
        </w:rPr>
      </w:r>
      <w:r>
        <w:rPr>
          <w:rFonts w:ascii="宋体" w:hAnsi="宋体" w:cs="宋体" w:eastAsia="宋体" w:hint="default"/>
          <w:spacing w:val="-2"/>
        </w:rPr>
        <w:t>1.</w:t>
      </w:r>
      <w:r>
        <w:rPr>
          <w:spacing w:val="-2"/>
        </w:rPr>
        <w:t>政府补助包括与资产相关的政府补助和与收益相关的政府补助。</w:t>
      </w:r>
    </w:p>
    <w:p>
      <w:pPr>
        <w:pStyle w:val="BodyText"/>
        <w:spacing w:line="307" w:lineRule="auto" w:before="59"/>
        <w:ind w:right="0" w:firstLine="422"/>
        <w:jc w:val="left"/>
      </w:pPr>
      <w:r>
        <w:rPr>
          <w:rFonts w:ascii="宋体" w:hAnsi="宋体" w:cs="宋体" w:eastAsia="宋体" w:hint="default"/>
          <w:spacing w:val="-2"/>
        </w:rPr>
        <w:t>2.</w:t>
      </w:r>
      <w:r>
        <w:rPr>
          <w:spacing w:val="-2"/>
        </w:rPr>
        <w:t>政府补助为货币性资产的，按照收到或应收的金额计量；政府补助为非货币性资产的，按照公允价</w:t>
      </w:r>
      <w:r>
        <w:rPr>
          <w:w w:val="100"/>
        </w:rPr>
        <w:t> </w:t>
      </w:r>
      <w:r>
        <w:rPr/>
        <w:t>值计量，公允价值不能可靠取得的，按照名义金额计量。</w:t>
      </w:r>
    </w:p>
    <w:p>
      <w:pPr>
        <w:pStyle w:val="BodyText"/>
        <w:spacing w:line="307" w:lineRule="auto" w:before="170"/>
        <w:ind w:right="0" w:firstLine="422"/>
        <w:jc w:val="left"/>
      </w:pPr>
      <w:r>
        <w:rPr>
          <w:rFonts w:ascii="宋体" w:hAnsi="宋体" w:cs="宋体" w:eastAsia="宋体" w:hint="default"/>
        </w:rPr>
        <w:t>3</w:t>
      </w:r>
      <w:r>
        <w:rPr/>
        <w:t>．对于同时包含与资产相关部分和与收益相关部分的政府补助，区分不同部分分别进行会计处理；</w:t>
      </w:r>
      <w:r>
        <w:rPr>
          <w:w w:val="100"/>
        </w:rPr>
        <w:t> </w:t>
      </w:r>
      <w:r>
        <w:rPr/>
        <w:t>难以区分的，整体归类为与收益相关的政府补助。</w:t>
      </w:r>
    </w:p>
    <w:p>
      <w:pPr>
        <w:pStyle w:val="BodyText"/>
        <w:spacing w:line="307" w:lineRule="auto" w:before="170"/>
        <w:ind w:right="0" w:firstLine="422"/>
        <w:jc w:val="left"/>
      </w:pPr>
      <w:r>
        <w:rPr>
          <w:rFonts w:ascii="宋体" w:hAnsi="宋体" w:cs="宋体" w:eastAsia="宋体" w:hint="default"/>
        </w:rPr>
        <w:t>4.</w:t>
      </w:r>
      <w:r>
        <w:rPr/>
        <w:t>本公司将与本公司日常活动相关的政府补助按照经济业务实质计入其他收益或冲减相关成本费用；</w:t>
      </w:r>
      <w:r>
        <w:rPr>
          <w:w w:val="100"/>
        </w:rPr>
        <w:t> </w:t>
      </w:r>
      <w:r>
        <w:rPr/>
        <w:t>将与本公司日常活动无关的政府补助，应当计入营业外收支。</w:t>
      </w:r>
    </w:p>
    <w:p>
      <w:pPr>
        <w:pStyle w:val="BodyText"/>
        <w:spacing w:line="504" w:lineRule="exact" w:before="17"/>
        <w:ind w:left="575" w:right="0"/>
        <w:jc w:val="left"/>
      </w:pPr>
      <w:bookmarkStart w:name="（二十六）递延所得税资产和递延所得税负债" w:id="193"/>
      <w:bookmarkEnd w:id="193"/>
      <w:r>
        <w:rPr/>
      </w:r>
      <w:r>
        <w:rPr/>
        <w:t>（二十六）递延所得税资产和递延所得税负债</w:t>
      </w:r>
      <w:r>
        <w:rPr>
          <w:spacing w:val="-101"/>
        </w:rPr>
        <w:t> </w:t>
      </w:r>
      <w:r>
        <w:rPr>
          <w:spacing w:val="-101"/>
        </w:rPr>
      </w:r>
      <w:r>
        <w:rPr>
          <w:rFonts w:ascii="宋体" w:hAnsi="宋体" w:cs="宋体" w:eastAsia="宋体" w:hint="default"/>
          <w:spacing w:val="-2"/>
        </w:rPr>
        <w:t>1.</w:t>
      </w:r>
      <w:r>
        <w:rPr>
          <w:spacing w:val="-2"/>
        </w:rPr>
        <w:t>根据资产、负债的账面价值与其计税基础之间的差额（未作为资产和负债确认的项目按照税法规定</w:t>
      </w:r>
    </w:p>
    <w:p>
      <w:pPr>
        <w:pStyle w:val="BodyText"/>
        <w:spacing w:line="307" w:lineRule="auto" w:before="4"/>
        <w:ind w:right="0"/>
        <w:jc w:val="left"/>
      </w:pPr>
      <w:r>
        <w:rPr>
          <w:spacing w:val="-2"/>
        </w:rPr>
        <w:t>可以确定其计税基础的，该计税基础与其账面数之间的差额），按照预期收回该资产或清偿该负债期间的</w:t>
      </w:r>
      <w:r>
        <w:rPr>
          <w:spacing w:val="-33"/>
        </w:rPr>
        <w:t> </w:t>
      </w:r>
      <w:r>
        <w:rPr>
          <w:spacing w:val="-33"/>
        </w:rPr>
      </w:r>
      <w:r>
        <w:rPr/>
        <w:t>适用税率计算确认递延所得税资产或递延所得税负债。</w:t>
      </w:r>
    </w:p>
    <w:p>
      <w:pPr>
        <w:pStyle w:val="BodyText"/>
        <w:spacing w:line="307" w:lineRule="auto" w:before="170"/>
        <w:ind w:right="0" w:firstLine="422"/>
        <w:jc w:val="left"/>
      </w:pPr>
      <w:r>
        <w:rPr>
          <w:rFonts w:ascii="宋体" w:hAnsi="宋体" w:cs="宋体" w:eastAsia="宋体" w:hint="default"/>
          <w:spacing w:val="-2"/>
        </w:rPr>
        <w:t>2.</w:t>
      </w:r>
      <w:r>
        <w:rPr>
          <w:spacing w:val="-2"/>
        </w:rPr>
        <w:t>确认递延所得税资产以很可能取得用来抵扣可抵扣暂时性差异的应纳税所得额为限。资产负债表日，</w:t>
      </w:r>
      <w:r>
        <w:rPr>
          <w:w w:val="100"/>
        </w:rPr>
        <w:t> </w:t>
      </w:r>
      <w:r>
        <w:rPr/>
        <w:t>有确凿证据表明未来期间很可能获得足够的应纳税所得额用来抵扣可抵扣暂时性差异的，确认以前会计期</w:t>
      </w:r>
      <w:r>
        <w:rPr>
          <w:w w:val="100"/>
        </w:rPr>
        <w:t> </w:t>
      </w:r>
      <w:r>
        <w:rPr/>
        <w:t>间未确认的递延所得税资产。</w:t>
      </w:r>
    </w:p>
    <w:p>
      <w:pPr>
        <w:spacing w:line="240" w:lineRule="auto" w:before="2"/>
        <w:rPr>
          <w:rFonts w:ascii="宋体" w:hAnsi="宋体" w:cs="宋体" w:eastAsia="宋体" w:hint="default"/>
          <w:sz w:val="14"/>
          <w:szCs w:val="14"/>
        </w:rPr>
      </w:pPr>
    </w:p>
    <w:p>
      <w:pPr>
        <w:pStyle w:val="BodyText"/>
        <w:spacing w:line="312" w:lineRule="auto"/>
        <w:ind w:right="1122" w:firstLine="422"/>
        <w:jc w:val="both"/>
      </w:pPr>
      <w:r>
        <w:rPr>
          <w:rFonts w:ascii="宋体" w:hAnsi="宋体" w:cs="宋体" w:eastAsia="宋体" w:hint="default"/>
          <w:spacing w:val="-2"/>
        </w:rPr>
        <w:t>3.</w:t>
      </w:r>
      <w:r>
        <w:rPr>
          <w:spacing w:val="-2"/>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33"/>
        </w:rPr>
        <w:t> </w:t>
      </w:r>
      <w:r>
        <w:rPr>
          <w:spacing w:val="-33"/>
        </w:rPr>
      </w:r>
      <w:r>
        <w:rPr/>
        <w:t>税所得额时，转回减记的金额。</w:t>
      </w:r>
    </w:p>
    <w:p>
      <w:pPr>
        <w:spacing w:line="240" w:lineRule="auto" w:before="10"/>
        <w:rPr>
          <w:rFonts w:ascii="宋体" w:hAnsi="宋体" w:cs="宋体" w:eastAsia="宋体" w:hint="default"/>
          <w:sz w:val="13"/>
          <w:szCs w:val="13"/>
        </w:rPr>
      </w:pPr>
    </w:p>
    <w:p>
      <w:pPr>
        <w:pStyle w:val="BodyText"/>
        <w:spacing w:line="309" w:lineRule="auto"/>
        <w:ind w:right="0" w:firstLine="422"/>
        <w:jc w:val="left"/>
      </w:pPr>
      <w:r>
        <w:rPr>
          <w:rFonts w:ascii="宋体" w:hAnsi="宋体" w:cs="宋体" w:eastAsia="宋体" w:hint="default"/>
          <w:spacing w:val="-2"/>
        </w:rPr>
        <w:t>4.</w:t>
      </w:r>
      <w:r>
        <w:rPr>
          <w:spacing w:val="-2"/>
        </w:rPr>
        <w:t>本公司当期所得税和递延所得税作为所得税费用或收益计入当期损益，但不包括下列情况产生的所</w:t>
      </w:r>
      <w:r>
        <w:rPr>
          <w:w w:val="100"/>
        </w:rPr>
        <w:t> </w:t>
      </w:r>
      <w:r>
        <w:rPr/>
        <w:t>得税：（</w:t>
      </w:r>
      <w:r>
        <w:rPr>
          <w:rFonts w:ascii="宋体" w:hAnsi="宋体" w:cs="宋体" w:eastAsia="宋体" w:hint="default"/>
        </w:rPr>
        <w:t>1</w:t>
      </w:r>
      <w:r>
        <w:rPr/>
        <w:t>）企业合并；（</w:t>
      </w:r>
      <w:r>
        <w:rPr>
          <w:rFonts w:ascii="宋体" w:hAnsi="宋体" w:cs="宋体" w:eastAsia="宋体" w:hint="default"/>
        </w:rPr>
        <w:t>2</w:t>
      </w:r>
      <w:r>
        <w:rPr/>
        <w:t>）直接在所有者权益中确认的交易或者事项。</w:t>
      </w:r>
    </w:p>
    <w:p>
      <w:pPr>
        <w:spacing w:line="240" w:lineRule="auto" w:before="13"/>
        <w:rPr>
          <w:rFonts w:ascii="宋体" w:hAnsi="宋体" w:cs="宋体" w:eastAsia="宋体" w:hint="default"/>
          <w:sz w:val="13"/>
          <w:szCs w:val="13"/>
        </w:rPr>
      </w:pPr>
    </w:p>
    <w:p>
      <w:pPr>
        <w:pStyle w:val="BodyText"/>
        <w:spacing w:line="448" w:lineRule="auto"/>
        <w:ind w:left="575" w:right="8859"/>
        <w:jc w:val="left"/>
      </w:pPr>
      <w:bookmarkStart w:name="（二十七）租赁" w:id="194"/>
      <w:bookmarkEnd w:id="194"/>
      <w:r>
        <w:rPr/>
      </w:r>
      <w:r>
        <w:rPr/>
        <w:t>（二十七）租赁</w:t>
      </w:r>
      <w:r>
        <w:rPr>
          <w:spacing w:val="-102"/>
        </w:rPr>
        <w:t> </w:t>
      </w:r>
      <w:r>
        <w:rPr>
          <w:spacing w:val="-102"/>
        </w:rPr>
      </w:r>
      <w:r>
        <w:rPr>
          <w:rFonts w:ascii="宋体" w:hAnsi="宋体" w:cs="宋体" w:eastAsia="宋体" w:hint="default"/>
        </w:rPr>
        <w:t>1.</w:t>
      </w:r>
      <w:r>
        <w:rPr/>
        <w:t>经营租赁</w:t>
      </w:r>
    </w:p>
    <w:p>
      <w:pPr>
        <w:pStyle w:val="BodyText"/>
        <w:spacing w:line="309" w:lineRule="auto" w:before="66"/>
        <w:ind w:right="0" w:firstLine="422"/>
        <w:jc w:val="left"/>
      </w:pPr>
      <w:r>
        <w:rPr>
          <w:spacing w:val="-2"/>
        </w:rPr>
        <w:t>本公司为承租人时，在租赁期内各个期间按照直线法将租金计入相关资产成本或确认为当期损益，发</w:t>
      </w:r>
      <w:r>
        <w:rPr>
          <w:w w:val="100"/>
        </w:rPr>
        <w:t> </w:t>
      </w:r>
      <w:r>
        <w:rPr/>
        <w:t>生的初始直接费用，直接计入当期损益。或有租金在实际发生时计入当期损益。</w:t>
      </w:r>
    </w:p>
    <w:p>
      <w:pPr>
        <w:spacing w:line="240" w:lineRule="auto" w:before="13"/>
        <w:rPr>
          <w:rFonts w:ascii="宋体" w:hAnsi="宋体" w:cs="宋体" w:eastAsia="宋体" w:hint="default"/>
          <w:sz w:val="13"/>
          <w:szCs w:val="13"/>
        </w:rPr>
      </w:pPr>
    </w:p>
    <w:p>
      <w:pPr>
        <w:pStyle w:val="BodyText"/>
        <w:spacing w:line="309" w:lineRule="auto"/>
        <w:ind w:right="0" w:firstLine="422"/>
        <w:jc w:val="left"/>
      </w:pPr>
      <w:r>
        <w:rPr/>
        <w:t>本公司为出租人时，在租赁期内各个期间按照直线法将租金确认为当期损益，发生的初始直接费用，</w:t>
      </w:r>
      <w:r>
        <w:rPr>
          <w:w w:val="100"/>
        </w:rPr>
        <w:t> </w:t>
      </w:r>
      <w:r>
        <w:rPr>
          <w:spacing w:val="-4"/>
        </w:rPr>
        <w:t>除金额较大的予以资本化并分期计入损益外，均直接计入当期损益。或有租金在实际发生时计入当期损益。</w:t>
      </w:r>
    </w:p>
    <w:p>
      <w:pPr>
        <w:spacing w:line="240" w:lineRule="auto" w:before="0"/>
        <w:rPr>
          <w:rFonts w:ascii="宋体" w:hAnsi="宋体" w:cs="宋体" w:eastAsia="宋体" w:hint="default"/>
          <w:sz w:val="14"/>
          <w:szCs w:val="14"/>
        </w:rPr>
      </w:pPr>
    </w:p>
    <w:p>
      <w:pPr>
        <w:pStyle w:val="BodyText"/>
        <w:spacing w:line="453" w:lineRule="auto"/>
        <w:ind w:left="575" w:right="1012"/>
        <w:jc w:val="left"/>
      </w:pPr>
      <w:r>
        <w:rPr>
          <w:rFonts w:ascii="宋体" w:hAnsi="宋体" w:cs="宋体" w:eastAsia="宋体" w:hint="default"/>
        </w:rPr>
        <w:t>2.</w:t>
      </w:r>
      <w:r>
        <w:rPr/>
        <w:t>融资租赁</w:t>
      </w:r>
      <w:r>
        <w:rPr>
          <w:spacing w:val="-99"/>
        </w:rPr>
        <w:t> </w:t>
      </w:r>
      <w:r>
        <w:rPr>
          <w:spacing w:val="-2"/>
        </w:rPr>
        <w:t>本公司为承租人时，在租赁期开始日，本公司以租赁开始日租赁资产公允价值与最低租赁付款额现值</w:t>
      </w:r>
    </w:p>
    <w:p>
      <w:pPr>
        <w:spacing w:after="0" w:line="453" w:lineRule="auto"/>
        <w:jc w:val="left"/>
        <w:sectPr>
          <w:pgSz w:w="11910" w:h="16840"/>
          <w:pgMar w:header="741" w:footer="979" w:top="1060" w:bottom="1160" w:left="980" w:right="0"/>
        </w:sectPr>
      </w:pPr>
    </w:p>
    <w:p>
      <w:pPr>
        <w:spacing w:line="240" w:lineRule="auto" w:before="4"/>
        <w:rPr>
          <w:rFonts w:ascii="宋体" w:hAnsi="宋体" w:cs="宋体" w:eastAsia="宋体" w:hint="default"/>
          <w:sz w:val="29"/>
          <w:szCs w:val="29"/>
        </w:rPr>
      </w:pPr>
    </w:p>
    <w:p>
      <w:pPr>
        <w:pStyle w:val="BodyText"/>
        <w:spacing w:line="312" w:lineRule="auto" w:before="36"/>
        <w:ind w:left="213" w:right="1125"/>
        <w:jc w:val="both"/>
      </w:pPr>
      <w:r>
        <w:rPr>
          <w:spacing w:val="-2"/>
        </w:rPr>
        <w:t>中两者较低者作为租入资产的入账价值，将最低租赁付款额作为长期应付款的入账价值，其差额为未确认</w:t>
      </w:r>
      <w:r>
        <w:rPr>
          <w:spacing w:val="-33"/>
        </w:rPr>
        <w:t> </w:t>
      </w:r>
      <w:r>
        <w:rPr>
          <w:spacing w:val="-33"/>
        </w:rPr>
      </w:r>
      <w:r>
        <w:rPr>
          <w:spacing w:val="-2"/>
        </w:rPr>
        <w:t>融资费用，发生的初始直接费用，计入租赁资产价值。在租赁期各个期间，采用实际利率法计算确认当期</w:t>
      </w:r>
      <w:r>
        <w:rPr>
          <w:spacing w:val="-33"/>
        </w:rPr>
        <w:t> </w:t>
      </w:r>
      <w:r>
        <w:rPr>
          <w:spacing w:val="-33"/>
        </w:rPr>
      </w:r>
      <w:r>
        <w:rPr/>
        <w:t>的融资费用。</w:t>
      </w:r>
    </w:p>
    <w:p>
      <w:pPr>
        <w:spacing w:line="240" w:lineRule="auto" w:before="3"/>
        <w:rPr>
          <w:rFonts w:ascii="宋体" w:hAnsi="宋体" w:cs="宋体" w:eastAsia="宋体" w:hint="default"/>
          <w:sz w:val="14"/>
          <w:szCs w:val="14"/>
        </w:rPr>
      </w:pPr>
    </w:p>
    <w:p>
      <w:pPr>
        <w:pStyle w:val="BodyText"/>
        <w:spacing w:line="312" w:lineRule="auto"/>
        <w:ind w:left="213" w:right="1121" w:firstLine="422"/>
        <w:jc w:val="both"/>
      </w:pPr>
      <w:r>
        <w:rPr>
          <w:spacing w:val="-2"/>
        </w:rPr>
        <w:t>本公司为出租人时，在租赁期开始日，本公司以租赁开始日最低租赁收款额与初始直接费用之和作为</w:t>
      </w:r>
      <w:r>
        <w:rPr>
          <w:w w:val="100"/>
        </w:rPr>
        <w:t> </w:t>
      </w:r>
      <w:r>
        <w:rPr>
          <w:spacing w:val="-2"/>
        </w:rPr>
        <w:t>应收融资租赁款的入账价值，同时记录未担保余值；将最低租赁收款额、初始直接费用及未担保余值之和</w:t>
      </w:r>
      <w:r>
        <w:rPr>
          <w:spacing w:val="-33"/>
        </w:rPr>
        <w:t> </w:t>
      </w:r>
      <w:r>
        <w:rPr>
          <w:spacing w:val="-33"/>
        </w:rPr>
      </w:r>
      <w:r>
        <w:rPr>
          <w:spacing w:val="-2"/>
        </w:rPr>
        <w:t>与其现值之和的差额确认为未实现融资收益。在租赁期各个期间，采用实际利率法计算确认当期的融资收</w:t>
      </w:r>
      <w:r>
        <w:rPr>
          <w:spacing w:val="-33"/>
        </w:rPr>
        <w:t> </w:t>
      </w:r>
      <w:r>
        <w:rPr>
          <w:spacing w:val="-33"/>
        </w:rPr>
      </w:r>
      <w:r>
        <w:rPr/>
        <w:t>入。</w:t>
      </w:r>
    </w:p>
    <w:p>
      <w:pPr>
        <w:pStyle w:val="BodyText"/>
        <w:spacing w:line="524" w:lineRule="exact" w:before="2"/>
        <w:ind w:left="635" w:right="1118"/>
        <w:jc w:val="left"/>
      </w:pPr>
      <w:bookmarkStart w:name="（二十八）终止经营" w:id="195"/>
      <w:bookmarkEnd w:id="195"/>
      <w:r>
        <w:rPr/>
      </w:r>
      <w:r>
        <w:rPr/>
        <w:t>（二十八）终止经营</w:t>
      </w:r>
      <w:r>
        <w:rPr>
          <w:spacing w:val="-100"/>
        </w:rPr>
        <w:t> </w:t>
      </w:r>
      <w:r>
        <w:rPr>
          <w:spacing w:val="-100"/>
        </w:rPr>
      </w:r>
      <w:r>
        <w:rPr>
          <w:spacing w:val="-2"/>
        </w:rPr>
        <w:t>终止经营，是指企业满足下列条件之一的、能够单独区分的组成部分，且该组成部分已经处置或划分</w:t>
      </w:r>
    </w:p>
    <w:p>
      <w:pPr>
        <w:pStyle w:val="BodyText"/>
        <w:spacing w:line="448" w:lineRule="auto" w:before="5"/>
        <w:ind w:left="635" w:right="2874" w:hanging="423"/>
        <w:jc w:val="left"/>
      </w:pPr>
      <w:r>
        <w:rPr/>
        <w:t>为持有待售类别：</w:t>
      </w:r>
      <w:r>
        <w:rPr>
          <w:spacing w:val="-101"/>
        </w:rPr>
        <w:t> </w:t>
      </w:r>
      <w:r>
        <w:rPr>
          <w:spacing w:val="-101"/>
        </w:rPr>
      </w:r>
      <w:r>
        <w:rPr>
          <w:rFonts w:ascii="宋体" w:hAnsi="宋体" w:cs="宋体" w:eastAsia="宋体" w:hint="default"/>
          <w:spacing w:val="-2"/>
        </w:rPr>
        <w:t>1.</w:t>
      </w:r>
      <w:r>
        <w:rPr>
          <w:spacing w:val="-2"/>
        </w:rPr>
        <w:t>该组成部分代表一项独立的主要业务或一个单独的主要经营地区；</w:t>
      </w:r>
    </w:p>
    <w:p>
      <w:pPr>
        <w:pStyle w:val="BodyText"/>
        <w:spacing w:line="309" w:lineRule="auto" w:before="65"/>
        <w:ind w:left="213" w:right="1118" w:firstLine="422"/>
        <w:jc w:val="left"/>
      </w:pPr>
      <w:r>
        <w:rPr>
          <w:rFonts w:ascii="宋体" w:hAnsi="宋体" w:cs="宋体" w:eastAsia="宋体" w:hint="default"/>
          <w:spacing w:val="-2"/>
        </w:rPr>
        <w:t>2.</w:t>
      </w:r>
      <w:r>
        <w:rPr>
          <w:spacing w:val="-2"/>
        </w:rPr>
        <w:t>该组成部分是拟对一项独立的主要业务或一个单独的主要经营地区进行处置的一项相关联计划的</w:t>
      </w:r>
      <w:r>
        <w:rPr>
          <w:w w:val="100"/>
        </w:rPr>
        <w:t> </w:t>
      </w:r>
      <w:r>
        <w:rPr/>
        <w:t>一部分；</w:t>
      </w:r>
    </w:p>
    <w:p>
      <w:pPr>
        <w:pStyle w:val="BodyText"/>
        <w:spacing w:line="524" w:lineRule="exact" w:before="4"/>
        <w:ind w:left="635" w:right="1118"/>
        <w:jc w:val="left"/>
      </w:pPr>
      <w:r>
        <w:rPr>
          <w:rFonts w:ascii="宋体" w:hAnsi="宋体" w:cs="宋体" w:eastAsia="宋体" w:hint="default"/>
        </w:rPr>
        <w:t>3.</w:t>
      </w:r>
      <w:r>
        <w:rPr/>
        <w:t>该组成部分是专为转售而取得的子公司。</w:t>
      </w:r>
      <w:r>
        <w:rPr>
          <w:spacing w:val="-103"/>
        </w:rPr>
        <w:t> </w:t>
      </w:r>
      <w:r>
        <w:rPr>
          <w:spacing w:val="-103"/>
        </w:rPr>
      </w:r>
      <w:r>
        <w:rPr>
          <w:spacing w:val="-2"/>
        </w:rPr>
        <w:t>企业应当在利润表中分别列示持续经营损益和终止经营损益。不符合终止经营定义的持有待售的非流</w:t>
      </w:r>
    </w:p>
    <w:p>
      <w:pPr>
        <w:pStyle w:val="BodyText"/>
        <w:spacing w:line="309" w:lineRule="auto" w:before="10"/>
        <w:ind w:left="213" w:right="1125"/>
        <w:jc w:val="both"/>
      </w:pPr>
      <w:r>
        <w:rPr>
          <w:spacing w:val="-2"/>
        </w:rPr>
        <w:t>动资产或处置组，其减值损失和转回金额及处置损益应当作为持续经营损益列报。终止经营的减值损失和</w:t>
      </w:r>
      <w:r>
        <w:rPr>
          <w:spacing w:val="-33"/>
        </w:rPr>
        <w:t> </w:t>
      </w:r>
      <w:r>
        <w:rPr>
          <w:spacing w:val="-33"/>
        </w:rPr>
      </w:r>
      <w:r>
        <w:rPr/>
        <w:t>转回金额等经营损益及处置损益应当作为终止经营损益列报。</w:t>
      </w:r>
    </w:p>
    <w:p>
      <w:pPr>
        <w:spacing w:line="240" w:lineRule="auto" w:before="0"/>
        <w:rPr>
          <w:rFonts w:ascii="宋体" w:hAnsi="宋体" w:cs="宋体" w:eastAsia="宋体" w:hint="default"/>
          <w:sz w:val="23"/>
          <w:szCs w:val="23"/>
        </w:rPr>
      </w:pPr>
    </w:p>
    <w:p>
      <w:pPr>
        <w:pStyle w:val="Heading2"/>
        <w:spacing w:line="240" w:lineRule="auto"/>
        <w:ind w:left="693" w:right="1118"/>
        <w:jc w:val="left"/>
        <w:rPr>
          <w:rFonts w:ascii="黑体" w:hAnsi="黑体" w:cs="黑体" w:eastAsia="黑体" w:hint="default"/>
          <w:b w:val="0"/>
          <w:bCs w:val="0"/>
        </w:rPr>
      </w:pPr>
      <w:bookmarkStart w:name="四、税项" w:id="196"/>
      <w:bookmarkEnd w:id="196"/>
      <w:r>
        <w:rPr>
          <w:b w:val="0"/>
          <w:bCs w:val="0"/>
        </w:rPr>
      </w:r>
      <w:r>
        <w:rPr>
          <w:rFonts w:ascii="黑体" w:hAnsi="黑体" w:cs="黑体" w:eastAsia="黑体" w:hint="default"/>
        </w:rPr>
        <w:t>四、税项</w:t>
      </w:r>
      <w:r>
        <w:rPr>
          <w:rFonts w:ascii="黑体" w:hAnsi="黑体" w:cs="黑体" w:eastAsia="黑体" w:hint="default"/>
          <w:b w:val="0"/>
          <w:bCs w:val="0"/>
        </w:rPr>
      </w:r>
    </w:p>
    <w:p>
      <w:pPr>
        <w:spacing w:line="240" w:lineRule="auto" w:before="1"/>
        <w:rPr>
          <w:rFonts w:ascii="黑体" w:hAnsi="黑体" w:cs="黑体" w:eastAsia="黑体" w:hint="default"/>
          <w:b/>
          <w:bCs/>
          <w:sz w:val="30"/>
          <w:szCs w:val="30"/>
        </w:rPr>
      </w:pPr>
    </w:p>
    <w:p>
      <w:pPr>
        <w:pStyle w:val="BodyText"/>
        <w:spacing w:line="240" w:lineRule="auto"/>
        <w:ind w:left="635" w:right="1118"/>
        <w:jc w:val="left"/>
      </w:pPr>
      <w:r>
        <w:rPr/>
        <w:t>（一）主要税种及税率</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2550"/>
        <w:gridCol w:w="4470"/>
        <w:gridCol w:w="2838"/>
      </w:tblGrid>
      <w:tr>
        <w:trPr>
          <w:trHeight w:val="253" w:hRule="exact"/>
        </w:trPr>
        <w:tc>
          <w:tcPr>
            <w:tcW w:w="2550" w:type="dxa"/>
            <w:tcBorders>
              <w:top w:val="nil" w:sz="6" w:space="0" w:color="auto"/>
              <w:left w:val="nil" w:sz="6" w:space="0" w:color="auto"/>
              <w:bottom w:val="single" w:sz="4" w:space="0" w:color="000000"/>
              <w:right w:val="nil" w:sz="6" w:space="0" w:color="auto"/>
            </w:tcBorders>
          </w:tcPr>
          <w:p>
            <w:pPr>
              <w:pStyle w:val="TableParagraph"/>
              <w:spacing w:line="182" w:lineRule="exact"/>
              <w:ind w:left="1301" w:right="0"/>
              <w:jc w:val="left"/>
              <w:rPr>
                <w:rFonts w:ascii="宋体" w:hAnsi="宋体" w:cs="宋体" w:eastAsia="宋体" w:hint="default"/>
                <w:sz w:val="18"/>
                <w:szCs w:val="18"/>
              </w:rPr>
            </w:pPr>
            <w:r>
              <w:rPr>
                <w:rFonts w:ascii="宋体" w:hAnsi="宋体" w:cs="宋体" w:eastAsia="宋体" w:hint="default"/>
                <w:b/>
                <w:bCs/>
                <w:sz w:val="18"/>
                <w:szCs w:val="18"/>
              </w:rPr>
              <w:t>税 </w:t>
            </w:r>
            <w:r>
              <w:rPr>
                <w:rFonts w:ascii="宋体" w:hAnsi="宋体" w:cs="宋体" w:eastAsia="宋体" w:hint="default"/>
                <w:b/>
                <w:bCs/>
                <w:spacing w:val="4"/>
                <w:sz w:val="18"/>
                <w:szCs w:val="18"/>
              </w:rPr>
              <w:t> </w:t>
            </w:r>
            <w:r>
              <w:rPr>
                <w:rFonts w:ascii="宋体" w:hAnsi="宋体" w:cs="宋体" w:eastAsia="宋体" w:hint="default"/>
                <w:b/>
                <w:bCs/>
                <w:sz w:val="18"/>
                <w:szCs w:val="18"/>
              </w:rPr>
              <w:t>种</w:t>
            </w:r>
            <w:r>
              <w:rPr>
                <w:rFonts w:ascii="宋体" w:hAnsi="宋体" w:cs="宋体" w:eastAsia="宋体" w:hint="default"/>
                <w:sz w:val="18"/>
                <w:szCs w:val="18"/>
              </w:rPr>
            </w:r>
          </w:p>
        </w:tc>
        <w:tc>
          <w:tcPr>
            <w:tcW w:w="4470" w:type="dxa"/>
            <w:tcBorders>
              <w:top w:val="nil" w:sz="6" w:space="0" w:color="auto"/>
              <w:left w:val="nil" w:sz="6" w:space="0" w:color="auto"/>
              <w:bottom w:val="single" w:sz="4" w:space="0" w:color="000000"/>
              <w:right w:val="nil" w:sz="6" w:space="0" w:color="auto"/>
            </w:tcBorders>
          </w:tcPr>
          <w:p>
            <w:pPr>
              <w:pStyle w:val="TableParagraph"/>
              <w:spacing w:line="182" w:lineRule="exact"/>
              <w:ind w:left="293" w:right="0"/>
              <w:jc w:val="center"/>
              <w:rPr>
                <w:rFonts w:ascii="宋体" w:hAnsi="宋体" w:cs="宋体" w:eastAsia="宋体" w:hint="default"/>
                <w:sz w:val="18"/>
                <w:szCs w:val="18"/>
              </w:rPr>
            </w:pPr>
            <w:r>
              <w:rPr>
                <w:rFonts w:ascii="宋体" w:hAnsi="宋体" w:cs="宋体" w:eastAsia="宋体" w:hint="default"/>
                <w:b/>
                <w:bCs/>
                <w:sz w:val="18"/>
                <w:szCs w:val="18"/>
              </w:rPr>
              <w:t>计 税 依</w:t>
            </w:r>
            <w:r>
              <w:rPr>
                <w:rFonts w:ascii="宋体" w:hAnsi="宋体" w:cs="宋体" w:eastAsia="宋体" w:hint="default"/>
                <w:b/>
                <w:bCs/>
                <w:spacing w:val="1"/>
                <w:sz w:val="18"/>
                <w:szCs w:val="18"/>
              </w:rPr>
              <w:t> </w:t>
            </w:r>
            <w:r>
              <w:rPr>
                <w:rFonts w:ascii="宋体" w:hAnsi="宋体" w:cs="宋体" w:eastAsia="宋体" w:hint="default"/>
                <w:b/>
                <w:bCs/>
                <w:sz w:val="18"/>
                <w:szCs w:val="18"/>
              </w:rPr>
              <w:t>据</w:t>
            </w:r>
            <w:r>
              <w:rPr>
                <w:rFonts w:ascii="宋体" w:hAnsi="宋体" w:cs="宋体" w:eastAsia="宋体" w:hint="default"/>
                <w:sz w:val="18"/>
                <w:szCs w:val="18"/>
              </w:rPr>
            </w:r>
          </w:p>
        </w:tc>
        <w:tc>
          <w:tcPr>
            <w:tcW w:w="2838" w:type="dxa"/>
            <w:tcBorders>
              <w:top w:val="nil" w:sz="6" w:space="0" w:color="auto"/>
              <w:left w:val="nil" w:sz="6" w:space="0" w:color="auto"/>
              <w:bottom w:val="single" w:sz="4" w:space="0" w:color="000000"/>
              <w:right w:val="nil" w:sz="6" w:space="0" w:color="auto"/>
            </w:tcBorders>
          </w:tcPr>
          <w:p>
            <w:pPr>
              <w:pStyle w:val="TableParagraph"/>
              <w:spacing w:line="182" w:lineRule="exact"/>
              <w:ind w:right="300"/>
              <w:jc w:val="center"/>
              <w:rPr>
                <w:rFonts w:ascii="宋体" w:hAnsi="宋体" w:cs="宋体" w:eastAsia="宋体" w:hint="default"/>
                <w:sz w:val="18"/>
                <w:szCs w:val="18"/>
              </w:rPr>
            </w:pPr>
            <w:r>
              <w:rPr>
                <w:rFonts w:ascii="宋体" w:hAnsi="宋体" w:cs="宋体" w:eastAsia="宋体" w:hint="default"/>
                <w:b/>
                <w:bCs/>
                <w:sz w:val="18"/>
                <w:szCs w:val="18"/>
              </w:rPr>
              <w:t>税 </w:t>
            </w:r>
            <w:r>
              <w:rPr>
                <w:rFonts w:ascii="宋体" w:hAnsi="宋体" w:cs="宋体" w:eastAsia="宋体" w:hint="default"/>
                <w:b/>
                <w:bCs/>
                <w:spacing w:val="4"/>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r>
      <w:tr>
        <w:trPr>
          <w:trHeight w:val="1128" w:hRule="exact"/>
        </w:trPr>
        <w:tc>
          <w:tcPr>
            <w:tcW w:w="25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70"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left="700" w:right="411"/>
              <w:jc w:val="both"/>
              <w:rPr>
                <w:rFonts w:ascii="宋体" w:hAnsi="宋体" w:cs="宋体" w:eastAsia="宋体" w:hint="default"/>
                <w:sz w:val="18"/>
                <w:szCs w:val="18"/>
              </w:rPr>
            </w:pPr>
            <w:r>
              <w:rPr>
                <w:rFonts w:ascii="宋体" w:hAnsi="宋体" w:cs="宋体" w:eastAsia="宋体" w:hint="default"/>
                <w:spacing w:val="-6"/>
                <w:sz w:val="18"/>
                <w:szCs w:val="18"/>
              </w:rPr>
              <w:t>应税收入按适用税率计算销项税，并按扣除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当期允许抵扣的进项税额后的差额计缴增</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值税</w:t>
            </w:r>
          </w:p>
        </w:tc>
        <w:tc>
          <w:tcPr>
            <w:tcW w:w="28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9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10%</w:t>
            </w:r>
          </w:p>
        </w:tc>
      </w:tr>
      <w:tr>
        <w:trPr>
          <w:trHeight w:val="379"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00"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0"/>
              <w:jc w:val="center"/>
              <w:rPr>
                <w:rFonts w:ascii="宋体" w:hAnsi="宋体" w:cs="宋体" w:eastAsia="宋体" w:hint="default"/>
                <w:sz w:val="18"/>
                <w:szCs w:val="18"/>
              </w:rPr>
            </w:pPr>
            <w:r>
              <w:rPr>
                <w:rFonts w:ascii="宋体"/>
                <w:sz w:val="18"/>
              </w:rPr>
              <w:t>7%</w:t>
            </w:r>
          </w:p>
        </w:tc>
      </w:tr>
      <w:tr>
        <w:trPr>
          <w:trHeight w:val="396"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0"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0"/>
              <w:jc w:val="center"/>
              <w:rPr>
                <w:rFonts w:ascii="宋体" w:hAnsi="宋体" w:cs="宋体" w:eastAsia="宋体" w:hint="default"/>
                <w:sz w:val="18"/>
                <w:szCs w:val="18"/>
              </w:rPr>
            </w:pPr>
            <w:r>
              <w:rPr>
                <w:rFonts w:ascii="宋体"/>
                <w:sz w:val="18"/>
              </w:rPr>
              <w:t>3%</w:t>
            </w:r>
          </w:p>
        </w:tc>
      </w:tr>
      <w:tr>
        <w:trPr>
          <w:trHeight w:val="396"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0"/>
              <w:jc w:val="center"/>
              <w:rPr>
                <w:rFonts w:ascii="宋体" w:hAnsi="宋体" w:cs="宋体" w:eastAsia="宋体" w:hint="default"/>
                <w:sz w:val="18"/>
                <w:szCs w:val="18"/>
              </w:rPr>
            </w:pPr>
            <w:r>
              <w:rPr>
                <w:rFonts w:ascii="宋体"/>
                <w:sz w:val="18"/>
              </w:rPr>
              <w:t>2%</w:t>
            </w:r>
          </w:p>
        </w:tc>
      </w:tr>
      <w:tr>
        <w:trPr>
          <w:trHeight w:val="398"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20%</w:t>
            </w:r>
          </w:p>
        </w:tc>
      </w:tr>
      <w:tr>
        <w:trPr>
          <w:trHeight w:val="290" w:hRule="exact"/>
        </w:trPr>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44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0" w:right="0"/>
              <w:jc w:val="left"/>
              <w:rPr>
                <w:rFonts w:ascii="宋体" w:hAnsi="宋体" w:cs="宋体" w:eastAsia="宋体" w:hint="default"/>
                <w:sz w:val="18"/>
                <w:szCs w:val="18"/>
              </w:rPr>
            </w:pPr>
            <w:r>
              <w:rPr>
                <w:rFonts w:ascii="宋体" w:hAnsi="宋体" w:cs="宋体" w:eastAsia="宋体" w:hint="default"/>
                <w:spacing w:val="-3"/>
                <w:sz w:val="18"/>
                <w:szCs w:val="18"/>
              </w:rPr>
              <w:t>提供广告服务取得的计费销售额</w:t>
            </w:r>
          </w:p>
        </w:tc>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0"/>
              <w:jc w:val="center"/>
              <w:rPr>
                <w:rFonts w:ascii="宋体" w:hAnsi="宋体" w:cs="宋体" w:eastAsia="宋体" w:hint="default"/>
                <w:sz w:val="18"/>
                <w:szCs w:val="18"/>
              </w:rPr>
            </w:pPr>
            <w:r>
              <w:rPr>
                <w:rFonts w:ascii="宋体"/>
                <w:sz w:val="18"/>
              </w:rPr>
              <w:t>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312" w:lineRule="auto" w:before="36"/>
        <w:ind w:left="213" w:right="1127" w:firstLine="422"/>
        <w:jc w:val="both"/>
      </w:pPr>
      <w:r>
        <w:rPr/>
        <w:t>注：本公司增值税适用</w:t>
      </w:r>
      <w:r>
        <w:rPr>
          <w:spacing w:val="-34"/>
        </w:rPr>
        <w:t> </w:t>
      </w:r>
      <w:r>
        <w:rPr>
          <w:rFonts w:ascii="宋体" w:hAnsi="宋体" w:cs="宋体" w:eastAsia="宋体" w:hint="default"/>
          <w:spacing w:val="-5"/>
        </w:rPr>
        <w:t>3%</w:t>
      </w:r>
      <w:r>
        <w:rPr>
          <w:spacing w:val="-5"/>
        </w:rPr>
        <w:t>、</w:t>
      </w:r>
      <w:r>
        <w:rPr>
          <w:rFonts w:ascii="宋体" w:hAnsi="宋体" w:cs="宋体" w:eastAsia="宋体" w:hint="default"/>
          <w:spacing w:val="-5"/>
        </w:rPr>
        <w:t>5%</w:t>
      </w:r>
      <w:r>
        <w:rPr>
          <w:spacing w:val="-5"/>
        </w:rPr>
        <w:t>、</w:t>
      </w:r>
      <w:r>
        <w:rPr>
          <w:rFonts w:ascii="宋体" w:hAnsi="宋体" w:cs="宋体" w:eastAsia="宋体" w:hint="default"/>
          <w:spacing w:val="-5"/>
        </w:rPr>
        <w:t>6%</w:t>
      </w:r>
      <w:r>
        <w:rPr>
          <w:spacing w:val="-5"/>
        </w:rPr>
        <w:t>、</w:t>
      </w:r>
      <w:r>
        <w:rPr>
          <w:rFonts w:ascii="宋体" w:hAnsi="宋体" w:cs="宋体" w:eastAsia="宋体" w:hint="default"/>
          <w:spacing w:val="-5"/>
        </w:rPr>
        <w:t>9%</w:t>
      </w:r>
      <w:r>
        <w:rPr>
          <w:spacing w:val="-5"/>
        </w:rPr>
        <w:t>和</w:t>
      </w:r>
      <w:r>
        <w:rPr>
          <w:spacing w:val="-35"/>
        </w:rPr>
        <w:t> </w:t>
      </w:r>
      <w:r>
        <w:rPr>
          <w:rFonts w:ascii="宋体" w:hAnsi="宋体" w:cs="宋体" w:eastAsia="宋体" w:hint="default"/>
          <w:spacing w:val="-3"/>
        </w:rPr>
        <w:t>10%</w:t>
      </w:r>
      <w:r>
        <w:rPr>
          <w:spacing w:val="-3"/>
        </w:rPr>
        <w:t>的税率，其中部分子公司是小规模纳税人，适用</w:t>
      </w:r>
      <w:r>
        <w:rPr>
          <w:spacing w:val="-32"/>
        </w:rPr>
        <w:t> </w:t>
      </w:r>
      <w:r>
        <w:rPr>
          <w:rFonts w:ascii="宋体" w:hAnsi="宋体" w:cs="宋体" w:eastAsia="宋体" w:hint="default"/>
          <w:spacing w:val="-3"/>
        </w:rPr>
        <w:t>3%</w:t>
      </w:r>
      <w:r>
        <w:rPr>
          <w:spacing w:val="-3"/>
        </w:rPr>
        <w:t>的增</w:t>
      </w:r>
      <w:r>
        <w:rPr>
          <w:spacing w:val="-5"/>
          <w:w w:val="100"/>
        </w:rPr>
        <w:t> </w:t>
      </w:r>
      <w:r>
        <w:rPr/>
        <w:t>值税税率；创业辅导培训实行简易征收，适用 </w:t>
      </w:r>
      <w:r>
        <w:rPr>
          <w:rFonts w:ascii="宋体" w:hAnsi="宋体" w:cs="宋体" w:eastAsia="宋体" w:hint="default"/>
        </w:rPr>
        <w:t>3%</w:t>
      </w:r>
      <w:r>
        <w:rPr/>
        <w:t>税率；小规模纳税人工位租赁收入适用</w:t>
      </w:r>
      <w:r>
        <w:rPr>
          <w:spacing w:val="-22"/>
        </w:rPr>
        <w:t> </w:t>
      </w:r>
      <w:r>
        <w:rPr>
          <w:rFonts w:ascii="宋体" w:hAnsi="宋体" w:cs="宋体" w:eastAsia="宋体" w:hint="default"/>
        </w:rPr>
        <w:t>5%</w:t>
      </w:r>
      <w:r>
        <w:rPr/>
        <w:t>税率；公关业</w:t>
      </w:r>
      <w:r>
        <w:rPr>
          <w:w w:val="100"/>
        </w:rPr>
        <w:t> </w:t>
      </w:r>
      <w:r>
        <w:rPr/>
        <w:t>务适用</w:t>
      </w:r>
      <w:r>
        <w:rPr>
          <w:spacing w:val="-53"/>
        </w:rPr>
        <w:t> </w:t>
      </w:r>
      <w:r>
        <w:rPr>
          <w:rFonts w:ascii="宋体" w:hAnsi="宋体" w:cs="宋体" w:eastAsia="宋体" w:hint="default"/>
        </w:rPr>
        <w:t>6%</w:t>
      </w:r>
      <w:r>
        <w:rPr/>
        <w:t>税率；一般纳税人工位租金收入在</w:t>
      </w:r>
      <w:r>
        <w:rPr>
          <w:spacing w:val="-51"/>
        </w:rPr>
        <w:t> </w:t>
      </w:r>
      <w:r>
        <w:rPr>
          <w:rFonts w:ascii="宋体" w:hAnsi="宋体" w:cs="宋体" w:eastAsia="宋体" w:hint="default"/>
        </w:rPr>
        <w:t>4</w:t>
      </w:r>
      <w:r>
        <w:rPr>
          <w:rFonts w:ascii="宋体" w:hAnsi="宋体" w:cs="宋体" w:eastAsia="宋体" w:hint="default"/>
          <w:spacing w:val="-57"/>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日之前适用</w:t>
      </w:r>
      <w:r>
        <w:rPr>
          <w:spacing w:val="-53"/>
        </w:rPr>
        <w:t> </w:t>
      </w:r>
      <w:r>
        <w:rPr>
          <w:rFonts w:ascii="宋体" w:hAnsi="宋体" w:cs="宋体" w:eastAsia="宋体" w:hint="default"/>
        </w:rPr>
        <w:t>10%</w:t>
      </w:r>
      <w:r>
        <w:rPr/>
        <w:t>税率，</w:t>
      </w:r>
      <w:r>
        <w:rPr>
          <w:rFonts w:ascii="宋体" w:hAnsi="宋体" w:cs="宋体" w:eastAsia="宋体" w:hint="default"/>
        </w:rPr>
        <w:t>4</w:t>
      </w:r>
      <w:r>
        <w:rPr>
          <w:rFonts w:ascii="宋体" w:hAnsi="宋体" w:cs="宋体" w:eastAsia="宋体" w:hint="default"/>
          <w:spacing w:val="-57"/>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日之后适用</w:t>
      </w:r>
      <w:r>
        <w:rPr>
          <w:spacing w:val="-52"/>
        </w:rPr>
        <w:t> </w:t>
      </w:r>
      <w:r>
        <w:rPr>
          <w:rFonts w:ascii="宋体" w:hAnsi="宋体" w:cs="宋体" w:eastAsia="宋体" w:hint="default"/>
        </w:rPr>
        <w:t>9%</w:t>
      </w:r>
      <w:r>
        <w:rPr/>
        <w:t>的税率。</w:t>
      </w:r>
    </w:p>
    <w:p>
      <w:pPr>
        <w:spacing w:after="0" w:line="312" w:lineRule="auto"/>
        <w:jc w:val="both"/>
        <w:sectPr>
          <w:pgSz w:w="11910" w:h="16840"/>
          <w:pgMar w:header="741" w:footer="979" w:top="1060" w:bottom="1160" w:left="920" w:right="0"/>
        </w:sectPr>
      </w:pPr>
    </w:p>
    <w:p>
      <w:pPr>
        <w:spacing w:line="240" w:lineRule="auto" w:before="12"/>
        <w:rPr>
          <w:rFonts w:ascii="宋体" w:hAnsi="宋体" w:cs="宋体" w:eastAsia="宋体" w:hint="default"/>
          <w:sz w:val="28"/>
          <w:szCs w:val="28"/>
        </w:rPr>
      </w:pPr>
    </w:p>
    <w:p>
      <w:pPr>
        <w:pStyle w:val="BodyText"/>
        <w:spacing w:line="240" w:lineRule="auto" w:before="36"/>
        <w:ind w:left="575" w:right="0"/>
        <w:jc w:val="left"/>
      </w:pPr>
      <w:r>
        <w:rPr/>
        <w:t>（二）重要税收优惠政策及其依据</w:t>
      </w:r>
    </w:p>
    <w:p>
      <w:pPr>
        <w:spacing w:line="240" w:lineRule="auto" w:before="13"/>
        <w:rPr>
          <w:rFonts w:ascii="宋体" w:hAnsi="宋体" w:cs="宋体" w:eastAsia="宋体" w:hint="default"/>
          <w:sz w:val="18"/>
          <w:szCs w:val="18"/>
        </w:rPr>
      </w:pPr>
    </w:p>
    <w:p>
      <w:pPr>
        <w:pStyle w:val="BodyText"/>
        <w:spacing w:line="240" w:lineRule="auto"/>
        <w:ind w:left="575" w:right="0"/>
        <w:jc w:val="left"/>
      </w:pPr>
      <w:r>
        <w:rPr>
          <w:rFonts w:ascii="宋体" w:hAnsi="宋体" w:cs="宋体" w:eastAsia="宋体" w:hint="default"/>
          <w:w w:val="100"/>
        </w:rPr>
        <w:t>1</w:t>
      </w:r>
      <w:r>
        <w:rPr>
          <w:spacing w:val="-92"/>
          <w:w w:val="100"/>
        </w:rPr>
        <w:t>、</w:t>
      </w:r>
      <w:r>
        <w:rPr>
          <w:w w:val="100"/>
        </w:rPr>
        <w:t>根</w:t>
      </w:r>
      <w:r>
        <w:rPr>
          <w:spacing w:val="-92"/>
          <w:w w:val="100"/>
        </w:rPr>
        <w:t>据</w:t>
      </w:r>
      <w:r>
        <w:rPr>
          <w:w w:val="100"/>
        </w:rPr>
        <w:t>《</w:t>
      </w:r>
      <w:r>
        <w:rPr>
          <w:spacing w:val="-5"/>
          <w:w w:val="100"/>
        </w:rPr>
        <w:t>财</w:t>
      </w:r>
      <w:r>
        <w:rPr>
          <w:w w:val="100"/>
        </w:rPr>
        <w:t>政部</w:t>
      </w:r>
      <w:r>
        <w:rPr>
          <w:spacing w:val="-92"/>
          <w:w w:val="100"/>
        </w:rPr>
        <w:t>、</w:t>
      </w:r>
      <w:r>
        <w:rPr>
          <w:spacing w:val="-5"/>
          <w:w w:val="100"/>
        </w:rPr>
        <w:t>国</w:t>
      </w:r>
      <w:r>
        <w:rPr>
          <w:w w:val="100"/>
        </w:rPr>
        <w:t>家税务</w:t>
      </w:r>
      <w:r>
        <w:rPr>
          <w:spacing w:val="-5"/>
          <w:w w:val="100"/>
        </w:rPr>
        <w:t>总</w:t>
      </w:r>
      <w:r>
        <w:rPr>
          <w:w w:val="100"/>
        </w:rPr>
        <w:t>局</w:t>
      </w:r>
      <w:r>
        <w:rPr>
          <w:spacing w:val="-92"/>
          <w:w w:val="100"/>
        </w:rPr>
        <w:t>、</w:t>
      </w:r>
      <w:r>
        <w:rPr>
          <w:w w:val="100"/>
        </w:rPr>
        <w:t>科</w:t>
      </w:r>
      <w:r>
        <w:rPr>
          <w:spacing w:val="-5"/>
          <w:w w:val="100"/>
        </w:rPr>
        <w:t>技</w:t>
      </w:r>
      <w:r>
        <w:rPr>
          <w:w w:val="100"/>
        </w:rPr>
        <w:t>部关于</w:t>
      </w:r>
      <w:r>
        <w:rPr>
          <w:spacing w:val="-5"/>
          <w:w w:val="100"/>
        </w:rPr>
        <w:t>提</w:t>
      </w:r>
      <w:r>
        <w:rPr>
          <w:w w:val="100"/>
        </w:rPr>
        <w:t>高研</w:t>
      </w:r>
      <w:r>
        <w:rPr>
          <w:spacing w:val="-5"/>
          <w:w w:val="100"/>
        </w:rPr>
        <w:t>究</w:t>
      </w:r>
      <w:r>
        <w:rPr>
          <w:w w:val="100"/>
        </w:rPr>
        <w:t>开发费用</w:t>
      </w:r>
      <w:r>
        <w:rPr>
          <w:spacing w:val="-5"/>
          <w:w w:val="100"/>
        </w:rPr>
        <w:t>税</w:t>
      </w:r>
      <w:r>
        <w:rPr>
          <w:w w:val="100"/>
        </w:rPr>
        <w:t>前加计</w:t>
      </w:r>
      <w:r>
        <w:rPr>
          <w:spacing w:val="-5"/>
          <w:w w:val="100"/>
        </w:rPr>
        <w:t>扣</w:t>
      </w:r>
      <w:r>
        <w:rPr>
          <w:w w:val="100"/>
        </w:rPr>
        <w:t>除比例</w:t>
      </w:r>
      <w:r>
        <w:rPr>
          <w:spacing w:val="-5"/>
          <w:w w:val="100"/>
        </w:rPr>
        <w:t>的</w:t>
      </w:r>
      <w:r>
        <w:rPr>
          <w:w w:val="100"/>
        </w:rPr>
        <w:t>通知</w:t>
      </w:r>
      <w:r>
        <w:rPr>
          <w:spacing w:val="-197"/>
          <w:w w:val="100"/>
        </w:rPr>
        <w:t>》</w:t>
      </w:r>
      <w:r>
        <w:rPr>
          <w:w w:val="100"/>
        </w:rPr>
        <w:t>（</w:t>
      </w:r>
      <w:r>
        <w:rPr>
          <w:spacing w:val="-5"/>
          <w:w w:val="100"/>
        </w:rPr>
        <w:t>财</w:t>
      </w:r>
      <w:r>
        <w:rPr>
          <w:spacing w:val="-92"/>
          <w:w w:val="100"/>
        </w:rPr>
        <w:t>税</w:t>
      </w:r>
      <w:r>
        <w:rPr>
          <w:spacing w:val="4"/>
          <w:w w:val="100"/>
        </w:rPr>
        <w:t>〔</w:t>
      </w:r>
      <w:r>
        <w:rPr>
          <w:rFonts w:ascii="宋体" w:hAnsi="宋体" w:cs="宋体" w:eastAsia="宋体" w:hint="default"/>
          <w:w w:val="100"/>
        </w:rPr>
        <w:t>20</w:t>
      </w:r>
      <w:r>
        <w:rPr>
          <w:rFonts w:ascii="宋体" w:hAnsi="宋体" w:cs="宋体" w:eastAsia="宋体" w:hint="default"/>
          <w:spacing w:val="-5"/>
          <w:w w:val="100"/>
        </w:rPr>
        <w:t>1</w:t>
      </w:r>
      <w:r>
        <w:rPr>
          <w:rFonts w:ascii="宋体" w:hAnsi="宋体" w:cs="宋体" w:eastAsia="宋体" w:hint="default"/>
          <w:w w:val="100"/>
        </w:rPr>
        <w:t>8</w:t>
      </w:r>
      <w:r>
        <w:rPr>
          <w:w w:val="100"/>
        </w:rPr>
        <w:t>〕</w:t>
      </w:r>
    </w:p>
    <w:p>
      <w:pPr>
        <w:pStyle w:val="BodyText"/>
        <w:spacing w:line="240" w:lineRule="auto" w:before="85"/>
        <w:ind w:right="0"/>
        <w:jc w:val="both"/>
      </w:pPr>
      <w:r>
        <w:rPr>
          <w:rFonts w:ascii="宋体" w:hAnsi="宋体" w:cs="宋体" w:eastAsia="宋体" w:hint="default"/>
          <w:w w:val="100"/>
        </w:rPr>
        <w:t>99</w:t>
      </w:r>
      <w:r>
        <w:rPr>
          <w:rFonts w:ascii="宋体" w:hAnsi="宋体" w:cs="宋体" w:eastAsia="宋体" w:hint="default"/>
          <w:spacing w:val="-24"/>
        </w:rPr>
        <w:t> </w:t>
      </w:r>
      <w:r>
        <w:rPr>
          <w:w w:val="100"/>
        </w:rPr>
        <w:t>号</w:t>
      </w:r>
      <w:r>
        <w:rPr>
          <w:spacing w:val="-106"/>
          <w:w w:val="100"/>
        </w:rPr>
        <w:t>）</w:t>
      </w:r>
      <w:r>
        <w:rPr>
          <w:w w:val="100"/>
        </w:rPr>
        <w:t>，企业</w:t>
      </w:r>
      <w:r>
        <w:rPr>
          <w:spacing w:val="-5"/>
          <w:w w:val="100"/>
        </w:rPr>
        <w:t>开</w:t>
      </w:r>
      <w:r>
        <w:rPr>
          <w:w w:val="100"/>
        </w:rPr>
        <w:t>展研发</w:t>
      </w:r>
      <w:r>
        <w:rPr>
          <w:spacing w:val="-5"/>
          <w:w w:val="100"/>
        </w:rPr>
        <w:t>活</w:t>
      </w:r>
      <w:r>
        <w:rPr>
          <w:w w:val="100"/>
        </w:rPr>
        <w:t>动中实</w:t>
      </w:r>
      <w:r>
        <w:rPr>
          <w:spacing w:val="-5"/>
          <w:w w:val="100"/>
        </w:rPr>
        <w:t>际</w:t>
      </w:r>
      <w:r>
        <w:rPr>
          <w:w w:val="100"/>
        </w:rPr>
        <w:t>发生的</w:t>
      </w:r>
      <w:r>
        <w:rPr>
          <w:spacing w:val="-5"/>
          <w:w w:val="100"/>
        </w:rPr>
        <w:t>研</w:t>
      </w:r>
      <w:r>
        <w:rPr>
          <w:w w:val="100"/>
        </w:rPr>
        <w:t>发费用</w:t>
      </w:r>
      <w:r>
        <w:rPr>
          <w:spacing w:val="-5"/>
          <w:w w:val="100"/>
        </w:rPr>
        <w:t>，</w:t>
      </w:r>
      <w:r>
        <w:rPr>
          <w:w w:val="100"/>
        </w:rPr>
        <w:t>未形成无</w:t>
      </w:r>
      <w:r>
        <w:rPr>
          <w:spacing w:val="-5"/>
          <w:w w:val="100"/>
        </w:rPr>
        <w:t>形</w:t>
      </w:r>
      <w:r>
        <w:rPr>
          <w:w w:val="100"/>
        </w:rPr>
        <w:t>资产计</w:t>
      </w:r>
      <w:r>
        <w:rPr>
          <w:spacing w:val="-5"/>
          <w:w w:val="100"/>
        </w:rPr>
        <w:t>入</w:t>
      </w:r>
      <w:r>
        <w:rPr>
          <w:w w:val="100"/>
        </w:rPr>
        <w:t>当期损</w:t>
      </w:r>
      <w:r>
        <w:rPr>
          <w:spacing w:val="-5"/>
          <w:w w:val="100"/>
        </w:rPr>
        <w:t>益</w:t>
      </w:r>
      <w:r>
        <w:rPr>
          <w:w w:val="100"/>
        </w:rPr>
        <w:t>的，在</w:t>
      </w:r>
      <w:r>
        <w:rPr>
          <w:spacing w:val="-5"/>
          <w:w w:val="100"/>
        </w:rPr>
        <w:t>按</w:t>
      </w:r>
      <w:r>
        <w:rPr>
          <w:w w:val="100"/>
        </w:rPr>
        <w:t>规定据</w:t>
      </w:r>
      <w:r>
        <w:rPr>
          <w:spacing w:val="-5"/>
          <w:w w:val="100"/>
        </w:rPr>
        <w:t>实</w:t>
      </w:r>
      <w:r>
        <w:rPr>
          <w:w w:val="100"/>
        </w:rPr>
        <w:t>扣除</w:t>
      </w:r>
    </w:p>
    <w:p>
      <w:pPr>
        <w:pStyle w:val="BodyText"/>
        <w:spacing w:line="309" w:lineRule="auto" w:before="85"/>
        <w:ind w:right="1122"/>
        <w:jc w:val="both"/>
      </w:pPr>
      <w:r>
        <w:rPr/>
        <w:t>的基础上，在</w:t>
      </w:r>
      <w:r>
        <w:rPr>
          <w:spacing w:val="-50"/>
        </w:rPr>
        <w:t> </w:t>
      </w:r>
      <w:r>
        <w:rPr>
          <w:rFonts w:ascii="宋体" w:hAnsi="宋体" w:cs="宋体" w:eastAsia="宋体" w:hint="default"/>
        </w:rPr>
        <w:t>2018</w:t>
      </w:r>
      <w:r>
        <w:rPr>
          <w:rFonts w:ascii="宋体" w:hAnsi="宋体" w:cs="宋体" w:eastAsia="宋体" w:hint="default"/>
          <w:spacing w:val="-51"/>
        </w:rPr>
        <w:t> </w:t>
      </w:r>
      <w:r>
        <w:rPr/>
        <w:t>年</w:t>
      </w:r>
      <w:r>
        <w:rPr>
          <w:spacing w:val="-50"/>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日至</w:t>
      </w:r>
      <w:r>
        <w:rPr>
          <w:spacing w:val="-51"/>
        </w:rPr>
        <w:t> </w:t>
      </w:r>
      <w:r>
        <w:rPr>
          <w:rFonts w:ascii="宋体" w:hAnsi="宋体" w:cs="宋体" w:eastAsia="宋体" w:hint="default"/>
        </w:rPr>
        <w:t>2020</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t>日期间，按照本年度实际发生额的</w:t>
      </w:r>
      <w:r>
        <w:rPr>
          <w:spacing w:val="-49"/>
        </w:rPr>
        <w:t> </w:t>
      </w:r>
      <w:r>
        <w:rPr>
          <w:rFonts w:ascii="宋体" w:hAnsi="宋体" w:cs="宋体" w:eastAsia="宋体" w:hint="default"/>
        </w:rPr>
        <w:t>75%</w:t>
      </w:r>
      <w:r>
        <w:rPr/>
        <w:t>，从本年度应纳</w:t>
      </w:r>
      <w:r>
        <w:rPr>
          <w:w w:val="100"/>
        </w:rPr>
        <w:t> </w:t>
      </w:r>
      <w:r>
        <w:rPr>
          <w:spacing w:val="-2"/>
        </w:rPr>
        <w:t>税所得额中扣除；形成无形资产的，按照无形资产成本的</w:t>
      </w:r>
      <w:r>
        <w:rPr>
          <w:spacing w:val="9"/>
        </w:rPr>
        <w:t> </w:t>
      </w:r>
      <w:r>
        <w:rPr>
          <w:rFonts w:ascii="宋体" w:hAnsi="宋体" w:cs="宋体" w:eastAsia="宋体" w:hint="default"/>
          <w:spacing w:val="-1"/>
        </w:rPr>
        <w:t>175%</w:t>
      </w:r>
      <w:r>
        <w:rPr>
          <w:spacing w:val="-1"/>
        </w:rPr>
        <w:t>在税前摊销。</w:t>
      </w:r>
    </w:p>
    <w:p>
      <w:pPr>
        <w:pStyle w:val="BodyText"/>
        <w:spacing w:line="256" w:lineRule="auto" w:before="125"/>
        <w:ind w:right="1122" w:firstLine="422"/>
        <w:jc w:val="both"/>
      </w:pPr>
      <w:r>
        <w:rPr>
          <w:rFonts w:ascii="Times New Roman" w:hAnsi="Times New Roman" w:cs="Times New Roman" w:eastAsia="Times New Roman" w:hint="default"/>
          <w:spacing w:val="-4"/>
        </w:rPr>
        <w:t>2</w:t>
      </w:r>
      <w:r>
        <w:rPr>
          <w:spacing w:val="-4"/>
        </w:rPr>
        <w:t>、根据《中华人民共和国企业所得税法》（中华人民共和国主席令第</w:t>
      </w:r>
      <w:r>
        <w:rPr>
          <w:rFonts w:ascii="Times New Roman" w:hAnsi="Times New Roman" w:cs="Times New Roman" w:eastAsia="Times New Roman" w:hint="default"/>
          <w:spacing w:val="-4"/>
        </w:rPr>
        <w:t>63</w:t>
      </w:r>
      <w:r>
        <w:rPr>
          <w:spacing w:val="-4"/>
        </w:rPr>
        <w:t>号）第二十八条第二款规定：</w:t>
      </w:r>
      <w:r>
        <w:rPr>
          <w:w w:val="100"/>
        </w:rPr>
        <w:t> </w:t>
      </w:r>
      <w:r>
        <w:rPr/>
        <w:t>“国家需要重点扶持的高新技术企业，减按</w:t>
      </w:r>
      <w:r>
        <w:rPr>
          <w:rFonts w:ascii="Times New Roman" w:hAnsi="Times New Roman" w:cs="Times New Roman" w:eastAsia="Times New Roman" w:hint="default"/>
        </w:rPr>
        <w:t>15%</w:t>
      </w:r>
      <w:r>
        <w:rPr/>
        <w:t>的税率征收企业所得税。</w:t>
      </w:r>
    </w:p>
    <w:p>
      <w:pPr>
        <w:spacing w:line="240" w:lineRule="auto" w:before="7"/>
        <w:rPr>
          <w:rFonts w:ascii="宋体" w:hAnsi="宋体" w:cs="宋体" w:eastAsia="宋体" w:hint="default"/>
          <w:sz w:val="16"/>
          <w:szCs w:val="16"/>
        </w:rPr>
      </w:pPr>
    </w:p>
    <w:p>
      <w:pPr>
        <w:pStyle w:val="BodyText"/>
        <w:spacing w:line="240" w:lineRule="auto"/>
        <w:ind w:left="575"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、根据《关于实施小微企业普惠性税收减免政策的通知》（财税〔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 </w:t>
      </w:r>
      <w:r>
        <w:rPr>
          <w:spacing w:val="-3"/>
        </w:rPr>
        <w:t>号），自</w:t>
      </w:r>
      <w:r>
        <w:rPr>
          <w:spacing w:val="-57"/>
        </w:rPr>
        <w:t> </w:t>
      </w:r>
      <w:r>
        <w:rPr>
          <w:rFonts w:ascii="Times New Roman" w:hAnsi="Times New Roman" w:cs="Times New Roman" w:eastAsia="Times New Roman" w:hint="default"/>
        </w:rPr>
        <w:t>2019 </w:t>
      </w:r>
      <w:r>
        <w:rPr/>
        <w:t>年</w:t>
      </w:r>
      <w:r>
        <w:rPr>
          <w:spacing w:val="-57"/>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w:t>
      </w:r>
    </w:p>
    <w:p>
      <w:pPr>
        <w:pStyle w:val="BodyText"/>
        <w:spacing w:line="295" w:lineRule="auto" w:before="69"/>
        <w:ind w:right="1123"/>
        <w:jc w:val="both"/>
      </w:pPr>
      <w:r>
        <w:rPr/>
        <w:t>日至</w:t>
      </w:r>
      <w:r>
        <w:rPr>
          <w:spacing w:val="-5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日，对月销售额</w:t>
      </w:r>
      <w:r>
        <w:rPr>
          <w:spacing w:val="-54"/>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
        </w:rPr>
        <w:t> </w:t>
      </w:r>
      <w:r>
        <w:rPr/>
        <w:t>万元以下（含本数）的增值税小规模纳税人，免征增值税。对小</w:t>
      </w:r>
      <w:r>
        <w:rPr>
          <w:w w:val="100"/>
        </w:rPr>
        <w:t> </w:t>
      </w:r>
      <w:r>
        <w:rPr/>
        <w:t>型微利企业年应纳税所得额不超过</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5"/>
        </w:rPr>
        <w:t>万元的部分，减按</w:t>
      </w:r>
      <w:r>
        <w:rPr>
          <w:spacing w:val="-44"/>
        </w:rPr>
        <w:t> </w:t>
      </w:r>
      <w:r>
        <w:rPr>
          <w:rFonts w:ascii="Times New Roman" w:hAnsi="Times New Roman" w:cs="Times New Roman" w:eastAsia="Times New Roman" w:hint="default"/>
          <w:spacing w:val="-4"/>
        </w:rPr>
        <w:t>25%</w:t>
      </w:r>
      <w:r>
        <w:rPr>
          <w:spacing w:val="-4"/>
        </w:rPr>
        <w:t>计入应纳税所得额，按</w:t>
      </w:r>
      <w:r>
        <w:rPr>
          <w:spacing w:val="-44"/>
        </w:rPr>
        <w:t> </w:t>
      </w:r>
      <w:r>
        <w:rPr>
          <w:rFonts w:ascii="Times New Roman" w:hAnsi="Times New Roman" w:cs="Times New Roman" w:eastAsia="Times New Roman" w:hint="default"/>
        </w:rPr>
        <w:t>20%</w:t>
      </w:r>
      <w:r>
        <w:rPr/>
        <w:t>的税率缴纳企业</w:t>
      </w:r>
      <w:r>
        <w:rPr>
          <w:spacing w:val="-103"/>
        </w:rPr>
        <w:t> </w:t>
      </w:r>
      <w:r>
        <w:rPr>
          <w:spacing w:val="-103"/>
        </w:rPr>
      </w:r>
      <w:r>
        <w:rPr>
          <w:spacing w:val="-3"/>
        </w:rPr>
        <w:t>所得税；对年应纳税所得额超过</w:t>
      </w:r>
      <w:r>
        <w:rPr>
          <w:spacing w:val="-44"/>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万元但不超过</w:t>
      </w:r>
      <w:r>
        <w:rPr>
          <w:spacing w:val="-44"/>
        </w:rPr>
        <w:t> </w:t>
      </w:r>
      <w:r>
        <w:rPr>
          <w:rFonts w:ascii="Times New Roman" w:hAnsi="Times New Roman" w:cs="Times New Roman" w:eastAsia="Times New Roman" w:hint="default"/>
        </w:rPr>
        <w:t>300</w:t>
      </w:r>
      <w:r>
        <w:rPr>
          <w:rFonts w:ascii="Times New Roman" w:hAnsi="Times New Roman" w:cs="Times New Roman" w:eastAsia="Times New Roman" w:hint="default"/>
          <w:spacing w:val="8"/>
        </w:rPr>
        <w:t> </w:t>
      </w:r>
      <w:r>
        <w:rPr>
          <w:spacing w:val="-4"/>
        </w:rPr>
        <w:t>万元的部分，减按</w:t>
      </w:r>
      <w:r>
        <w:rPr>
          <w:spacing w:val="-44"/>
        </w:rPr>
        <w:t> </w:t>
      </w:r>
      <w:r>
        <w:rPr>
          <w:rFonts w:ascii="Times New Roman" w:hAnsi="Times New Roman" w:cs="Times New Roman" w:eastAsia="Times New Roman" w:hint="default"/>
          <w:spacing w:val="-3"/>
        </w:rPr>
        <w:t>50%</w:t>
      </w:r>
      <w:r>
        <w:rPr>
          <w:spacing w:val="-3"/>
        </w:rPr>
        <w:t>计入应纳税所得额，按</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50"/>
        </w:rPr>
        <w:t> </w:t>
      </w:r>
      <w:r>
        <w:rPr/>
        <w:t>的税率缴纳企业所得税。</w:t>
      </w:r>
    </w:p>
    <w:p>
      <w:pPr>
        <w:spacing w:line="240" w:lineRule="auto" w:before="4"/>
        <w:rPr>
          <w:rFonts w:ascii="宋体" w:hAnsi="宋体" w:cs="宋体" w:eastAsia="宋体" w:hint="default"/>
          <w:sz w:val="15"/>
          <w:szCs w:val="15"/>
        </w:rPr>
      </w:pPr>
    </w:p>
    <w:p>
      <w:pPr>
        <w:pStyle w:val="BodyText"/>
        <w:spacing w:line="312" w:lineRule="auto"/>
        <w:ind w:right="1123" w:firstLine="422"/>
        <w:jc w:val="both"/>
      </w:pPr>
      <w:r>
        <w:rPr>
          <w:rFonts w:ascii="宋体" w:hAnsi="宋体" w:cs="宋体" w:eastAsia="宋体" w:hint="default"/>
          <w:spacing w:val="-4"/>
          <w:w w:val="100"/>
        </w:rPr>
        <w:t>4</w:t>
      </w:r>
      <w:r>
        <w:rPr>
          <w:spacing w:val="-4"/>
          <w:w w:val="100"/>
        </w:rPr>
        <w:t>、根据《西藏自治区人民政府关于印发西藏自治区招商引资优惠政策若干规定（试行）的通知》（藏</w:t>
      </w:r>
      <w:r>
        <w:rPr>
          <w:w w:val="100"/>
        </w:rPr>
        <w:t> 政发</w:t>
      </w:r>
      <w:r>
        <w:rPr>
          <w:rFonts w:ascii="宋体" w:hAnsi="宋体" w:cs="宋体" w:eastAsia="宋体" w:hint="default"/>
          <w:w w:val="100"/>
        </w:rPr>
        <w:t>[2018]25</w:t>
      </w:r>
      <w:r>
        <w:rPr>
          <w:rFonts w:ascii="宋体" w:hAnsi="宋体" w:cs="宋体" w:eastAsia="宋体" w:hint="default"/>
          <w:spacing w:val="-53"/>
          <w:w w:val="100"/>
        </w:rPr>
        <w:t> </w:t>
      </w:r>
      <w:r>
        <w:rPr>
          <w:spacing w:val="-19"/>
          <w:w w:val="100"/>
        </w:rPr>
        <w:t>号），企业自</w:t>
      </w:r>
      <w:r>
        <w:rPr>
          <w:spacing w:val="-53"/>
          <w:w w:val="100"/>
        </w:rPr>
        <w:t> </w:t>
      </w:r>
      <w:r>
        <w:rPr>
          <w:rFonts w:ascii="宋体" w:hAnsi="宋体" w:cs="宋体" w:eastAsia="宋体" w:hint="default"/>
          <w:w w:val="100"/>
        </w:rPr>
        <w:t>2018</w:t>
      </w:r>
      <w:r>
        <w:rPr>
          <w:rFonts w:ascii="宋体" w:hAnsi="宋体" w:cs="宋体" w:eastAsia="宋体" w:hint="default"/>
          <w:spacing w:val="-54"/>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3"/>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日至</w:t>
      </w:r>
      <w:r>
        <w:rPr>
          <w:spacing w:val="-54"/>
          <w:w w:val="100"/>
        </w:rPr>
        <w:t> </w:t>
      </w:r>
      <w:r>
        <w:rPr>
          <w:rFonts w:ascii="宋体" w:hAnsi="宋体" w:cs="宋体" w:eastAsia="宋体" w:hint="default"/>
          <w:w w:val="100"/>
        </w:rPr>
        <w:t>2020</w:t>
      </w:r>
      <w:r>
        <w:rPr>
          <w:rFonts w:ascii="宋体" w:hAnsi="宋体" w:cs="宋体" w:eastAsia="宋体" w:hint="default"/>
          <w:spacing w:val="-53"/>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4"/>
          <w:w w:val="100"/>
        </w:rPr>
        <w:t> </w:t>
      </w:r>
      <w:r>
        <w:rPr>
          <w:rFonts w:ascii="宋体" w:hAnsi="宋体" w:cs="宋体" w:eastAsia="宋体" w:hint="default"/>
          <w:w w:val="100"/>
        </w:rPr>
        <w:t>31</w:t>
      </w:r>
      <w:r>
        <w:rPr>
          <w:rFonts w:ascii="宋体" w:hAnsi="宋体" w:cs="宋体" w:eastAsia="宋体" w:hint="default"/>
          <w:spacing w:val="-53"/>
          <w:w w:val="100"/>
        </w:rPr>
        <w:t> </w:t>
      </w:r>
      <w:r>
        <w:rPr>
          <w:spacing w:val="-1"/>
          <w:w w:val="100"/>
        </w:rPr>
        <w:t>日，从事《西部地区鼓励类产业目录》产</w:t>
      </w:r>
      <w:r>
        <w:rPr>
          <w:w w:val="100"/>
        </w:rPr>
        <w:t> </w:t>
      </w:r>
      <w:r>
        <w:rPr/>
        <w:t>业且主营业务收入占企业收入总额 </w:t>
      </w:r>
      <w:r>
        <w:rPr>
          <w:rFonts w:ascii="宋体" w:hAnsi="宋体" w:cs="宋体" w:eastAsia="宋体" w:hint="default"/>
        </w:rPr>
        <w:t>70%</w:t>
      </w:r>
      <w:r>
        <w:rPr/>
        <w:t>以上的，执行西部大开发</w:t>
      </w:r>
      <w:r>
        <w:rPr>
          <w:spacing w:val="-18"/>
        </w:rPr>
        <w:t> </w:t>
      </w:r>
      <w:r>
        <w:rPr>
          <w:rFonts w:ascii="宋体" w:hAnsi="宋体" w:cs="宋体" w:eastAsia="宋体" w:hint="default"/>
        </w:rPr>
        <w:t>15%</w:t>
      </w:r>
      <w:r>
        <w:rPr/>
        <w:t>的企业所得税税率。企业符合条件的</w:t>
      </w:r>
      <w:r>
        <w:rPr>
          <w:w w:val="100"/>
        </w:rPr>
        <w:t> </w:t>
      </w:r>
      <w:r>
        <w:rPr/>
        <w:t>公司，自</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7"/>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7"/>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日，免征企业所得税地方分享部分。</w:t>
      </w:r>
    </w:p>
    <w:p>
      <w:pPr>
        <w:spacing w:line="240" w:lineRule="auto" w:before="10"/>
        <w:rPr>
          <w:rFonts w:ascii="宋体" w:hAnsi="宋体" w:cs="宋体" w:eastAsia="宋体" w:hint="default"/>
          <w:sz w:val="13"/>
          <w:szCs w:val="13"/>
        </w:rPr>
      </w:pPr>
    </w:p>
    <w:p>
      <w:pPr>
        <w:pStyle w:val="BodyText"/>
        <w:spacing w:line="314" w:lineRule="auto"/>
        <w:ind w:right="1122" w:firstLine="422"/>
        <w:jc w:val="both"/>
      </w:pPr>
      <w:r>
        <w:rPr/>
        <w:t>本公司于</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60"/>
        </w:rPr>
        <w:t> </w:t>
      </w:r>
      <w:r>
        <w:rPr/>
        <w:t>月</w:t>
      </w:r>
      <w:r>
        <w:rPr>
          <w:spacing w:val="-56"/>
        </w:rPr>
        <w:t> </w:t>
      </w:r>
      <w:r>
        <w:rPr>
          <w:rFonts w:ascii="宋体" w:hAnsi="宋体" w:cs="宋体" w:eastAsia="宋体" w:hint="default"/>
        </w:rPr>
        <w:t>10</w:t>
      </w:r>
      <w:r>
        <w:rPr>
          <w:rFonts w:ascii="宋体" w:hAnsi="宋体" w:cs="宋体" w:eastAsia="宋体" w:hint="default"/>
          <w:spacing w:val="-56"/>
        </w:rPr>
        <w:t> </w:t>
      </w:r>
      <w:r>
        <w:rPr/>
        <w:t>日通过北京市科学技术委员会、北京市财政局、国家税务总局北京市税务局</w:t>
      </w:r>
      <w:r>
        <w:rPr>
          <w:w w:val="100"/>
        </w:rPr>
        <w:t> </w:t>
      </w:r>
      <w:r>
        <w:rPr>
          <w:spacing w:val="-2"/>
        </w:rPr>
        <w:t>的高新技术企业审核，取得《高新技术企业证书》</w:t>
      </w:r>
      <w:r>
        <w:rPr>
          <w:rFonts w:ascii="宋体" w:hAnsi="宋体" w:cs="宋体" w:eastAsia="宋体" w:hint="default"/>
          <w:spacing w:val="-2"/>
        </w:rPr>
        <w:t>(</w:t>
      </w:r>
      <w:r>
        <w:rPr>
          <w:spacing w:val="-2"/>
        </w:rPr>
        <w:t>证书编号：</w:t>
      </w:r>
      <w:r>
        <w:rPr>
          <w:rFonts w:ascii="宋体" w:hAnsi="宋体" w:cs="宋体" w:eastAsia="宋体" w:hint="default"/>
          <w:spacing w:val="-2"/>
        </w:rPr>
        <w:t>GR201811002174)</w:t>
      </w:r>
      <w:r>
        <w:rPr>
          <w:spacing w:val="-2"/>
        </w:rPr>
        <w:t>，有效期为三年。子公司</w:t>
      </w:r>
      <w:r>
        <w:rPr>
          <w:spacing w:val="-19"/>
        </w:rPr>
        <w:t> </w:t>
      </w:r>
      <w:r>
        <w:rPr>
          <w:spacing w:val="-19"/>
        </w:rPr>
      </w:r>
      <w:r>
        <w:rPr/>
        <w:t>北京创业未来传媒技术有限公司于</w:t>
      </w:r>
      <w:r>
        <w:rPr>
          <w:spacing w:val="-43"/>
        </w:rPr>
        <w:t> </w:t>
      </w:r>
      <w:r>
        <w:rPr>
          <w:rFonts w:ascii="宋体" w:hAnsi="宋体" w:cs="宋体" w:eastAsia="宋体" w:hint="default"/>
        </w:rPr>
        <w:t>2018</w:t>
      </w:r>
      <w:r>
        <w:rPr>
          <w:rFonts w:ascii="宋体" w:hAnsi="宋体" w:cs="宋体" w:eastAsia="宋体" w:hint="default"/>
          <w:spacing w:val="-48"/>
        </w:rPr>
        <w:t> </w:t>
      </w:r>
      <w:r>
        <w:rPr/>
        <w:t>年</w:t>
      </w:r>
      <w:r>
        <w:rPr>
          <w:spacing w:val="-44"/>
        </w:rPr>
        <w:t> </w:t>
      </w:r>
      <w:r>
        <w:rPr>
          <w:rFonts w:ascii="宋体" w:hAnsi="宋体" w:cs="宋体" w:eastAsia="宋体" w:hint="default"/>
        </w:rPr>
        <w:t>9</w:t>
      </w:r>
      <w:r>
        <w:rPr>
          <w:rFonts w:ascii="宋体" w:hAnsi="宋体" w:cs="宋体" w:eastAsia="宋体" w:hint="default"/>
          <w:spacing w:val="-44"/>
        </w:rPr>
        <w:t> </w:t>
      </w:r>
      <w:r>
        <w:rPr/>
        <w:t>月</w:t>
      </w:r>
      <w:r>
        <w:rPr>
          <w:spacing w:val="-44"/>
        </w:rPr>
        <w:t> </w:t>
      </w:r>
      <w:r>
        <w:rPr>
          <w:rFonts w:ascii="宋体" w:hAnsi="宋体" w:cs="宋体" w:eastAsia="宋体" w:hint="default"/>
          <w:spacing w:val="-3"/>
        </w:rPr>
        <w:t>10</w:t>
      </w:r>
      <w:r>
        <w:rPr>
          <w:rFonts w:ascii="宋体" w:hAnsi="宋体" w:cs="宋体" w:eastAsia="宋体" w:hint="default"/>
          <w:spacing w:val="-43"/>
        </w:rPr>
        <w:t> </w:t>
      </w:r>
      <w:r>
        <w:rPr>
          <w:spacing w:val="-3"/>
        </w:rPr>
        <w:t>日通过北京市科学技术委员会、北京市财政局、国家税</w:t>
      </w:r>
      <w:r>
        <w:rPr>
          <w:spacing w:val="-102"/>
        </w:rPr>
        <w:t> </w:t>
      </w:r>
      <w:r>
        <w:rPr>
          <w:spacing w:val="-102"/>
        </w:rPr>
      </w:r>
      <w:r>
        <w:rPr>
          <w:spacing w:val="-2"/>
        </w:rPr>
        <w:t>务总局北京市税务局的高新技术企业审核，取得《高新技术企业证书》</w:t>
      </w:r>
      <w:r>
        <w:rPr>
          <w:rFonts w:ascii="宋体" w:hAnsi="宋体" w:cs="宋体" w:eastAsia="宋体" w:hint="default"/>
          <w:spacing w:val="-2"/>
        </w:rPr>
        <w:t>(</w:t>
      </w:r>
      <w:r>
        <w:rPr>
          <w:spacing w:val="-2"/>
        </w:rPr>
        <w:t>证书编号：</w:t>
      </w:r>
      <w:r>
        <w:rPr>
          <w:rFonts w:ascii="宋体" w:hAnsi="宋体" w:cs="宋体" w:eastAsia="宋体" w:hint="default"/>
          <w:spacing w:val="-2"/>
        </w:rPr>
        <w:t>GR201811003567)</w:t>
      </w:r>
      <w:r>
        <w:rPr>
          <w:spacing w:val="-2"/>
        </w:rPr>
        <w:t>，有</w:t>
      </w:r>
      <w:r>
        <w:rPr>
          <w:spacing w:val="-29"/>
        </w:rPr>
        <w:t> </w:t>
      </w:r>
      <w:r>
        <w:rPr/>
        <w:t>效期为三年。本公司及子公司北京创业未来传媒技术有限公司享受上述第</w:t>
      </w:r>
      <w:r>
        <w:rPr>
          <w:spacing w:val="-47"/>
        </w:rPr>
        <w:t> </w:t>
      </w:r>
      <w:r>
        <w:rPr>
          <w:rFonts w:ascii="宋体" w:hAnsi="宋体" w:cs="宋体" w:eastAsia="宋体" w:hint="default"/>
        </w:rPr>
        <w:t>1-2</w:t>
      </w:r>
      <w:r>
        <w:rPr>
          <w:rFonts w:ascii="宋体" w:hAnsi="宋体" w:cs="宋体" w:eastAsia="宋体" w:hint="default"/>
          <w:spacing w:val="-43"/>
        </w:rPr>
        <w:t> </w:t>
      </w:r>
      <w:r>
        <w:rPr>
          <w:spacing w:val="-3"/>
        </w:rPr>
        <w:t>条优惠政策，适用的所得税</w:t>
      </w:r>
      <w:r>
        <w:rPr>
          <w:spacing w:val="-103"/>
        </w:rPr>
        <w:t> </w:t>
      </w:r>
      <w:r>
        <w:rPr>
          <w:spacing w:val="-103"/>
        </w:rPr>
      </w:r>
      <w:r>
        <w:rPr/>
        <w:t>率为</w:t>
      </w:r>
      <w:r>
        <w:rPr>
          <w:spacing w:val="-48"/>
        </w:rPr>
        <w:t> </w:t>
      </w:r>
      <w:r>
        <w:rPr>
          <w:rFonts w:ascii="宋体" w:hAnsi="宋体" w:cs="宋体" w:eastAsia="宋体" w:hint="default"/>
        </w:rPr>
        <w:t>15%</w:t>
      </w:r>
      <w:r>
        <w:rPr/>
        <w:t>；</w:t>
      </w:r>
    </w:p>
    <w:p>
      <w:pPr>
        <w:spacing w:line="240" w:lineRule="auto" w:before="0"/>
        <w:rPr>
          <w:rFonts w:ascii="宋体" w:hAnsi="宋体" w:cs="宋体" w:eastAsia="宋体" w:hint="default"/>
          <w:sz w:val="14"/>
          <w:szCs w:val="14"/>
        </w:rPr>
      </w:pPr>
    </w:p>
    <w:p>
      <w:pPr>
        <w:pStyle w:val="BodyText"/>
        <w:spacing w:line="309" w:lineRule="auto"/>
        <w:ind w:right="1123" w:firstLine="422"/>
        <w:jc w:val="both"/>
      </w:pPr>
      <w:r>
        <w:rPr/>
        <w:t>本公司全资子公司西藏黑马信息技术服务有限公司所得税享受上述 </w:t>
      </w:r>
      <w:r>
        <w:rPr>
          <w:rFonts w:ascii="宋体" w:hAnsi="宋体" w:cs="宋体" w:eastAsia="宋体" w:hint="default"/>
        </w:rPr>
        <w:t>3-4</w:t>
      </w:r>
      <w:r>
        <w:rPr>
          <w:rFonts w:ascii="宋体" w:hAnsi="宋体" w:cs="宋体" w:eastAsia="宋体" w:hint="default"/>
          <w:spacing w:val="-77"/>
        </w:rPr>
        <w:t> </w:t>
      </w:r>
      <w:r>
        <w:rPr>
          <w:spacing w:val="-4"/>
        </w:rPr>
        <w:t>条优惠政策，适用的所得税率</w:t>
      </w:r>
      <w:r>
        <w:rPr>
          <w:w w:val="100"/>
        </w:rPr>
        <w:t> </w:t>
      </w:r>
      <w:r>
        <w:rPr/>
        <w:t>为</w:t>
      </w:r>
      <w:r>
        <w:rPr>
          <w:spacing w:val="-50"/>
        </w:rPr>
        <w:t> </w:t>
      </w:r>
      <w:r>
        <w:rPr>
          <w:rFonts w:ascii="宋体" w:hAnsi="宋体" w:cs="宋体" w:eastAsia="宋体" w:hint="default"/>
        </w:rPr>
        <w:t>3%</w:t>
      </w:r>
      <w:r>
        <w:rPr/>
        <w:t>；</w:t>
      </w:r>
    </w:p>
    <w:p>
      <w:pPr>
        <w:spacing w:line="240" w:lineRule="auto" w:before="0"/>
        <w:rPr>
          <w:rFonts w:ascii="宋体" w:hAnsi="宋体" w:cs="宋体" w:eastAsia="宋体" w:hint="default"/>
          <w:sz w:val="14"/>
          <w:szCs w:val="14"/>
        </w:rPr>
      </w:pPr>
    </w:p>
    <w:p>
      <w:pPr>
        <w:pStyle w:val="BodyText"/>
        <w:spacing w:line="240" w:lineRule="auto"/>
        <w:ind w:left="575" w:right="0"/>
        <w:jc w:val="left"/>
      </w:pPr>
      <w:r>
        <w:rPr/>
        <w:t>除上述公司，其他所有子公司均享受上述第</w:t>
      </w:r>
      <w:r>
        <w:rPr>
          <w:spacing w:val="-52"/>
        </w:rPr>
        <w:t> </w:t>
      </w:r>
      <w:r>
        <w:rPr>
          <w:rFonts w:ascii="宋体" w:hAnsi="宋体" w:cs="宋体" w:eastAsia="宋体" w:hint="default"/>
        </w:rPr>
        <w:t>3</w:t>
      </w:r>
      <w:r>
        <w:rPr>
          <w:rFonts w:ascii="宋体" w:hAnsi="宋体" w:cs="宋体" w:eastAsia="宋体" w:hint="default"/>
          <w:spacing w:val="-53"/>
        </w:rPr>
        <w:t> </w:t>
      </w:r>
      <w:r>
        <w:rPr/>
        <w:t>条优惠政策，适用的所得税率为</w:t>
      </w:r>
      <w:r>
        <w:rPr>
          <w:spacing w:val="-53"/>
        </w:rPr>
        <w:t> </w:t>
      </w:r>
      <w:r>
        <w:rPr>
          <w:rFonts w:ascii="宋体" w:hAnsi="宋体" w:cs="宋体" w:eastAsia="宋体" w:hint="default"/>
        </w:rPr>
        <w:t>20%</w:t>
      </w:r>
      <w:r>
        <w:rPr/>
        <w:t>。</w:t>
      </w:r>
    </w:p>
    <w:p>
      <w:pPr>
        <w:spacing w:line="240" w:lineRule="auto" w:before="9"/>
        <w:rPr>
          <w:rFonts w:ascii="宋体" w:hAnsi="宋体" w:cs="宋体" w:eastAsia="宋体" w:hint="default"/>
          <w:sz w:val="27"/>
          <w:szCs w:val="27"/>
        </w:rPr>
      </w:pPr>
    </w:p>
    <w:p>
      <w:pPr>
        <w:pStyle w:val="Heading2"/>
        <w:spacing w:line="240" w:lineRule="auto"/>
        <w:ind w:left="633" w:right="0"/>
        <w:jc w:val="left"/>
        <w:rPr>
          <w:rFonts w:ascii="黑体" w:hAnsi="黑体" w:cs="黑体" w:eastAsia="黑体" w:hint="default"/>
          <w:b w:val="0"/>
          <w:bCs w:val="0"/>
        </w:rPr>
      </w:pPr>
      <w:bookmarkStart w:name="五、会计政策和会计估计变更以及前期差错更正的说明" w:id="197"/>
      <w:bookmarkEnd w:id="197"/>
      <w:r>
        <w:rPr>
          <w:b w:val="0"/>
          <w:bCs w:val="0"/>
        </w:rPr>
      </w:r>
      <w:r>
        <w:rPr>
          <w:rFonts w:ascii="黑体" w:hAnsi="黑体" w:cs="黑体" w:eastAsia="黑体" w:hint="default"/>
        </w:rPr>
        <w:t>五、会计政策和会计估计变更以及前期差错更正的说明</w:t>
      </w:r>
      <w:r>
        <w:rPr>
          <w:rFonts w:ascii="黑体" w:hAnsi="黑体" w:cs="黑体" w:eastAsia="黑体" w:hint="default"/>
          <w:b w:val="0"/>
          <w:bCs w:val="0"/>
        </w:rPr>
      </w:r>
    </w:p>
    <w:p>
      <w:pPr>
        <w:spacing w:line="240" w:lineRule="auto" w:before="1"/>
        <w:rPr>
          <w:rFonts w:ascii="黑体" w:hAnsi="黑体" w:cs="黑体" w:eastAsia="黑体" w:hint="default"/>
          <w:b/>
          <w:bCs/>
          <w:sz w:val="30"/>
          <w:szCs w:val="30"/>
        </w:rPr>
      </w:pPr>
    </w:p>
    <w:p>
      <w:pPr>
        <w:pStyle w:val="BodyText"/>
        <w:spacing w:line="240" w:lineRule="auto"/>
        <w:ind w:left="575" w:right="0"/>
        <w:jc w:val="left"/>
      </w:pPr>
      <w:r>
        <w:rPr>
          <w:rFonts w:ascii="宋体" w:hAnsi="宋体" w:cs="宋体" w:eastAsia="宋体" w:hint="default"/>
        </w:rPr>
        <w:t>1.</w:t>
      </w:r>
      <w:r>
        <w:rPr/>
        <w:t>会计政策的变更</w:t>
      </w:r>
    </w:p>
    <w:p>
      <w:pPr>
        <w:spacing w:line="240" w:lineRule="auto" w:before="8"/>
        <w:rPr>
          <w:rFonts w:ascii="宋体" w:hAnsi="宋体" w:cs="宋体" w:eastAsia="宋体" w:hint="default"/>
          <w:sz w:val="18"/>
          <w:szCs w:val="18"/>
        </w:rPr>
      </w:pPr>
    </w:p>
    <w:p>
      <w:pPr>
        <w:pStyle w:val="BodyText"/>
        <w:spacing w:line="309" w:lineRule="auto"/>
        <w:ind w:right="1122" w:firstLine="422"/>
        <w:jc w:val="both"/>
      </w:pPr>
      <w:r>
        <w:rPr/>
        <w:t>（</w:t>
      </w:r>
      <w:r>
        <w:rPr>
          <w:rFonts w:ascii="宋体" w:hAnsi="宋体" w:cs="宋体" w:eastAsia="宋体" w:hint="default"/>
        </w:rPr>
        <w:t>1</w:t>
      </w:r>
      <w:r>
        <w:rPr/>
        <w:t>）本公司经董事会会议批准，自</w:t>
      </w:r>
      <w:r>
        <w:rPr>
          <w:spacing w:val="-40"/>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1</w:t>
      </w:r>
      <w:r>
        <w:rPr>
          <w:rFonts w:ascii="宋体" w:hAnsi="宋体" w:cs="宋体" w:eastAsia="宋体" w:hint="default"/>
          <w:spacing w:val="-46"/>
        </w:rPr>
        <w:t> </w:t>
      </w:r>
      <w:r>
        <w:rPr/>
        <w:t>月</w:t>
      </w:r>
      <w:r>
        <w:rPr>
          <w:spacing w:val="-42"/>
        </w:rPr>
        <w:t> </w:t>
      </w:r>
      <w:r>
        <w:rPr>
          <w:rFonts w:ascii="宋体" w:hAnsi="宋体" w:cs="宋体" w:eastAsia="宋体" w:hint="default"/>
        </w:rPr>
        <w:t>1</w:t>
      </w:r>
      <w:r>
        <w:rPr>
          <w:rFonts w:ascii="宋体" w:hAnsi="宋体" w:cs="宋体" w:eastAsia="宋体" w:hint="default"/>
          <w:spacing w:val="-42"/>
        </w:rPr>
        <w:t> </w:t>
      </w:r>
      <w:r>
        <w:rPr/>
        <w:t>日采用财政部《关于修订印发</w:t>
      </w:r>
      <w:r>
        <w:rPr>
          <w:spacing w:val="-41"/>
        </w:rPr>
        <w:t> </w:t>
      </w:r>
      <w:r>
        <w:rPr>
          <w:rFonts w:ascii="宋体" w:hAnsi="宋体" w:cs="宋体" w:eastAsia="宋体" w:hint="default"/>
        </w:rPr>
        <w:t>2019</w:t>
      </w:r>
      <w:r>
        <w:rPr>
          <w:rFonts w:ascii="宋体" w:hAnsi="宋体" w:cs="宋体" w:eastAsia="宋体" w:hint="default"/>
          <w:spacing w:val="-46"/>
        </w:rPr>
        <w:t> </w:t>
      </w:r>
      <w:r>
        <w:rPr/>
        <w:t>年度一般企业</w:t>
      </w:r>
      <w:r>
        <w:rPr>
          <w:w w:val="100"/>
        </w:rPr>
        <w:t> </w:t>
      </w:r>
      <w:r>
        <w:rPr>
          <w:spacing w:val="-6"/>
          <w:w w:val="100"/>
        </w:rPr>
        <w:t>财务报表格式的通知》（财会〔</w:t>
      </w:r>
      <w:r>
        <w:rPr>
          <w:rFonts w:ascii="宋体" w:hAnsi="宋体" w:cs="宋体" w:eastAsia="宋体" w:hint="default"/>
          <w:spacing w:val="-6"/>
          <w:w w:val="100"/>
        </w:rPr>
        <w:t>2019</w:t>
      </w:r>
      <w:r>
        <w:rPr>
          <w:spacing w:val="-6"/>
          <w:w w:val="100"/>
        </w:rPr>
        <w:t>〕</w:t>
      </w:r>
      <w:r>
        <w:rPr>
          <w:rFonts w:ascii="宋体" w:hAnsi="宋体" w:cs="宋体" w:eastAsia="宋体" w:hint="default"/>
          <w:spacing w:val="-6"/>
          <w:w w:val="100"/>
        </w:rPr>
        <w:t>6</w:t>
      </w:r>
      <w:r>
        <w:rPr>
          <w:rFonts w:ascii="宋体" w:hAnsi="宋体" w:cs="宋体" w:eastAsia="宋体" w:hint="default"/>
          <w:spacing w:val="-43"/>
          <w:w w:val="100"/>
        </w:rPr>
        <w:t> </w:t>
      </w:r>
      <w:r>
        <w:rPr>
          <w:spacing w:val="-2"/>
          <w:w w:val="100"/>
        </w:rPr>
        <w:t>号）相关规定。会计政策变更导致影响如下：</w:t>
      </w:r>
    </w:p>
    <w:p>
      <w:pPr>
        <w:spacing w:line="240" w:lineRule="auto" w:before="3"/>
        <w:rPr>
          <w:rFonts w:ascii="宋体" w:hAnsi="宋体" w:cs="宋体" w:eastAsia="宋体" w:hint="default"/>
          <w:sz w:val="22"/>
          <w:szCs w:val="22"/>
        </w:rPr>
      </w:pPr>
    </w:p>
    <w:tbl>
      <w:tblPr>
        <w:tblW w:w="0" w:type="auto"/>
        <w:jc w:val="left"/>
        <w:tblInd w:w="575" w:type="dxa"/>
        <w:tblLayout w:type="fixed"/>
        <w:tblCellMar>
          <w:top w:w="0" w:type="dxa"/>
          <w:left w:w="0" w:type="dxa"/>
          <w:bottom w:w="0" w:type="dxa"/>
          <w:right w:w="0" w:type="dxa"/>
        </w:tblCellMar>
        <w:tblLook w:val="01E0"/>
      </w:tblPr>
      <w:tblGrid>
        <w:gridCol w:w="3371"/>
        <w:gridCol w:w="5426"/>
      </w:tblGrid>
      <w:tr>
        <w:trPr>
          <w:trHeight w:val="253" w:hRule="exact"/>
        </w:trPr>
        <w:tc>
          <w:tcPr>
            <w:tcW w:w="3371" w:type="dxa"/>
            <w:tcBorders>
              <w:top w:val="nil" w:sz="6" w:space="0" w:color="auto"/>
              <w:left w:val="nil" w:sz="6" w:space="0" w:color="auto"/>
              <w:bottom w:val="single" w:sz="4" w:space="0" w:color="000000"/>
              <w:right w:val="nil" w:sz="6" w:space="0" w:color="auto"/>
            </w:tcBorders>
          </w:tcPr>
          <w:p>
            <w:pPr>
              <w:pStyle w:val="TableParagraph"/>
              <w:spacing w:line="182" w:lineRule="exact"/>
              <w:ind w:left="59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5426" w:type="dxa"/>
            <w:tcBorders>
              <w:top w:val="nil" w:sz="6" w:space="0" w:color="auto"/>
              <w:left w:val="nil" w:sz="6" w:space="0" w:color="auto"/>
              <w:bottom w:val="single" w:sz="4" w:space="0" w:color="000000"/>
              <w:right w:val="nil" w:sz="6" w:space="0" w:color="auto"/>
            </w:tcBorders>
          </w:tcPr>
          <w:p>
            <w:pPr>
              <w:pStyle w:val="TableParagraph"/>
              <w:spacing w:line="182" w:lineRule="exact"/>
              <w:ind w:left="1536"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039" w:hRule="exact"/>
        </w:trPr>
        <w:tc>
          <w:tcPr>
            <w:tcW w:w="3371" w:type="dxa"/>
            <w:tcBorders>
              <w:top w:val="single" w:sz="4" w:space="0" w:color="000000"/>
              <w:left w:val="nil" w:sz="6" w:space="0" w:color="auto"/>
              <w:bottom w:val="nil" w:sz="6" w:space="0" w:color="auto"/>
              <w:right w:val="nil" w:sz="6" w:space="0" w:color="auto"/>
            </w:tcBorders>
          </w:tcPr>
          <w:p>
            <w:pPr>
              <w:pStyle w:val="TableParagraph"/>
              <w:spacing w:line="367" w:lineRule="auto" w:before="78"/>
              <w:ind w:left="105" w:right="103"/>
              <w:jc w:val="left"/>
              <w:rPr>
                <w:rFonts w:ascii="宋体" w:hAnsi="宋体" w:cs="宋体" w:eastAsia="宋体" w:hint="default"/>
                <w:sz w:val="18"/>
                <w:szCs w:val="18"/>
              </w:rPr>
            </w:pPr>
            <w:r>
              <w:rPr>
                <w:rFonts w:ascii="宋体" w:hAnsi="宋体" w:cs="宋体" w:eastAsia="宋体" w:hint="default"/>
                <w:spacing w:val="-8"/>
                <w:sz w:val="18"/>
                <w:szCs w:val="18"/>
              </w:rPr>
              <w:t>将“应收票据及应收账款”拆分为应收账</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款与应收票据列示。</w:t>
            </w:r>
          </w:p>
        </w:tc>
        <w:tc>
          <w:tcPr>
            <w:tcW w:w="542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5"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日应收票据列示金额</w:t>
            </w:r>
            <w:r>
              <w:rPr>
                <w:rFonts w:ascii="宋体" w:hAnsi="宋体" w:cs="宋体" w:eastAsia="宋体" w:hint="default"/>
                <w:spacing w:val="-39"/>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应收账款列示金额</w:t>
            </w:r>
            <w:r>
              <w:rPr>
                <w:rFonts w:ascii="宋体" w:hAnsi="宋体" w:cs="宋体" w:eastAsia="宋体" w:hint="default"/>
                <w:spacing w:val="-43"/>
                <w:sz w:val="18"/>
                <w:szCs w:val="18"/>
              </w:rPr>
              <w:t> </w:t>
            </w:r>
            <w:r>
              <w:rPr>
                <w:rFonts w:ascii="宋体" w:hAnsi="宋体" w:cs="宋体" w:eastAsia="宋体" w:hint="default"/>
                <w:sz w:val="18"/>
                <w:szCs w:val="18"/>
              </w:rPr>
              <w:t>56,565,520.60</w:t>
            </w:r>
            <w:r>
              <w:rPr>
                <w:rFonts w:ascii="宋体" w:hAnsi="宋体" w:cs="宋体" w:eastAsia="宋体" w:hint="default"/>
                <w:spacing w:val="-43"/>
                <w:sz w:val="18"/>
                <w:szCs w:val="18"/>
              </w:rPr>
              <w:t> </w:t>
            </w:r>
            <w:r>
              <w:rPr>
                <w:rFonts w:ascii="宋体" w:hAnsi="宋体" w:cs="宋体" w:eastAsia="宋体" w:hint="default"/>
                <w:spacing w:val="-11"/>
                <w:sz w:val="18"/>
                <w:szCs w:val="18"/>
              </w:rPr>
              <w:t>元；</w:t>
            </w:r>
            <w:r>
              <w:rPr>
                <w:rFonts w:ascii="宋体" w:hAnsi="宋体" w:cs="宋体" w:eastAsia="宋体" w:hint="default"/>
                <w:spacing w:val="-11"/>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日应收票据</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3"/>
                <w:sz w:val="18"/>
                <w:szCs w:val="18"/>
              </w:rPr>
              <w:t> </w:t>
            </w:r>
            <w:r>
              <w:rPr>
                <w:rFonts w:ascii="宋体" w:hAnsi="宋体" w:cs="宋体" w:eastAsia="宋体" w:hint="default"/>
                <w:sz w:val="18"/>
                <w:szCs w:val="18"/>
              </w:rPr>
              <w:t>0.00</w:t>
            </w:r>
            <w:r>
              <w:rPr>
                <w:rFonts w:ascii="宋体" w:hAnsi="宋体" w:cs="宋体" w:eastAsia="宋体" w:hint="default"/>
                <w:spacing w:val="-48"/>
                <w:sz w:val="18"/>
                <w:szCs w:val="18"/>
              </w:rPr>
              <w:t> </w:t>
            </w:r>
            <w:r>
              <w:rPr>
                <w:rFonts w:ascii="宋体" w:hAnsi="宋体" w:cs="宋体" w:eastAsia="宋体" w:hint="default"/>
                <w:sz w:val="18"/>
                <w:szCs w:val="18"/>
              </w:rPr>
              <w:t>元、应收账款列示金额</w:t>
            </w:r>
            <w:r>
              <w:rPr>
                <w:rFonts w:ascii="宋体" w:hAnsi="宋体" w:cs="宋体" w:eastAsia="宋体" w:hint="default"/>
                <w:spacing w:val="-43"/>
                <w:sz w:val="18"/>
                <w:szCs w:val="18"/>
              </w:rPr>
              <w:t> </w:t>
            </w:r>
            <w:r>
              <w:rPr>
                <w:rFonts w:ascii="宋体" w:hAnsi="宋体" w:cs="宋体" w:eastAsia="宋体" w:hint="default"/>
                <w:sz w:val="18"/>
                <w:szCs w:val="18"/>
              </w:rPr>
              <w:t>44,708,668.17</w:t>
            </w:r>
            <w:r>
              <w:rPr>
                <w:rFonts w:ascii="宋体" w:hAnsi="宋体" w:cs="宋体" w:eastAsia="宋体" w:hint="default"/>
                <w:spacing w:val="-4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635" w:type="dxa"/>
        <w:tblLayout w:type="fixed"/>
        <w:tblCellMar>
          <w:top w:w="0" w:type="dxa"/>
          <w:left w:w="0" w:type="dxa"/>
          <w:bottom w:w="0" w:type="dxa"/>
          <w:right w:w="0" w:type="dxa"/>
        </w:tblCellMar>
        <w:tblLook w:val="01E0"/>
      </w:tblPr>
      <w:tblGrid>
        <w:gridCol w:w="3371"/>
        <w:gridCol w:w="5426"/>
      </w:tblGrid>
      <w:tr>
        <w:trPr>
          <w:trHeight w:val="1128" w:hRule="exact"/>
        </w:trPr>
        <w:tc>
          <w:tcPr>
            <w:tcW w:w="3371" w:type="dxa"/>
            <w:tcBorders>
              <w:top w:val="single" w:sz="4" w:space="0" w:color="000000"/>
              <w:left w:val="nil" w:sz="6" w:space="0" w:color="auto"/>
              <w:bottom w:val="nil" w:sz="6" w:space="0" w:color="auto"/>
              <w:right w:val="nil" w:sz="6" w:space="0" w:color="auto"/>
            </w:tcBorders>
          </w:tcPr>
          <w:p>
            <w:pPr/>
          </w:p>
        </w:tc>
        <w:tc>
          <w:tcPr>
            <w:tcW w:w="542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6"/>
                <w:sz w:val="18"/>
                <w:szCs w:val="18"/>
              </w:rPr>
              <w:t>母公司资产负债表：</w:t>
            </w:r>
            <w:r>
              <w:rPr>
                <w:rFonts w:ascii="宋体" w:hAnsi="宋体" w:cs="宋体" w:eastAsia="宋体" w:hint="default"/>
                <w:spacing w:val="-6"/>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日应收票据列示金额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0"/>
                <w:sz w:val="18"/>
                <w:szCs w:val="18"/>
              </w:rPr>
              <w:t> </w:t>
            </w:r>
            <w:r>
              <w:rPr>
                <w:rFonts w:ascii="宋体" w:hAnsi="宋体" w:cs="宋体" w:eastAsia="宋体" w:hint="default"/>
                <w:sz w:val="18"/>
                <w:szCs w:val="18"/>
              </w:rPr>
              <w:t>元、</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应收账款列示金额</w:t>
            </w:r>
            <w:r>
              <w:rPr>
                <w:rFonts w:ascii="宋体" w:hAnsi="宋体" w:cs="宋体" w:eastAsia="宋体" w:hint="default"/>
                <w:spacing w:val="-43"/>
                <w:sz w:val="18"/>
                <w:szCs w:val="18"/>
              </w:rPr>
              <w:t> </w:t>
            </w:r>
            <w:r>
              <w:rPr>
                <w:rFonts w:ascii="宋体" w:hAnsi="宋体" w:cs="宋体" w:eastAsia="宋体" w:hint="default"/>
                <w:sz w:val="18"/>
                <w:szCs w:val="18"/>
              </w:rPr>
              <w:t>13,039,669.17</w:t>
            </w:r>
            <w:r>
              <w:rPr>
                <w:rFonts w:ascii="宋体" w:hAnsi="宋体" w:cs="宋体" w:eastAsia="宋体" w:hint="default"/>
                <w:spacing w:val="-43"/>
                <w:sz w:val="18"/>
                <w:szCs w:val="18"/>
              </w:rPr>
              <w:t> </w:t>
            </w:r>
            <w:r>
              <w:rPr>
                <w:rFonts w:ascii="宋体" w:hAnsi="宋体" w:cs="宋体" w:eastAsia="宋体" w:hint="default"/>
                <w:spacing w:val="-11"/>
                <w:sz w:val="18"/>
                <w:szCs w:val="18"/>
              </w:rPr>
              <w:t>元；</w:t>
            </w:r>
            <w:r>
              <w:rPr>
                <w:rFonts w:ascii="宋体" w:hAnsi="宋体" w:cs="宋体" w:eastAsia="宋体" w:hint="default"/>
                <w:spacing w:val="-11"/>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日应收票据</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3"/>
                <w:sz w:val="18"/>
                <w:szCs w:val="18"/>
              </w:rPr>
              <w:t> </w:t>
            </w:r>
            <w:r>
              <w:rPr>
                <w:rFonts w:ascii="宋体" w:hAnsi="宋体" w:cs="宋体" w:eastAsia="宋体" w:hint="default"/>
                <w:sz w:val="18"/>
                <w:szCs w:val="18"/>
              </w:rPr>
              <w:t>0.00</w:t>
            </w:r>
            <w:r>
              <w:rPr>
                <w:rFonts w:ascii="宋体" w:hAnsi="宋体" w:cs="宋体" w:eastAsia="宋体" w:hint="default"/>
                <w:spacing w:val="-48"/>
                <w:sz w:val="18"/>
                <w:szCs w:val="18"/>
              </w:rPr>
              <w:t> </w:t>
            </w:r>
            <w:r>
              <w:rPr>
                <w:rFonts w:ascii="宋体" w:hAnsi="宋体" w:cs="宋体" w:eastAsia="宋体" w:hint="default"/>
                <w:sz w:val="18"/>
                <w:szCs w:val="18"/>
              </w:rPr>
              <w:t>元、应收账款列示金额</w:t>
            </w:r>
            <w:r>
              <w:rPr>
                <w:rFonts w:ascii="宋体" w:hAnsi="宋体" w:cs="宋体" w:eastAsia="宋体" w:hint="default"/>
                <w:spacing w:val="-43"/>
                <w:sz w:val="18"/>
                <w:szCs w:val="18"/>
              </w:rPr>
              <w:t> </w:t>
            </w:r>
            <w:r>
              <w:rPr>
                <w:rFonts w:ascii="宋体" w:hAnsi="宋体" w:cs="宋体" w:eastAsia="宋体" w:hint="default"/>
                <w:sz w:val="18"/>
                <w:szCs w:val="18"/>
              </w:rPr>
              <w:t>16,859,001.09</w:t>
            </w:r>
            <w:r>
              <w:rPr>
                <w:rFonts w:ascii="宋体" w:hAnsi="宋体" w:cs="宋体" w:eastAsia="宋体" w:hint="default"/>
                <w:spacing w:val="-4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2161" w:hRule="exact"/>
        </w:trPr>
        <w:tc>
          <w:tcPr>
            <w:tcW w:w="3371"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05" w:right="103"/>
              <w:jc w:val="left"/>
              <w:rPr>
                <w:rFonts w:ascii="宋体" w:hAnsi="宋体" w:cs="宋体" w:eastAsia="宋体" w:hint="default"/>
                <w:sz w:val="18"/>
                <w:szCs w:val="18"/>
              </w:rPr>
            </w:pPr>
            <w:r>
              <w:rPr>
                <w:rFonts w:ascii="宋体" w:hAnsi="宋体" w:cs="宋体" w:eastAsia="宋体" w:hint="default"/>
                <w:spacing w:val="-8"/>
                <w:sz w:val="18"/>
                <w:szCs w:val="18"/>
              </w:rPr>
              <w:t>将“应付票据及应付账款”拆分为应付账</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款与应付票据列示。</w:t>
            </w:r>
          </w:p>
        </w:tc>
        <w:tc>
          <w:tcPr>
            <w:tcW w:w="54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日应付票据列示金额</w:t>
            </w:r>
            <w:r>
              <w:rPr>
                <w:rFonts w:ascii="宋体" w:hAnsi="宋体" w:cs="宋体" w:eastAsia="宋体" w:hint="default"/>
                <w:spacing w:val="-39"/>
                <w:sz w:val="18"/>
                <w:szCs w:val="18"/>
              </w:rPr>
              <w:t> </w:t>
            </w:r>
            <w:r>
              <w:rPr>
                <w:rFonts w:ascii="宋体" w:hAnsi="宋体" w:cs="宋体" w:eastAsia="宋体" w:hint="default"/>
                <w:sz w:val="18"/>
                <w:szCs w:val="18"/>
              </w:rPr>
              <w:t>0.00</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应付账款列示金额</w:t>
            </w:r>
            <w:r>
              <w:rPr>
                <w:rFonts w:ascii="宋体" w:hAnsi="宋体" w:cs="宋体" w:eastAsia="宋体" w:hint="default"/>
                <w:spacing w:val="4"/>
                <w:sz w:val="18"/>
                <w:szCs w:val="18"/>
              </w:rPr>
              <w:t> </w:t>
            </w:r>
            <w:r>
              <w:rPr>
                <w:rFonts w:ascii="宋体" w:hAnsi="宋体" w:cs="宋体" w:eastAsia="宋体" w:hint="default"/>
                <w:sz w:val="18"/>
                <w:szCs w:val="18"/>
              </w:rPr>
              <w:t>9,384,700.15</w:t>
            </w:r>
            <w:r>
              <w:rPr>
                <w:rFonts w:ascii="宋体" w:hAnsi="宋体" w:cs="宋体" w:eastAsia="宋体" w:hint="default"/>
                <w:spacing w:val="-43"/>
                <w:sz w:val="18"/>
                <w:szCs w:val="18"/>
              </w:rPr>
              <w:t> </w:t>
            </w:r>
            <w:r>
              <w:rPr>
                <w:rFonts w:ascii="宋体" w:hAnsi="宋体" w:cs="宋体" w:eastAsia="宋体" w:hint="default"/>
                <w:spacing w:val="-4"/>
                <w:sz w:val="18"/>
                <w:szCs w:val="18"/>
              </w:rPr>
              <w:t>元；</w:t>
            </w:r>
            <w:r>
              <w:rPr>
                <w:rFonts w:ascii="宋体" w:hAnsi="宋体" w:cs="宋体" w:eastAsia="宋体" w:hint="default"/>
                <w:spacing w:val="-4"/>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日应付票据</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3"/>
                <w:sz w:val="18"/>
                <w:szCs w:val="18"/>
              </w:rPr>
              <w:t> </w:t>
            </w:r>
            <w:r>
              <w:rPr>
                <w:rFonts w:ascii="宋体" w:hAnsi="宋体" w:cs="宋体" w:eastAsia="宋体" w:hint="default"/>
                <w:sz w:val="18"/>
                <w:szCs w:val="18"/>
              </w:rPr>
              <w:t>0.00</w:t>
            </w:r>
            <w:r>
              <w:rPr>
                <w:rFonts w:ascii="宋体" w:hAnsi="宋体" w:cs="宋体" w:eastAsia="宋体" w:hint="default"/>
                <w:spacing w:val="-48"/>
                <w:sz w:val="18"/>
                <w:szCs w:val="18"/>
              </w:rPr>
              <w:t> </w:t>
            </w:r>
            <w:r>
              <w:rPr>
                <w:rFonts w:ascii="宋体" w:hAnsi="宋体" w:cs="宋体" w:eastAsia="宋体" w:hint="default"/>
                <w:sz w:val="18"/>
                <w:szCs w:val="18"/>
              </w:rPr>
              <w:t>元、应付账款列示金额</w:t>
            </w:r>
            <w:r>
              <w:rPr>
                <w:rFonts w:ascii="宋体" w:hAnsi="宋体" w:cs="宋体" w:eastAsia="宋体" w:hint="default"/>
                <w:spacing w:val="-43"/>
                <w:sz w:val="18"/>
                <w:szCs w:val="18"/>
              </w:rPr>
              <w:t> </w:t>
            </w:r>
            <w:r>
              <w:rPr>
                <w:rFonts w:ascii="宋体" w:hAnsi="宋体" w:cs="宋体" w:eastAsia="宋体" w:hint="default"/>
                <w:sz w:val="18"/>
                <w:szCs w:val="18"/>
              </w:rPr>
              <w:t>10,188,919.21</w:t>
            </w:r>
            <w:r>
              <w:rPr>
                <w:rFonts w:ascii="宋体" w:hAnsi="宋体" w:cs="宋体" w:eastAsia="宋体" w:hint="default"/>
                <w:spacing w:val="-4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pacing w:val="-6"/>
                <w:sz w:val="18"/>
                <w:szCs w:val="18"/>
              </w:rPr>
              <w:t>母公司资产负债表：</w:t>
            </w:r>
            <w:r>
              <w:rPr>
                <w:rFonts w:ascii="宋体" w:hAnsi="宋体" w:cs="宋体" w:eastAsia="宋体" w:hint="default"/>
                <w:spacing w:val="-6"/>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日应付票据列示金额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0"/>
                <w:sz w:val="18"/>
                <w:szCs w:val="18"/>
              </w:rPr>
              <w:t> </w:t>
            </w:r>
            <w:r>
              <w:rPr>
                <w:rFonts w:ascii="宋体" w:hAnsi="宋体" w:cs="宋体" w:eastAsia="宋体" w:hint="default"/>
                <w:sz w:val="18"/>
                <w:szCs w:val="18"/>
              </w:rPr>
              <w:t>元、</w:t>
            </w: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应付账款列示金额</w:t>
            </w:r>
            <w:r>
              <w:rPr>
                <w:rFonts w:ascii="宋体" w:hAnsi="宋体" w:cs="宋体" w:eastAsia="宋体" w:hint="default"/>
                <w:spacing w:val="-40"/>
                <w:sz w:val="18"/>
                <w:szCs w:val="18"/>
              </w:rPr>
              <w:t> </w:t>
            </w:r>
            <w:r>
              <w:rPr>
                <w:rFonts w:ascii="宋体" w:hAnsi="宋体" w:cs="宋体" w:eastAsia="宋体" w:hint="default"/>
                <w:sz w:val="18"/>
                <w:szCs w:val="18"/>
              </w:rPr>
              <w:t>4,034,785.14</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2018</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日应付票据</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列示金额</w:t>
            </w:r>
            <w:r>
              <w:rPr>
                <w:rFonts w:ascii="宋体" w:hAnsi="宋体" w:cs="宋体" w:eastAsia="宋体" w:hint="default"/>
                <w:spacing w:val="-43"/>
                <w:sz w:val="18"/>
                <w:szCs w:val="18"/>
              </w:rPr>
              <w:t> </w:t>
            </w:r>
            <w:r>
              <w:rPr>
                <w:rFonts w:ascii="宋体" w:hAnsi="宋体" w:cs="宋体" w:eastAsia="宋体" w:hint="default"/>
                <w:sz w:val="18"/>
                <w:szCs w:val="18"/>
              </w:rPr>
              <w:t>0.00</w:t>
            </w:r>
            <w:r>
              <w:rPr>
                <w:rFonts w:ascii="宋体" w:hAnsi="宋体" w:cs="宋体" w:eastAsia="宋体" w:hint="default"/>
                <w:spacing w:val="-48"/>
                <w:sz w:val="18"/>
                <w:szCs w:val="18"/>
              </w:rPr>
              <w:t> </w:t>
            </w:r>
            <w:r>
              <w:rPr>
                <w:rFonts w:ascii="宋体" w:hAnsi="宋体" w:cs="宋体" w:eastAsia="宋体" w:hint="default"/>
                <w:sz w:val="18"/>
                <w:szCs w:val="18"/>
              </w:rPr>
              <w:t>元、应付账款列示金额</w:t>
            </w:r>
            <w:r>
              <w:rPr>
                <w:rFonts w:ascii="宋体" w:hAnsi="宋体" w:cs="宋体" w:eastAsia="宋体" w:hint="default"/>
                <w:spacing w:val="-43"/>
                <w:sz w:val="18"/>
                <w:szCs w:val="18"/>
              </w:rPr>
              <w:t> </w:t>
            </w:r>
            <w:r>
              <w:rPr>
                <w:rFonts w:ascii="宋体" w:hAnsi="宋体" w:cs="宋体" w:eastAsia="宋体" w:hint="default"/>
                <w:sz w:val="18"/>
                <w:szCs w:val="18"/>
              </w:rPr>
              <w:t>3,934,609.75</w:t>
            </w:r>
            <w:r>
              <w:rPr>
                <w:rFonts w:ascii="宋体" w:hAnsi="宋体" w:cs="宋体" w:eastAsia="宋体" w:hint="default"/>
                <w:spacing w:val="-4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2072" w:hRule="exact"/>
        </w:trPr>
        <w:tc>
          <w:tcPr>
            <w:tcW w:w="3371"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05" w:right="104"/>
              <w:jc w:val="both"/>
              <w:rPr>
                <w:rFonts w:ascii="宋体" w:hAnsi="宋体" w:cs="宋体" w:eastAsia="宋体" w:hint="default"/>
                <w:sz w:val="18"/>
                <w:szCs w:val="18"/>
              </w:rPr>
            </w:pPr>
            <w:r>
              <w:rPr>
                <w:rFonts w:ascii="宋体" w:hAnsi="宋体" w:cs="宋体" w:eastAsia="宋体" w:hint="default"/>
                <w:sz w:val="18"/>
                <w:szCs w:val="18"/>
              </w:rPr>
              <w:t>将</w:t>
            </w:r>
            <w:r>
              <w:rPr>
                <w:rFonts w:ascii="宋体" w:hAnsi="宋体" w:cs="宋体" w:eastAsia="宋体" w:hint="default"/>
                <w:spacing w:val="51"/>
                <w:sz w:val="18"/>
                <w:szCs w:val="18"/>
              </w:rPr>
              <w:t> </w:t>
            </w:r>
            <w:r>
              <w:rPr>
                <w:rFonts w:ascii="宋体" w:hAnsi="宋体" w:cs="宋体" w:eastAsia="宋体" w:hint="default"/>
                <w:spacing w:val="-3"/>
                <w:sz w:val="18"/>
                <w:szCs w:val="18"/>
              </w:rPr>
              <w:t>“减：资产减值损失”调整为“加：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w w:val="101"/>
                <w:sz w:val="18"/>
                <w:szCs w:val="18"/>
              </w:rPr>
              <w:t>资产减值损失（损失以“</w:t>
            </w:r>
            <w:r>
              <w:rPr>
                <w:rFonts w:ascii="宋体" w:hAnsi="宋体" w:cs="宋体" w:eastAsia="宋体" w:hint="default"/>
                <w:spacing w:val="-12"/>
                <w:w w:val="101"/>
                <w:sz w:val="18"/>
                <w:szCs w:val="18"/>
              </w:rPr>
              <w:t>-</w:t>
            </w:r>
            <w:r>
              <w:rPr>
                <w:rFonts w:ascii="宋体" w:hAnsi="宋体" w:cs="宋体" w:eastAsia="宋体" w:hint="default"/>
                <w:spacing w:val="-12"/>
                <w:w w:val="101"/>
                <w:sz w:val="18"/>
                <w:szCs w:val="18"/>
              </w:rPr>
              <w:t>”号填列）；将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8"/>
                <w:sz w:val="18"/>
                <w:szCs w:val="18"/>
              </w:rPr>
              <w:t>“信用减值损失”调整为“加：信用减值</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9"/>
                <w:w w:val="101"/>
                <w:sz w:val="18"/>
                <w:szCs w:val="18"/>
              </w:rPr>
              <w:t>损失（损失以“</w:t>
            </w:r>
            <w:r>
              <w:rPr>
                <w:rFonts w:ascii="宋体" w:hAnsi="宋体" w:cs="宋体" w:eastAsia="宋体" w:hint="default"/>
                <w:spacing w:val="-9"/>
                <w:w w:val="101"/>
                <w:sz w:val="18"/>
                <w:szCs w:val="18"/>
              </w:rPr>
              <w:t>-</w:t>
            </w:r>
            <w:r>
              <w:rPr>
                <w:rFonts w:ascii="宋体" w:hAnsi="宋体" w:cs="宋体" w:eastAsia="宋体" w:hint="default"/>
                <w:spacing w:val="-9"/>
                <w:w w:val="101"/>
                <w:sz w:val="18"/>
                <w:szCs w:val="18"/>
              </w:rPr>
              <w:t>”号填列）”</w:t>
            </w:r>
            <w:r>
              <w:rPr>
                <w:rFonts w:ascii="宋体" w:hAnsi="宋体" w:cs="宋体" w:eastAsia="宋体" w:hint="default"/>
                <w:spacing w:val="-9"/>
                <w:sz w:val="18"/>
                <w:szCs w:val="18"/>
              </w:rPr>
            </w:r>
          </w:p>
        </w:tc>
        <w:tc>
          <w:tcPr>
            <w:tcW w:w="54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pacing w:val="2"/>
                <w:sz w:val="18"/>
                <w:szCs w:val="18"/>
              </w:rPr>
              <w:t>合并利润表：资产减值损失（损失以“－”号填列）上期发生额</w:t>
            </w:r>
          </w:p>
          <w:p>
            <w:pPr>
              <w:pStyle w:val="TableParagraph"/>
              <w:spacing w:line="367" w:lineRule="auto" w:before="124"/>
              <w:ind w:left="105" w:right="104"/>
              <w:jc w:val="left"/>
              <w:rPr>
                <w:rFonts w:ascii="宋体" w:hAnsi="宋体" w:cs="宋体" w:eastAsia="宋体" w:hint="default"/>
                <w:sz w:val="18"/>
                <w:szCs w:val="18"/>
              </w:rPr>
            </w:pPr>
            <w:r>
              <w:rPr>
                <w:rFonts w:ascii="宋体" w:hAnsi="宋体" w:cs="宋体" w:eastAsia="宋体" w:hint="default"/>
                <w:sz w:val="18"/>
                <w:szCs w:val="18"/>
              </w:rPr>
              <w:t>-10,213,257.02 </w:t>
            </w:r>
            <w:r>
              <w:rPr>
                <w:rFonts w:ascii="宋体" w:hAnsi="宋体" w:cs="宋体" w:eastAsia="宋体" w:hint="default"/>
                <w:spacing w:val="-5"/>
                <w:sz w:val="18"/>
                <w:szCs w:val="18"/>
              </w:rPr>
              <w:t>元；信用减值损失（损失以“－”号填列）本期发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生额</w:t>
            </w:r>
            <w:r>
              <w:rPr>
                <w:rFonts w:ascii="宋体" w:hAnsi="宋体" w:cs="宋体" w:eastAsia="宋体" w:hint="default"/>
                <w:sz w:val="18"/>
                <w:szCs w:val="18"/>
              </w:rPr>
              <w:t>-3,254,138.41</w:t>
            </w:r>
            <w:r>
              <w:rPr>
                <w:rFonts w:ascii="宋体" w:hAnsi="宋体" w:cs="宋体" w:eastAsia="宋体" w:hint="default"/>
                <w:spacing w:val="-37"/>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母公司利润表：资产减值损失（损失以“－”号填列）上期发生额</w:t>
            </w:r>
          </w:p>
          <w:p>
            <w:pPr>
              <w:pStyle w:val="TableParagraph"/>
              <w:spacing w:line="360" w:lineRule="atLeast"/>
              <w:ind w:left="105" w:right="104"/>
              <w:jc w:val="left"/>
              <w:rPr>
                <w:rFonts w:ascii="宋体" w:hAnsi="宋体" w:cs="宋体" w:eastAsia="宋体" w:hint="default"/>
                <w:sz w:val="18"/>
                <w:szCs w:val="18"/>
              </w:rPr>
            </w:pPr>
            <w:r>
              <w:rPr>
                <w:rFonts w:ascii="宋体" w:hAnsi="宋体" w:cs="宋体" w:eastAsia="宋体" w:hint="default"/>
                <w:sz w:val="18"/>
                <w:szCs w:val="18"/>
              </w:rPr>
              <w:t>-3,490,795.57</w:t>
            </w:r>
            <w:r>
              <w:rPr>
                <w:rFonts w:ascii="宋体" w:hAnsi="宋体" w:cs="宋体" w:eastAsia="宋体" w:hint="default"/>
                <w:spacing w:val="49"/>
                <w:sz w:val="18"/>
                <w:szCs w:val="18"/>
              </w:rPr>
              <w:t> </w:t>
            </w:r>
            <w:r>
              <w:rPr>
                <w:rFonts w:ascii="宋体" w:hAnsi="宋体" w:cs="宋体" w:eastAsia="宋体" w:hint="default"/>
                <w:spacing w:val="-3"/>
                <w:sz w:val="18"/>
                <w:szCs w:val="18"/>
              </w:rPr>
              <w:t>元；信用减值损失（损失以“－”号填列）本期发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生额</w:t>
            </w:r>
            <w:r>
              <w:rPr>
                <w:rFonts w:ascii="宋体" w:hAnsi="宋体" w:cs="宋体" w:eastAsia="宋体" w:hint="default"/>
                <w:sz w:val="18"/>
                <w:szCs w:val="18"/>
              </w:rPr>
              <w:t>-2,239,786.27</w:t>
            </w:r>
            <w:r>
              <w:rPr>
                <w:rFonts w:ascii="宋体" w:hAnsi="宋体" w:cs="宋体" w:eastAsia="宋体" w:hint="default"/>
                <w:spacing w:val="-37"/>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6"/>
        <w:ind w:left="635" w:right="1016"/>
        <w:jc w:val="left"/>
      </w:pPr>
      <w:r>
        <w:rPr/>
        <w:t>（</w:t>
      </w:r>
      <w:r>
        <w:rPr>
          <w:rFonts w:ascii="宋体" w:hAnsi="宋体" w:cs="宋体" w:eastAsia="宋体" w:hint="default"/>
        </w:rPr>
        <w:t>2</w:t>
      </w:r>
      <w:r>
        <w:rPr/>
        <w:t>）本公司经董事会会议批准，自</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9"/>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t>日采用</w:t>
      </w:r>
      <w:r>
        <w:rPr>
          <w:spacing w:val="-55"/>
        </w:rPr>
        <w:t> </w:t>
      </w:r>
      <w:r>
        <w:rPr>
          <w:rFonts w:ascii="宋体" w:hAnsi="宋体" w:cs="宋体" w:eastAsia="宋体" w:hint="default"/>
        </w:rPr>
        <w:t>2017</w:t>
      </w:r>
      <w:r>
        <w:rPr>
          <w:rFonts w:ascii="宋体" w:hAnsi="宋体" w:cs="宋体" w:eastAsia="宋体" w:hint="default"/>
          <w:spacing w:val="-54"/>
        </w:rPr>
        <w:t> </w:t>
      </w:r>
      <w:r>
        <w:rPr/>
        <w:t>年修订后的《企业会计准则第</w:t>
      </w:r>
      <w:r>
        <w:rPr>
          <w:spacing w:val="-54"/>
        </w:rPr>
        <w:t> </w:t>
      </w:r>
      <w:r>
        <w:rPr>
          <w:rFonts w:ascii="宋体" w:hAnsi="宋体" w:cs="宋体" w:eastAsia="宋体" w:hint="default"/>
        </w:rPr>
        <w:t>22</w:t>
      </w:r>
      <w:r>
        <w:rPr>
          <w:rFonts w:ascii="宋体" w:hAnsi="宋体" w:cs="宋体" w:eastAsia="宋体" w:hint="default"/>
          <w:spacing w:val="-59"/>
        </w:rPr>
        <w:t> </w:t>
      </w:r>
      <w:r>
        <w:rPr/>
        <w:t>号—</w:t>
      </w:r>
    </w:p>
    <w:p>
      <w:pPr>
        <w:pStyle w:val="BodyText"/>
        <w:spacing w:line="314" w:lineRule="auto" w:before="85"/>
        <w:ind w:left="213" w:right="1016"/>
        <w:jc w:val="left"/>
      </w:pPr>
      <w:r>
        <w:rPr>
          <w:spacing w:val="-6"/>
          <w:w w:val="100"/>
        </w:rPr>
        <w:t>—金融工具确认和计量》（财会〔</w:t>
      </w:r>
      <w:r>
        <w:rPr>
          <w:rFonts w:ascii="宋体" w:hAnsi="宋体" w:cs="宋体" w:eastAsia="宋体" w:hint="default"/>
          <w:spacing w:val="-6"/>
          <w:w w:val="100"/>
        </w:rPr>
        <w:t>2017</w:t>
      </w:r>
      <w:r>
        <w:rPr>
          <w:spacing w:val="-6"/>
          <w:w w:val="100"/>
        </w:rPr>
        <w:t>〕</w:t>
      </w:r>
      <w:r>
        <w:rPr>
          <w:rFonts w:ascii="宋体" w:hAnsi="宋体" w:cs="宋体" w:eastAsia="宋体" w:hint="default"/>
          <w:spacing w:val="-6"/>
          <w:w w:val="100"/>
        </w:rPr>
        <w:t>7</w:t>
      </w:r>
      <w:r>
        <w:rPr>
          <w:rFonts w:ascii="宋体" w:hAnsi="宋体" w:cs="宋体" w:eastAsia="宋体" w:hint="default"/>
          <w:spacing w:val="-46"/>
          <w:w w:val="100"/>
        </w:rPr>
        <w:t> </w:t>
      </w:r>
      <w:r>
        <w:rPr>
          <w:spacing w:val="-21"/>
          <w:w w:val="100"/>
        </w:rPr>
        <w:t>号）、《企业会计准则第</w:t>
      </w:r>
      <w:r>
        <w:rPr>
          <w:spacing w:val="-45"/>
          <w:w w:val="100"/>
        </w:rPr>
        <w:t> </w:t>
      </w:r>
      <w:r>
        <w:rPr>
          <w:rFonts w:ascii="宋体" w:hAnsi="宋体" w:cs="宋体" w:eastAsia="宋体" w:hint="default"/>
          <w:spacing w:val="-3"/>
          <w:w w:val="100"/>
        </w:rPr>
        <w:t>23</w:t>
      </w:r>
      <w:r>
        <w:rPr>
          <w:rFonts w:ascii="宋体" w:hAnsi="宋体" w:cs="宋体" w:eastAsia="宋体" w:hint="default"/>
          <w:spacing w:val="-46"/>
          <w:w w:val="100"/>
        </w:rPr>
        <w:t> </w:t>
      </w:r>
      <w:r>
        <w:rPr>
          <w:spacing w:val="-6"/>
          <w:w w:val="100"/>
        </w:rPr>
        <w:t>号——金融资产转移》（财会〔</w:t>
      </w:r>
      <w:r>
        <w:rPr>
          <w:rFonts w:ascii="宋体" w:hAnsi="宋体" w:cs="宋体" w:eastAsia="宋体" w:hint="default"/>
          <w:spacing w:val="-6"/>
          <w:w w:val="100"/>
        </w:rPr>
        <w:t>2017</w:t>
      </w:r>
      <w:r>
        <w:rPr>
          <w:spacing w:val="-6"/>
          <w:w w:val="100"/>
        </w:rPr>
        <w:t>〕</w:t>
      </w:r>
      <w:r>
        <w:rPr>
          <w:spacing w:val="-103"/>
          <w:w w:val="100"/>
        </w:rPr>
        <w:t> </w:t>
      </w:r>
      <w:r>
        <w:rPr>
          <w:rFonts w:ascii="宋体" w:hAnsi="宋体" w:cs="宋体" w:eastAsia="宋体" w:hint="default"/>
          <w:w w:val="100"/>
        </w:rPr>
        <w:t>8</w:t>
      </w:r>
      <w:r>
        <w:rPr>
          <w:rFonts w:ascii="宋体" w:hAnsi="宋体" w:cs="宋体" w:eastAsia="宋体" w:hint="default"/>
          <w:spacing w:val="-52"/>
          <w:w w:val="100"/>
        </w:rPr>
        <w:t> </w:t>
      </w:r>
      <w:r>
        <w:rPr>
          <w:spacing w:val="-21"/>
          <w:w w:val="100"/>
        </w:rPr>
        <w:t>号）、《企业会计准则第</w:t>
      </w:r>
      <w:r>
        <w:rPr>
          <w:spacing w:val="-51"/>
          <w:w w:val="100"/>
        </w:rPr>
        <w:t> </w:t>
      </w:r>
      <w:r>
        <w:rPr>
          <w:rFonts w:ascii="宋体" w:hAnsi="宋体" w:cs="宋体" w:eastAsia="宋体" w:hint="default"/>
          <w:w w:val="100"/>
        </w:rPr>
        <w:t>24</w:t>
      </w:r>
      <w:r>
        <w:rPr>
          <w:rFonts w:ascii="宋体" w:hAnsi="宋体" w:cs="宋体" w:eastAsia="宋体" w:hint="default"/>
          <w:spacing w:val="-52"/>
          <w:w w:val="100"/>
        </w:rPr>
        <w:t> </w:t>
      </w:r>
      <w:r>
        <w:rPr>
          <w:spacing w:val="-8"/>
          <w:w w:val="100"/>
        </w:rPr>
        <w:t>号——套期会计》（财会〔</w:t>
      </w:r>
      <w:r>
        <w:rPr>
          <w:rFonts w:ascii="宋体" w:hAnsi="宋体" w:cs="宋体" w:eastAsia="宋体" w:hint="default"/>
          <w:spacing w:val="-8"/>
          <w:w w:val="100"/>
        </w:rPr>
        <w:t>2017</w:t>
      </w:r>
      <w:r>
        <w:rPr>
          <w:spacing w:val="-8"/>
          <w:w w:val="100"/>
        </w:rPr>
        <w:t>〕</w:t>
      </w:r>
      <w:r>
        <w:rPr>
          <w:rFonts w:ascii="宋体" w:hAnsi="宋体" w:cs="宋体" w:eastAsia="宋体" w:hint="default"/>
          <w:spacing w:val="-8"/>
          <w:w w:val="100"/>
        </w:rPr>
        <w:t>9</w:t>
      </w:r>
      <w:r>
        <w:rPr>
          <w:rFonts w:ascii="宋体" w:hAnsi="宋体" w:cs="宋体" w:eastAsia="宋体" w:hint="default"/>
          <w:spacing w:val="-52"/>
          <w:w w:val="100"/>
        </w:rPr>
        <w:t> </w:t>
      </w:r>
      <w:r>
        <w:rPr>
          <w:spacing w:val="-2"/>
          <w:w w:val="100"/>
        </w:rPr>
        <w:t>号）以及《企业会计准则第</w:t>
      </w:r>
      <w:r>
        <w:rPr>
          <w:spacing w:val="-55"/>
          <w:w w:val="100"/>
        </w:rPr>
        <w:t> </w:t>
      </w:r>
      <w:r>
        <w:rPr>
          <w:rFonts w:ascii="宋体" w:hAnsi="宋体" w:cs="宋体" w:eastAsia="宋体" w:hint="default"/>
          <w:w w:val="100"/>
        </w:rPr>
        <w:t>37</w:t>
      </w:r>
      <w:r>
        <w:rPr>
          <w:rFonts w:ascii="宋体" w:hAnsi="宋体" w:cs="宋体" w:eastAsia="宋体" w:hint="default"/>
          <w:spacing w:val="-52"/>
          <w:w w:val="100"/>
        </w:rPr>
        <w:t> </w:t>
      </w:r>
      <w:r>
        <w:rPr>
          <w:spacing w:val="-1"/>
          <w:w w:val="100"/>
        </w:rPr>
        <w:t>号——金融</w:t>
      </w:r>
      <w:r>
        <w:rPr>
          <w:spacing w:val="-101"/>
          <w:w w:val="100"/>
        </w:rPr>
        <w:t> </w:t>
      </w:r>
      <w:r>
        <w:rPr>
          <w:spacing w:val="-101"/>
          <w:w w:val="100"/>
        </w:rPr>
      </w:r>
      <w:r>
        <w:rPr>
          <w:spacing w:val="-8"/>
          <w:w w:val="100"/>
        </w:rPr>
        <w:t>工具列报》（财会〔</w:t>
      </w:r>
      <w:r>
        <w:rPr>
          <w:rFonts w:ascii="宋体" w:hAnsi="宋体" w:cs="宋体" w:eastAsia="宋体" w:hint="default"/>
          <w:spacing w:val="-8"/>
          <w:w w:val="100"/>
        </w:rPr>
        <w:t>2017</w:t>
      </w:r>
      <w:r>
        <w:rPr>
          <w:spacing w:val="-8"/>
          <w:w w:val="100"/>
        </w:rPr>
        <w:t>〕</w:t>
      </w:r>
      <w:r>
        <w:rPr>
          <w:rFonts w:ascii="宋体" w:hAnsi="宋体" w:cs="宋体" w:eastAsia="宋体" w:hint="default"/>
          <w:spacing w:val="-8"/>
          <w:w w:val="100"/>
        </w:rPr>
        <w:t>14</w:t>
      </w:r>
      <w:r>
        <w:rPr>
          <w:rFonts w:ascii="宋体" w:hAnsi="宋体" w:cs="宋体" w:eastAsia="宋体" w:hint="default"/>
          <w:spacing w:val="-49"/>
          <w:w w:val="100"/>
        </w:rPr>
        <w:t> </w:t>
      </w:r>
      <w:r>
        <w:rPr>
          <w:spacing w:val="-2"/>
          <w:w w:val="100"/>
        </w:rPr>
        <w:t>号）相关规定。公司在执行上述会计准则时，根据累积影响数，调整年初留</w:t>
      </w:r>
      <w:r>
        <w:rPr>
          <w:spacing w:val="-77"/>
          <w:w w:val="100"/>
        </w:rPr>
        <w:t> </w:t>
      </w:r>
      <w:r>
        <w:rPr>
          <w:spacing w:val="-77"/>
          <w:w w:val="100"/>
        </w:rPr>
      </w:r>
      <w:r>
        <w:rPr/>
        <w:t>存收益及财务报表其他相关项目金额，对可比期间信息不予调整。会计政策变更对合并报表科目的影响如</w:t>
      </w:r>
      <w:r>
        <w:rPr>
          <w:w w:val="100"/>
        </w:rPr>
        <w:t> </w:t>
      </w:r>
      <w:r>
        <w:rPr/>
        <w:t>下：</w:t>
      </w:r>
    </w:p>
    <w:p>
      <w:pPr>
        <w:spacing w:line="240" w:lineRule="auto" w:before="11"/>
        <w:rPr>
          <w:rFonts w:ascii="宋体" w:hAnsi="宋体" w:cs="宋体" w:eastAsia="宋体" w:hint="default"/>
          <w:sz w:val="21"/>
          <w:szCs w:val="21"/>
        </w:rPr>
      </w:pPr>
    </w:p>
    <w:tbl>
      <w:tblPr>
        <w:tblW w:w="0" w:type="auto"/>
        <w:jc w:val="left"/>
        <w:tblInd w:w="102" w:type="dxa"/>
        <w:tblLayout w:type="fixed"/>
        <w:tblCellMar>
          <w:top w:w="0" w:type="dxa"/>
          <w:left w:w="0" w:type="dxa"/>
          <w:bottom w:w="0" w:type="dxa"/>
          <w:right w:w="0" w:type="dxa"/>
        </w:tblCellMar>
        <w:tblLook w:val="01E0"/>
      </w:tblPr>
      <w:tblGrid>
        <w:gridCol w:w="2278"/>
        <w:gridCol w:w="2886"/>
        <w:gridCol w:w="2970"/>
        <w:gridCol w:w="1724"/>
      </w:tblGrid>
      <w:tr>
        <w:trPr>
          <w:trHeight w:val="253" w:hRule="exact"/>
        </w:trPr>
        <w:tc>
          <w:tcPr>
            <w:tcW w:w="2278" w:type="dxa"/>
            <w:tcBorders>
              <w:top w:val="nil" w:sz="6" w:space="0" w:color="auto"/>
              <w:left w:val="nil" w:sz="6" w:space="0" w:color="auto"/>
              <w:bottom w:val="single" w:sz="4" w:space="0" w:color="000000"/>
              <w:right w:val="nil" w:sz="6" w:space="0" w:color="auto"/>
            </w:tcBorders>
          </w:tcPr>
          <w:p>
            <w:pPr>
              <w:pStyle w:val="TableParagraph"/>
              <w:spacing w:line="182"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6" w:type="dxa"/>
            <w:tcBorders>
              <w:top w:val="nil" w:sz="6" w:space="0" w:color="auto"/>
              <w:left w:val="nil" w:sz="6" w:space="0" w:color="auto"/>
              <w:bottom w:val="single" w:sz="4" w:space="0" w:color="000000"/>
              <w:right w:val="nil" w:sz="6" w:space="0" w:color="auto"/>
            </w:tcBorders>
          </w:tcPr>
          <w:p>
            <w:pPr>
              <w:pStyle w:val="TableParagraph"/>
              <w:spacing w:line="182"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70" w:type="dxa"/>
            <w:tcBorders>
              <w:top w:val="nil" w:sz="6" w:space="0" w:color="auto"/>
              <w:left w:val="nil" w:sz="6" w:space="0" w:color="auto"/>
              <w:bottom w:val="single" w:sz="4" w:space="0" w:color="000000"/>
              <w:right w:val="nil" w:sz="6" w:space="0" w:color="auto"/>
            </w:tcBorders>
          </w:tcPr>
          <w:p>
            <w:pPr>
              <w:pStyle w:val="TableParagraph"/>
              <w:spacing w:line="182" w:lineRule="exact"/>
              <w:ind w:left="477"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24" w:type="dxa"/>
            <w:tcBorders>
              <w:top w:val="nil" w:sz="6" w:space="0" w:color="auto"/>
              <w:left w:val="nil" w:sz="6" w:space="0" w:color="auto"/>
              <w:bottom w:val="single" w:sz="4" w:space="0" w:color="000000"/>
              <w:right w:val="nil" w:sz="6" w:space="0" w:color="auto"/>
            </w:tcBorders>
          </w:tcPr>
          <w:p>
            <w:pPr>
              <w:pStyle w:val="TableParagraph"/>
              <w:spacing w:line="182" w:lineRule="exact"/>
              <w:ind w:left="427"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446"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75"/>
              <w:jc w:val="right"/>
              <w:rPr>
                <w:rFonts w:ascii="宋体" w:hAnsi="宋体" w:cs="宋体" w:eastAsia="宋体" w:hint="default"/>
                <w:sz w:val="18"/>
                <w:szCs w:val="18"/>
              </w:rPr>
            </w:pPr>
            <w:r>
              <w:rPr>
                <w:rFonts w:ascii="宋体"/>
                <w:spacing w:val="-1"/>
                <w:sz w:val="18"/>
              </w:rPr>
              <w:t>44,708,668.17</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25"/>
              <w:jc w:val="right"/>
              <w:rPr>
                <w:rFonts w:ascii="宋体" w:hAnsi="宋体" w:cs="宋体" w:eastAsia="宋体" w:hint="default"/>
                <w:sz w:val="18"/>
                <w:szCs w:val="18"/>
              </w:rPr>
            </w:pPr>
            <w:r>
              <w:rPr>
                <w:rFonts w:ascii="宋体"/>
                <w:spacing w:val="-1"/>
                <w:sz w:val="18"/>
              </w:rPr>
              <w:t>42,646,143.92</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-2,062,524.25</w:t>
            </w:r>
          </w:p>
        </w:tc>
      </w:tr>
      <w:tr>
        <w:trPr>
          <w:trHeight w:val="399"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75"/>
              <w:jc w:val="right"/>
              <w:rPr>
                <w:rFonts w:ascii="宋体" w:hAnsi="宋体" w:cs="宋体" w:eastAsia="宋体" w:hint="default"/>
                <w:sz w:val="18"/>
                <w:szCs w:val="18"/>
              </w:rPr>
            </w:pPr>
            <w:r>
              <w:rPr>
                <w:rFonts w:ascii="宋体"/>
                <w:spacing w:val="-2"/>
                <w:sz w:val="18"/>
              </w:rPr>
              <w:t>200,478,344.78</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5"/>
              <w:jc w:val="right"/>
              <w:rPr>
                <w:rFonts w:ascii="宋体" w:hAnsi="宋体" w:cs="宋体" w:eastAsia="宋体" w:hint="default"/>
                <w:sz w:val="18"/>
                <w:szCs w:val="18"/>
              </w:rPr>
            </w:pPr>
            <w:r>
              <w:rPr>
                <w:rFonts w:ascii="宋体"/>
                <w:spacing w:val="-2"/>
                <w:sz w:val="18"/>
              </w:rPr>
              <w:t>201,011,248.89</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532,904.11</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14,697,776.30</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14,164,872.19</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-532,904.11</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5"/>
              <w:jc w:val="right"/>
              <w:rPr>
                <w:rFonts w:ascii="宋体" w:hAnsi="宋体" w:cs="宋体" w:eastAsia="宋体" w:hint="default"/>
                <w:sz w:val="18"/>
                <w:szCs w:val="18"/>
              </w:rPr>
            </w:pPr>
            <w:r>
              <w:rPr>
                <w:rFonts w:ascii="宋体"/>
                <w:spacing w:val="-1"/>
                <w:sz w:val="18"/>
              </w:rPr>
              <w:t>5,000,000.00</w:t>
            </w:r>
          </w:p>
        </w:tc>
        <w:tc>
          <w:tcPr>
            <w:tcW w:w="297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-5,000,000.00</w:t>
            </w:r>
          </w:p>
        </w:tc>
      </w:tr>
      <w:tr>
        <w:trPr>
          <w:trHeight w:val="399"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886" w:type="dxa"/>
            <w:tcBorders>
              <w:top w:val="nil" w:sz="6" w:space="0" w:color="auto"/>
              <w:left w:val="nil" w:sz="6" w:space="0" w:color="auto"/>
              <w:bottom w:val="nil" w:sz="6" w:space="0" w:color="auto"/>
              <w:right w:val="nil" w:sz="6" w:space="0" w:color="auto"/>
            </w:tcBorders>
          </w:tcPr>
          <w:p>
            <w:pP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5,000,000.00</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5,000,000.00</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1,973,669.94</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2,153,508.08</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179,838.14</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5"/>
              <w:jc w:val="right"/>
              <w:rPr>
                <w:rFonts w:ascii="宋体" w:hAnsi="宋体" w:cs="宋体" w:eastAsia="宋体" w:hint="default"/>
                <w:sz w:val="18"/>
                <w:szCs w:val="18"/>
              </w:rPr>
            </w:pPr>
            <w:r>
              <w:rPr>
                <w:rFonts w:ascii="宋体"/>
                <w:spacing w:val="-1"/>
                <w:sz w:val="18"/>
              </w:rPr>
              <w:t>6,964,237.07</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5"/>
              <w:jc w:val="right"/>
              <w:rPr>
                <w:rFonts w:ascii="宋体" w:hAnsi="宋体" w:cs="宋体" w:eastAsia="宋体" w:hint="default"/>
                <w:sz w:val="18"/>
                <w:szCs w:val="18"/>
              </w:rPr>
            </w:pPr>
            <w:r>
              <w:rPr>
                <w:rFonts w:ascii="宋体"/>
                <w:spacing w:val="-1"/>
                <w:sz w:val="18"/>
              </w:rPr>
              <w:t>7,013,595.61</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49,358.54</w:t>
            </w:r>
          </w:p>
        </w:tc>
      </w:tr>
      <w:tr>
        <w:trPr>
          <w:trHeight w:val="398"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91,673,907.11</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90,136,858.32</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-1,537,048.79</w:t>
            </w:r>
          </w:p>
        </w:tc>
      </w:tr>
      <w:tr>
        <w:trPr>
          <w:trHeight w:val="290"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-4,265,329.25</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-4,660,325.11</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-394,995.86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635" w:right="1118"/>
        <w:jc w:val="left"/>
      </w:pPr>
      <w:r>
        <w:rPr/>
        <w:t>会计政策变更对母公司报表科目的影响如下：</w:t>
      </w:r>
    </w:p>
    <w:p>
      <w:pPr>
        <w:spacing w:after="0" w:line="240" w:lineRule="auto"/>
        <w:jc w:val="left"/>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278"/>
        <w:gridCol w:w="2886"/>
        <w:gridCol w:w="2970"/>
        <w:gridCol w:w="1724"/>
      </w:tblGrid>
      <w:tr>
        <w:trPr>
          <w:trHeight w:val="253" w:hRule="exact"/>
        </w:trPr>
        <w:tc>
          <w:tcPr>
            <w:tcW w:w="2278" w:type="dxa"/>
            <w:tcBorders>
              <w:top w:val="nil" w:sz="6" w:space="0" w:color="auto"/>
              <w:left w:val="nil" w:sz="6" w:space="0" w:color="auto"/>
              <w:bottom w:val="single" w:sz="4" w:space="0" w:color="000000"/>
              <w:right w:val="nil" w:sz="6" w:space="0" w:color="auto"/>
            </w:tcBorders>
          </w:tcPr>
          <w:p>
            <w:pPr>
              <w:pStyle w:val="TableParagraph"/>
              <w:spacing w:line="182"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6" w:type="dxa"/>
            <w:tcBorders>
              <w:top w:val="nil" w:sz="6" w:space="0" w:color="auto"/>
              <w:left w:val="nil" w:sz="6" w:space="0" w:color="auto"/>
              <w:bottom w:val="single" w:sz="4" w:space="0" w:color="000000"/>
              <w:right w:val="nil" w:sz="6" w:space="0" w:color="auto"/>
            </w:tcBorders>
          </w:tcPr>
          <w:p>
            <w:pPr>
              <w:pStyle w:val="TableParagraph"/>
              <w:spacing w:line="182"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970" w:type="dxa"/>
            <w:tcBorders>
              <w:top w:val="nil" w:sz="6" w:space="0" w:color="auto"/>
              <w:left w:val="nil" w:sz="6" w:space="0" w:color="auto"/>
              <w:bottom w:val="single" w:sz="4" w:space="0" w:color="000000"/>
              <w:right w:val="nil" w:sz="6" w:space="0" w:color="auto"/>
            </w:tcBorders>
          </w:tcPr>
          <w:p>
            <w:pPr>
              <w:pStyle w:val="TableParagraph"/>
              <w:spacing w:line="182" w:lineRule="exact"/>
              <w:ind w:left="477"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24" w:type="dxa"/>
            <w:tcBorders>
              <w:top w:val="nil" w:sz="6" w:space="0" w:color="auto"/>
              <w:left w:val="nil" w:sz="6" w:space="0" w:color="auto"/>
              <w:bottom w:val="single" w:sz="4" w:space="0" w:color="000000"/>
              <w:right w:val="nil" w:sz="6" w:space="0" w:color="auto"/>
            </w:tcBorders>
          </w:tcPr>
          <w:p>
            <w:pPr>
              <w:pStyle w:val="TableParagraph"/>
              <w:spacing w:line="182" w:lineRule="exact"/>
              <w:ind w:left="427" w:right="0"/>
              <w:jc w:val="left"/>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444" w:hRule="exact"/>
        </w:trPr>
        <w:tc>
          <w:tcPr>
            <w:tcW w:w="22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75"/>
              <w:jc w:val="right"/>
              <w:rPr>
                <w:rFonts w:ascii="宋体" w:hAnsi="宋体" w:cs="宋体" w:eastAsia="宋体" w:hint="default"/>
                <w:sz w:val="18"/>
                <w:szCs w:val="18"/>
              </w:rPr>
            </w:pPr>
            <w:r>
              <w:rPr>
                <w:rFonts w:ascii="宋体"/>
                <w:spacing w:val="-1"/>
                <w:sz w:val="18"/>
              </w:rPr>
              <w:t>16,859,001.09</w:t>
            </w:r>
          </w:p>
        </w:tc>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25"/>
              <w:jc w:val="right"/>
              <w:rPr>
                <w:rFonts w:ascii="宋体" w:hAnsi="宋体" w:cs="宋体" w:eastAsia="宋体" w:hint="default"/>
                <w:sz w:val="18"/>
                <w:szCs w:val="18"/>
              </w:rPr>
            </w:pPr>
            <w:r>
              <w:rPr>
                <w:rFonts w:ascii="宋体"/>
                <w:spacing w:val="-1"/>
                <w:sz w:val="18"/>
              </w:rPr>
              <w:t>17,439,689.78</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580,688.69</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5"/>
              <w:jc w:val="right"/>
              <w:rPr>
                <w:rFonts w:ascii="宋体" w:hAnsi="宋体" w:cs="宋体" w:eastAsia="宋体" w:hint="default"/>
                <w:sz w:val="18"/>
                <w:szCs w:val="18"/>
              </w:rPr>
            </w:pPr>
            <w:r>
              <w:rPr>
                <w:rFonts w:ascii="宋体"/>
                <w:spacing w:val="-2"/>
                <w:sz w:val="18"/>
              </w:rPr>
              <w:t>195,115,971.20</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5"/>
              <w:jc w:val="right"/>
              <w:rPr>
                <w:rFonts w:ascii="宋体" w:hAnsi="宋体" w:cs="宋体" w:eastAsia="宋体" w:hint="default"/>
                <w:sz w:val="18"/>
                <w:szCs w:val="18"/>
              </w:rPr>
            </w:pPr>
            <w:r>
              <w:rPr>
                <w:rFonts w:ascii="宋体"/>
                <w:spacing w:val="-2"/>
                <w:sz w:val="18"/>
              </w:rPr>
              <w:t>195,648,875.31</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532,904.11</w:t>
            </w:r>
          </w:p>
        </w:tc>
      </w:tr>
      <w:tr>
        <w:trPr>
          <w:trHeight w:val="398"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38,207,042.50</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37,674,138.39</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-532,904.11</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5,000,000.00</w:t>
            </w:r>
          </w:p>
        </w:tc>
        <w:tc>
          <w:tcPr>
            <w:tcW w:w="297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-5,000,000.00</w:t>
            </w:r>
          </w:p>
        </w:tc>
      </w:tr>
      <w:tr>
        <w:trPr>
          <w:trHeight w:val="396"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886" w:type="dxa"/>
            <w:tcBorders>
              <w:top w:val="nil" w:sz="6" w:space="0" w:color="auto"/>
              <w:left w:val="nil" w:sz="6" w:space="0" w:color="auto"/>
              <w:bottom w:val="nil" w:sz="6" w:space="0" w:color="auto"/>
              <w:right w:val="nil" w:sz="6" w:space="0" w:color="auto"/>
            </w:tcBorders>
          </w:tcPr>
          <w:p>
            <w:pP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5"/>
              <w:jc w:val="right"/>
              <w:rPr>
                <w:rFonts w:ascii="宋体" w:hAnsi="宋体" w:cs="宋体" w:eastAsia="宋体" w:hint="default"/>
                <w:sz w:val="18"/>
                <w:szCs w:val="18"/>
              </w:rPr>
            </w:pPr>
            <w:r>
              <w:rPr>
                <w:rFonts w:ascii="宋体"/>
                <w:spacing w:val="-1"/>
                <w:sz w:val="18"/>
              </w:rPr>
              <w:t>5,000,000.00</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5,000,000.00</w:t>
            </w:r>
          </w:p>
        </w:tc>
      </w:tr>
      <w:tr>
        <w:trPr>
          <w:trHeight w:val="399"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755,879.72</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668,776.42</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-87,103.30</w:t>
            </w:r>
          </w:p>
        </w:tc>
      </w:tr>
      <w:tr>
        <w:trPr>
          <w:trHeight w:val="399"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6,964,237.07</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7,013,595.61</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49,358.54</w:t>
            </w:r>
          </w:p>
        </w:tc>
      </w:tr>
      <w:tr>
        <w:trPr>
          <w:trHeight w:val="290" w:hRule="exact"/>
        </w:trPr>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75"/>
              <w:jc w:val="right"/>
              <w:rPr>
                <w:rFonts w:ascii="宋体" w:hAnsi="宋体" w:cs="宋体" w:eastAsia="宋体" w:hint="default"/>
                <w:sz w:val="18"/>
                <w:szCs w:val="18"/>
              </w:rPr>
            </w:pPr>
            <w:r>
              <w:rPr>
                <w:rFonts w:ascii="宋体"/>
                <w:spacing w:val="-1"/>
                <w:sz w:val="18"/>
              </w:rPr>
              <w:t>55,878,133.59</w:t>
            </w: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5"/>
              <w:jc w:val="right"/>
              <w:rPr>
                <w:rFonts w:ascii="宋体" w:hAnsi="宋体" w:cs="宋体" w:eastAsia="宋体" w:hint="default"/>
                <w:sz w:val="18"/>
                <w:szCs w:val="18"/>
              </w:rPr>
            </w:pPr>
            <w:r>
              <w:rPr>
                <w:rFonts w:ascii="宋体"/>
                <w:spacing w:val="-1"/>
                <w:sz w:val="18"/>
              </w:rPr>
              <w:t>56,322,360.44</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444,226.85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635" w:right="1016"/>
        <w:jc w:val="left"/>
      </w:pPr>
      <w:r>
        <w:rPr/>
        <w:t>（</w:t>
      </w:r>
      <w:r>
        <w:rPr>
          <w:rFonts w:ascii="宋体" w:hAnsi="宋体" w:cs="宋体" w:eastAsia="宋体" w:hint="default"/>
        </w:rPr>
        <w:t>3</w:t>
      </w:r>
      <w:r>
        <w:rPr/>
        <w:t>）本公司经董事会会议批准，自</w:t>
      </w:r>
      <w:r>
        <w:rPr>
          <w:spacing w:val="-40"/>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6</w:t>
      </w:r>
      <w:r>
        <w:rPr>
          <w:rFonts w:ascii="宋体" w:hAnsi="宋体" w:cs="宋体" w:eastAsia="宋体" w:hint="default"/>
          <w:spacing w:val="-46"/>
        </w:rPr>
        <w:t> </w:t>
      </w:r>
      <w:r>
        <w:rPr/>
        <w:t>月</w:t>
      </w:r>
      <w:r>
        <w:rPr>
          <w:spacing w:val="-42"/>
        </w:rPr>
        <w:t> </w:t>
      </w:r>
      <w:r>
        <w:rPr>
          <w:rFonts w:ascii="宋体" w:hAnsi="宋体" w:cs="宋体" w:eastAsia="宋体" w:hint="default"/>
        </w:rPr>
        <w:t>10</w:t>
      </w:r>
      <w:r>
        <w:rPr>
          <w:rFonts w:ascii="宋体" w:hAnsi="宋体" w:cs="宋体" w:eastAsia="宋体" w:hint="default"/>
          <w:spacing w:val="-47"/>
        </w:rPr>
        <w:t> </w:t>
      </w:r>
      <w:r>
        <w:rPr/>
        <w:t>日采用《企业会计准则第</w:t>
      </w:r>
      <w:r>
        <w:rPr>
          <w:spacing w:val="-41"/>
        </w:rPr>
        <w:t> </w:t>
      </w:r>
      <w:r>
        <w:rPr>
          <w:rFonts w:ascii="宋体" w:hAnsi="宋体" w:cs="宋体" w:eastAsia="宋体" w:hint="default"/>
        </w:rPr>
        <w:t>7</w:t>
      </w:r>
      <w:r>
        <w:rPr>
          <w:rFonts w:ascii="宋体" w:hAnsi="宋体" w:cs="宋体" w:eastAsia="宋体" w:hint="default"/>
          <w:spacing w:val="-42"/>
        </w:rPr>
        <w:t> </w:t>
      </w:r>
      <w:r>
        <w:rPr/>
        <w:t>号——非货币性资产</w:t>
      </w:r>
    </w:p>
    <w:p>
      <w:pPr>
        <w:pStyle w:val="BodyText"/>
        <w:spacing w:line="240" w:lineRule="auto" w:before="85"/>
        <w:ind w:left="213" w:right="1016"/>
        <w:jc w:val="left"/>
      </w:pPr>
      <w:r>
        <w:rPr>
          <w:w w:val="100"/>
        </w:rPr>
        <w:t>交换</w:t>
      </w:r>
      <w:r>
        <w:rPr>
          <w:spacing w:val="-106"/>
          <w:w w:val="100"/>
        </w:rPr>
        <w:t>》</w:t>
      </w:r>
      <w:r>
        <w:rPr>
          <w:w w:val="100"/>
        </w:rPr>
        <w:t>（财</w:t>
      </w:r>
      <w:r>
        <w:rPr>
          <w:spacing w:val="-5"/>
          <w:w w:val="100"/>
        </w:rPr>
        <w:t>会</w:t>
      </w:r>
      <w:r>
        <w:rPr>
          <w:w w:val="100"/>
        </w:rPr>
        <w:t>〔</w:t>
      </w:r>
      <w:r>
        <w:rPr>
          <w:rFonts w:ascii="宋体" w:hAnsi="宋体" w:cs="宋体" w:eastAsia="宋体" w:hint="default"/>
          <w:w w:val="100"/>
        </w:rPr>
        <w:t>2019</w:t>
      </w:r>
      <w:r>
        <w:rPr>
          <w:spacing w:val="-5"/>
          <w:w w:val="100"/>
        </w:rPr>
        <w:t>〕</w:t>
      </w:r>
      <w:r>
        <w:rPr>
          <w:rFonts w:ascii="宋体" w:hAnsi="宋体" w:cs="宋体" w:eastAsia="宋体" w:hint="default"/>
          <w:w w:val="100"/>
        </w:rPr>
        <w:t>8</w:t>
      </w:r>
      <w:r>
        <w:rPr>
          <w:rFonts w:ascii="宋体" w:hAnsi="宋体" w:cs="宋体" w:eastAsia="宋体" w:hint="default"/>
          <w:spacing w:val="-47"/>
        </w:rPr>
        <w:t> </w:t>
      </w:r>
      <w:r>
        <w:rPr>
          <w:w w:val="100"/>
        </w:rPr>
        <w:t>号）</w:t>
      </w:r>
      <w:r>
        <w:rPr>
          <w:spacing w:val="-5"/>
          <w:w w:val="100"/>
        </w:rPr>
        <w:t>相</w:t>
      </w:r>
      <w:r>
        <w:rPr>
          <w:w w:val="100"/>
        </w:rPr>
        <w:t>关规</w:t>
      </w:r>
      <w:r>
        <w:rPr>
          <w:spacing w:val="-5"/>
          <w:w w:val="100"/>
        </w:rPr>
        <w:t>定</w:t>
      </w:r>
      <w:r>
        <w:rPr>
          <w:w w:val="100"/>
        </w:rPr>
        <w:t>，企业对</w:t>
      </w:r>
      <w:r>
        <w:rPr>
          <w:spacing w:val="-52"/>
        </w:rPr>
        <w:t> </w:t>
      </w:r>
      <w:r>
        <w:rPr>
          <w:rFonts w:ascii="宋体" w:hAnsi="宋体" w:cs="宋体" w:eastAsia="宋体" w:hint="default"/>
          <w:w w:val="100"/>
        </w:rPr>
        <w:t>2019</w:t>
      </w:r>
      <w:r>
        <w:rPr>
          <w:rFonts w:ascii="宋体" w:hAnsi="宋体" w:cs="宋体" w:eastAsia="宋体" w:hint="default"/>
          <w:spacing w:val="-52"/>
        </w:rPr>
        <w:t> </w:t>
      </w:r>
      <w:r>
        <w:rPr>
          <w:w w:val="100"/>
        </w:rPr>
        <w:t>年</w:t>
      </w:r>
      <w:r>
        <w:rPr>
          <w:spacing w:val="-48"/>
        </w:rPr>
        <w:t> </w:t>
      </w:r>
      <w:r>
        <w:rPr>
          <w:rFonts w:ascii="宋体" w:hAnsi="宋体" w:cs="宋体" w:eastAsia="宋体" w:hint="default"/>
          <w:w w:val="100"/>
        </w:rPr>
        <w:t>1</w:t>
      </w:r>
      <w:r>
        <w:rPr>
          <w:rFonts w:ascii="宋体" w:hAnsi="宋体" w:cs="宋体" w:eastAsia="宋体" w:hint="default"/>
          <w:spacing w:val="-48"/>
        </w:rPr>
        <w:t> </w:t>
      </w:r>
      <w:r>
        <w:rPr>
          <w:w w:val="100"/>
        </w:rPr>
        <w:t>月</w:t>
      </w:r>
      <w:r>
        <w:rPr>
          <w:spacing w:val="-48"/>
        </w:rPr>
        <w:t> </w:t>
      </w:r>
      <w:r>
        <w:rPr>
          <w:rFonts w:ascii="宋体" w:hAnsi="宋体" w:cs="宋体" w:eastAsia="宋体" w:hint="default"/>
          <w:w w:val="100"/>
        </w:rPr>
        <w:t>1</w:t>
      </w:r>
      <w:r>
        <w:rPr>
          <w:rFonts w:ascii="宋体" w:hAnsi="宋体" w:cs="宋体" w:eastAsia="宋体" w:hint="default"/>
          <w:spacing w:val="-53"/>
        </w:rPr>
        <w:t> </w:t>
      </w:r>
      <w:r>
        <w:rPr>
          <w:w w:val="100"/>
        </w:rPr>
        <w:t>日至本</w:t>
      </w:r>
      <w:r>
        <w:rPr>
          <w:spacing w:val="-5"/>
          <w:w w:val="100"/>
        </w:rPr>
        <w:t>准</w:t>
      </w:r>
      <w:r>
        <w:rPr>
          <w:w w:val="100"/>
        </w:rPr>
        <w:t>则施行</w:t>
      </w:r>
      <w:r>
        <w:rPr>
          <w:spacing w:val="-5"/>
          <w:w w:val="100"/>
        </w:rPr>
        <w:t>日</w:t>
      </w:r>
      <w:r>
        <w:rPr>
          <w:w w:val="100"/>
        </w:rPr>
        <w:t>之间发</w:t>
      </w:r>
      <w:r>
        <w:rPr>
          <w:spacing w:val="-5"/>
          <w:w w:val="100"/>
        </w:rPr>
        <w:t>生</w:t>
      </w:r>
      <w:r>
        <w:rPr>
          <w:w w:val="100"/>
        </w:rPr>
        <w:t>的非</w:t>
      </w:r>
      <w:r>
        <w:rPr>
          <w:spacing w:val="-5"/>
          <w:w w:val="100"/>
        </w:rPr>
        <w:t>货</w:t>
      </w:r>
      <w:r>
        <w:rPr>
          <w:w w:val="100"/>
        </w:rPr>
        <w:t>币性资产</w:t>
      </w:r>
    </w:p>
    <w:p>
      <w:pPr>
        <w:pStyle w:val="BodyText"/>
        <w:spacing w:line="309" w:lineRule="auto" w:before="85"/>
        <w:ind w:left="213" w:right="1113"/>
        <w:jc w:val="left"/>
      </w:pPr>
      <w:r>
        <w:rPr/>
        <w:t>交换，应根据准则规定进行调整。企业对</w:t>
      </w:r>
      <w:r>
        <w:rPr>
          <w:spacing w:val="-37"/>
        </w:rPr>
        <w:t> </w:t>
      </w:r>
      <w:r>
        <w:rPr>
          <w:rFonts w:ascii="宋体" w:hAnsi="宋体" w:cs="宋体" w:eastAsia="宋体" w:hint="default"/>
        </w:rPr>
        <w:t>2019</w:t>
      </w:r>
      <w:r>
        <w:rPr>
          <w:rFonts w:ascii="宋体" w:hAnsi="宋体" w:cs="宋体" w:eastAsia="宋体" w:hint="default"/>
          <w:spacing w:val="-38"/>
        </w:rPr>
        <w:t> </w:t>
      </w:r>
      <w:r>
        <w:rPr/>
        <w:t>年</w:t>
      </w:r>
      <w:r>
        <w:rPr>
          <w:spacing w:val="-38"/>
        </w:rPr>
        <w:t> </w:t>
      </w:r>
      <w:r>
        <w:rPr>
          <w:rFonts w:ascii="宋体" w:hAnsi="宋体" w:cs="宋体" w:eastAsia="宋体" w:hint="default"/>
        </w:rPr>
        <w:t>1</w:t>
      </w:r>
      <w:r>
        <w:rPr>
          <w:rFonts w:ascii="宋体" w:hAnsi="宋体" w:cs="宋体" w:eastAsia="宋体" w:hint="default"/>
          <w:spacing w:val="-43"/>
        </w:rPr>
        <w:t> </w:t>
      </w:r>
      <w:r>
        <w:rPr/>
        <w:t>月</w:t>
      </w:r>
      <w:r>
        <w:rPr>
          <w:spacing w:val="-38"/>
        </w:rPr>
        <w:t> </w:t>
      </w:r>
      <w:r>
        <w:rPr>
          <w:rFonts w:ascii="宋体" w:hAnsi="宋体" w:cs="宋体" w:eastAsia="宋体" w:hint="default"/>
        </w:rPr>
        <w:t>1</w:t>
      </w:r>
      <w:r>
        <w:rPr>
          <w:rFonts w:ascii="宋体" w:hAnsi="宋体" w:cs="宋体" w:eastAsia="宋体" w:hint="default"/>
          <w:spacing w:val="-38"/>
        </w:rPr>
        <w:t> </w:t>
      </w:r>
      <w:r>
        <w:rPr/>
        <w:t>日之前发生的非货币性资产交换，不需要进行追</w:t>
      </w:r>
      <w:r>
        <w:rPr>
          <w:w w:val="100"/>
        </w:rPr>
        <w:t> </w:t>
      </w:r>
      <w:r>
        <w:rPr/>
        <w:t>溯调整。会计政策变更对本公司当期无影响。</w:t>
      </w:r>
    </w:p>
    <w:p>
      <w:pPr>
        <w:spacing w:line="240" w:lineRule="auto" w:before="13"/>
        <w:rPr>
          <w:rFonts w:ascii="宋体" w:hAnsi="宋体" w:cs="宋体" w:eastAsia="宋体" w:hint="default"/>
          <w:sz w:val="13"/>
          <w:szCs w:val="13"/>
        </w:rPr>
      </w:pPr>
    </w:p>
    <w:p>
      <w:pPr>
        <w:pStyle w:val="BodyText"/>
        <w:spacing w:line="240" w:lineRule="auto"/>
        <w:ind w:left="635" w:right="1016"/>
        <w:jc w:val="left"/>
      </w:pPr>
      <w:r>
        <w:rPr>
          <w:w w:val="100"/>
        </w:rPr>
        <w:t>（</w:t>
      </w:r>
      <w:r>
        <w:rPr>
          <w:rFonts w:ascii="宋体" w:hAnsi="宋体" w:cs="宋体" w:eastAsia="宋体" w:hint="default"/>
          <w:w w:val="100"/>
        </w:rPr>
        <w:t>4</w:t>
      </w:r>
      <w:r>
        <w:rPr>
          <w:spacing w:val="-34"/>
          <w:w w:val="100"/>
        </w:rPr>
        <w:t>）</w:t>
      </w:r>
      <w:r>
        <w:rPr>
          <w:w w:val="100"/>
        </w:rPr>
        <w:t>本公司</w:t>
      </w:r>
      <w:r>
        <w:rPr>
          <w:spacing w:val="-5"/>
          <w:w w:val="100"/>
        </w:rPr>
        <w:t>经</w:t>
      </w:r>
      <w:r>
        <w:rPr>
          <w:w w:val="100"/>
        </w:rPr>
        <w:t>董事会</w:t>
      </w:r>
      <w:r>
        <w:rPr>
          <w:spacing w:val="-5"/>
          <w:w w:val="100"/>
        </w:rPr>
        <w:t>会</w:t>
      </w:r>
      <w:r>
        <w:rPr>
          <w:w w:val="100"/>
        </w:rPr>
        <w:t>议批准</w:t>
      </w:r>
      <w:r>
        <w:rPr>
          <w:spacing w:val="-34"/>
          <w:w w:val="100"/>
        </w:rPr>
        <w:t>，</w:t>
      </w:r>
      <w:r>
        <w:rPr>
          <w:w w:val="100"/>
        </w:rPr>
        <w:t>自</w:t>
      </w:r>
      <w:r>
        <w:rPr>
          <w:spacing w:val="-51"/>
        </w:rPr>
        <w:t> </w:t>
      </w:r>
      <w:r>
        <w:rPr>
          <w:rFonts w:ascii="宋体" w:hAnsi="宋体" w:cs="宋体" w:eastAsia="宋体" w:hint="default"/>
          <w:spacing w:val="-5"/>
          <w:w w:val="100"/>
        </w:rPr>
        <w:t>2</w:t>
      </w:r>
      <w:r>
        <w:rPr>
          <w:rFonts w:ascii="宋体" w:hAnsi="宋体" w:cs="宋体" w:eastAsia="宋体" w:hint="default"/>
          <w:w w:val="100"/>
        </w:rPr>
        <w:t>019</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7"/>
        </w:rPr>
        <w:t> </w:t>
      </w:r>
      <w:r>
        <w:rPr>
          <w:w w:val="100"/>
        </w:rPr>
        <w:t>月</w:t>
      </w:r>
      <w:r>
        <w:rPr>
          <w:spacing w:val="-53"/>
        </w:rPr>
        <w:t> </w:t>
      </w:r>
      <w:r>
        <w:rPr>
          <w:rFonts w:ascii="宋体" w:hAnsi="宋体" w:cs="宋体" w:eastAsia="宋体" w:hint="default"/>
          <w:w w:val="100"/>
        </w:rPr>
        <w:t>17</w:t>
      </w:r>
      <w:r>
        <w:rPr>
          <w:rFonts w:ascii="宋体" w:hAnsi="宋体" w:cs="宋体" w:eastAsia="宋体" w:hint="default"/>
          <w:spacing w:val="-53"/>
        </w:rPr>
        <w:t> </w:t>
      </w:r>
      <w:r>
        <w:rPr>
          <w:spacing w:val="-5"/>
          <w:w w:val="100"/>
        </w:rPr>
        <w:t>日</w:t>
      </w:r>
      <w:r>
        <w:rPr>
          <w:w w:val="100"/>
        </w:rPr>
        <w:t>采</w:t>
      </w:r>
      <w:r>
        <w:rPr>
          <w:spacing w:val="-34"/>
          <w:w w:val="100"/>
        </w:rPr>
        <w:t>用</w:t>
      </w:r>
      <w:r>
        <w:rPr>
          <w:w w:val="100"/>
        </w:rPr>
        <w:t>《企业会</w:t>
      </w:r>
      <w:r>
        <w:rPr>
          <w:spacing w:val="-5"/>
          <w:w w:val="100"/>
        </w:rPr>
        <w:t>计</w:t>
      </w:r>
      <w:r>
        <w:rPr>
          <w:w w:val="100"/>
        </w:rPr>
        <w:t>准则第</w:t>
      </w:r>
      <w:r>
        <w:rPr>
          <w:spacing w:val="-52"/>
        </w:rPr>
        <w:t> </w:t>
      </w:r>
      <w:r>
        <w:rPr>
          <w:rFonts w:ascii="宋体" w:hAnsi="宋体" w:cs="宋体" w:eastAsia="宋体" w:hint="default"/>
          <w:spacing w:val="-5"/>
          <w:w w:val="100"/>
        </w:rPr>
        <w:t>1</w:t>
      </w:r>
      <w:r>
        <w:rPr>
          <w:rFonts w:ascii="宋体" w:hAnsi="宋体" w:cs="宋体" w:eastAsia="宋体" w:hint="default"/>
          <w:w w:val="100"/>
        </w:rPr>
        <w:t>2</w:t>
      </w:r>
      <w:r>
        <w:rPr>
          <w:rFonts w:ascii="宋体" w:hAnsi="宋体" w:cs="宋体" w:eastAsia="宋体" w:hint="default"/>
          <w:spacing w:val="-53"/>
        </w:rPr>
        <w:t> </w:t>
      </w:r>
      <w:r>
        <w:rPr>
          <w:w w:val="100"/>
        </w:rPr>
        <w:t>号—</w:t>
      </w:r>
      <w:r>
        <w:rPr>
          <w:spacing w:val="-5"/>
          <w:w w:val="100"/>
        </w:rPr>
        <w:t>—</w:t>
      </w:r>
      <w:r>
        <w:rPr>
          <w:w w:val="100"/>
        </w:rPr>
        <w:t>债务重组</w:t>
      </w:r>
      <w:r>
        <w:rPr>
          <w:spacing w:val="-140"/>
          <w:w w:val="100"/>
        </w:rPr>
        <w:t>》</w:t>
      </w:r>
      <w:r>
        <w:rPr>
          <w:spacing w:val="-5"/>
          <w:w w:val="100"/>
        </w:rPr>
        <w:t>（财</w:t>
      </w:r>
      <w:r>
        <w:rPr>
          <w:w w:val="100"/>
        </w:rPr>
      </w:r>
    </w:p>
    <w:p>
      <w:pPr>
        <w:pStyle w:val="BodyText"/>
        <w:spacing w:line="240" w:lineRule="auto" w:before="85"/>
        <w:ind w:left="213" w:right="1016"/>
        <w:jc w:val="left"/>
      </w:pPr>
      <w:r>
        <w:rPr/>
        <w:t>会〔</w:t>
      </w:r>
      <w:r>
        <w:rPr>
          <w:rFonts w:ascii="宋体" w:hAnsi="宋体" w:cs="宋体" w:eastAsia="宋体" w:hint="default"/>
        </w:rPr>
        <w:t>2019</w:t>
      </w:r>
      <w:r>
        <w:rPr/>
        <w:t>〕</w:t>
      </w:r>
      <w:r>
        <w:rPr>
          <w:rFonts w:ascii="宋体" w:hAnsi="宋体" w:cs="宋体" w:eastAsia="宋体" w:hint="default"/>
        </w:rPr>
        <w:t>9</w:t>
      </w:r>
      <w:r>
        <w:rPr>
          <w:rFonts w:ascii="宋体" w:hAnsi="宋体" w:cs="宋体" w:eastAsia="宋体" w:hint="default"/>
          <w:spacing w:val="-37"/>
        </w:rPr>
        <w:t> </w:t>
      </w:r>
      <w:r>
        <w:rPr/>
        <w:t>号）相关规定，企业对</w:t>
      </w:r>
      <w:r>
        <w:rPr>
          <w:spacing w:val="-36"/>
        </w:rPr>
        <w:t> </w:t>
      </w:r>
      <w:r>
        <w:rPr>
          <w:rFonts w:ascii="宋体" w:hAnsi="宋体" w:cs="宋体" w:eastAsia="宋体" w:hint="default"/>
        </w:rPr>
        <w:t>2019</w:t>
      </w:r>
      <w:r>
        <w:rPr>
          <w:rFonts w:ascii="宋体" w:hAnsi="宋体" w:cs="宋体" w:eastAsia="宋体" w:hint="default"/>
          <w:spacing w:val="1"/>
        </w:rPr>
        <w:t> </w:t>
      </w:r>
      <w:r>
        <w:rPr/>
        <w:t>年</w:t>
      </w:r>
      <w:r>
        <w:rPr>
          <w:spacing w:val="-42"/>
        </w:rPr>
        <w:t> </w:t>
      </w:r>
      <w:r>
        <w:rPr>
          <w:rFonts w:ascii="宋体" w:hAnsi="宋体" w:cs="宋体" w:eastAsia="宋体" w:hint="default"/>
        </w:rPr>
        <w:t>1</w:t>
      </w:r>
      <w:r>
        <w:rPr>
          <w:rFonts w:ascii="宋体" w:hAnsi="宋体" w:cs="宋体" w:eastAsia="宋体" w:hint="default"/>
          <w:spacing w:val="-37"/>
        </w:rPr>
        <w:t> </w:t>
      </w:r>
      <w:r>
        <w:rPr/>
        <w:t>月</w:t>
      </w:r>
      <w:r>
        <w:rPr>
          <w:spacing w:val="-37"/>
        </w:rPr>
        <w:t> </w:t>
      </w:r>
      <w:r>
        <w:rPr>
          <w:rFonts w:ascii="宋体" w:hAnsi="宋体" w:cs="宋体" w:eastAsia="宋体" w:hint="default"/>
        </w:rPr>
        <w:t>1</w:t>
      </w:r>
      <w:r>
        <w:rPr>
          <w:rFonts w:ascii="宋体" w:hAnsi="宋体" w:cs="宋体" w:eastAsia="宋体" w:hint="default"/>
          <w:spacing w:val="-42"/>
        </w:rPr>
        <w:t> </w:t>
      </w:r>
      <w:r>
        <w:rPr/>
        <w:t>日至本准则施行日之间发生的债务重组，应根据准则</w:t>
      </w:r>
    </w:p>
    <w:p>
      <w:pPr>
        <w:pStyle w:val="BodyText"/>
        <w:spacing w:line="309" w:lineRule="auto" w:before="85"/>
        <w:ind w:left="213" w:right="1112"/>
        <w:jc w:val="left"/>
      </w:pPr>
      <w:r>
        <w:rPr/>
        <w:t>规定进行调整。企业对</w:t>
      </w:r>
      <w:r>
        <w:rPr>
          <w:spacing w:val="3"/>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1</w:t>
      </w:r>
      <w:r>
        <w:rPr>
          <w:rFonts w:ascii="宋体" w:hAnsi="宋体" w:cs="宋体" w:eastAsia="宋体" w:hint="default"/>
          <w:spacing w:val="-47"/>
        </w:rPr>
        <w:t> </w:t>
      </w:r>
      <w:r>
        <w:rPr/>
        <w:t>日之前发生的债务重组，不需要进行追溯调整。会计政策变更导致</w:t>
      </w:r>
      <w:r>
        <w:rPr>
          <w:w w:val="100"/>
        </w:rPr>
        <w:t> </w:t>
      </w:r>
      <w:r>
        <w:rPr/>
        <w:t>影响如下：</w:t>
      </w:r>
    </w:p>
    <w:p>
      <w:pPr>
        <w:spacing w:line="240" w:lineRule="auto" w:before="1"/>
        <w:rPr>
          <w:rFonts w:ascii="宋体" w:hAnsi="宋体" w:cs="宋体" w:eastAsia="宋体" w:hint="default"/>
          <w:sz w:val="21"/>
          <w:szCs w:val="21"/>
        </w:rPr>
      </w:pPr>
    </w:p>
    <w:tbl>
      <w:tblPr>
        <w:tblW w:w="0" w:type="auto"/>
        <w:jc w:val="left"/>
        <w:tblInd w:w="198" w:type="dxa"/>
        <w:tblLayout w:type="fixed"/>
        <w:tblCellMar>
          <w:top w:w="0" w:type="dxa"/>
          <w:left w:w="0" w:type="dxa"/>
          <w:bottom w:w="0" w:type="dxa"/>
          <w:right w:w="0" w:type="dxa"/>
        </w:tblCellMar>
        <w:tblLook w:val="01E0"/>
      </w:tblPr>
      <w:tblGrid>
        <w:gridCol w:w="4698"/>
        <w:gridCol w:w="3964"/>
      </w:tblGrid>
      <w:tr>
        <w:trPr>
          <w:trHeight w:val="234" w:hRule="exact"/>
        </w:trPr>
        <w:tc>
          <w:tcPr>
            <w:tcW w:w="4698" w:type="dxa"/>
            <w:tcBorders>
              <w:top w:val="nil" w:sz="6" w:space="0" w:color="auto"/>
              <w:left w:val="nil" w:sz="6" w:space="0" w:color="auto"/>
              <w:bottom w:val="single" w:sz="4" w:space="0" w:color="000000"/>
              <w:right w:val="nil" w:sz="6" w:space="0" w:color="auto"/>
            </w:tcBorders>
          </w:tcPr>
          <w:p>
            <w:pPr>
              <w:pStyle w:val="TableParagraph"/>
              <w:spacing w:line="182" w:lineRule="exact"/>
              <w:ind w:left="126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3964" w:type="dxa"/>
            <w:tcBorders>
              <w:top w:val="nil" w:sz="6" w:space="0" w:color="auto"/>
              <w:left w:val="nil" w:sz="6" w:space="0" w:color="auto"/>
              <w:bottom w:val="single" w:sz="4" w:space="0" w:color="000000"/>
              <w:right w:val="nil" w:sz="6" w:space="0" w:color="auto"/>
            </w:tcBorders>
          </w:tcPr>
          <w:p>
            <w:pPr>
              <w:pStyle w:val="TableParagraph"/>
              <w:spacing w:line="182" w:lineRule="exact"/>
              <w:ind w:left="804"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2119" w:hRule="exact"/>
        </w:trPr>
        <w:tc>
          <w:tcPr>
            <w:tcW w:w="4698" w:type="dxa"/>
            <w:tcBorders>
              <w:top w:val="single" w:sz="4" w:space="0" w:color="000000"/>
              <w:left w:val="nil" w:sz="6" w:space="0" w:color="auto"/>
              <w:bottom w:val="nil" w:sz="6" w:space="0" w:color="auto"/>
              <w:right w:val="nil" w:sz="6" w:space="0" w:color="auto"/>
            </w:tcBorders>
          </w:tcPr>
          <w:p>
            <w:pPr>
              <w:pStyle w:val="TableParagraph"/>
              <w:spacing w:line="367" w:lineRule="auto" w:before="78"/>
              <w:ind w:left="110" w:right="101"/>
              <w:jc w:val="left"/>
              <w:rPr>
                <w:rFonts w:ascii="宋体" w:hAnsi="宋体" w:cs="宋体" w:eastAsia="宋体" w:hint="default"/>
                <w:sz w:val="18"/>
                <w:szCs w:val="18"/>
              </w:rPr>
            </w:pPr>
            <w:r>
              <w:rPr>
                <w:rFonts w:ascii="宋体" w:hAnsi="宋体" w:cs="宋体" w:eastAsia="宋体" w:hint="default"/>
                <w:spacing w:val="-4"/>
                <w:sz w:val="18"/>
                <w:szCs w:val="18"/>
              </w:rPr>
              <w:t>对于债权人因债务重组导致的债权终止确认，应计入“投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资收益”项目列报。</w:t>
            </w:r>
          </w:p>
        </w:tc>
        <w:tc>
          <w:tcPr>
            <w:tcW w:w="396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pacing w:val="-3"/>
                <w:sz w:val="18"/>
                <w:szCs w:val="18"/>
              </w:rPr>
              <w:t>合并利润表：投资收益本期列报金额</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-652,965.42</w:t>
            </w:r>
            <w:r>
              <w:rPr>
                <w:rFonts w:ascii="宋体" w:hAnsi="宋体" w:cs="宋体" w:eastAsia="宋体" w:hint="default"/>
                <w:spacing w:val="2"/>
                <w:sz w:val="18"/>
                <w:szCs w:val="18"/>
              </w:rPr>
              <w:t> </w:t>
            </w:r>
            <w:r>
              <w:rPr>
                <w:rFonts w:ascii="宋体" w:hAnsi="宋体" w:cs="宋体" w:eastAsia="宋体" w:hint="default"/>
                <w:spacing w:val="-3"/>
                <w:sz w:val="18"/>
                <w:szCs w:val="18"/>
              </w:rPr>
              <w:t>元，其中债务重组产生的投资收益</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-879,200.00</w:t>
            </w:r>
            <w:r>
              <w:rPr>
                <w:rFonts w:ascii="宋体" w:hAnsi="宋体" w:cs="宋体" w:eastAsia="宋体" w:hint="default"/>
                <w:spacing w:val="-39"/>
                <w:sz w:val="18"/>
                <w:szCs w:val="18"/>
              </w:rPr>
              <w:t> </w:t>
            </w:r>
            <w:r>
              <w:rPr>
                <w:rFonts w:ascii="宋体" w:hAnsi="宋体" w:cs="宋体" w:eastAsia="宋体" w:hint="default"/>
                <w:sz w:val="18"/>
                <w:szCs w:val="18"/>
              </w:rPr>
              <w:t>元。</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pacing w:val="-3"/>
                <w:sz w:val="18"/>
                <w:szCs w:val="18"/>
              </w:rPr>
              <w:t>母公司利润表：投资收益本期列报金额</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-781,459.75</w:t>
            </w:r>
            <w:r>
              <w:rPr>
                <w:rFonts w:ascii="宋体" w:hAnsi="宋体" w:cs="宋体" w:eastAsia="宋体" w:hint="default"/>
                <w:spacing w:val="2"/>
                <w:sz w:val="18"/>
                <w:szCs w:val="18"/>
              </w:rPr>
              <w:t> </w:t>
            </w:r>
            <w:r>
              <w:rPr>
                <w:rFonts w:ascii="宋体" w:hAnsi="宋体" w:cs="宋体" w:eastAsia="宋体" w:hint="default"/>
                <w:spacing w:val="-3"/>
                <w:sz w:val="18"/>
                <w:szCs w:val="18"/>
              </w:rPr>
              <w:t>元，其中债务重组产生的投资收益</w:t>
            </w: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-2,420,810.26</w:t>
            </w:r>
            <w:r>
              <w:rPr>
                <w:rFonts w:ascii="宋体" w:hAnsi="宋体" w:cs="宋体" w:eastAsia="宋体" w:hint="default"/>
                <w:spacing w:val="-37"/>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spacing w:line="240" w:lineRule="auto" w:before="1"/>
        <w:rPr>
          <w:rFonts w:ascii="宋体" w:hAnsi="宋体" w:cs="宋体" w:eastAsia="宋体" w:hint="default"/>
          <w:sz w:val="19"/>
          <w:szCs w:val="19"/>
        </w:rPr>
      </w:pPr>
    </w:p>
    <w:p>
      <w:pPr>
        <w:pStyle w:val="BodyText"/>
        <w:spacing w:line="451" w:lineRule="auto" w:before="36"/>
        <w:ind w:left="635" w:right="5495"/>
        <w:jc w:val="left"/>
      </w:pPr>
      <w:r>
        <w:rPr>
          <w:rFonts w:ascii="宋体" w:hAnsi="宋体" w:cs="宋体" w:eastAsia="宋体" w:hint="default"/>
        </w:rPr>
        <w:t>2.</w:t>
      </w:r>
      <w:r>
        <w:rPr/>
        <w:t>会计估计的变更</w:t>
      </w:r>
      <w:r>
        <w:rPr>
          <w:spacing w:val="-101"/>
        </w:rPr>
        <w:t> </w:t>
      </w:r>
      <w:r>
        <w:rPr>
          <w:spacing w:val="-101"/>
        </w:rPr>
      </w:r>
      <w:r>
        <w:rPr>
          <w:spacing w:val="-1"/>
        </w:rPr>
        <w:t>本公司本期无会计估计变更的情况。</w:t>
      </w:r>
      <w:r>
        <w:rPr>
          <w:spacing w:val="-85"/>
        </w:rPr>
        <w:t> </w:t>
      </w:r>
      <w:r>
        <w:rPr>
          <w:spacing w:val="-85"/>
        </w:rPr>
      </w:r>
      <w:r>
        <w:rPr>
          <w:rFonts w:ascii="宋体" w:hAnsi="宋体" w:cs="宋体" w:eastAsia="宋体" w:hint="default"/>
        </w:rPr>
        <w:t>3.</w:t>
      </w:r>
      <w:r>
        <w:rPr/>
        <w:t>前期会计差错更正</w:t>
      </w:r>
      <w:r>
        <w:rPr>
          <w:spacing w:val="-100"/>
        </w:rPr>
        <w:t> </w:t>
      </w:r>
      <w:r>
        <w:rPr>
          <w:spacing w:val="-100"/>
        </w:rPr>
      </w:r>
      <w:r>
        <w:rPr/>
        <w:t>本公司本期无前期会计差错更正。</w:t>
      </w:r>
    </w:p>
    <w:p>
      <w:pPr>
        <w:pStyle w:val="BodyText"/>
        <w:spacing w:line="240" w:lineRule="auto" w:before="58"/>
        <w:ind w:left="635" w:right="1118"/>
        <w:jc w:val="left"/>
      </w:pPr>
      <w:r>
        <w:rPr>
          <w:rFonts w:ascii="宋体" w:hAnsi="宋体" w:cs="宋体" w:eastAsia="宋体" w:hint="default"/>
        </w:rPr>
        <w:t>4.</w:t>
      </w:r>
      <w:r>
        <w:rPr/>
        <w:t>首次执行新金融工具准则调整首次执行当年年初财务报表相关项目情况</w:t>
      </w:r>
    </w:p>
    <w:p>
      <w:pPr>
        <w:spacing w:line="240" w:lineRule="auto" w:before="4"/>
        <w:rPr>
          <w:rFonts w:ascii="宋体" w:hAnsi="宋体" w:cs="宋体" w:eastAsia="宋体" w:hint="default"/>
          <w:sz w:val="18"/>
          <w:szCs w:val="18"/>
        </w:rPr>
      </w:pPr>
    </w:p>
    <w:p>
      <w:pPr>
        <w:pStyle w:val="BodyText"/>
        <w:spacing w:line="240" w:lineRule="auto"/>
        <w:ind w:left="3930" w:right="4416"/>
        <w:jc w:val="center"/>
      </w:pPr>
      <w:r>
        <w:rPr/>
        <w:t>合并资产负债表</w:t>
      </w:r>
    </w:p>
    <w:p>
      <w:pPr>
        <w:spacing w:line="240" w:lineRule="auto" w:before="11"/>
        <w:rPr>
          <w:rFonts w:ascii="宋体" w:hAnsi="宋体" w:cs="宋体" w:eastAsia="宋体" w:hint="default"/>
          <w:sz w:val="15"/>
          <w:szCs w:val="15"/>
        </w:rPr>
      </w:pPr>
    </w:p>
    <w:p>
      <w:pPr>
        <w:pStyle w:val="BodyText"/>
        <w:spacing w:line="240" w:lineRule="auto" w:before="36"/>
        <w:ind w:left="0" w:right="1122"/>
        <w:jc w:val="right"/>
      </w:pPr>
      <w:r>
        <w:rPr>
          <w:spacing w:val="-1"/>
        </w:rPr>
        <w:t>金额单位：元</w:t>
      </w:r>
    </w:p>
    <w:p>
      <w:pPr>
        <w:spacing w:after="0" w:line="240" w:lineRule="auto"/>
        <w:jc w:val="right"/>
        <w:sectPr>
          <w:pgSz w:w="11910" w:h="16840"/>
          <w:pgMar w:header="741"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64"/>
        <w:gridCol w:w="2281"/>
        <w:gridCol w:w="2266"/>
        <w:gridCol w:w="1955"/>
        <w:gridCol w:w="913"/>
      </w:tblGrid>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8"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2"/>
                <w:sz w:val="18"/>
              </w:rPr>
              <w:t>148,459,320.81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148,459,320.81</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当期损益的金融资产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44,708,668.17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42,646,143.92</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-2,062,524.25</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22,459,379.45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22,459,379.45</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△应收分保账款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14,697,776.30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14,164,872.19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-532,904.11</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△买入返售金融资产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2"/>
                <w:sz w:val="18"/>
              </w:rPr>
              <w:t>200,478,344.78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2"/>
                <w:sz w:val="18"/>
              </w:rPr>
              <w:t>201,011,248.89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532,904.11</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39"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2"/>
                <w:sz w:val="18"/>
              </w:rPr>
              <w:t>430,803,489.51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428,740,965.26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-2,062,524.25</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5,000,000.00</w:t>
            </w: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9,966,143.92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9,966,143.92</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64"/>
        <w:gridCol w:w="2281"/>
        <w:gridCol w:w="2266"/>
        <w:gridCol w:w="1955"/>
        <w:gridCol w:w="913"/>
      </w:tblGrid>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8"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3,869,439.32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3,869,439.32</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5,586,546.87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5,586,546.87</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3,008,428.82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3,008,428.82</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5,057,515.52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5,057,515.52</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1,973,669.94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2,153,508.08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179,838.14</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3,801,635.08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3,801,635.08</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4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38,263,379.47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38,443,217.61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179,838.14</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2"/>
                <w:sz w:val="18"/>
              </w:rPr>
              <w:t>469,066,868.98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467,184,182.87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-1,882,686.11</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5"/>
              <w:ind w:left="105" w:right="104"/>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当期损益的金融负债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10,188,919.21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10,188,919.21</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53,074,521.28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53,074,521.28</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10,194,028.85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10,194,028.85</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64"/>
        <w:gridCol w:w="2281"/>
        <w:gridCol w:w="2266"/>
        <w:gridCol w:w="1955"/>
        <w:gridCol w:w="913"/>
      </w:tblGrid>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8"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3"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10,278,346.29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10,278,346.29</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5,656,070.96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5,656,070.96</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△应付手续费及佣金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△应付分保账款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39"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89,391,886.59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89,391,886.59</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优先股</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992,690.91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992,690.91</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4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992,690.91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992,690.91</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90,384,577.50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90,384,577.50</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68,000,000.00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68,000,000.00</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优先股</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2"/>
                <w:sz w:val="18"/>
              </w:rPr>
              <w:t>216,309,476.55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2"/>
                <w:sz w:val="18"/>
              </w:rPr>
              <w:t>216,309,476.55</w:t>
            </w: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库存股</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64"/>
        <w:gridCol w:w="2281"/>
        <w:gridCol w:w="2266"/>
        <w:gridCol w:w="1955"/>
        <w:gridCol w:w="913"/>
      </w:tblGrid>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88"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73"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6,964,237.07</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7,013,595.61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49,358.54</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△一般风险准备</w:t>
            </w:r>
          </w:p>
        </w:tc>
        <w:tc>
          <w:tcPr>
            <w:tcW w:w="2281"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91,673,907.11</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90,136,858.32</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-1,537,048.79</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2"/>
                <w:sz w:val="18"/>
              </w:rPr>
              <w:t>382,947,620.73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381,459,930.48</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-1,487,690.25</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-4,265,329.25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-4,660,325.11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-394,995.86</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pacing w:val="-2"/>
                <w:sz w:val="18"/>
              </w:rPr>
              <w:t>378,682,291.48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2"/>
                <w:sz w:val="18"/>
              </w:rPr>
              <w:t>376,799,605.37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-1,882,686.11</w:t>
            </w:r>
          </w:p>
        </w:tc>
        <w:tc>
          <w:tcPr>
            <w:tcW w:w="91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9" w:right="0"/>
              <w:jc w:val="left"/>
              <w:rPr>
                <w:rFonts w:ascii="宋体" w:hAnsi="宋体" w:cs="宋体" w:eastAsia="宋体" w:hint="default"/>
                <w:sz w:val="18"/>
                <w:szCs w:val="18"/>
              </w:rPr>
            </w:pPr>
            <w:r>
              <w:rPr>
                <w:rFonts w:ascii="宋体" w:hAnsi="宋体" w:cs="宋体" w:eastAsia="宋体" w:hint="default"/>
                <w:b/>
                <w:bCs/>
                <w:sz w:val="18"/>
                <w:szCs w:val="18"/>
              </w:rPr>
              <w:t>负债及所有者权益合计</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8"/>
                <w:szCs w:val="18"/>
              </w:rPr>
            </w:pPr>
            <w:r>
              <w:rPr>
                <w:rFonts w:ascii="宋体"/>
                <w:spacing w:val="-2"/>
                <w:sz w:val="18"/>
              </w:rPr>
              <w:t>469,066,868.98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467,184,182.87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-1,882,686.11</w:t>
            </w:r>
          </w:p>
        </w:tc>
        <w:tc>
          <w:tcPr>
            <w:tcW w:w="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63"/>
        <w:ind w:left="695" w:right="1020"/>
        <w:jc w:val="left"/>
      </w:pPr>
      <w:r>
        <w:rPr/>
        <w:t>各项目调整情况的说明：</w:t>
      </w:r>
    </w:p>
    <w:p>
      <w:pPr>
        <w:spacing w:line="240" w:lineRule="auto" w:before="0"/>
        <w:rPr>
          <w:rFonts w:ascii="宋体" w:hAnsi="宋体" w:cs="宋体" w:eastAsia="宋体" w:hint="default"/>
          <w:sz w:val="19"/>
          <w:szCs w:val="19"/>
        </w:rPr>
      </w:pPr>
    </w:p>
    <w:p>
      <w:pPr>
        <w:pStyle w:val="BodyText"/>
        <w:spacing w:line="309" w:lineRule="auto"/>
        <w:ind w:left="273" w:right="1020" w:firstLine="422"/>
        <w:jc w:val="left"/>
      </w:pPr>
      <w:r>
        <w:rPr>
          <w:spacing w:val="-2"/>
          <w:w w:val="100"/>
        </w:rPr>
        <w:t>（</w:t>
      </w:r>
      <w:r>
        <w:rPr>
          <w:rFonts w:ascii="宋体" w:hAnsi="宋体" w:cs="宋体" w:eastAsia="宋体" w:hint="default"/>
          <w:spacing w:val="-2"/>
          <w:w w:val="100"/>
        </w:rPr>
        <w:t>1</w:t>
      </w:r>
      <w:r>
        <w:rPr>
          <w:spacing w:val="-2"/>
          <w:w w:val="100"/>
        </w:rPr>
        <w:t>）将应收账款、其他应收款减值准备计提方法由“已发生损失模型”改为“预期信用损失模型”，</w:t>
      </w:r>
      <w:r>
        <w:rPr>
          <w:w w:val="100"/>
        </w:rPr>
        <w:t> </w:t>
      </w:r>
      <w:r>
        <w:rPr/>
        <w:t>相应调整对应科目金额；</w:t>
      </w:r>
    </w:p>
    <w:p>
      <w:pPr>
        <w:pStyle w:val="BodyText"/>
        <w:spacing w:line="240" w:lineRule="auto" w:before="178"/>
        <w:ind w:left="695" w:right="1020"/>
        <w:jc w:val="left"/>
      </w:pPr>
      <w:r>
        <w:rPr/>
        <w:t>（</w:t>
      </w:r>
      <w:r>
        <w:rPr>
          <w:rFonts w:ascii="宋体" w:hAnsi="宋体" w:cs="宋体" w:eastAsia="宋体" w:hint="default"/>
        </w:rPr>
        <w:t>2</w:t>
      </w:r>
      <w:r>
        <w:rPr/>
        <w:t>）将“可供出售金融资产”调整至“其他非流动金融资产”报表项目列报；</w:t>
      </w:r>
    </w:p>
    <w:p>
      <w:pPr>
        <w:spacing w:line="240" w:lineRule="auto" w:before="8"/>
        <w:rPr>
          <w:rFonts w:ascii="宋体" w:hAnsi="宋体" w:cs="宋体" w:eastAsia="宋体" w:hint="default"/>
          <w:sz w:val="18"/>
          <w:szCs w:val="18"/>
        </w:rPr>
      </w:pPr>
    </w:p>
    <w:p>
      <w:pPr>
        <w:pStyle w:val="BodyText"/>
        <w:spacing w:line="240" w:lineRule="auto"/>
        <w:ind w:left="695" w:right="1020"/>
        <w:jc w:val="left"/>
      </w:pPr>
      <w:r>
        <w:rPr/>
        <w:t>（</w:t>
      </w:r>
      <w:r>
        <w:rPr>
          <w:rFonts w:ascii="宋体" w:hAnsi="宋体" w:cs="宋体" w:eastAsia="宋体" w:hint="default"/>
        </w:rPr>
        <w:t>3</w:t>
      </w:r>
      <w:r>
        <w:rPr/>
        <w:t>）以上调整涉及留存收益的，调整本报告期期初留存收益列报金额。</w:t>
      </w:r>
    </w:p>
    <w:p>
      <w:pPr>
        <w:spacing w:line="240" w:lineRule="auto" w:before="3"/>
        <w:rPr>
          <w:rFonts w:ascii="宋体" w:hAnsi="宋体" w:cs="宋体" w:eastAsia="宋体" w:hint="default"/>
          <w:sz w:val="18"/>
          <w:szCs w:val="18"/>
        </w:rPr>
      </w:pPr>
    </w:p>
    <w:p>
      <w:pPr>
        <w:pStyle w:val="BodyText"/>
        <w:spacing w:line="240" w:lineRule="auto"/>
        <w:ind w:left="4449" w:right="4875"/>
        <w:jc w:val="center"/>
      </w:pPr>
      <w:r>
        <w:rPr/>
        <w:t>母公司资产负债表</w:t>
      </w:r>
    </w:p>
    <w:p>
      <w:pPr>
        <w:spacing w:line="240" w:lineRule="auto" w:before="8"/>
        <w:rPr>
          <w:rFonts w:ascii="宋体" w:hAnsi="宋体" w:cs="宋体" w:eastAsia="宋体" w:hint="default"/>
          <w:sz w:val="18"/>
          <w:szCs w:val="18"/>
        </w:rPr>
      </w:pPr>
    </w:p>
    <w:p>
      <w:pPr>
        <w:pStyle w:val="BodyText"/>
        <w:spacing w:line="240" w:lineRule="auto"/>
        <w:ind w:left="0" w:right="1122"/>
        <w:jc w:val="right"/>
      </w:pPr>
      <w:r>
        <w:rPr>
          <w:spacing w:val="-1"/>
        </w:rPr>
        <w:t>金额单位：元</w:t>
      </w:r>
    </w:p>
    <w:p>
      <w:pPr>
        <w:spacing w:line="240" w:lineRule="auto" w:before="5"/>
        <w:rPr>
          <w:rFonts w:ascii="宋体" w:hAnsi="宋体" w:cs="宋体" w:eastAsia="宋体" w:hint="default"/>
          <w:sz w:val="15"/>
          <w:szCs w:val="15"/>
        </w:rPr>
      </w:pPr>
    </w:p>
    <w:tbl>
      <w:tblPr>
        <w:tblW w:w="0" w:type="auto"/>
        <w:jc w:val="left"/>
        <w:tblInd w:w="359" w:type="dxa"/>
        <w:tblLayout w:type="fixed"/>
        <w:tblCellMar>
          <w:top w:w="0" w:type="dxa"/>
          <w:left w:w="0" w:type="dxa"/>
          <w:bottom w:w="0" w:type="dxa"/>
          <w:right w:w="0" w:type="dxa"/>
        </w:tblCellMar>
        <w:tblLook w:val="01E0"/>
      </w:tblPr>
      <w:tblGrid>
        <w:gridCol w:w="2228"/>
        <w:gridCol w:w="2175"/>
        <w:gridCol w:w="2132"/>
        <w:gridCol w:w="1844"/>
        <w:gridCol w:w="1075"/>
      </w:tblGrid>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3"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43"/>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118,049,644.12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118,049,644.12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28"/>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计入当期损益的金融资产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16,859,001.09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17,439,689.78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35" w:right="0"/>
              <w:jc w:val="left"/>
              <w:rPr>
                <w:rFonts w:ascii="宋体" w:hAnsi="宋体" w:cs="宋体" w:eastAsia="宋体" w:hint="default"/>
                <w:sz w:val="18"/>
                <w:szCs w:val="18"/>
              </w:rPr>
            </w:pPr>
            <w:r>
              <w:rPr>
                <w:rFonts w:ascii="宋体"/>
                <w:sz w:val="18"/>
              </w:rPr>
              <w:t>580,688.69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7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2,695,061.10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2,695,061.10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△应收分保账款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39" w:type="dxa"/>
        <w:tblLayout w:type="fixed"/>
        <w:tblCellMar>
          <w:top w:w="0" w:type="dxa"/>
          <w:left w:w="0" w:type="dxa"/>
          <w:bottom w:w="0" w:type="dxa"/>
          <w:right w:w="0" w:type="dxa"/>
        </w:tblCellMar>
        <w:tblLook w:val="01E0"/>
      </w:tblPr>
      <w:tblGrid>
        <w:gridCol w:w="2228"/>
        <w:gridCol w:w="2175"/>
        <w:gridCol w:w="2132"/>
        <w:gridCol w:w="1844"/>
        <w:gridCol w:w="1075"/>
      </w:tblGrid>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3"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43"/>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38,207,042.50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37,674,138.39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-532,904.11</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△买入返售金融资产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195,115,971.20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195,648,875.31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532,904.11</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6"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370,926,720.01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5"/>
              <w:jc w:val="right"/>
              <w:rPr>
                <w:rFonts w:ascii="宋体" w:hAnsi="宋体" w:cs="宋体" w:eastAsia="宋体" w:hint="default"/>
                <w:sz w:val="18"/>
                <w:szCs w:val="18"/>
              </w:rPr>
            </w:pPr>
            <w:r>
              <w:rPr>
                <w:rFonts w:ascii="宋体"/>
                <w:spacing w:val="-2"/>
                <w:sz w:val="18"/>
              </w:rPr>
              <w:t>371,507,408.70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580,688.69</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5,000,000.00</w:t>
            </w: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7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75,435,996.52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75,435,996.52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7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1,587,047.15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1,587,047.15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4,164,482.01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4,164,482.01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3,008,428.82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3,008,428.82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2,022,137.50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2,022,137.50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3"/>
              <w:jc w:val="right"/>
              <w:rPr>
                <w:rFonts w:ascii="宋体" w:hAnsi="宋体" w:cs="宋体" w:eastAsia="宋体" w:hint="default"/>
                <w:sz w:val="18"/>
                <w:szCs w:val="18"/>
              </w:rPr>
            </w:pPr>
            <w:r>
              <w:rPr>
                <w:rFonts w:ascii="宋体"/>
                <w:spacing w:val="-1"/>
                <w:sz w:val="18"/>
              </w:rPr>
              <w:t>755,879.72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668,776.42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-87,103.30</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735,272.73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735,272.73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92,709,244.45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92,622,141.15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-87,103.30</w:t>
            </w:r>
          </w:p>
        </w:tc>
        <w:tc>
          <w:tcPr>
            <w:tcW w:w="10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39" w:type="dxa"/>
        <w:tblLayout w:type="fixed"/>
        <w:tblCellMar>
          <w:top w:w="0" w:type="dxa"/>
          <w:left w:w="0" w:type="dxa"/>
          <w:bottom w:w="0" w:type="dxa"/>
          <w:right w:w="0" w:type="dxa"/>
        </w:tblCellMar>
        <w:tblLook w:val="01E0"/>
      </w:tblPr>
      <w:tblGrid>
        <w:gridCol w:w="2228"/>
        <w:gridCol w:w="2175"/>
        <w:gridCol w:w="2132"/>
        <w:gridCol w:w="1844"/>
        <w:gridCol w:w="1075"/>
      </w:tblGrid>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3"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463,635,964.46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464,129,549.85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35" w:right="0"/>
              <w:jc w:val="left"/>
              <w:rPr>
                <w:rFonts w:ascii="宋体" w:hAnsi="宋体" w:cs="宋体" w:eastAsia="宋体" w:hint="default"/>
                <w:sz w:val="18"/>
                <w:szCs w:val="18"/>
              </w:rPr>
            </w:pPr>
            <w:r>
              <w:rPr>
                <w:rFonts w:ascii="宋体"/>
                <w:sz w:val="18"/>
              </w:rPr>
              <w:t>493,585.39</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5" w:right="128"/>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计入当期损益的金融负债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3,934,609.75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3,934,609.75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46,494,888.30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46,494,888.30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7,734,118.18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7,734,118.18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3"/>
              <w:jc w:val="right"/>
              <w:rPr>
                <w:rFonts w:ascii="宋体" w:hAnsi="宋体" w:cs="宋体" w:eastAsia="宋体" w:hint="default"/>
                <w:sz w:val="18"/>
                <w:szCs w:val="18"/>
              </w:rPr>
            </w:pPr>
            <w:r>
              <w:rPr>
                <w:rFonts w:ascii="宋体"/>
                <w:spacing w:val="-1"/>
                <w:sz w:val="18"/>
              </w:rPr>
              <w:t>2,623,664.56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2,623,664.56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64,385,278.70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64,385,278.70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8" w:right="0"/>
              <w:jc w:val="left"/>
              <w:rPr>
                <w:rFonts w:ascii="宋体" w:hAnsi="宋体" w:cs="宋体" w:eastAsia="宋体" w:hint="default"/>
                <w:sz w:val="18"/>
                <w:szCs w:val="18"/>
              </w:rPr>
            </w:pPr>
            <w:r>
              <w:rPr>
                <w:rFonts w:ascii="宋体" w:hAnsi="宋体" w:cs="宋体" w:eastAsia="宋体" w:hint="default"/>
                <w:spacing w:val="-3"/>
                <w:sz w:val="18"/>
                <w:szCs w:val="18"/>
              </w:rPr>
              <w:t>△应付手续费及佣金</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△应付分保账款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66"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125,172,559.49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125,172,559.49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优先股</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39" w:type="dxa"/>
        <w:tblLayout w:type="fixed"/>
        <w:tblCellMar>
          <w:top w:w="0" w:type="dxa"/>
          <w:left w:w="0" w:type="dxa"/>
          <w:bottom w:w="0" w:type="dxa"/>
          <w:right w:w="0" w:type="dxa"/>
        </w:tblCellMar>
        <w:tblLook w:val="01E0"/>
      </w:tblPr>
      <w:tblGrid>
        <w:gridCol w:w="2228"/>
        <w:gridCol w:w="2175"/>
        <w:gridCol w:w="2132"/>
        <w:gridCol w:w="1844"/>
        <w:gridCol w:w="1075"/>
      </w:tblGrid>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5"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3"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125,172,559.49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125,172,559.49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68,000,000.00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宋体" w:hAnsi="宋体" w:cs="宋体" w:eastAsia="宋体" w:hint="default"/>
                <w:sz w:val="18"/>
                <w:szCs w:val="18"/>
              </w:rPr>
            </w:pPr>
            <w:r>
              <w:rPr>
                <w:rFonts w:ascii="宋体"/>
                <w:spacing w:val="-1"/>
                <w:sz w:val="18"/>
              </w:rPr>
              <w:t>68,000,000.00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优先股</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207,621,034.31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207,621,034.31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库存股</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3"/>
              <w:jc w:val="right"/>
              <w:rPr>
                <w:rFonts w:ascii="宋体" w:hAnsi="宋体" w:cs="宋体" w:eastAsia="宋体" w:hint="default"/>
                <w:sz w:val="18"/>
                <w:szCs w:val="18"/>
              </w:rPr>
            </w:pPr>
            <w:r>
              <w:rPr>
                <w:rFonts w:ascii="宋体"/>
                <w:spacing w:val="-1"/>
                <w:sz w:val="18"/>
              </w:rPr>
              <w:t>6,964,237.07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7,013,595.61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49,358.54</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△一般风险准备</w:t>
            </w:r>
          </w:p>
        </w:tc>
        <w:tc>
          <w:tcPr>
            <w:tcW w:w="2175"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55,878,133.59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56,322,360.44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444,226.85</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80"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338,463,404.97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338,956,990.36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493,585.39</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06" w:right="0"/>
              <w:jc w:val="left"/>
              <w:rPr>
                <w:rFonts w:ascii="宋体" w:hAnsi="宋体" w:cs="宋体" w:eastAsia="宋体" w:hint="default"/>
                <w:sz w:val="18"/>
                <w:szCs w:val="18"/>
              </w:rPr>
            </w:pPr>
            <w:r>
              <w:rPr>
                <w:rFonts w:ascii="宋体" w:hAnsi="宋体" w:cs="宋体" w:eastAsia="宋体" w:hint="default"/>
                <w:b/>
                <w:bCs/>
                <w:sz w:val="18"/>
                <w:szCs w:val="18"/>
              </w:rPr>
              <w:t>负债及所有者权益合计</w:t>
            </w:r>
            <w:r>
              <w:rPr>
                <w:rFonts w:ascii="宋体" w:hAnsi="宋体" w:cs="宋体" w:eastAsia="宋体" w:hint="default"/>
                <w:sz w:val="18"/>
                <w:szCs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463,635,964.46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464,129,549.85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493,585.39</w:t>
            </w:r>
          </w:p>
        </w:tc>
        <w:tc>
          <w:tcPr>
            <w:tcW w:w="10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pStyle w:val="BodyText"/>
        <w:spacing w:line="240" w:lineRule="auto" w:before="36"/>
        <w:ind w:left="575" w:right="0"/>
        <w:jc w:val="left"/>
      </w:pPr>
      <w:r>
        <w:rPr/>
        <w:t>各项目调整情况的说明：</w:t>
      </w:r>
    </w:p>
    <w:p>
      <w:pPr>
        <w:spacing w:line="240" w:lineRule="auto" w:before="0"/>
        <w:rPr>
          <w:rFonts w:ascii="宋体" w:hAnsi="宋体" w:cs="宋体" w:eastAsia="宋体" w:hint="default"/>
          <w:sz w:val="19"/>
          <w:szCs w:val="19"/>
        </w:rPr>
      </w:pPr>
    </w:p>
    <w:p>
      <w:pPr>
        <w:pStyle w:val="BodyText"/>
        <w:spacing w:line="309" w:lineRule="auto"/>
        <w:ind w:right="1020" w:firstLine="422"/>
        <w:jc w:val="left"/>
      </w:pPr>
      <w:r>
        <w:rPr>
          <w:spacing w:val="-2"/>
          <w:w w:val="100"/>
        </w:rPr>
        <w:t>（</w:t>
      </w:r>
      <w:r>
        <w:rPr>
          <w:rFonts w:ascii="宋体" w:hAnsi="宋体" w:cs="宋体" w:eastAsia="宋体" w:hint="default"/>
          <w:spacing w:val="-2"/>
          <w:w w:val="100"/>
        </w:rPr>
        <w:t>1</w:t>
      </w:r>
      <w:r>
        <w:rPr>
          <w:spacing w:val="-2"/>
          <w:w w:val="100"/>
        </w:rPr>
        <w:t>）将应收账款、其他应收款减值准备计提方法由“已发生损失模型”改为“预期信用损失模型”，</w:t>
      </w:r>
      <w:r>
        <w:rPr>
          <w:w w:val="100"/>
        </w:rPr>
        <w:t> </w:t>
      </w:r>
      <w:r>
        <w:rPr/>
        <w:t>相应调整对应科目金额；</w:t>
      </w:r>
    </w:p>
    <w:p>
      <w:pPr>
        <w:pStyle w:val="BodyText"/>
        <w:spacing w:line="240" w:lineRule="auto" w:before="178"/>
        <w:ind w:left="575" w:right="0"/>
        <w:jc w:val="left"/>
      </w:pPr>
      <w:r>
        <w:rPr/>
        <w:t>（</w:t>
      </w:r>
      <w:r>
        <w:rPr>
          <w:rFonts w:ascii="宋体" w:hAnsi="宋体" w:cs="宋体" w:eastAsia="宋体" w:hint="default"/>
        </w:rPr>
        <w:t>2</w:t>
      </w:r>
      <w:r>
        <w:rPr/>
        <w:t>）将“可供出售金融资产”调整至“其他非流动金融资产”报表项目列报；</w:t>
      </w:r>
    </w:p>
    <w:p>
      <w:pPr>
        <w:spacing w:line="240" w:lineRule="auto" w:before="9"/>
        <w:rPr>
          <w:rFonts w:ascii="宋体" w:hAnsi="宋体" w:cs="宋体" w:eastAsia="宋体" w:hint="default"/>
          <w:sz w:val="18"/>
          <w:szCs w:val="18"/>
        </w:rPr>
      </w:pPr>
    </w:p>
    <w:p>
      <w:pPr>
        <w:pStyle w:val="BodyText"/>
        <w:spacing w:line="448" w:lineRule="auto"/>
        <w:ind w:left="575" w:right="0"/>
        <w:jc w:val="left"/>
      </w:pPr>
      <w:r>
        <w:rPr>
          <w:spacing w:val="-2"/>
        </w:rPr>
        <w:t>（</w:t>
      </w:r>
      <w:r>
        <w:rPr>
          <w:rFonts w:ascii="宋体" w:hAnsi="宋体" w:cs="宋体" w:eastAsia="宋体" w:hint="default"/>
          <w:spacing w:val="-2"/>
        </w:rPr>
        <w:t>3</w:t>
      </w:r>
      <w:r>
        <w:rPr>
          <w:spacing w:val="-2"/>
        </w:rPr>
        <w:t>）以上调整涉及留存收益的，调整本报告期期初留存收益列报金额。</w:t>
      </w:r>
      <w:r>
        <w:rPr>
          <w:spacing w:val="-39"/>
        </w:rPr>
        <w:t> </w:t>
      </w:r>
      <w:r>
        <w:rPr>
          <w:spacing w:val="-39"/>
        </w:rPr>
      </w:r>
      <w:r>
        <w:rPr>
          <w:rFonts w:ascii="宋体" w:hAnsi="宋体" w:cs="宋体" w:eastAsia="宋体" w:hint="default"/>
        </w:rPr>
        <w:t>5.</w:t>
      </w:r>
      <w:r>
        <w:rPr/>
        <w:t>首次执行新金融工具准则、新租赁准则追溯调整前期比较数据的说明</w:t>
      </w:r>
    </w:p>
    <w:p>
      <w:pPr>
        <w:spacing w:after="0" w:line="448" w:lineRule="auto"/>
        <w:jc w:val="left"/>
        <w:sectPr>
          <w:pgSz w:w="11910" w:h="16840"/>
          <w:pgMar w:header="741" w:footer="979" w:top="1060" w:bottom="1160" w:left="980" w:right="0"/>
        </w:sectPr>
      </w:pPr>
    </w:p>
    <w:p>
      <w:pPr>
        <w:spacing w:line="240" w:lineRule="auto" w:before="12"/>
        <w:rPr>
          <w:rFonts w:ascii="宋体" w:hAnsi="宋体" w:cs="宋体" w:eastAsia="宋体" w:hint="default"/>
          <w:sz w:val="28"/>
          <w:szCs w:val="28"/>
        </w:rPr>
      </w:pPr>
    </w:p>
    <w:p>
      <w:pPr>
        <w:pStyle w:val="BodyText"/>
        <w:spacing w:line="240" w:lineRule="auto" w:before="36"/>
        <w:ind w:left="635" w:right="1118"/>
        <w:jc w:val="left"/>
      </w:pPr>
      <w:r>
        <w:rPr/>
        <w:t>不适用。</w:t>
      </w:r>
    </w:p>
    <w:p>
      <w:pPr>
        <w:spacing w:line="240" w:lineRule="auto" w:before="1"/>
        <w:rPr>
          <w:rFonts w:ascii="宋体" w:hAnsi="宋体" w:cs="宋体" w:eastAsia="宋体" w:hint="default"/>
          <w:sz w:val="28"/>
          <w:szCs w:val="28"/>
        </w:rPr>
      </w:pPr>
    </w:p>
    <w:p>
      <w:pPr>
        <w:pStyle w:val="Heading2"/>
        <w:spacing w:line="240" w:lineRule="auto"/>
        <w:ind w:left="693" w:right="1118"/>
        <w:jc w:val="left"/>
        <w:rPr>
          <w:rFonts w:ascii="黑体" w:hAnsi="黑体" w:cs="黑体" w:eastAsia="黑体" w:hint="default"/>
          <w:b w:val="0"/>
          <w:bCs w:val="0"/>
        </w:rPr>
      </w:pPr>
      <w:bookmarkStart w:name="六、合并财务报表主要项目注释" w:id="198"/>
      <w:bookmarkEnd w:id="198"/>
      <w:r>
        <w:rPr>
          <w:b w:val="0"/>
          <w:bCs w:val="0"/>
        </w:rPr>
      </w:r>
      <w:r>
        <w:rPr>
          <w:rFonts w:ascii="黑体" w:hAnsi="黑体" w:cs="黑体" w:eastAsia="黑体" w:hint="default"/>
        </w:rPr>
        <w:t>六、合并财务报表主要项目注释</w:t>
      </w:r>
      <w:r>
        <w:rPr>
          <w:rFonts w:ascii="黑体" w:hAnsi="黑体" w:cs="黑体" w:eastAsia="黑体" w:hint="default"/>
          <w:b w:val="0"/>
          <w:bCs w:val="0"/>
        </w:rPr>
      </w:r>
    </w:p>
    <w:p>
      <w:pPr>
        <w:spacing w:line="240" w:lineRule="auto" w:before="9"/>
        <w:rPr>
          <w:rFonts w:ascii="黑体" w:hAnsi="黑体" w:cs="黑体" w:eastAsia="黑体" w:hint="default"/>
          <w:b/>
          <w:bCs/>
          <w:sz w:val="29"/>
          <w:szCs w:val="29"/>
        </w:rPr>
      </w:pPr>
    </w:p>
    <w:p>
      <w:pPr>
        <w:pStyle w:val="BodyText"/>
        <w:spacing w:line="240" w:lineRule="auto"/>
        <w:ind w:left="635" w:right="1118"/>
        <w:jc w:val="left"/>
      </w:pPr>
      <w:r>
        <w:rPr/>
        <w:t>说明：期初指</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日，期末指</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日，上期指</w:t>
      </w:r>
      <w:r>
        <w:rPr>
          <w:rFonts w:ascii="宋体" w:hAnsi="宋体" w:cs="宋体" w:eastAsia="宋体" w:hint="default"/>
        </w:rPr>
        <w:t>2018</w:t>
      </w:r>
      <w:r>
        <w:rPr/>
        <w:t>年度，本期指</w:t>
      </w:r>
      <w:r>
        <w:rPr>
          <w:rFonts w:ascii="宋体" w:hAnsi="宋体" w:cs="宋体" w:eastAsia="宋体" w:hint="default"/>
        </w:rPr>
        <w:t>2019</w:t>
      </w:r>
      <w:r>
        <w:rPr/>
        <w:t>年度。</w:t>
      </w:r>
    </w:p>
    <w:p>
      <w:pPr>
        <w:spacing w:line="240" w:lineRule="auto" w:before="8"/>
        <w:rPr>
          <w:rFonts w:ascii="宋体" w:hAnsi="宋体" w:cs="宋体" w:eastAsia="宋体" w:hint="default"/>
          <w:sz w:val="18"/>
          <w:szCs w:val="18"/>
        </w:rPr>
      </w:pPr>
    </w:p>
    <w:p>
      <w:pPr>
        <w:pStyle w:val="BodyText"/>
        <w:spacing w:line="448" w:lineRule="auto"/>
        <w:ind w:left="635" w:right="8859"/>
        <w:jc w:val="left"/>
      </w:pPr>
      <w:bookmarkStart w:name="（一）货币资金" w:id="199"/>
      <w:bookmarkEnd w:id="199"/>
      <w:r>
        <w:rPr/>
      </w:r>
      <w:r>
        <w:rPr/>
        <w:t>（一）货币资金</w:t>
      </w:r>
      <w:r>
        <w:rPr>
          <w:spacing w:val="-102"/>
        </w:rPr>
        <w:t> </w:t>
      </w:r>
      <w:r>
        <w:rPr>
          <w:spacing w:val="-102"/>
        </w:rPr>
      </w:r>
      <w:r>
        <w:rPr>
          <w:rFonts w:ascii="宋体" w:hAnsi="宋体" w:cs="宋体" w:eastAsia="宋体" w:hint="default"/>
        </w:rPr>
        <w:t>1.</w:t>
      </w:r>
      <w:r>
        <w:rPr/>
        <w:t>分类列示</w:t>
      </w:r>
    </w:p>
    <w:p>
      <w:pPr>
        <w:spacing w:line="240" w:lineRule="auto" w:before="12"/>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063"/>
        <w:gridCol w:w="3304"/>
        <w:gridCol w:w="1263"/>
        <w:gridCol w:w="802"/>
        <w:gridCol w:w="1325"/>
        <w:gridCol w:w="101"/>
      </w:tblGrid>
      <w:tr>
        <w:trPr>
          <w:trHeight w:val="253" w:hRule="exact"/>
        </w:trPr>
        <w:tc>
          <w:tcPr>
            <w:tcW w:w="3063"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04"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182"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802"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01" w:type="dxa"/>
            <w:tcBorders>
              <w:top w:val="nil" w:sz="6" w:space="0" w:color="auto"/>
              <w:left w:val="nil" w:sz="6" w:space="0" w:color="auto"/>
              <w:bottom w:val="single" w:sz="4" w:space="0" w:color="000000"/>
              <w:right w:val="nil" w:sz="6" w:space="0" w:color="auto"/>
            </w:tcBorders>
          </w:tcPr>
          <w:p>
            <w:pPr/>
          </w:p>
        </w:tc>
      </w:tr>
      <w:tr>
        <w:trPr>
          <w:trHeight w:val="426" w:hRule="exact"/>
        </w:trPr>
        <w:tc>
          <w:tcPr>
            <w:tcW w:w="30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4"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562.00</w:t>
            </w:r>
          </w:p>
        </w:tc>
        <w:tc>
          <w:tcPr>
            <w:tcW w:w="802"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5,543.00</w:t>
            </w:r>
          </w:p>
        </w:tc>
        <w:tc>
          <w:tcPr>
            <w:tcW w:w="101" w:type="dxa"/>
            <w:tcBorders>
              <w:top w:val="single" w:sz="4" w:space="0" w:color="000000"/>
              <w:left w:val="nil" w:sz="6" w:space="0" w:color="auto"/>
              <w:bottom w:val="nil" w:sz="6" w:space="0" w:color="auto"/>
              <w:right w:val="nil" w:sz="6" w:space="0" w:color="auto"/>
            </w:tcBorders>
          </w:tcPr>
          <w:p>
            <w:pPr/>
          </w:p>
        </w:tc>
      </w:tr>
      <w:tr>
        <w:trPr>
          <w:trHeight w:val="398"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30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spacing w:val="-2"/>
                <w:sz w:val="18"/>
              </w:rPr>
              <w:t>235,681,826.53</w:t>
            </w:r>
          </w:p>
        </w:tc>
        <w:tc>
          <w:tcPr>
            <w:tcW w:w="802"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2" w:right="0"/>
              <w:jc w:val="left"/>
              <w:rPr>
                <w:rFonts w:ascii="宋体" w:hAnsi="宋体" w:cs="宋体" w:eastAsia="宋体" w:hint="default"/>
                <w:sz w:val="18"/>
                <w:szCs w:val="18"/>
              </w:rPr>
            </w:pPr>
            <w:r>
              <w:rPr>
                <w:rFonts w:ascii="宋体"/>
                <w:spacing w:val="-2"/>
                <w:sz w:val="18"/>
              </w:rPr>
              <w:t>147,466,242.16</w:t>
            </w:r>
          </w:p>
        </w:tc>
        <w:tc>
          <w:tcPr>
            <w:tcW w:w="101" w:type="dxa"/>
            <w:tcBorders>
              <w:top w:val="nil" w:sz="6" w:space="0" w:color="auto"/>
              <w:left w:val="nil" w:sz="6" w:space="0" w:color="auto"/>
              <w:bottom w:val="nil" w:sz="6" w:space="0" w:color="auto"/>
              <w:right w:val="nil" w:sz="6" w:space="0" w:color="auto"/>
            </w:tcBorders>
          </w:tcPr>
          <w:p>
            <w:pPr/>
          </w:p>
        </w:tc>
      </w:tr>
      <w:tr>
        <w:trPr>
          <w:trHeight w:val="396"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30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28,567.86</w:t>
            </w:r>
          </w:p>
        </w:tc>
        <w:tc>
          <w:tcPr>
            <w:tcW w:w="802"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987,535.65</w:t>
            </w:r>
          </w:p>
        </w:tc>
        <w:tc>
          <w:tcPr>
            <w:tcW w:w="101" w:type="dxa"/>
            <w:tcBorders>
              <w:top w:val="nil" w:sz="6" w:space="0" w:color="auto"/>
              <w:left w:val="nil" w:sz="6" w:space="0" w:color="auto"/>
              <w:bottom w:val="nil" w:sz="6" w:space="0" w:color="auto"/>
              <w:right w:val="nil" w:sz="6" w:space="0" w:color="auto"/>
            </w:tcBorders>
          </w:tcPr>
          <w:p>
            <w:pPr/>
          </w:p>
        </w:tc>
      </w:tr>
      <w:tr>
        <w:trPr>
          <w:trHeight w:val="315" w:hRule="exact"/>
        </w:trPr>
        <w:tc>
          <w:tcPr>
            <w:tcW w:w="306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30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w w:val="101"/>
                <w:sz w:val="18"/>
              </w:rPr>
            </w:r>
            <w:r>
              <w:rPr>
                <w:rFonts w:ascii="宋体"/>
                <w:spacing w:val="-2"/>
                <w:sz w:val="18"/>
                <w:u w:val="single" w:color="000000"/>
              </w:rPr>
              <w:t>235,710,956.39</w:t>
            </w:r>
            <w:r>
              <w:rPr>
                <w:rFonts w:ascii="宋体"/>
                <w:spacing w:val="-2"/>
                <w:sz w:val="18"/>
              </w:rPr>
            </w:r>
          </w:p>
        </w:tc>
        <w:tc>
          <w:tcPr>
            <w:tcW w:w="802"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w w:val="101"/>
                <w:sz w:val="18"/>
              </w:rPr>
            </w:r>
            <w:r>
              <w:rPr>
                <w:rFonts w:ascii="宋体"/>
                <w:spacing w:val="-2"/>
                <w:sz w:val="18"/>
                <w:u w:val="single" w:color="000000"/>
              </w:rPr>
              <w:t>148,459,320.81</w:t>
            </w:r>
            <w:r>
              <w:rPr>
                <w:rFonts w:ascii="宋体"/>
                <w:spacing w:val="-2"/>
                <w:sz w:val="18"/>
              </w:rPr>
            </w:r>
          </w:p>
        </w:tc>
        <w:tc>
          <w:tcPr>
            <w:tcW w:w="10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635" w:right="1118"/>
        <w:jc w:val="left"/>
      </w:pPr>
      <w:r>
        <w:rPr>
          <w:rFonts w:ascii="宋体" w:hAnsi="宋体" w:cs="宋体" w:eastAsia="宋体" w:hint="default"/>
        </w:rPr>
        <w:t>2.</w:t>
      </w:r>
      <w:r>
        <w:rPr/>
        <w:t>期末不存在抵押、质押、冻结等对使用有限制的款项。</w:t>
      </w:r>
    </w:p>
    <w:p>
      <w:pPr>
        <w:spacing w:line="240" w:lineRule="auto" w:before="8"/>
        <w:rPr>
          <w:rFonts w:ascii="宋体" w:hAnsi="宋体" w:cs="宋体" w:eastAsia="宋体" w:hint="default"/>
          <w:sz w:val="18"/>
          <w:szCs w:val="18"/>
        </w:rPr>
      </w:pPr>
    </w:p>
    <w:p>
      <w:pPr>
        <w:pStyle w:val="BodyText"/>
        <w:spacing w:line="240" w:lineRule="auto"/>
        <w:ind w:left="635" w:right="1118"/>
        <w:jc w:val="left"/>
      </w:pPr>
      <w:r>
        <w:rPr>
          <w:rFonts w:ascii="宋体" w:hAnsi="宋体" w:cs="宋体" w:eastAsia="宋体" w:hint="default"/>
        </w:rPr>
        <w:t>3.</w:t>
      </w:r>
      <w:r>
        <w:rPr/>
        <w:t>期末不存放在境外且资金汇回受到限制的款项。</w:t>
      </w:r>
    </w:p>
    <w:p>
      <w:pPr>
        <w:spacing w:line="240" w:lineRule="auto" w:before="4"/>
        <w:rPr>
          <w:rFonts w:ascii="宋体" w:hAnsi="宋体" w:cs="宋体" w:eastAsia="宋体" w:hint="default"/>
          <w:sz w:val="18"/>
          <w:szCs w:val="18"/>
        </w:rPr>
      </w:pPr>
    </w:p>
    <w:p>
      <w:pPr>
        <w:pStyle w:val="BodyText"/>
        <w:spacing w:line="453" w:lineRule="auto"/>
        <w:ind w:left="635" w:right="8859"/>
        <w:jc w:val="left"/>
      </w:pPr>
      <w:bookmarkStart w:name="（二）应收账款" w:id="200"/>
      <w:bookmarkEnd w:id="200"/>
      <w:r>
        <w:rPr/>
      </w:r>
      <w:r>
        <w:rPr/>
        <w:t>（二）应收账款</w:t>
      </w:r>
      <w:r>
        <w:rPr>
          <w:spacing w:val="-102"/>
        </w:rPr>
        <w:t> </w:t>
      </w:r>
      <w:r>
        <w:rPr>
          <w:spacing w:val="-102"/>
        </w:rPr>
      </w:r>
      <w:r>
        <w:rPr>
          <w:rFonts w:ascii="宋体" w:hAnsi="宋体" w:cs="宋体" w:eastAsia="宋体" w:hint="default"/>
        </w:rPr>
        <w:t>1.</w:t>
      </w:r>
      <w:r>
        <w:rPr/>
        <w:t>按账龄披露</w:t>
      </w:r>
    </w:p>
    <w:p>
      <w:pPr>
        <w:spacing w:line="240" w:lineRule="auto" w:before="7"/>
        <w:rPr>
          <w:rFonts w:ascii="宋体" w:hAnsi="宋体" w:cs="宋体" w:eastAsia="宋体" w:hint="default"/>
          <w:sz w:val="12"/>
          <w:szCs w:val="12"/>
        </w:rPr>
      </w:pPr>
    </w:p>
    <w:tbl>
      <w:tblPr>
        <w:tblW w:w="0" w:type="auto"/>
        <w:jc w:val="left"/>
        <w:tblInd w:w="779" w:type="dxa"/>
        <w:tblLayout w:type="fixed"/>
        <w:tblCellMar>
          <w:top w:w="0" w:type="dxa"/>
          <w:left w:w="0" w:type="dxa"/>
          <w:bottom w:w="0" w:type="dxa"/>
          <w:right w:w="0" w:type="dxa"/>
        </w:tblCellMar>
        <w:tblLook w:val="01E0"/>
      </w:tblPr>
      <w:tblGrid>
        <w:gridCol w:w="4242"/>
        <w:gridCol w:w="4266"/>
      </w:tblGrid>
      <w:tr>
        <w:trPr>
          <w:trHeight w:val="253" w:hRule="exact"/>
        </w:trPr>
        <w:tc>
          <w:tcPr>
            <w:tcW w:w="4242" w:type="dxa"/>
            <w:tcBorders>
              <w:top w:val="nil" w:sz="6" w:space="0" w:color="auto"/>
              <w:left w:val="nil" w:sz="6" w:space="0" w:color="auto"/>
              <w:bottom w:val="single" w:sz="4" w:space="0" w:color="000000"/>
              <w:right w:val="nil" w:sz="6" w:space="0" w:color="auto"/>
            </w:tcBorders>
          </w:tcPr>
          <w:p>
            <w:pPr>
              <w:pStyle w:val="TableParagraph"/>
              <w:spacing w:line="182" w:lineRule="exact"/>
              <w:ind w:right="1738"/>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4266" w:type="dxa"/>
            <w:tcBorders>
              <w:top w:val="nil" w:sz="6" w:space="0" w:color="auto"/>
              <w:left w:val="nil" w:sz="6" w:space="0" w:color="auto"/>
              <w:bottom w:val="single" w:sz="4" w:space="0" w:color="000000"/>
              <w:right w:val="nil" w:sz="6" w:space="0" w:color="auto"/>
            </w:tcBorders>
          </w:tcPr>
          <w:p>
            <w:pPr>
              <w:pStyle w:val="TableParagraph"/>
              <w:spacing w:line="182" w:lineRule="exact"/>
              <w:ind w:left="39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4" w:hRule="exact"/>
        </w:trPr>
        <w:tc>
          <w:tcPr>
            <w:tcW w:w="424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26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91" w:right="0"/>
              <w:jc w:val="center"/>
              <w:rPr>
                <w:rFonts w:ascii="宋体" w:hAnsi="宋体" w:cs="宋体" w:eastAsia="宋体" w:hint="default"/>
                <w:sz w:val="18"/>
                <w:szCs w:val="18"/>
              </w:rPr>
            </w:pPr>
            <w:r>
              <w:rPr>
                <w:rFonts w:ascii="宋体"/>
                <w:sz w:val="18"/>
              </w:rPr>
              <w:t>46,192,715.27</w:t>
            </w:r>
          </w:p>
        </w:tc>
      </w:tr>
      <w:tr>
        <w:trPr>
          <w:trHeight w:val="396"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center"/>
              <w:rPr>
                <w:rFonts w:ascii="宋体" w:hAnsi="宋体" w:cs="宋体" w:eastAsia="宋体" w:hint="default"/>
                <w:sz w:val="18"/>
                <w:szCs w:val="18"/>
              </w:rPr>
            </w:pPr>
            <w:r>
              <w:rPr>
                <w:rFonts w:ascii="宋体"/>
                <w:sz w:val="18"/>
              </w:rPr>
              <w:t>16,613,863.27</w:t>
            </w:r>
          </w:p>
        </w:tc>
      </w:tr>
      <w:tr>
        <w:trPr>
          <w:trHeight w:val="39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26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1" w:right="0"/>
              <w:jc w:val="center"/>
              <w:rPr>
                <w:rFonts w:ascii="宋体" w:hAnsi="宋体" w:cs="宋体" w:eastAsia="宋体" w:hint="default"/>
                <w:sz w:val="18"/>
                <w:szCs w:val="18"/>
              </w:rPr>
            </w:pPr>
            <w:r>
              <w:rPr>
                <w:rFonts w:ascii="宋体"/>
                <w:sz w:val="18"/>
              </w:rPr>
              <w:t>13,326,263.76</w:t>
            </w:r>
          </w:p>
        </w:tc>
      </w:tr>
      <w:tr>
        <w:trPr>
          <w:trHeight w:val="290"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8"/>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426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1" w:right="0"/>
              <w:jc w:val="center"/>
              <w:rPr>
                <w:rFonts w:ascii="宋体" w:hAnsi="宋体" w:cs="宋体" w:eastAsia="宋体" w:hint="default"/>
                <w:sz w:val="18"/>
                <w:szCs w:val="18"/>
              </w:rPr>
            </w:pPr>
            <w:r>
              <w:rPr>
                <w:rFonts w:ascii="宋体"/>
                <w:w w:val="101"/>
                <w:sz w:val="18"/>
              </w:rPr>
            </w:r>
            <w:r>
              <w:rPr>
                <w:rFonts w:ascii="宋体"/>
                <w:sz w:val="18"/>
                <w:u w:val="thick" w:color="000000"/>
              </w:rPr>
              <w:t>76,132,842.30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635" w:right="1118"/>
        <w:jc w:val="left"/>
      </w:pPr>
      <w:r>
        <w:rPr>
          <w:rFonts w:ascii="宋体" w:hAnsi="宋体" w:cs="宋体" w:eastAsia="宋体" w:hint="default"/>
        </w:rPr>
        <w:t>2.</w:t>
      </w:r>
      <w:r>
        <w:rPr/>
        <w:t>按坏账计提方法分类披露</w:t>
      </w:r>
    </w:p>
    <w:p>
      <w:pPr>
        <w:spacing w:line="240" w:lineRule="auto" w:before="7"/>
        <w:rPr>
          <w:rFonts w:ascii="宋体" w:hAnsi="宋体" w:cs="宋体" w:eastAsia="宋体" w:hint="default"/>
          <w:sz w:val="19"/>
          <w:szCs w:val="19"/>
        </w:rPr>
      </w:pPr>
    </w:p>
    <w:p>
      <w:pPr>
        <w:spacing w:before="46"/>
        <w:ind w:left="4494" w:right="3106"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1" w:footer="979" w:top="1060" w:bottom="1160" w:left="920" w:right="0"/>
        </w:sectPr>
      </w:pPr>
    </w:p>
    <w:p>
      <w:pPr>
        <w:tabs>
          <w:tab w:pos="6345" w:val="left" w:leader="none"/>
        </w:tabs>
        <w:spacing w:line="200" w:lineRule="exact" w:before="46"/>
        <w:ind w:left="3944"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tab/>
        <w:t>坏账准备</w:t>
      </w:r>
      <w:r>
        <w:rPr>
          <w:rFonts w:ascii="宋体" w:hAnsi="宋体" w:cs="宋体" w:eastAsia="宋体" w:hint="default"/>
          <w:sz w:val="18"/>
          <w:szCs w:val="18"/>
        </w:rPr>
      </w:r>
    </w:p>
    <w:p>
      <w:pPr>
        <w:spacing w:line="195" w:lineRule="exact" w:before="0"/>
        <w:ind w:left="1745" w:right="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04"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tabs>
          <w:tab w:pos="4693" w:val="left" w:leader="none"/>
          <w:tab w:pos="6047" w:val="left" w:leader="none"/>
        </w:tabs>
        <w:spacing w:line="180" w:lineRule="exact" w:before="0"/>
        <w:ind w:left="3651" w:right="0" w:firstLine="0"/>
        <w:jc w:val="left"/>
        <w:rPr>
          <w:rFonts w:ascii="宋体" w:hAnsi="宋体" w:cs="宋体" w:eastAsia="宋体" w:hint="default"/>
          <w:sz w:val="18"/>
          <w:szCs w:val="18"/>
        </w:rPr>
      </w:pPr>
      <w:r>
        <w:rPr>
          <w:rFonts w:ascii="宋体" w:hAnsi="宋体" w:cs="宋体" w:eastAsia="宋体" w:hint="default"/>
          <w:b/>
          <w:bCs/>
          <w:sz w:val="18"/>
          <w:szCs w:val="18"/>
        </w:rPr>
        <w:t>金额</w:t>
        <w:tab/>
        <w:t>比例（</w:t>
      </w:r>
      <w:r>
        <w:rPr>
          <w:rFonts w:ascii="宋体" w:hAnsi="宋体" w:cs="宋体" w:eastAsia="宋体" w:hint="default"/>
          <w:b/>
          <w:bCs/>
          <w:sz w:val="18"/>
          <w:szCs w:val="18"/>
        </w:rPr>
        <w:t>%</w:t>
      </w:r>
      <w:r>
        <w:rPr>
          <w:rFonts w:ascii="宋体" w:hAnsi="宋体" w:cs="宋体" w:eastAsia="宋体" w:hint="default"/>
          <w:b/>
          <w:bCs/>
          <w:sz w:val="18"/>
          <w:szCs w:val="18"/>
        </w:rPr>
        <w:t>）</w:t>
        <w:tab/>
        <w:t>金额</w:t>
      </w:r>
      <w:r>
        <w:rPr>
          <w:rFonts w:ascii="宋体" w:hAnsi="宋体" w:cs="宋体" w:eastAsia="宋体" w:hint="default"/>
          <w:sz w:val="18"/>
          <w:szCs w:val="18"/>
        </w:rPr>
      </w:r>
    </w:p>
    <w:p>
      <w:pPr>
        <w:spacing w:line="207" w:lineRule="exact" w:before="0"/>
        <w:ind w:left="0" w:right="136" w:firstLine="0"/>
        <w:jc w:val="right"/>
        <w:rPr>
          <w:rFonts w:ascii="宋体" w:hAnsi="宋体" w:cs="宋体" w:eastAsia="宋体" w:hint="default"/>
          <w:sz w:val="18"/>
          <w:szCs w:val="18"/>
        </w:rPr>
      </w:pPr>
      <w:r>
        <w:rPr/>
        <w:pict>
          <v:group style="position:absolute;margin-left:84.744011pt;margin-top:12.663067pt;width:425.95pt;height:.5pt;mso-position-horizontal-relative:page;mso-position-vertical-relative:paragraph;z-index:1624" coordorigin="1695,253" coordsize="8519,10">
            <v:group style="position:absolute;left:1700;top:258;width:2296;height:2" coordorigin="1700,258" coordsize="2296,2">
              <v:shape style="position:absolute;left:1700;top:258;width:2296;height:2" coordorigin="1700,258" coordsize="2296,0" path="m1700,258l3995,258e" filled="false" stroked="true" strokeweight=".47998pt" strokecolor="#000000">
                <v:path arrowok="t"/>
              </v:shape>
            </v:group>
            <v:group style="position:absolute;left:3995;top:258;width:10;height:2" coordorigin="3995,258" coordsize="10,2">
              <v:shape style="position:absolute;left:3995;top:258;width:10;height:2" coordorigin="3995,258" coordsize="10,0" path="m3995,258l4005,258e" filled="false" stroked="true" strokeweight=".47998pt" strokecolor="#000000">
                <v:path arrowok="t"/>
              </v:shape>
            </v:group>
            <v:group style="position:absolute;left:4005;top:258;width:1499;height:2" coordorigin="4005,258" coordsize="1499,2">
              <v:shape style="position:absolute;left:4005;top:258;width:1499;height:2" coordorigin="4005,258" coordsize="1499,0" path="m4005,258l5503,258e" filled="false" stroked="true" strokeweight=".47998pt" strokecolor="#000000">
                <v:path arrowok="t"/>
              </v:shape>
            </v:group>
            <v:group style="position:absolute;left:5503;top:258;width:10;height:2" coordorigin="5503,258" coordsize="10,2">
              <v:shape style="position:absolute;left:5503;top:258;width:10;height:2" coordorigin="5503,258" coordsize="10,0" path="m5503,258l5512,258e" filled="false" stroked="true" strokeweight=".47998pt" strokecolor="#000000">
                <v:path arrowok="t"/>
              </v:shape>
            </v:group>
            <v:group style="position:absolute;left:5512;top:258;width:947;height:2" coordorigin="5512,258" coordsize="947,2">
              <v:shape style="position:absolute;left:5512;top:258;width:947;height:2" coordorigin="5512,258" coordsize="947,0" path="m5512,258l6458,258e" filled="false" stroked="true" strokeweight=".47998pt" strokecolor="#000000">
                <v:path arrowok="t"/>
              </v:shape>
            </v:group>
            <v:group style="position:absolute;left:6458;top:258;width:10;height:2" coordorigin="6458,258" coordsize="10,2">
              <v:shape style="position:absolute;left:6458;top:258;width:10;height:2" coordorigin="6458,258" coordsize="10,0" path="m6458,258l6468,258e" filled="false" stroked="true" strokeweight=".47998pt" strokecolor="#000000">
                <v:path arrowok="t"/>
              </v:shape>
            </v:group>
            <v:group style="position:absolute;left:6468;top:258;width:1379;height:2" coordorigin="6468,258" coordsize="1379,2">
              <v:shape style="position:absolute;left:6468;top:258;width:1379;height:2" coordorigin="6468,258" coordsize="1379,0" path="m6468,258l7846,258e" filled="false" stroked="true" strokeweight=".47998pt" strokecolor="#000000">
                <v:path arrowok="t"/>
              </v:shape>
            </v:group>
            <v:group style="position:absolute;left:7846;top:258;width:10;height:2" coordorigin="7846,258" coordsize="10,2">
              <v:shape style="position:absolute;left:7846;top:258;width:10;height:2" coordorigin="7846,258" coordsize="10,0" path="m7846,258l7856,258e" filled="false" stroked="true" strokeweight=".47998pt" strokecolor="#000000">
                <v:path arrowok="t"/>
              </v:shape>
            </v:group>
            <v:group style="position:absolute;left:7856;top:258;width:947;height:2" coordorigin="7856,258" coordsize="947,2">
              <v:shape style="position:absolute;left:7856;top:258;width:947;height:2" coordorigin="7856,258" coordsize="947,0" path="m7856,258l8802,258e" filled="false" stroked="true" strokeweight=".47998pt" strokecolor="#000000">
                <v:path arrowok="t"/>
              </v:shape>
            </v:group>
            <v:group style="position:absolute;left:8802;top:258;width:10;height:2" coordorigin="8802,258" coordsize="10,2">
              <v:shape style="position:absolute;left:8802;top:258;width:10;height:2" coordorigin="8802,258" coordsize="10,0" path="m8802,258l8811,258e" filled="false" stroked="true" strokeweight=".47998pt" strokecolor="#000000">
                <v:path arrowok="t"/>
              </v:shape>
            </v:group>
            <v:group style="position:absolute;left:8811;top:258;width:1398;height:2" coordorigin="8811,258" coordsize="1398,2">
              <v:shape style="position:absolute;left:8811;top:258;width:1398;height:2" coordorigin="8811,258" coordsize="1398,0" path="m8811,258l10209,258e" filled="false" stroked="true" strokeweight=".47998pt" strokecolor="#000000">
                <v:path arrowok="t"/>
              </v:shape>
            </v:group>
            <w10:wrap type="none"/>
          </v:group>
        </w:pic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3"/>
          <w:szCs w:val="13"/>
        </w:rPr>
      </w:pPr>
    </w:p>
    <w:p>
      <w:pPr>
        <w:spacing w:before="0"/>
        <w:ind w:left="41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20" w:right="0"/>
          <w:cols w:num="2" w:equalWidth="0">
            <w:col w:w="7771" w:space="40"/>
            <w:col w:w="3179"/>
          </w:cols>
        </w:sectPr>
      </w:pPr>
    </w:p>
    <w:p>
      <w:pPr>
        <w:spacing w:line="367" w:lineRule="auto" w:before="134"/>
        <w:ind w:left="890" w:right="0" w:firstLine="0"/>
        <w:jc w:val="left"/>
        <w:rPr>
          <w:rFonts w:ascii="宋体" w:hAnsi="宋体" w:cs="宋体" w:eastAsia="宋体" w:hint="default"/>
          <w:sz w:val="18"/>
          <w:szCs w:val="18"/>
        </w:rPr>
      </w:pPr>
      <w:r>
        <w:rPr>
          <w:rFonts w:ascii="宋体" w:hAnsi="宋体" w:cs="宋体" w:eastAsia="宋体" w:hint="default"/>
          <w:spacing w:val="-3"/>
          <w:sz w:val="18"/>
          <w:szCs w:val="18"/>
        </w:rPr>
        <w:t>单项金额重大并单独计提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坏账准备的应收账款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按账龄组合计提坏账准备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的应收账款</w:t>
      </w:r>
    </w:p>
    <w:p>
      <w:pPr>
        <w:spacing w:line="240" w:lineRule="auto" w:before="2"/>
        <w:rPr>
          <w:rFonts w:ascii="宋体" w:hAnsi="宋体" w:cs="宋体" w:eastAsia="宋体" w:hint="default"/>
          <w:sz w:val="24"/>
          <w:szCs w:val="24"/>
        </w:rPr>
      </w:pPr>
      <w:r>
        <w:rPr/>
        <w:br w:type="column"/>
      </w:r>
      <w:r>
        <w:rPr>
          <w:rFonts w:ascii="宋体"/>
          <w:sz w:val="24"/>
        </w:rPr>
      </w:r>
    </w:p>
    <w:p>
      <w:pPr>
        <w:tabs>
          <w:tab w:pos="2159" w:val="left" w:leader="none"/>
          <w:tab w:pos="2822" w:val="left" w:leader="none"/>
          <w:tab w:pos="4325" w:val="left" w:leader="none"/>
        </w:tabs>
        <w:spacing w:before="0"/>
        <w:ind w:left="483" w:right="0" w:firstLine="0"/>
        <w:jc w:val="left"/>
        <w:rPr>
          <w:rFonts w:ascii="宋体" w:hAnsi="宋体" w:cs="宋体" w:eastAsia="宋体" w:hint="default"/>
          <w:sz w:val="18"/>
          <w:szCs w:val="18"/>
        </w:rPr>
      </w:pPr>
      <w:r>
        <w:rPr>
          <w:rFonts w:ascii="宋体"/>
          <w:spacing w:val="-1"/>
          <w:sz w:val="18"/>
        </w:rPr>
        <w:t>2,800,000.00</w:t>
        <w:tab/>
      </w:r>
      <w:r>
        <w:rPr>
          <w:rFonts w:ascii="宋体"/>
          <w:sz w:val="18"/>
        </w:rPr>
        <w:t>3.68</w:t>
        <w:tab/>
      </w:r>
      <w:r>
        <w:rPr>
          <w:rFonts w:ascii="宋体"/>
          <w:spacing w:val="-1"/>
          <w:sz w:val="18"/>
        </w:rPr>
        <w:t>2,800,000.00</w:t>
        <w:tab/>
        <w:t>100.00</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tabs>
          <w:tab w:pos="2068" w:val="left" w:leader="none"/>
          <w:tab w:pos="2822" w:val="left" w:leader="none"/>
          <w:tab w:pos="4412" w:val="left" w:leader="none"/>
          <w:tab w:pos="5098" w:val="left" w:leader="none"/>
        </w:tabs>
        <w:spacing w:before="0"/>
        <w:ind w:left="392" w:right="0" w:firstLine="0"/>
        <w:jc w:val="left"/>
        <w:rPr>
          <w:rFonts w:ascii="宋体" w:hAnsi="宋体" w:cs="宋体" w:eastAsia="宋体" w:hint="default"/>
          <w:sz w:val="18"/>
          <w:szCs w:val="18"/>
        </w:rPr>
      </w:pPr>
      <w:r>
        <w:rPr>
          <w:rFonts w:ascii="宋体"/>
          <w:spacing w:val="-1"/>
          <w:sz w:val="18"/>
        </w:rPr>
        <w:t>66,050,580.84</w:t>
        <w:tab/>
      </w:r>
      <w:r>
        <w:rPr>
          <w:rFonts w:ascii="宋体"/>
          <w:sz w:val="18"/>
        </w:rPr>
        <w:t>86.76</w:t>
        <w:tab/>
      </w:r>
      <w:r>
        <w:rPr>
          <w:rFonts w:ascii="宋体"/>
          <w:spacing w:val="-1"/>
          <w:sz w:val="18"/>
        </w:rPr>
        <w:t>9,485,060.24</w:t>
        <w:tab/>
      </w:r>
      <w:r>
        <w:rPr>
          <w:rFonts w:ascii="宋体"/>
          <w:sz w:val="18"/>
        </w:rPr>
        <w:t>14.36</w:t>
        <w:tab/>
      </w:r>
      <w:r>
        <w:rPr>
          <w:rFonts w:ascii="宋体"/>
          <w:spacing w:val="-1"/>
          <w:sz w:val="18"/>
        </w:rPr>
        <w:t>56,565,520.60</w:t>
      </w:r>
    </w:p>
    <w:p>
      <w:pPr>
        <w:spacing w:after="0"/>
        <w:jc w:val="left"/>
        <w:rPr>
          <w:rFonts w:ascii="宋体" w:hAnsi="宋体" w:cs="宋体" w:eastAsia="宋体" w:hint="default"/>
          <w:sz w:val="18"/>
          <w:szCs w:val="18"/>
        </w:rPr>
        <w:sectPr>
          <w:type w:val="continuous"/>
          <w:pgSz w:w="11910" w:h="16840"/>
          <w:pgMar w:top="1060" w:bottom="1160" w:left="920" w:right="0"/>
          <w:cols w:num="2" w:equalWidth="0">
            <w:col w:w="2873" w:space="40"/>
            <w:col w:w="8077"/>
          </w:cols>
        </w:sectPr>
      </w:pPr>
    </w:p>
    <w:p>
      <w:pPr>
        <w:tabs>
          <w:tab w:pos="3396" w:val="left" w:leader="none"/>
          <w:tab w:pos="5072" w:val="left" w:leader="none"/>
          <w:tab w:pos="5735" w:val="left" w:leader="none"/>
          <w:tab w:pos="7237" w:val="left" w:leader="none"/>
        </w:tabs>
        <w:spacing w:before="48"/>
        <w:ind w:left="890" w:right="1118" w:firstLine="0"/>
        <w:jc w:val="left"/>
        <w:rPr>
          <w:rFonts w:ascii="宋体" w:hAnsi="宋体" w:cs="宋体" w:eastAsia="宋体" w:hint="default"/>
          <w:sz w:val="18"/>
          <w:szCs w:val="18"/>
        </w:rPr>
      </w:pPr>
      <w:r>
        <w:rPr>
          <w:rFonts w:ascii="宋体" w:hAnsi="宋体" w:cs="宋体" w:eastAsia="宋体" w:hint="default"/>
          <w:spacing w:val="-3"/>
          <w:sz w:val="18"/>
          <w:szCs w:val="18"/>
        </w:rPr>
        <w:t>单项金额不重大但单独计</w:t>
        <w:tab/>
      </w:r>
      <w:r>
        <w:rPr>
          <w:rFonts w:ascii="宋体" w:hAnsi="宋体" w:cs="宋体" w:eastAsia="宋体" w:hint="default"/>
          <w:spacing w:val="-1"/>
          <w:sz w:val="18"/>
          <w:szCs w:val="18"/>
        </w:rPr>
        <w:t>7,282,261.46</w:t>
        <w:tab/>
      </w:r>
      <w:r>
        <w:rPr>
          <w:rFonts w:ascii="宋体" w:hAnsi="宋体" w:cs="宋体" w:eastAsia="宋体" w:hint="default"/>
          <w:sz w:val="18"/>
          <w:szCs w:val="18"/>
        </w:rPr>
        <w:t>9.56</w:t>
        <w:tab/>
      </w:r>
      <w:r>
        <w:rPr>
          <w:rFonts w:ascii="宋体" w:hAnsi="宋体" w:cs="宋体" w:eastAsia="宋体" w:hint="default"/>
          <w:spacing w:val="-1"/>
          <w:sz w:val="18"/>
          <w:szCs w:val="18"/>
        </w:rPr>
        <w:t>7,282,261.46</w:t>
        <w:tab/>
        <w:t>100.00</w:t>
      </w:r>
    </w:p>
    <w:p>
      <w:pPr>
        <w:spacing w:after="0"/>
        <w:jc w:val="left"/>
        <w:rPr>
          <w:rFonts w:ascii="宋体" w:hAnsi="宋体" w:cs="宋体" w:eastAsia="宋体" w:hint="default"/>
          <w:sz w:val="18"/>
          <w:szCs w:val="18"/>
        </w:rPr>
        <w:sectPr>
          <w:type w:val="continuous"/>
          <w:pgSz w:w="11910" w:h="16840"/>
          <w:pgMar w:top="106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2452" w:right="1124"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8"/>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1" w:footer="979" w:top="1060" w:bottom="1160" w:left="980" w:right="0"/>
        </w:sectPr>
      </w:pPr>
    </w:p>
    <w:p>
      <w:pPr>
        <w:tabs>
          <w:tab w:pos="6285" w:val="left" w:leader="none"/>
        </w:tabs>
        <w:spacing w:line="197" w:lineRule="exact" w:before="46"/>
        <w:ind w:left="3884"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tab/>
        <w:t>坏账准备</w:t>
      </w:r>
      <w:r>
        <w:rPr>
          <w:rFonts w:ascii="宋体" w:hAnsi="宋体" w:cs="宋体" w:eastAsia="宋体" w:hint="default"/>
          <w:sz w:val="18"/>
          <w:szCs w:val="18"/>
        </w:rPr>
      </w:r>
    </w:p>
    <w:p>
      <w:pPr>
        <w:spacing w:line="195" w:lineRule="exact" w:before="0"/>
        <w:ind w:left="1685" w:right="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04"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tabs>
          <w:tab w:pos="4633" w:val="left" w:leader="none"/>
          <w:tab w:pos="5987" w:val="left" w:leader="none"/>
        </w:tabs>
        <w:spacing w:line="180" w:lineRule="exact" w:before="0"/>
        <w:ind w:left="3591" w:right="0" w:firstLine="0"/>
        <w:jc w:val="left"/>
        <w:rPr>
          <w:rFonts w:ascii="宋体" w:hAnsi="宋体" w:cs="宋体" w:eastAsia="宋体" w:hint="default"/>
          <w:sz w:val="18"/>
          <w:szCs w:val="18"/>
        </w:rPr>
      </w:pPr>
      <w:r>
        <w:rPr>
          <w:rFonts w:ascii="宋体" w:hAnsi="宋体" w:cs="宋体" w:eastAsia="宋体" w:hint="default"/>
          <w:b/>
          <w:bCs/>
          <w:sz w:val="18"/>
          <w:szCs w:val="18"/>
        </w:rPr>
        <w:t>金额</w:t>
        <w:tab/>
        <w:t>比例（</w:t>
      </w:r>
      <w:r>
        <w:rPr>
          <w:rFonts w:ascii="宋体" w:hAnsi="宋体" w:cs="宋体" w:eastAsia="宋体" w:hint="default"/>
          <w:b/>
          <w:bCs/>
          <w:sz w:val="18"/>
          <w:szCs w:val="18"/>
        </w:rPr>
        <w:t>%</w:t>
      </w:r>
      <w:r>
        <w:rPr>
          <w:rFonts w:ascii="宋体" w:hAnsi="宋体" w:cs="宋体" w:eastAsia="宋体" w:hint="default"/>
          <w:b/>
          <w:bCs/>
          <w:sz w:val="18"/>
          <w:szCs w:val="18"/>
        </w:rPr>
        <w:t>）</w:t>
        <w:tab/>
        <w:t>金额</w:t>
      </w:r>
      <w:r>
        <w:rPr>
          <w:rFonts w:ascii="宋体" w:hAnsi="宋体" w:cs="宋体" w:eastAsia="宋体" w:hint="default"/>
          <w:sz w:val="18"/>
          <w:szCs w:val="18"/>
        </w:rPr>
      </w:r>
    </w:p>
    <w:p>
      <w:pPr>
        <w:spacing w:line="209" w:lineRule="exact" w:before="0"/>
        <w:ind w:left="0" w:right="136" w:firstLine="0"/>
        <w:jc w:val="righ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3"/>
          <w:szCs w:val="13"/>
        </w:rPr>
      </w:pPr>
    </w:p>
    <w:p>
      <w:pPr>
        <w:spacing w:before="0"/>
        <w:ind w:left="41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711" w:space="40"/>
            <w:col w:w="3179"/>
          </w:cols>
        </w:sectPr>
      </w:pPr>
    </w:p>
    <w:p>
      <w:pPr>
        <w:spacing w:line="240" w:lineRule="auto" w:before="7"/>
        <w:rPr>
          <w:rFonts w:ascii="宋体" w:hAnsi="宋体" w:cs="宋体" w:eastAsia="宋体" w:hint="default"/>
          <w:b/>
          <w:bCs/>
          <w:sz w:val="3"/>
          <w:szCs w:val="3"/>
        </w:rPr>
      </w:pPr>
    </w:p>
    <w:p>
      <w:pPr>
        <w:spacing w:line="20" w:lineRule="exact"/>
        <w:ind w:left="714" w:right="0" w:firstLine="0"/>
        <w:rPr>
          <w:rFonts w:ascii="宋体" w:hAnsi="宋体" w:cs="宋体" w:eastAsia="宋体" w:hint="default"/>
          <w:sz w:val="2"/>
          <w:szCs w:val="2"/>
        </w:rPr>
      </w:pPr>
      <w:r>
        <w:rPr>
          <w:rFonts w:ascii="宋体" w:hAnsi="宋体" w:cs="宋体" w:eastAsia="宋体" w:hint="default"/>
          <w:sz w:val="2"/>
          <w:szCs w:val="2"/>
        </w:rPr>
        <w:pict>
          <v:group style="width:425.95pt;height:.5pt;mso-position-horizontal-relative:char;mso-position-vertical-relative:line" coordorigin="0,0" coordsize="8519,10">
            <v:group style="position:absolute;left:5;top:5;width:2296;height:2" coordorigin="5,5" coordsize="2296,2">
              <v:shape style="position:absolute;left:5;top:5;width:2296;height:2" coordorigin="5,5" coordsize="2296,0" path="m5,5l2300,5e" filled="false" stroked="true" strokeweight=".48pt" strokecolor="#000000">
                <v:path arrowok="t"/>
              </v:shape>
            </v:group>
            <v:group style="position:absolute;left:2300;top:5;width:10;height:2" coordorigin="2300,5" coordsize="10,2">
              <v:shape style="position:absolute;left:2300;top:5;width:10;height:2" coordorigin="2300,5" coordsize="10,0" path="m2300,5l2310,5e" filled="false" stroked="true" strokeweight=".48pt" strokecolor="#000000">
                <v:path arrowok="t"/>
              </v:shape>
            </v:group>
            <v:group style="position:absolute;left:2310;top:5;width:1499;height:2" coordorigin="2310,5" coordsize="1499,2">
              <v:shape style="position:absolute;left:2310;top:5;width:1499;height:2" coordorigin="2310,5" coordsize="1499,0" path="m2310,5l3808,5e" filled="false" stroked="true" strokeweight=".48pt" strokecolor="#000000">
                <v:path arrowok="t"/>
              </v:shape>
            </v:group>
            <v:group style="position:absolute;left:3808;top:5;width:10;height:2" coordorigin="3808,5" coordsize="10,2">
              <v:shape style="position:absolute;left:3808;top:5;width:10;height:2" coordorigin="3808,5" coordsize="10,0" path="m3808,5l3818,5e" filled="false" stroked="true" strokeweight=".48pt" strokecolor="#000000">
                <v:path arrowok="t"/>
              </v:shape>
            </v:group>
            <v:group style="position:absolute;left:3818;top:5;width:947;height:2" coordorigin="3818,5" coordsize="947,2">
              <v:shape style="position:absolute;left:3818;top:5;width:947;height:2" coordorigin="3818,5" coordsize="947,0" path="m3818,5l4764,5e" filled="false" stroked="true" strokeweight=".48pt" strokecolor="#000000">
                <v:path arrowok="t"/>
              </v:shape>
            </v:group>
            <v:group style="position:absolute;left:4764;top:5;width:10;height:2" coordorigin="4764,5" coordsize="10,2">
              <v:shape style="position:absolute;left:4764;top:5;width:10;height:2" coordorigin="4764,5" coordsize="10,0" path="m4764,5l4773,5e" filled="false" stroked="true" strokeweight=".48pt" strokecolor="#000000">
                <v:path arrowok="t"/>
              </v:shape>
            </v:group>
            <v:group style="position:absolute;left:4773;top:5;width:1379;height:2" coordorigin="4773,5" coordsize="1379,2">
              <v:shape style="position:absolute;left:4773;top:5;width:1379;height:2" coordorigin="4773,5" coordsize="1379,0" path="m4773,5l6151,5e" filled="false" stroked="true" strokeweight=".48pt" strokecolor="#000000">
                <v:path arrowok="t"/>
              </v:shape>
            </v:group>
            <v:group style="position:absolute;left:6151;top:5;width:10;height:2" coordorigin="6151,5" coordsize="10,2">
              <v:shape style="position:absolute;left:6151;top:5;width:10;height:2" coordorigin="6151,5" coordsize="10,0" path="m6151,5l6161,5e" filled="false" stroked="true" strokeweight=".48pt" strokecolor="#000000">
                <v:path arrowok="t"/>
              </v:shape>
            </v:group>
            <v:group style="position:absolute;left:6161;top:5;width:947;height:2" coordorigin="6161,5" coordsize="947,2">
              <v:shape style="position:absolute;left:6161;top:5;width:947;height:2" coordorigin="6161,5" coordsize="947,0" path="m6161,5l7107,5e" filled="false" stroked="true" strokeweight=".48pt" strokecolor="#000000">
                <v:path arrowok="t"/>
              </v:shape>
            </v:group>
            <v:group style="position:absolute;left:7107;top:5;width:10;height:2" coordorigin="7107,5" coordsize="10,2">
              <v:shape style="position:absolute;left:7107;top:5;width:10;height:2" coordorigin="7107,5" coordsize="10,0" path="m7107,5l7117,5e" filled="false" stroked="true" strokeweight=".48pt" strokecolor="#000000">
                <v:path arrowok="t"/>
              </v:shape>
            </v:group>
            <v:group style="position:absolute;left:7117;top:5;width:1398;height:2" coordorigin="7117,5" coordsize="1398,2">
              <v:shape style="position:absolute;left:7117;top:5;width:1398;height:2" coordorigin="7117,5" coordsize="1398,0" path="m7117,5l8514,5e" filled="false" stroked="true" strokeweight=".48pt" strokecolor="#000000">
                <v:path arrowok="t"/>
              </v:shape>
            </v:group>
          </v:group>
        </w:pict>
      </w:r>
      <w:r>
        <w:rPr>
          <w:rFonts w:ascii="宋体" w:hAnsi="宋体" w:cs="宋体" w:eastAsia="宋体" w:hint="default"/>
          <w:sz w:val="2"/>
          <w:szCs w:val="2"/>
        </w:rPr>
      </w:r>
    </w:p>
    <w:p>
      <w:pPr>
        <w:spacing w:before="67"/>
        <w:ind w:left="830" w:right="0" w:firstLine="0"/>
        <w:jc w:val="left"/>
        <w:rPr>
          <w:rFonts w:ascii="宋体" w:hAnsi="宋体" w:cs="宋体" w:eastAsia="宋体" w:hint="default"/>
          <w:sz w:val="18"/>
          <w:szCs w:val="18"/>
        </w:rPr>
      </w:pPr>
      <w:r>
        <w:rPr>
          <w:rFonts w:ascii="宋体" w:hAnsi="宋体" w:cs="宋体" w:eastAsia="宋体" w:hint="default"/>
          <w:sz w:val="18"/>
          <w:szCs w:val="18"/>
        </w:rPr>
        <w:t>提坏账准备的应收账款</w:t>
      </w:r>
    </w:p>
    <w:p>
      <w:pPr>
        <w:spacing w:line="240" w:lineRule="auto" w:before="13"/>
        <w:rPr>
          <w:rFonts w:ascii="宋体" w:hAnsi="宋体" w:cs="宋体" w:eastAsia="宋体" w:hint="default"/>
          <w:sz w:val="9"/>
          <w:szCs w:val="9"/>
        </w:rPr>
      </w:pPr>
    </w:p>
    <w:p>
      <w:pPr>
        <w:tabs>
          <w:tab w:pos="3245" w:val="left" w:leader="none"/>
          <w:tab w:pos="4835" w:val="left" w:leader="none"/>
          <w:tab w:pos="5583" w:val="left" w:leader="none"/>
          <w:tab w:pos="7951" w:val="left" w:leader="none"/>
        </w:tabs>
        <w:spacing w:before="46"/>
        <w:ind w:left="1689"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pacing w:val="-1"/>
          <w:sz w:val="18"/>
          <w:szCs w:val="18"/>
          <w:u w:val="thick" w:color="000000"/>
        </w:rPr>
        <w:t>76,132,842.30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19,567,321.70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56,565,520.60</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36"/>
        <w:ind w:left="575" w:right="0"/>
        <w:jc w:val="left"/>
      </w:pPr>
      <w:r>
        <w:rPr/>
        <w:t>（续上表）</w:t>
      </w:r>
    </w:p>
    <w:p>
      <w:pPr>
        <w:spacing w:line="240" w:lineRule="auto" w:before="3"/>
        <w:rPr>
          <w:rFonts w:ascii="宋体" w:hAnsi="宋体" w:cs="宋体" w:eastAsia="宋体" w:hint="default"/>
          <w:sz w:val="19"/>
          <w:szCs w:val="19"/>
        </w:rPr>
      </w:pPr>
    </w:p>
    <w:p>
      <w:pPr>
        <w:spacing w:before="46"/>
        <w:ind w:left="2943" w:right="1124"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2"/>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060" w:bottom="1160" w:left="980" w:right="0"/>
        </w:sectPr>
      </w:pPr>
    </w:p>
    <w:p>
      <w:pPr>
        <w:tabs>
          <w:tab w:pos="6385" w:val="left" w:leader="none"/>
        </w:tabs>
        <w:spacing w:line="199" w:lineRule="exact" w:before="46"/>
        <w:ind w:left="4220" w:right="-13" w:firstLine="0"/>
        <w:jc w:val="left"/>
        <w:rPr>
          <w:rFonts w:ascii="宋体" w:hAnsi="宋体" w:cs="宋体" w:eastAsia="宋体" w:hint="default"/>
          <w:sz w:val="18"/>
          <w:szCs w:val="18"/>
        </w:rPr>
      </w:pPr>
      <w:r>
        <w:rPr>
          <w:rFonts w:ascii="宋体" w:hAnsi="宋体" w:cs="宋体" w:eastAsia="宋体" w:hint="default"/>
          <w:b/>
          <w:bCs/>
          <w:sz w:val="18"/>
          <w:szCs w:val="18"/>
        </w:rPr>
        <w:t>账面余额</w:t>
        <w:tab/>
        <w:t>坏账准备</w:t>
      </w:r>
      <w:r>
        <w:rPr>
          <w:rFonts w:ascii="宋体" w:hAnsi="宋体" w:cs="宋体" w:eastAsia="宋体" w:hint="default"/>
          <w:sz w:val="18"/>
          <w:szCs w:val="18"/>
        </w:rPr>
      </w:r>
    </w:p>
    <w:p>
      <w:pPr>
        <w:spacing w:line="195" w:lineRule="exact" w:before="0"/>
        <w:ind w:left="1934" w:right="-13"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26" w:lineRule="exact" w:before="0"/>
        <w:ind w:left="0" w:right="1654"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5"/>
          <w:szCs w:val="15"/>
        </w:rPr>
      </w:pPr>
    </w:p>
    <w:p>
      <w:pPr>
        <w:spacing w:line="231" w:lineRule="exact" w:before="0"/>
        <w:ind w:left="12" w:right="-15" w:firstLine="0"/>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3"/>
          <w:szCs w:val="13"/>
        </w:rPr>
      </w:pPr>
    </w:p>
    <w:p>
      <w:pPr>
        <w:spacing w:before="0"/>
        <w:ind w:left="416"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7116" w:space="40"/>
            <w:col w:w="560" w:space="40"/>
            <w:col w:w="3174"/>
          </w:cols>
        </w:sectPr>
      </w:pPr>
    </w:p>
    <w:p>
      <w:pPr>
        <w:tabs>
          <w:tab w:pos="2141" w:val="left" w:leader="none"/>
        </w:tabs>
        <w:spacing w:line="182" w:lineRule="exact" w:before="0"/>
        <w:ind w:left="0" w:right="368" w:firstLine="0"/>
        <w:jc w:val="center"/>
        <w:rPr>
          <w:rFonts w:ascii="宋体" w:hAnsi="宋体" w:cs="宋体" w:eastAsia="宋体" w:hint="default"/>
          <w:sz w:val="18"/>
          <w:szCs w:val="18"/>
        </w:rPr>
      </w:pPr>
      <w:r>
        <w:rPr>
          <w:rFonts w:ascii="宋体" w:hAnsi="宋体" w:cs="宋体" w:eastAsia="宋体" w:hint="default"/>
          <w:b/>
          <w:bCs/>
          <w:sz w:val="18"/>
          <w:szCs w:val="18"/>
        </w:rPr>
        <w:t>金额</w:t>
        <w:tab/>
        <w:t>金额</w:t>
      </w:r>
      <w:r>
        <w:rPr>
          <w:rFonts w:ascii="宋体" w:hAnsi="宋体" w:cs="宋体" w:eastAsia="宋体" w:hint="default"/>
          <w:sz w:val="18"/>
          <w:szCs w:val="18"/>
        </w:rPr>
      </w:r>
    </w:p>
    <w:tbl>
      <w:tblPr>
        <w:tblW w:w="0" w:type="auto"/>
        <w:jc w:val="left"/>
        <w:tblInd w:w="719" w:type="dxa"/>
        <w:tblLayout w:type="fixed"/>
        <w:tblCellMar>
          <w:top w:w="0" w:type="dxa"/>
          <w:left w:w="0" w:type="dxa"/>
          <w:bottom w:w="0" w:type="dxa"/>
          <w:right w:w="0" w:type="dxa"/>
        </w:tblCellMar>
        <w:tblLook w:val="01E0"/>
      </w:tblPr>
      <w:tblGrid>
        <w:gridCol w:w="4183"/>
        <w:gridCol w:w="754"/>
        <w:gridCol w:w="1388"/>
        <w:gridCol w:w="826"/>
        <w:gridCol w:w="1359"/>
      </w:tblGrid>
      <w:tr>
        <w:trPr>
          <w:trHeight w:val="234" w:hRule="exact"/>
        </w:trPr>
        <w:tc>
          <w:tcPr>
            <w:tcW w:w="4183" w:type="dxa"/>
            <w:tcBorders>
              <w:top w:val="nil" w:sz="6" w:space="0" w:color="auto"/>
              <w:left w:val="nil" w:sz="6" w:space="0" w:color="auto"/>
              <w:bottom w:val="single" w:sz="4" w:space="0" w:color="000000"/>
              <w:right w:val="nil" w:sz="6" w:space="0" w:color="auto"/>
            </w:tcBorders>
          </w:tcPr>
          <w:p>
            <w:pPr/>
          </w:p>
        </w:tc>
        <w:tc>
          <w:tcPr>
            <w:tcW w:w="754" w:type="dxa"/>
            <w:tcBorders>
              <w:top w:val="nil" w:sz="6" w:space="0" w:color="auto"/>
              <w:left w:val="nil" w:sz="6" w:space="0" w:color="auto"/>
              <w:bottom w:val="single" w:sz="4" w:space="0" w:color="000000"/>
              <w:right w:val="nil" w:sz="6" w:space="0" w:color="auto"/>
            </w:tcBorders>
          </w:tcPr>
          <w:p>
            <w:pPr>
              <w:pStyle w:val="TableParagraph"/>
              <w:spacing w:line="182" w:lineRule="exact"/>
              <w:ind w:right="151"/>
              <w:jc w:val="righ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88" w:type="dxa"/>
            <w:tcBorders>
              <w:top w:val="nil" w:sz="6" w:space="0" w:color="auto"/>
              <w:left w:val="nil" w:sz="6" w:space="0" w:color="auto"/>
              <w:bottom w:val="single" w:sz="4" w:space="0" w:color="000000"/>
              <w:right w:val="nil" w:sz="6" w:space="0" w:color="auto"/>
            </w:tcBorders>
          </w:tcPr>
          <w:p>
            <w:pPr/>
          </w:p>
        </w:tc>
        <w:tc>
          <w:tcPr>
            <w:tcW w:w="826" w:type="dxa"/>
            <w:tcBorders>
              <w:top w:val="nil" w:sz="6" w:space="0" w:color="auto"/>
              <w:left w:val="nil" w:sz="6" w:space="0" w:color="auto"/>
              <w:bottom w:val="single" w:sz="4" w:space="0" w:color="000000"/>
              <w:right w:val="nil" w:sz="6" w:space="0" w:color="auto"/>
            </w:tcBorders>
          </w:tcPr>
          <w:p>
            <w:pPr>
              <w:pStyle w:val="TableParagraph"/>
              <w:spacing w:line="182" w:lineRule="exact"/>
              <w:ind w:left="23" w:right="0"/>
              <w:jc w:val="center"/>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59" w:type="dxa"/>
            <w:vMerge w:val="restart"/>
            <w:tcBorders>
              <w:top w:val="nil" w:sz="6" w:space="0" w:color="auto"/>
              <w:left w:val="nil" w:sz="6" w:space="0" w:color="auto"/>
              <w:right w:val="nil" w:sz="6" w:space="0" w:color="auto"/>
            </w:tcBorders>
          </w:tcPr>
          <w:p>
            <w:pPr/>
          </w:p>
        </w:tc>
      </w:tr>
      <w:tr>
        <w:trPr>
          <w:trHeight w:val="765" w:hRule="exact"/>
        </w:trPr>
        <w:tc>
          <w:tcPr>
            <w:tcW w:w="4183" w:type="dxa"/>
            <w:tcBorders>
              <w:top w:val="single" w:sz="4" w:space="0" w:color="000000"/>
              <w:left w:val="nil" w:sz="6" w:space="0" w:color="auto"/>
              <w:bottom w:val="nil" w:sz="6" w:space="0" w:color="auto"/>
              <w:right w:val="nil" w:sz="6" w:space="0" w:color="auto"/>
            </w:tcBorders>
          </w:tcPr>
          <w:p>
            <w:pPr>
              <w:pStyle w:val="TableParagraph"/>
              <w:spacing w:line="207" w:lineRule="exact" w:before="77"/>
              <w:ind w:left="110"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单项金额重大并单独计提坏账准</w:t>
            </w:r>
          </w:p>
          <w:p>
            <w:pPr>
              <w:pStyle w:val="TableParagraph"/>
              <w:spacing w:line="180" w:lineRule="exact"/>
              <w:ind w:right="103"/>
              <w:jc w:val="right"/>
              <w:rPr>
                <w:rFonts w:ascii="宋体" w:hAnsi="宋体" w:cs="宋体" w:eastAsia="宋体" w:hint="default"/>
                <w:sz w:val="18"/>
                <w:szCs w:val="18"/>
              </w:rPr>
            </w:pPr>
            <w:r>
              <w:rPr>
                <w:rFonts w:ascii="宋体"/>
                <w:spacing w:val="-1"/>
                <w:sz w:val="18"/>
              </w:rPr>
              <w:t>2,800,000.00</w:t>
            </w:r>
          </w:p>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4.74</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2,800,000.00</w:t>
            </w:r>
          </w:p>
        </w:tc>
        <w:tc>
          <w:tcPr>
            <w:tcW w:w="82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 w:right="0"/>
              <w:jc w:val="center"/>
              <w:rPr>
                <w:rFonts w:ascii="宋体" w:hAnsi="宋体" w:cs="宋体" w:eastAsia="宋体" w:hint="default"/>
                <w:sz w:val="18"/>
                <w:szCs w:val="18"/>
              </w:rPr>
            </w:pPr>
            <w:r>
              <w:rPr>
                <w:rFonts w:ascii="宋体"/>
                <w:sz w:val="18"/>
              </w:rPr>
              <w:t>100.00</w:t>
            </w:r>
          </w:p>
        </w:tc>
        <w:tc>
          <w:tcPr>
            <w:tcW w:w="1359" w:type="dxa"/>
            <w:vMerge/>
            <w:tcBorders>
              <w:left w:val="nil" w:sz="6" w:space="0" w:color="auto"/>
              <w:bottom w:val="nil" w:sz="6" w:space="0" w:color="auto"/>
              <w:right w:val="nil" w:sz="6" w:space="0" w:color="auto"/>
            </w:tcBorders>
          </w:tcPr>
          <w:p>
            <w:pPr/>
          </w:p>
        </w:tc>
      </w:tr>
      <w:tr>
        <w:trPr>
          <w:trHeight w:val="720" w:hRule="exact"/>
        </w:trPr>
        <w:tc>
          <w:tcPr>
            <w:tcW w:w="4183" w:type="dxa"/>
            <w:tcBorders>
              <w:top w:val="nil" w:sz="6" w:space="0" w:color="auto"/>
              <w:left w:val="nil" w:sz="6" w:space="0" w:color="auto"/>
              <w:bottom w:val="nil" w:sz="6" w:space="0" w:color="auto"/>
              <w:right w:val="nil" w:sz="6" w:space="0" w:color="auto"/>
            </w:tcBorders>
          </w:tcPr>
          <w:p>
            <w:pPr>
              <w:pStyle w:val="TableParagraph"/>
              <w:spacing w:line="207" w:lineRule="exact" w:before="37"/>
              <w:ind w:left="110" w:right="0"/>
              <w:jc w:val="left"/>
              <w:rPr>
                <w:rFonts w:ascii="宋体" w:hAnsi="宋体" w:cs="宋体" w:eastAsia="宋体" w:hint="default"/>
                <w:sz w:val="18"/>
                <w:szCs w:val="18"/>
              </w:rPr>
            </w:pPr>
            <w:r>
              <w:rPr>
                <w:rFonts w:ascii="宋体" w:hAnsi="宋体" w:cs="宋体" w:eastAsia="宋体" w:hint="default"/>
                <w:spacing w:val="-3"/>
                <w:sz w:val="18"/>
                <w:szCs w:val="18"/>
              </w:rPr>
              <w:t>按账龄组合计提坏账准备的应收</w:t>
            </w:r>
          </w:p>
          <w:p>
            <w:pPr>
              <w:pStyle w:val="TableParagraph"/>
              <w:spacing w:line="180" w:lineRule="exact"/>
              <w:ind w:right="103"/>
              <w:jc w:val="right"/>
              <w:rPr>
                <w:rFonts w:ascii="宋体" w:hAnsi="宋体" w:cs="宋体" w:eastAsia="宋体" w:hint="default"/>
                <w:sz w:val="18"/>
                <w:szCs w:val="18"/>
              </w:rPr>
            </w:pPr>
            <w:r>
              <w:rPr>
                <w:rFonts w:ascii="宋体"/>
                <w:spacing w:val="-1"/>
                <w:sz w:val="18"/>
              </w:rPr>
              <w:t>55,612,220.55</w:t>
            </w:r>
          </w:p>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z w:val="18"/>
              </w:rPr>
              <w:t>94.10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12,966,076.63</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10" w:right="0"/>
              <w:jc w:val="center"/>
              <w:rPr>
                <w:rFonts w:ascii="宋体" w:hAnsi="宋体" w:cs="宋体" w:eastAsia="宋体" w:hint="default"/>
                <w:sz w:val="18"/>
                <w:szCs w:val="18"/>
              </w:rPr>
            </w:pPr>
            <w:r>
              <w:rPr>
                <w:rFonts w:ascii="宋体"/>
                <w:sz w:val="18"/>
              </w:rPr>
              <w:t>23.32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sz w:val="18"/>
              </w:rPr>
              <w:t>42,646,143.92</w:t>
            </w:r>
          </w:p>
        </w:tc>
      </w:tr>
      <w:tr>
        <w:trPr>
          <w:trHeight w:val="641" w:hRule="exact"/>
        </w:trPr>
        <w:tc>
          <w:tcPr>
            <w:tcW w:w="4183" w:type="dxa"/>
            <w:tcBorders>
              <w:top w:val="nil" w:sz="6" w:space="0" w:color="auto"/>
              <w:left w:val="nil" w:sz="6" w:space="0" w:color="auto"/>
              <w:bottom w:val="nil" w:sz="6" w:space="0" w:color="auto"/>
              <w:right w:val="nil" w:sz="6" w:space="0" w:color="auto"/>
            </w:tcBorders>
          </w:tcPr>
          <w:p>
            <w:pPr>
              <w:pStyle w:val="TableParagraph"/>
              <w:spacing w:line="207" w:lineRule="exact" w:before="38"/>
              <w:ind w:left="110" w:right="0"/>
              <w:jc w:val="left"/>
              <w:rPr>
                <w:rFonts w:ascii="宋体" w:hAnsi="宋体" w:cs="宋体" w:eastAsia="宋体" w:hint="default"/>
                <w:sz w:val="18"/>
                <w:szCs w:val="18"/>
              </w:rPr>
            </w:pPr>
            <w:r>
              <w:rPr>
                <w:rFonts w:ascii="宋体" w:hAnsi="宋体" w:cs="宋体" w:eastAsia="宋体" w:hint="default"/>
                <w:spacing w:val="-3"/>
                <w:sz w:val="18"/>
                <w:szCs w:val="18"/>
              </w:rPr>
              <w:t>单项金额不重大但单独计提坏账</w:t>
            </w:r>
          </w:p>
          <w:p>
            <w:pPr>
              <w:pStyle w:val="TableParagraph"/>
              <w:spacing w:line="180" w:lineRule="exact"/>
              <w:ind w:right="103"/>
              <w:jc w:val="right"/>
              <w:rPr>
                <w:rFonts w:ascii="宋体" w:hAnsi="宋体" w:cs="宋体" w:eastAsia="宋体" w:hint="default"/>
                <w:sz w:val="18"/>
                <w:szCs w:val="18"/>
              </w:rPr>
            </w:pPr>
            <w:r>
              <w:rPr>
                <w:rFonts w:ascii="宋体"/>
                <w:spacing w:val="-1"/>
                <w:sz w:val="18"/>
              </w:rPr>
              <w:t>689,666.66</w:t>
            </w:r>
          </w:p>
          <w:p>
            <w:pPr>
              <w:pStyle w:val="TableParagraph"/>
              <w:spacing w:line="209" w:lineRule="exact"/>
              <w:ind w:left="110" w:right="0"/>
              <w:jc w:val="left"/>
              <w:rPr>
                <w:rFonts w:ascii="宋体" w:hAnsi="宋体" w:cs="宋体" w:eastAsia="宋体" w:hint="default"/>
                <w:sz w:val="18"/>
                <w:szCs w:val="18"/>
              </w:rPr>
            </w:pPr>
            <w:r>
              <w:rPr>
                <w:rFonts w:ascii="宋体" w:hAnsi="宋体" w:cs="宋体" w:eastAsia="宋体" w:hint="default"/>
                <w:spacing w:val="-3"/>
                <w:sz w:val="18"/>
                <w:szCs w:val="18"/>
              </w:rPr>
              <w:t>准备的应收账款</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z w:val="18"/>
              </w:rPr>
              <w:t>1.16</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689,666.66</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3" w:right="0"/>
              <w:jc w:val="center"/>
              <w:rPr>
                <w:rFonts w:ascii="宋体" w:hAnsi="宋体" w:cs="宋体" w:eastAsia="宋体" w:hint="default"/>
                <w:sz w:val="18"/>
                <w:szCs w:val="18"/>
              </w:rPr>
            </w:pPr>
            <w:r>
              <w:rPr>
                <w:rFonts w:ascii="宋体"/>
                <w:sz w:val="18"/>
              </w:rPr>
              <w:t>100.00</w:t>
            </w:r>
          </w:p>
        </w:tc>
        <w:tc>
          <w:tcPr>
            <w:tcW w:w="1359" w:type="dxa"/>
            <w:tcBorders>
              <w:top w:val="nil" w:sz="6" w:space="0" w:color="auto"/>
              <w:left w:val="nil" w:sz="6" w:space="0" w:color="auto"/>
              <w:bottom w:val="nil" w:sz="6" w:space="0" w:color="auto"/>
              <w:right w:val="nil" w:sz="6" w:space="0" w:color="auto"/>
            </w:tcBorders>
          </w:tcPr>
          <w:p>
            <w:pPr/>
          </w:p>
        </w:tc>
      </w:tr>
      <w:tr>
        <w:trPr>
          <w:trHeight w:val="472" w:hRule="exact"/>
        </w:trPr>
        <w:tc>
          <w:tcPr>
            <w:tcW w:w="4183" w:type="dxa"/>
            <w:tcBorders>
              <w:top w:val="nil" w:sz="6" w:space="0" w:color="auto"/>
              <w:left w:val="nil" w:sz="6" w:space="0" w:color="auto"/>
              <w:bottom w:val="nil" w:sz="6" w:space="0" w:color="auto"/>
              <w:right w:val="nil" w:sz="6" w:space="0" w:color="auto"/>
            </w:tcBorders>
          </w:tcPr>
          <w:p>
            <w:pPr>
              <w:pStyle w:val="TableParagraph"/>
              <w:tabs>
                <w:tab w:pos="2900" w:val="left" w:leader="none"/>
              </w:tabs>
              <w:spacing w:line="240" w:lineRule="auto" w:before="136"/>
              <w:ind w:left="1214"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59,101,887.21</w:t>
            </w:r>
            <w:r>
              <w:rPr>
                <w:rFonts w:ascii="宋体" w:hAnsi="宋体" w:cs="宋体" w:eastAsia="宋体" w:hint="default"/>
                <w:sz w:val="18"/>
                <w:szCs w:val="18"/>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3"/>
              <w:jc w:val="right"/>
              <w:rPr>
                <w:rFonts w:ascii="宋体" w:hAnsi="宋体" w:cs="宋体" w:eastAsia="宋体" w:hint="default"/>
                <w:sz w:val="18"/>
                <w:szCs w:val="18"/>
              </w:rPr>
            </w:pPr>
            <w:r>
              <w:rPr>
                <w:rFonts w:ascii="宋体"/>
                <w:w w:val="101"/>
                <w:sz w:val="18"/>
              </w:rPr>
            </w:r>
            <w:r>
              <w:rPr>
                <w:rFonts w:ascii="宋体"/>
                <w:spacing w:val="-1"/>
                <w:sz w:val="18"/>
                <w:u w:val="thick" w:color="000000"/>
              </w:rPr>
              <w:t>100.00</w:t>
            </w:r>
            <w:r>
              <w:rPr>
                <w:rFonts w:ascii="宋体"/>
                <w:spacing w:val="-1"/>
                <w:sz w:val="18"/>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3"/>
              <w:jc w:val="right"/>
              <w:rPr>
                <w:rFonts w:ascii="宋体" w:hAnsi="宋体" w:cs="宋体" w:eastAsia="宋体" w:hint="default"/>
                <w:sz w:val="18"/>
                <w:szCs w:val="18"/>
              </w:rPr>
            </w:pPr>
            <w:r>
              <w:rPr>
                <w:rFonts w:ascii="宋体"/>
                <w:w w:val="101"/>
                <w:sz w:val="18"/>
              </w:rPr>
            </w:r>
            <w:r>
              <w:rPr>
                <w:rFonts w:ascii="宋体"/>
                <w:spacing w:val="-1"/>
                <w:sz w:val="18"/>
                <w:u w:val="thick" w:color="000000"/>
              </w:rPr>
              <w:t>16,455,743.29</w:t>
            </w:r>
            <w:r>
              <w:rPr>
                <w:rFonts w:ascii="宋体"/>
                <w:spacing w:val="-1"/>
                <w:sz w:val="18"/>
              </w:rPr>
            </w:r>
          </w:p>
        </w:tc>
        <w:tc>
          <w:tcPr>
            <w:tcW w:w="826"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81" w:right="0"/>
              <w:jc w:val="left"/>
              <w:rPr>
                <w:rFonts w:ascii="宋体" w:hAnsi="宋体" w:cs="宋体" w:eastAsia="宋体" w:hint="default"/>
                <w:sz w:val="18"/>
                <w:szCs w:val="18"/>
              </w:rPr>
            </w:pPr>
            <w:r>
              <w:rPr>
                <w:rFonts w:ascii="宋体"/>
                <w:w w:val="101"/>
                <w:sz w:val="18"/>
              </w:rPr>
            </w:r>
            <w:r>
              <w:rPr>
                <w:rFonts w:ascii="宋体"/>
                <w:sz w:val="18"/>
                <w:u w:val="thick" w:color="000000"/>
              </w:rPr>
              <w:t>42,646,143.92</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240" w:lineRule="auto" w:before="36"/>
        <w:ind w:left="575" w:right="0"/>
        <w:jc w:val="left"/>
      </w:pPr>
      <w:r>
        <w:rPr/>
        <w:t>（</w:t>
      </w:r>
      <w:r>
        <w:rPr>
          <w:rFonts w:ascii="宋体" w:hAnsi="宋体" w:cs="宋体" w:eastAsia="宋体" w:hint="default"/>
        </w:rPr>
        <w:t>1</w:t>
      </w:r>
      <w:r>
        <w:rPr/>
        <w:t>）单项金额重大并单项计提坏账准备的应收账款</w:t>
      </w:r>
    </w:p>
    <w:p>
      <w:pPr>
        <w:spacing w:line="240" w:lineRule="auto" w:before="5"/>
        <w:rPr>
          <w:rFonts w:ascii="宋体" w:hAnsi="宋体" w:cs="宋体" w:eastAsia="宋体" w:hint="default"/>
          <w:sz w:val="25"/>
          <w:szCs w:val="25"/>
        </w:rPr>
      </w:pPr>
    </w:p>
    <w:tbl>
      <w:tblPr>
        <w:tblW w:w="0" w:type="auto"/>
        <w:jc w:val="left"/>
        <w:tblInd w:w="719" w:type="dxa"/>
        <w:tblLayout w:type="fixed"/>
        <w:tblCellMar>
          <w:top w:w="0" w:type="dxa"/>
          <w:left w:w="0" w:type="dxa"/>
          <w:bottom w:w="0" w:type="dxa"/>
          <w:right w:w="0" w:type="dxa"/>
        </w:tblCellMar>
        <w:tblLook w:val="01E0"/>
      </w:tblPr>
      <w:tblGrid>
        <w:gridCol w:w="2857"/>
        <w:gridCol w:w="1561"/>
        <w:gridCol w:w="1527"/>
        <w:gridCol w:w="1088"/>
        <w:gridCol w:w="1477"/>
      </w:tblGrid>
      <w:tr>
        <w:trPr>
          <w:trHeight w:val="594" w:hRule="exact"/>
        </w:trPr>
        <w:tc>
          <w:tcPr>
            <w:tcW w:w="285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37"/>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2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182" w:lineRule="exact"/>
              <w:ind w:right="166"/>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right="170"/>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c>
          <w:tcPr>
            <w:tcW w:w="1088" w:type="dxa"/>
            <w:tcBorders>
              <w:top w:val="nil" w:sz="6" w:space="0" w:color="auto"/>
              <w:left w:val="nil" w:sz="6" w:space="0" w:color="auto"/>
              <w:bottom w:val="single" w:sz="4" w:space="0" w:color="000000"/>
              <w:right w:val="nil" w:sz="6" w:space="0" w:color="auto"/>
            </w:tcBorders>
          </w:tcPr>
          <w:p>
            <w:pPr>
              <w:pStyle w:val="TableParagraph"/>
              <w:spacing w:line="182" w:lineRule="exact"/>
              <w:ind w:right="48"/>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43"/>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72"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37" w:hRule="exact"/>
        </w:trPr>
        <w:tc>
          <w:tcPr>
            <w:tcW w:w="285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深圳市金立通信设备有限公司</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50" w:right="0"/>
              <w:jc w:val="left"/>
              <w:rPr>
                <w:rFonts w:ascii="宋体" w:hAnsi="宋体" w:cs="宋体" w:eastAsia="宋体" w:hint="default"/>
                <w:sz w:val="18"/>
                <w:szCs w:val="18"/>
              </w:rPr>
            </w:pPr>
            <w:r>
              <w:rPr>
                <w:rFonts w:ascii="宋体"/>
                <w:sz w:val="18"/>
              </w:rPr>
              <w:t>1,600,000.00</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51"/>
              <w:jc w:val="right"/>
              <w:rPr>
                <w:rFonts w:ascii="宋体" w:hAnsi="宋体" w:cs="宋体" w:eastAsia="宋体" w:hint="default"/>
                <w:sz w:val="18"/>
                <w:szCs w:val="18"/>
              </w:rPr>
            </w:pPr>
            <w:r>
              <w:rPr>
                <w:rFonts w:ascii="宋体"/>
                <w:spacing w:val="-1"/>
                <w:sz w:val="18"/>
              </w:rPr>
              <w:t>1,600,000.00</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1"/>
              <w:jc w:val="right"/>
              <w:rPr>
                <w:rFonts w:ascii="宋体" w:hAnsi="宋体" w:cs="宋体" w:eastAsia="宋体" w:hint="default"/>
                <w:sz w:val="18"/>
                <w:szCs w:val="18"/>
              </w:rPr>
            </w:pPr>
            <w:r>
              <w:rPr>
                <w:rFonts w:ascii="宋体"/>
                <w:spacing w:val="-1"/>
                <w:sz w:val="18"/>
              </w:rPr>
              <w:t>100.00</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39"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248"/>
              <w:jc w:val="left"/>
              <w:rPr>
                <w:rFonts w:ascii="宋体" w:hAnsi="宋体" w:cs="宋体" w:eastAsia="宋体" w:hint="default"/>
                <w:sz w:val="18"/>
                <w:szCs w:val="18"/>
              </w:rPr>
            </w:pPr>
            <w:r>
              <w:rPr>
                <w:rFonts w:ascii="宋体" w:hAnsi="宋体" w:cs="宋体" w:eastAsia="宋体" w:hint="default"/>
                <w:spacing w:val="-5"/>
                <w:sz w:val="18"/>
                <w:szCs w:val="18"/>
              </w:rPr>
              <w:t>车易拍（北京）汽车技术服务有</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0" w:right="0"/>
              <w:jc w:val="left"/>
              <w:rPr>
                <w:rFonts w:ascii="宋体" w:hAnsi="宋体" w:cs="宋体" w:eastAsia="宋体" w:hint="default"/>
                <w:sz w:val="18"/>
                <w:szCs w:val="18"/>
              </w:rPr>
            </w:pPr>
            <w:r>
              <w:rPr>
                <w:rFonts w:ascii="宋体"/>
                <w:sz w:val="18"/>
              </w:rPr>
              <w:t>1,200,000.00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1,200,000.00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81"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7"/>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50" w:right="0"/>
              <w:jc w:val="left"/>
              <w:rPr>
                <w:rFonts w:ascii="宋体" w:hAnsi="宋体" w:cs="宋体" w:eastAsia="宋体" w:hint="default"/>
                <w:sz w:val="18"/>
                <w:szCs w:val="18"/>
              </w:rPr>
            </w:pPr>
            <w:r>
              <w:rPr>
                <w:rFonts w:ascii="宋体"/>
                <w:w w:val="101"/>
                <w:sz w:val="18"/>
              </w:rPr>
            </w:r>
            <w:r>
              <w:rPr>
                <w:rFonts w:ascii="宋体"/>
                <w:sz w:val="18"/>
                <w:u w:val="thick" w:color="000000"/>
              </w:rPr>
              <w:t>2,800,000.00</w:t>
            </w:r>
            <w:r>
              <w:rPr>
                <w:rFonts w:ascii="宋体"/>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1"/>
              <w:jc w:val="right"/>
              <w:rPr>
                <w:rFonts w:ascii="宋体" w:hAnsi="宋体" w:cs="宋体" w:eastAsia="宋体" w:hint="default"/>
                <w:sz w:val="18"/>
                <w:szCs w:val="18"/>
              </w:rPr>
            </w:pPr>
            <w:r>
              <w:rPr>
                <w:rFonts w:ascii="宋体"/>
                <w:w w:val="101"/>
                <w:sz w:val="18"/>
              </w:rPr>
            </w:r>
            <w:r>
              <w:rPr>
                <w:rFonts w:ascii="宋体"/>
                <w:spacing w:val="-1"/>
                <w:sz w:val="18"/>
                <w:u w:val="thick" w:color="000000"/>
              </w:rPr>
              <w:t>2,800,000.00</w:t>
            </w:r>
            <w:r>
              <w:rPr>
                <w:rFonts w:ascii="宋体"/>
                <w:spacing w:val="-1"/>
                <w:sz w:val="18"/>
              </w:rPr>
            </w:r>
          </w:p>
        </w:tc>
        <w:tc>
          <w:tcPr>
            <w:tcW w:w="1088"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575" w:right="0"/>
        <w:jc w:val="left"/>
      </w:pPr>
      <w:r>
        <w:rPr/>
        <w:t>（</w:t>
      </w:r>
      <w:r>
        <w:rPr>
          <w:rFonts w:ascii="宋体" w:hAnsi="宋体" w:cs="宋体" w:eastAsia="宋体" w:hint="default"/>
        </w:rPr>
        <w:t>2</w:t>
      </w:r>
      <w:r>
        <w:rPr/>
        <w:t>）组合中，按账龄分析法计提坏账准备的应收账款</w:t>
      </w:r>
    </w:p>
    <w:p>
      <w:pPr>
        <w:spacing w:line="240" w:lineRule="auto" w:before="3"/>
        <w:rPr>
          <w:rFonts w:ascii="宋体" w:hAnsi="宋体" w:cs="宋体" w:eastAsia="宋体" w:hint="default"/>
          <w:sz w:val="27"/>
          <w:szCs w:val="27"/>
        </w:rPr>
      </w:pPr>
    </w:p>
    <w:tbl>
      <w:tblPr>
        <w:tblW w:w="0" w:type="auto"/>
        <w:jc w:val="left"/>
        <w:tblInd w:w="719" w:type="dxa"/>
        <w:tblLayout w:type="fixed"/>
        <w:tblCellMar>
          <w:top w:w="0" w:type="dxa"/>
          <w:left w:w="0" w:type="dxa"/>
          <w:bottom w:w="0" w:type="dxa"/>
          <w:right w:w="0" w:type="dxa"/>
        </w:tblCellMar>
        <w:tblLook w:val="01E0"/>
      </w:tblPr>
      <w:tblGrid>
        <w:gridCol w:w="2720"/>
        <w:gridCol w:w="2281"/>
        <w:gridCol w:w="1986"/>
        <w:gridCol w:w="1522"/>
      </w:tblGrid>
      <w:tr>
        <w:trPr>
          <w:trHeight w:val="253" w:hRule="exact"/>
        </w:trPr>
        <w:tc>
          <w:tcPr>
            <w:tcW w:w="2720" w:type="dxa"/>
            <w:tcBorders>
              <w:top w:val="nil" w:sz="6" w:space="0" w:color="auto"/>
              <w:left w:val="nil" w:sz="6" w:space="0" w:color="auto"/>
              <w:bottom w:val="single" w:sz="4" w:space="0" w:color="000000"/>
              <w:right w:val="nil" w:sz="6" w:space="0" w:color="auto"/>
            </w:tcBorders>
          </w:tcPr>
          <w:p>
            <w:pPr>
              <w:pStyle w:val="TableParagraph"/>
              <w:spacing w:line="182" w:lineRule="exact"/>
              <w:ind w:right="903"/>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81" w:type="dxa"/>
            <w:tcBorders>
              <w:top w:val="nil" w:sz="6" w:space="0" w:color="auto"/>
              <w:left w:val="nil" w:sz="6" w:space="0" w:color="auto"/>
              <w:bottom w:val="single" w:sz="4" w:space="0" w:color="000000"/>
              <w:right w:val="nil" w:sz="6" w:space="0" w:color="auto"/>
            </w:tcBorders>
          </w:tcPr>
          <w:p>
            <w:pPr>
              <w:pStyle w:val="TableParagraph"/>
              <w:spacing w:line="182" w:lineRule="exact"/>
              <w:ind w:left="9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86" w:type="dxa"/>
            <w:tcBorders>
              <w:top w:val="nil" w:sz="6" w:space="0" w:color="auto"/>
              <w:left w:val="nil" w:sz="6" w:space="0" w:color="auto"/>
              <w:bottom w:val="single" w:sz="4" w:space="0" w:color="000000"/>
              <w:right w:val="nil" w:sz="6" w:space="0" w:color="auto"/>
            </w:tcBorders>
          </w:tcPr>
          <w:p>
            <w:pPr>
              <w:pStyle w:val="TableParagraph"/>
              <w:spacing w:line="182" w:lineRule="exact"/>
              <w:ind w:left="199"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522" w:type="dxa"/>
            <w:tcBorders>
              <w:top w:val="nil" w:sz="6" w:space="0" w:color="auto"/>
              <w:left w:val="nil" w:sz="6" w:space="0" w:color="auto"/>
              <w:bottom w:val="single" w:sz="4" w:space="0" w:color="000000"/>
              <w:right w:val="nil" w:sz="6" w:space="0" w:color="auto"/>
            </w:tcBorders>
          </w:tcPr>
          <w:p>
            <w:pPr>
              <w:pStyle w:val="TableParagraph"/>
              <w:spacing w:line="182"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4" w:hRule="exact"/>
        </w:trPr>
        <w:tc>
          <w:tcPr>
            <w:tcW w:w="272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2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7"/>
              <w:jc w:val="right"/>
              <w:rPr>
                <w:rFonts w:ascii="宋体" w:hAnsi="宋体" w:cs="宋体" w:eastAsia="宋体" w:hint="default"/>
                <w:sz w:val="18"/>
                <w:szCs w:val="18"/>
              </w:rPr>
            </w:pPr>
            <w:r>
              <w:rPr>
                <w:rFonts w:ascii="宋体"/>
                <w:spacing w:val="-1"/>
                <w:sz w:val="18"/>
              </w:rPr>
              <w:t>46,192,715.27</w:t>
            </w: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6"/>
              <w:jc w:val="right"/>
              <w:rPr>
                <w:rFonts w:ascii="宋体" w:hAnsi="宋体" w:cs="宋体" w:eastAsia="宋体" w:hint="default"/>
                <w:sz w:val="18"/>
                <w:szCs w:val="18"/>
              </w:rPr>
            </w:pPr>
            <w:r>
              <w:rPr>
                <w:rFonts w:ascii="宋体"/>
                <w:spacing w:val="-1"/>
                <w:sz w:val="18"/>
              </w:rPr>
              <w:t>1,611,841.17</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z w:val="18"/>
              </w:rPr>
              <w:t>3.49</w:t>
            </w:r>
          </w:p>
        </w:tc>
      </w:tr>
      <w:tr>
        <w:trPr>
          <w:trHeight w:val="396"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16,013,863.27</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right"/>
              <w:rPr>
                <w:rFonts w:ascii="宋体" w:hAnsi="宋体" w:cs="宋体" w:eastAsia="宋体" w:hint="default"/>
                <w:sz w:val="18"/>
                <w:szCs w:val="18"/>
              </w:rPr>
            </w:pPr>
            <w:r>
              <w:rPr>
                <w:rFonts w:ascii="宋体"/>
                <w:spacing w:val="-1"/>
                <w:sz w:val="18"/>
              </w:rPr>
              <w:t>4,881,113.64</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30.48</w:t>
            </w:r>
          </w:p>
        </w:tc>
      </w:tr>
      <w:tr>
        <w:trPr>
          <w:trHeight w:val="398"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7"/>
              <w:jc w:val="right"/>
              <w:rPr>
                <w:rFonts w:ascii="宋体" w:hAnsi="宋体" w:cs="宋体" w:eastAsia="宋体" w:hint="default"/>
                <w:sz w:val="18"/>
                <w:szCs w:val="18"/>
              </w:rPr>
            </w:pPr>
            <w:r>
              <w:rPr>
                <w:rFonts w:ascii="宋体"/>
                <w:spacing w:val="-1"/>
                <w:sz w:val="18"/>
              </w:rPr>
              <w:t>3,844,002.30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7"/>
              <w:jc w:val="right"/>
              <w:rPr>
                <w:rFonts w:ascii="宋体" w:hAnsi="宋体" w:cs="宋体" w:eastAsia="宋体" w:hint="default"/>
                <w:sz w:val="18"/>
                <w:szCs w:val="18"/>
              </w:rPr>
            </w:pPr>
            <w:r>
              <w:rPr>
                <w:rFonts w:ascii="宋体"/>
                <w:spacing w:val="-1"/>
                <w:sz w:val="18"/>
              </w:rPr>
              <w:t>2,992,105.43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77.84</w:t>
            </w:r>
          </w:p>
        </w:tc>
      </w:tr>
      <w:tr>
        <w:trPr>
          <w:trHeight w:val="290"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3"/>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7"/>
              <w:jc w:val="right"/>
              <w:rPr>
                <w:rFonts w:ascii="宋体" w:hAnsi="宋体" w:cs="宋体" w:eastAsia="宋体" w:hint="default"/>
                <w:sz w:val="18"/>
                <w:szCs w:val="18"/>
              </w:rPr>
            </w:pPr>
            <w:r>
              <w:rPr>
                <w:rFonts w:ascii="宋体"/>
                <w:w w:val="101"/>
                <w:sz w:val="18"/>
              </w:rPr>
            </w:r>
            <w:r>
              <w:rPr>
                <w:rFonts w:ascii="宋体"/>
                <w:spacing w:val="-1"/>
                <w:sz w:val="18"/>
                <w:u w:val="thick" w:color="000000"/>
              </w:rPr>
              <w:t>66,050,580.84</w:t>
            </w:r>
            <w:r>
              <w:rPr>
                <w:rFonts w:ascii="宋体"/>
                <w:spacing w:val="-1"/>
                <w:sz w:val="18"/>
              </w:rPr>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7"/>
              <w:jc w:val="right"/>
              <w:rPr>
                <w:rFonts w:ascii="宋体" w:hAnsi="宋体" w:cs="宋体" w:eastAsia="宋体" w:hint="default"/>
                <w:sz w:val="18"/>
                <w:szCs w:val="18"/>
              </w:rPr>
            </w:pPr>
            <w:r>
              <w:rPr>
                <w:rFonts w:ascii="宋体"/>
                <w:w w:val="101"/>
                <w:sz w:val="18"/>
              </w:rPr>
            </w:r>
            <w:r>
              <w:rPr>
                <w:rFonts w:ascii="宋体"/>
                <w:spacing w:val="-1"/>
                <w:sz w:val="18"/>
                <w:u w:val="thick" w:color="000000"/>
              </w:rPr>
              <w:t>9,485,060.24</w:t>
            </w:r>
            <w:r>
              <w:rPr>
                <w:rFonts w:ascii="宋体"/>
                <w:spacing w:val="-1"/>
                <w:sz w:val="18"/>
              </w:rPr>
            </w:r>
          </w:p>
        </w:tc>
        <w:tc>
          <w:tcPr>
            <w:tcW w:w="152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left="895" w:right="0"/>
        <w:jc w:val="left"/>
      </w:pPr>
      <w:r>
        <w:rPr/>
        <w:t>（</w:t>
      </w:r>
      <w:r>
        <w:rPr>
          <w:rFonts w:ascii="宋体" w:hAnsi="宋体" w:cs="宋体" w:eastAsia="宋体" w:hint="default"/>
        </w:rPr>
        <w:t>3</w:t>
      </w:r>
      <w:r>
        <w:rPr/>
        <w:t>）单项金额不重大但单项计提坏账准备的应收账款</w:t>
      </w:r>
    </w:p>
    <w:p>
      <w:pPr>
        <w:spacing w:line="240" w:lineRule="auto" w:before="6"/>
        <w:rPr>
          <w:rFonts w:ascii="宋体" w:hAnsi="宋体" w:cs="宋体" w:eastAsia="宋体" w:hint="default"/>
          <w:sz w:val="25"/>
          <w:szCs w:val="25"/>
        </w:rPr>
      </w:pPr>
    </w:p>
    <w:tbl>
      <w:tblPr>
        <w:tblW w:w="0" w:type="auto"/>
        <w:jc w:val="left"/>
        <w:tblInd w:w="1039" w:type="dxa"/>
        <w:tblLayout w:type="fixed"/>
        <w:tblCellMar>
          <w:top w:w="0" w:type="dxa"/>
          <w:left w:w="0" w:type="dxa"/>
          <w:bottom w:w="0" w:type="dxa"/>
          <w:right w:w="0" w:type="dxa"/>
        </w:tblCellMar>
        <w:tblLook w:val="01E0"/>
      </w:tblPr>
      <w:tblGrid>
        <w:gridCol w:w="3059"/>
        <w:gridCol w:w="1693"/>
        <w:gridCol w:w="1400"/>
        <w:gridCol w:w="1028"/>
        <w:gridCol w:w="1330"/>
      </w:tblGrid>
      <w:tr>
        <w:trPr>
          <w:trHeight w:val="598" w:hRule="exact"/>
        </w:trPr>
        <w:tc>
          <w:tcPr>
            <w:tcW w:w="3059"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177"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93"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5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00" w:type="dxa"/>
            <w:tcBorders>
              <w:top w:val="nil" w:sz="6" w:space="0" w:color="auto"/>
              <w:left w:val="nil" w:sz="6" w:space="0" w:color="auto"/>
              <w:bottom w:val="single" w:sz="4" w:space="0" w:color="000000"/>
              <w:right w:val="nil" w:sz="6" w:space="0" w:color="auto"/>
            </w:tcBorders>
          </w:tcPr>
          <w:p>
            <w:pPr>
              <w:pStyle w:val="TableParagraph"/>
              <w:spacing w:line="182" w:lineRule="exact"/>
              <w:ind w:right="101"/>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right="106"/>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c>
          <w:tcPr>
            <w:tcW w:w="1028" w:type="dxa"/>
            <w:tcBorders>
              <w:top w:val="nil" w:sz="6" w:space="0" w:color="auto"/>
              <w:left w:val="nil" w:sz="6" w:space="0" w:color="auto"/>
              <w:bottom w:val="single" w:sz="4" w:space="0" w:color="000000"/>
              <w:right w:val="nil" w:sz="6" w:space="0" w:color="auto"/>
            </w:tcBorders>
          </w:tcPr>
          <w:p>
            <w:pPr>
              <w:pStyle w:val="TableParagraph"/>
              <w:spacing w:line="182" w:lineRule="exact"/>
              <w:ind w:right="36"/>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right="41"/>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50" w:hRule="exact"/>
        </w:trPr>
        <w:tc>
          <w:tcPr>
            <w:tcW w:w="305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北京易后台财税科技有限公司</w:t>
            </w:r>
          </w:p>
        </w:tc>
        <w:tc>
          <w:tcPr>
            <w:tcW w:w="169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82"/>
              <w:jc w:val="right"/>
              <w:rPr>
                <w:rFonts w:ascii="宋体" w:hAnsi="宋体" w:cs="宋体" w:eastAsia="宋体" w:hint="default"/>
                <w:sz w:val="18"/>
                <w:szCs w:val="18"/>
              </w:rPr>
            </w:pPr>
            <w:r>
              <w:rPr>
                <w:rFonts w:ascii="宋体"/>
                <w:spacing w:val="-1"/>
                <w:sz w:val="18"/>
              </w:rPr>
              <w:t>902,000.00</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27"/>
              <w:jc w:val="right"/>
              <w:rPr>
                <w:rFonts w:ascii="宋体" w:hAnsi="宋体" w:cs="宋体" w:eastAsia="宋体" w:hint="default"/>
                <w:sz w:val="18"/>
                <w:szCs w:val="18"/>
              </w:rPr>
            </w:pPr>
            <w:r>
              <w:rPr>
                <w:rFonts w:ascii="宋体"/>
                <w:spacing w:val="-1"/>
                <w:sz w:val="18"/>
              </w:rPr>
              <w:t>902,000.00</w:t>
            </w: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117"/>
              <w:jc w:val="right"/>
              <w:rPr>
                <w:rFonts w:ascii="宋体" w:hAnsi="宋体" w:cs="宋体" w:eastAsia="宋体" w:hint="default"/>
                <w:sz w:val="18"/>
                <w:szCs w:val="18"/>
              </w:rPr>
            </w:pPr>
            <w:r>
              <w:rPr>
                <w:rFonts w:ascii="宋体"/>
                <w:spacing w:val="-1"/>
                <w:sz w:val="18"/>
              </w:rPr>
              <w:t>100.00</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新疆软件园有限责任公司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600,000.00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600,000.00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北京快人科技有限公司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500,000.00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7"/>
              <w:jc w:val="right"/>
              <w:rPr>
                <w:rFonts w:ascii="宋体" w:hAnsi="宋体" w:cs="宋体" w:eastAsia="宋体" w:hint="default"/>
                <w:sz w:val="18"/>
                <w:szCs w:val="18"/>
              </w:rPr>
            </w:pPr>
            <w:r>
              <w:rPr>
                <w:rFonts w:ascii="宋体"/>
                <w:spacing w:val="-1"/>
                <w:sz w:val="18"/>
              </w:rPr>
              <w:t>500,000.00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北京华平投资咨询有限公司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350,553.72</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350,553.72</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上海财华保网络科技有限公司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300,000.00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300,000.00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空间家有限公司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251,200.00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251,200.00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北京保康朗德文化传媒有限公司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250,000.00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7"/>
              <w:jc w:val="right"/>
              <w:rPr>
                <w:rFonts w:ascii="宋体" w:hAnsi="宋体" w:cs="宋体" w:eastAsia="宋体" w:hint="default"/>
                <w:sz w:val="18"/>
                <w:szCs w:val="18"/>
              </w:rPr>
            </w:pPr>
            <w:r>
              <w:rPr>
                <w:rFonts w:ascii="宋体"/>
                <w:spacing w:val="-1"/>
                <w:sz w:val="18"/>
              </w:rPr>
              <w:t>250,000.00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广州千千氏工艺品有限公司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250,000.00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250,000.00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奇飞翔艺（北京）软件有限公司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200,000.00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200,000.00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上海思亮信息技术股份有限公司</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2"/>
              <w:jc w:val="right"/>
              <w:rPr>
                <w:rFonts w:ascii="宋体" w:hAnsi="宋体" w:cs="宋体" w:eastAsia="宋体" w:hint="default"/>
                <w:sz w:val="18"/>
                <w:szCs w:val="18"/>
              </w:rPr>
            </w:pPr>
            <w:r>
              <w:rPr>
                <w:rFonts w:ascii="宋体"/>
                <w:spacing w:val="-1"/>
                <w:sz w:val="18"/>
              </w:rPr>
              <w:t>200,000.00</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7"/>
              <w:jc w:val="right"/>
              <w:rPr>
                <w:rFonts w:ascii="宋体" w:hAnsi="宋体" w:cs="宋体" w:eastAsia="宋体" w:hint="default"/>
                <w:sz w:val="18"/>
                <w:szCs w:val="18"/>
              </w:rPr>
            </w:pPr>
            <w:r>
              <w:rPr>
                <w:rFonts w:ascii="宋体"/>
                <w:spacing w:val="-1"/>
                <w:sz w:val="18"/>
              </w:rPr>
              <w:t>200,000.00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9"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spacing w:val="-1"/>
                <w:sz w:val="18"/>
              </w:rPr>
              <w:t>3,478,507.74</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3,478,507.74</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right"/>
              <w:rPr>
                <w:rFonts w:ascii="宋体" w:hAnsi="宋体" w:cs="宋体" w:eastAsia="宋体" w:hint="default"/>
                <w:sz w:val="18"/>
                <w:szCs w:val="18"/>
              </w:rPr>
            </w:pPr>
            <w:r>
              <w:rPr>
                <w:rFonts w:ascii="宋体"/>
                <w:spacing w:val="-1"/>
                <w:sz w:val="18"/>
              </w:rPr>
              <w:t>100.00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91"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7"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宋体" w:hAnsi="宋体" w:cs="宋体" w:eastAsia="宋体" w:hint="default"/>
                <w:sz w:val="18"/>
                <w:szCs w:val="18"/>
              </w:rPr>
            </w:pPr>
            <w:r>
              <w:rPr>
                <w:rFonts w:ascii="宋体"/>
                <w:w w:val="101"/>
                <w:sz w:val="18"/>
              </w:rPr>
            </w:r>
            <w:r>
              <w:rPr>
                <w:rFonts w:ascii="宋体"/>
                <w:spacing w:val="-1"/>
                <w:sz w:val="18"/>
                <w:u w:val="thick" w:color="000000"/>
              </w:rPr>
              <w:t>7,282,261.46</w:t>
            </w:r>
            <w:r>
              <w:rPr>
                <w:rFonts w:ascii="宋体"/>
                <w:spacing w:val="-1"/>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w w:val="101"/>
                <w:sz w:val="18"/>
              </w:rPr>
            </w:r>
            <w:r>
              <w:rPr>
                <w:rFonts w:ascii="宋体"/>
                <w:spacing w:val="-1"/>
                <w:sz w:val="18"/>
                <w:u w:val="thick" w:color="000000"/>
              </w:rPr>
              <w:t>7,282,261.46</w:t>
            </w:r>
            <w:r>
              <w:rPr>
                <w:rFonts w:ascii="宋体"/>
                <w:spacing w:val="-1"/>
                <w:sz w:val="18"/>
              </w:rPr>
            </w:r>
          </w:p>
        </w:tc>
        <w:tc>
          <w:tcPr>
            <w:tcW w:w="10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6"/>
        <w:ind w:left="895" w:right="0"/>
        <w:jc w:val="left"/>
      </w:pPr>
      <w:r>
        <w:rPr>
          <w:rFonts w:ascii="宋体" w:hAnsi="宋体" w:cs="宋体" w:eastAsia="宋体" w:hint="default"/>
        </w:rPr>
        <w:t>3.</w:t>
      </w:r>
      <w:r>
        <w:rPr/>
        <w:t>坏账准备的情况</w:t>
      </w:r>
    </w:p>
    <w:p>
      <w:pPr>
        <w:spacing w:line="240" w:lineRule="auto" w:before="7"/>
        <w:rPr>
          <w:rFonts w:ascii="宋体" w:hAnsi="宋体" w:cs="宋体" w:eastAsia="宋体" w:hint="default"/>
          <w:sz w:val="19"/>
          <w:szCs w:val="19"/>
        </w:rPr>
      </w:pPr>
    </w:p>
    <w:p>
      <w:pPr>
        <w:spacing w:before="46"/>
        <w:ind w:left="5444" w:right="4674" w:firstLine="0"/>
        <w:jc w:val="center"/>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p>
      <w:pPr>
        <w:spacing w:after="0"/>
        <w:jc w:val="center"/>
        <w:rPr>
          <w:rFonts w:ascii="宋体" w:hAnsi="宋体" w:cs="宋体" w:eastAsia="宋体" w:hint="default"/>
          <w:sz w:val="18"/>
          <w:szCs w:val="18"/>
        </w:rPr>
        <w:sectPr>
          <w:pgSz w:w="11910" w:h="16840"/>
          <w:pgMar w:header="741" w:footer="979" w:top="1060" w:bottom="1160" w:left="660" w:right="0"/>
        </w:sectPr>
      </w:pPr>
    </w:p>
    <w:p>
      <w:pPr>
        <w:tabs>
          <w:tab w:pos="2701" w:val="left" w:leader="none"/>
        </w:tabs>
        <w:spacing w:before="124"/>
        <w:ind w:left="1481" w:right="-13" w:firstLine="0"/>
        <w:jc w:val="left"/>
        <w:rPr>
          <w:rFonts w:ascii="宋体" w:hAnsi="宋体" w:cs="宋体" w:eastAsia="宋体" w:hint="default"/>
          <w:sz w:val="18"/>
          <w:szCs w:val="18"/>
        </w:rPr>
      </w:pPr>
      <w:r>
        <w:rPr>
          <w:rFonts w:ascii="宋体" w:hAnsi="宋体" w:cs="宋体" w:eastAsia="宋体" w:hint="default"/>
          <w:b/>
          <w:bCs/>
          <w:sz w:val="18"/>
          <w:szCs w:val="18"/>
        </w:rPr>
        <w:t>类别</w:t>
        <w:tab/>
        <w:t>期初余额</w:t>
      </w:r>
      <w:r>
        <w:rPr>
          <w:rFonts w:ascii="宋体" w:hAnsi="宋体" w:cs="宋体" w:eastAsia="宋体" w:hint="default"/>
          <w:sz w:val="18"/>
          <w:szCs w:val="18"/>
        </w:rPr>
      </w:r>
    </w:p>
    <w:p>
      <w:pPr>
        <w:spacing w:line="209" w:lineRule="exact" w:before="139"/>
        <w:ind w:left="0" w:right="0" w:firstLine="0"/>
        <w:jc w:val="right"/>
        <w:rPr>
          <w:rFonts w:ascii="宋体" w:hAnsi="宋体" w:cs="宋体" w:eastAsia="宋体" w:hint="default"/>
          <w:sz w:val="18"/>
          <w:szCs w:val="18"/>
        </w:rPr>
      </w:pPr>
      <w:r>
        <w:rPr/>
        <w:br w:type="column"/>
      </w:r>
      <w:r>
        <w:rPr>
          <w:rFonts w:ascii="宋体" w:hAnsi="宋体" w:cs="宋体" w:eastAsia="宋体" w:hint="default"/>
          <w:b/>
          <w:bCs/>
          <w:sz w:val="18"/>
          <w:szCs w:val="18"/>
        </w:rPr>
        <w:t>收回或</w:t>
      </w:r>
      <w:r>
        <w:rPr>
          <w:rFonts w:ascii="宋体" w:hAnsi="宋体" w:cs="宋体" w:eastAsia="宋体" w:hint="default"/>
          <w:sz w:val="18"/>
          <w:szCs w:val="18"/>
        </w:rPr>
      </w:r>
    </w:p>
    <w:p>
      <w:pPr>
        <w:spacing w:line="180" w:lineRule="exact" w:before="0"/>
        <w:ind w:left="884" w:right="1200" w:firstLine="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spacing w:line="207" w:lineRule="exact" w:before="0"/>
        <w:ind w:left="0" w:right="89" w:firstLine="0"/>
        <w:jc w:val="right"/>
        <w:rPr>
          <w:rFonts w:ascii="宋体" w:hAnsi="宋体" w:cs="宋体" w:eastAsia="宋体" w:hint="default"/>
          <w:sz w:val="18"/>
          <w:szCs w:val="18"/>
        </w:rPr>
      </w:pPr>
      <w:r>
        <w:rPr/>
        <w:pict>
          <v:group style="position:absolute;margin-left:84.74398pt;margin-top:12.678005pt;width:425.95pt;height:.5pt;mso-position-horizontal-relative:page;mso-position-vertical-relative:paragraph;z-index:-924448" coordorigin="1695,254" coordsize="8519,10">
            <v:group style="position:absolute;left:1700;top:258;width:1239;height:2" coordorigin="1700,258" coordsize="1239,2">
              <v:shape style="position:absolute;left:1700;top:258;width:1239;height:2" coordorigin="1700,258" coordsize="1239,0" path="m1700,258l2939,258e" filled="false" stroked="true" strokeweight=".48004pt" strokecolor="#000000">
                <v:path arrowok="t"/>
              </v:shape>
            </v:group>
            <v:group style="position:absolute;left:2939;top:258;width:10;height:2" coordorigin="2939,258" coordsize="10,2">
              <v:shape style="position:absolute;left:2939;top:258;width:10;height:2" coordorigin="2939,258" coordsize="10,0" path="m2939,258l2948,258e" filled="false" stroked="true" strokeweight=".48004pt" strokecolor="#000000">
                <v:path arrowok="t"/>
              </v:shape>
            </v:group>
            <v:group style="position:absolute;left:2948;top:258;width:1561;height:2" coordorigin="2948,258" coordsize="1561,2">
              <v:shape style="position:absolute;left:2948;top:258;width:1561;height:2" coordorigin="2948,258" coordsize="1561,0" path="m2948,258l4509,258e" filled="false" stroked="true" strokeweight=".48004pt" strokecolor="#000000">
                <v:path arrowok="t"/>
              </v:shape>
            </v:group>
            <v:group style="position:absolute;left:4509;top:258;width:10;height:2" coordorigin="4509,258" coordsize="10,2">
              <v:shape style="position:absolute;left:4509;top:258;width:10;height:2" coordorigin="4509,258" coordsize="10,0" path="m4509,258l4519,258e" filled="false" stroked="true" strokeweight=".48004pt" strokecolor="#000000">
                <v:path arrowok="t"/>
              </v:shape>
            </v:group>
            <v:group style="position:absolute;left:4519;top:258;width:1398;height:2" coordorigin="4519,258" coordsize="1398,2">
              <v:shape style="position:absolute;left:4519;top:258;width:1398;height:2" coordorigin="4519,258" coordsize="1398,0" path="m4519,258l5916,258e" filled="false" stroked="true" strokeweight=".48004pt" strokecolor="#000000">
                <v:path arrowok="t"/>
              </v:shape>
            </v:group>
            <v:group style="position:absolute;left:5916;top:258;width:10;height:2" coordorigin="5916,258" coordsize="10,2">
              <v:shape style="position:absolute;left:5916;top:258;width:10;height:2" coordorigin="5916,258" coordsize="10,0" path="m5916,258l5926,258e" filled="false" stroked="true" strokeweight=".48004pt" strokecolor="#000000">
                <v:path arrowok="t"/>
              </v:shape>
            </v:group>
            <v:group style="position:absolute;left:5926;top:258;width:840;height:2" coordorigin="5926,258" coordsize="840,2">
              <v:shape style="position:absolute;left:5926;top:258;width:840;height:2" coordorigin="5926,258" coordsize="840,0" path="m5926,258l6766,258e" filled="false" stroked="true" strokeweight=".48004pt" strokecolor="#000000">
                <v:path arrowok="t"/>
              </v:shape>
            </v:group>
            <v:group style="position:absolute;left:6766;top:258;width:10;height:2" coordorigin="6766,258" coordsize="10,2">
              <v:shape style="position:absolute;left:6766;top:258;width:10;height:2" coordorigin="6766,258" coordsize="10,0" path="m6766,258l6775,258e" filled="false" stroked="true" strokeweight=".48004pt" strokecolor="#000000">
                <v:path arrowok="t"/>
              </v:shape>
            </v:group>
            <v:group style="position:absolute;left:6775;top:258;width:836;height:2" coordorigin="6775,258" coordsize="836,2">
              <v:shape style="position:absolute;left:6775;top:258;width:836;height:2" coordorigin="6775,258" coordsize="836,0" path="m6775,258l7611,258e" filled="false" stroked="true" strokeweight=".48004pt" strokecolor="#000000">
                <v:path arrowok="t"/>
              </v:shape>
            </v:group>
            <v:group style="position:absolute;left:7611;top:258;width:10;height:2" coordorigin="7611,258" coordsize="10,2">
              <v:shape style="position:absolute;left:7611;top:258;width:10;height:2" coordorigin="7611,258" coordsize="10,0" path="m7611,258l7620,258e" filled="false" stroked="true" strokeweight=".48004pt" strokecolor="#000000">
                <v:path arrowok="t"/>
              </v:shape>
            </v:group>
            <v:group style="position:absolute;left:7620;top:258;width:1201;height:2" coordorigin="7620,258" coordsize="1201,2">
              <v:shape style="position:absolute;left:7620;top:258;width:1201;height:2" coordorigin="7620,258" coordsize="1201,0" path="m7620,258l8821,258e" filled="false" stroked="true" strokeweight=".48004pt" strokecolor="#000000">
                <v:path arrowok="t"/>
              </v:shape>
            </v:group>
            <v:group style="position:absolute;left:8821;top:258;width:10;height:2" coordorigin="8821,258" coordsize="10,2">
              <v:shape style="position:absolute;left:8821;top:258;width:10;height:2" coordorigin="8821,258" coordsize="10,0" path="m8821,258l8831,258e" filled="false" stroked="true" strokeweight=".48004pt" strokecolor="#000000">
                <v:path arrowok="t"/>
              </v:shape>
            </v:group>
            <v:group style="position:absolute;left:8831;top:258;width:1379;height:2" coordorigin="8831,258" coordsize="1379,2">
              <v:shape style="position:absolute;left:8831;top:258;width:1379;height:2" coordorigin="8831,258" coordsize="1379,0" path="m8831,258l10209,258e" filled="false" stroked="true" strokeweight=".48004pt" strokecolor="#000000">
                <v:path arrowok="t"/>
              </v:shape>
            </v:group>
            <w10:wrap type="none"/>
          </v:group>
        </w:pict>
      </w:r>
      <w:r>
        <w:rPr>
          <w:rFonts w:ascii="宋体" w:hAnsi="宋体" w:cs="宋体" w:eastAsia="宋体" w:hint="default"/>
          <w:b/>
          <w:bCs/>
          <w:sz w:val="18"/>
          <w:szCs w:val="18"/>
        </w:rPr>
        <w:t>转回</w:t>
      </w:r>
      <w:r>
        <w:rPr>
          <w:rFonts w:ascii="宋体" w:hAnsi="宋体" w:cs="宋体" w:eastAsia="宋体" w:hint="default"/>
          <w:sz w:val="18"/>
          <w:szCs w:val="18"/>
        </w:rPr>
      </w:r>
    </w:p>
    <w:p>
      <w:pPr>
        <w:spacing w:line="367" w:lineRule="auto" w:before="139"/>
        <w:ind w:left="353" w:right="-14" w:hanging="92"/>
        <w:jc w:val="left"/>
        <w:rPr>
          <w:rFonts w:ascii="宋体" w:hAnsi="宋体" w:cs="宋体" w:eastAsia="宋体" w:hint="default"/>
          <w:sz w:val="18"/>
          <w:szCs w:val="18"/>
        </w:rPr>
      </w:pPr>
      <w:r>
        <w:rPr/>
        <w:br w:type="column"/>
      </w:r>
      <w:r>
        <w:rPr>
          <w:rFonts w:ascii="宋体" w:hAnsi="宋体" w:cs="宋体" w:eastAsia="宋体" w:hint="default"/>
          <w:b/>
          <w:bCs/>
          <w:sz w:val="18"/>
          <w:szCs w:val="18"/>
        </w:rPr>
        <w:t>转销或</w:t>
      </w:r>
      <w:r>
        <w:rPr>
          <w:rFonts w:ascii="宋体" w:hAnsi="宋体" w:cs="宋体" w:eastAsia="宋体" w:hint="default"/>
          <w:b/>
          <w:bCs/>
          <w:spacing w:val="-86"/>
          <w:sz w:val="18"/>
          <w:szCs w:val="18"/>
        </w:rPr>
        <w:t> </w:t>
      </w:r>
      <w:r>
        <w:rPr>
          <w:rFonts w:ascii="宋体" w:hAnsi="宋体" w:cs="宋体" w:eastAsia="宋体" w:hint="default"/>
          <w:b/>
          <w:bCs/>
          <w:sz w:val="18"/>
          <w:szCs w:val="18"/>
        </w:rPr>
        <w:t>核销</w:t>
      </w:r>
      <w:r>
        <w:rPr>
          <w:rFonts w:ascii="宋体" w:hAnsi="宋体" w:cs="宋体" w:eastAsia="宋体" w:hint="default"/>
          <w:sz w:val="18"/>
          <w:szCs w:val="18"/>
        </w:rPr>
      </w:r>
    </w:p>
    <w:p>
      <w:pPr>
        <w:spacing w:line="240" w:lineRule="auto" w:before="7"/>
        <w:rPr>
          <w:rFonts w:ascii="宋体" w:hAnsi="宋体" w:cs="宋体" w:eastAsia="宋体" w:hint="default"/>
          <w:b/>
          <w:bCs/>
          <w:sz w:val="24"/>
          <w:szCs w:val="24"/>
        </w:rPr>
      </w:pPr>
      <w:r>
        <w:rPr/>
        <w:br w:type="column"/>
      </w:r>
      <w:r>
        <w:rPr>
          <w:rFonts w:ascii="宋体"/>
          <w:b/>
          <w:sz w:val="24"/>
        </w:rPr>
      </w:r>
    </w:p>
    <w:p>
      <w:pPr>
        <w:spacing w:before="0"/>
        <w:ind w:left="349" w:right="-13" w:firstLine="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p>
      <w:pPr>
        <w:spacing w:before="124"/>
        <w:ind w:left="526"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660" w:right="0"/>
          <w:cols w:num="5" w:equalWidth="0">
            <w:col w:w="3432" w:space="40"/>
            <w:col w:w="2486" w:space="40"/>
            <w:col w:w="810" w:space="40"/>
            <w:col w:w="1079" w:space="40"/>
            <w:col w:w="3283"/>
          </w:cols>
        </w:sectPr>
      </w:pPr>
    </w:p>
    <w:p>
      <w:pPr>
        <w:spacing w:line="367" w:lineRule="auto" w:before="38"/>
        <w:ind w:left="1150" w:right="-8" w:firstLine="0"/>
        <w:jc w:val="left"/>
        <w:rPr>
          <w:rFonts w:ascii="宋体" w:hAnsi="宋体" w:cs="宋体" w:eastAsia="宋体" w:hint="default"/>
          <w:sz w:val="18"/>
          <w:szCs w:val="18"/>
        </w:rPr>
      </w:pPr>
      <w:r>
        <w:rPr>
          <w:rFonts w:ascii="宋体" w:hAnsi="宋体" w:cs="宋体" w:eastAsia="宋体" w:hint="default"/>
          <w:spacing w:val="-2"/>
          <w:sz w:val="18"/>
          <w:szCs w:val="18"/>
        </w:rPr>
        <w:t>应收账款坏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账准备</w:t>
      </w:r>
    </w:p>
    <w:p>
      <w:pPr>
        <w:spacing w:line="240" w:lineRule="auto" w:before="12"/>
        <w:rPr>
          <w:rFonts w:ascii="宋体" w:hAnsi="宋体" w:cs="宋体" w:eastAsia="宋体" w:hint="default"/>
          <w:sz w:val="16"/>
          <w:szCs w:val="16"/>
        </w:rPr>
      </w:pPr>
      <w:r>
        <w:rPr/>
        <w:br w:type="column"/>
      </w:r>
      <w:r>
        <w:rPr>
          <w:rFonts w:ascii="宋体"/>
          <w:sz w:val="16"/>
        </w:rPr>
      </w:r>
    </w:p>
    <w:p>
      <w:pPr>
        <w:tabs>
          <w:tab w:pos="1919" w:val="left" w:leader="none"/>
          <w:tab w:pos="4968" w:val="left" w:leader="none"/>
          <w:tab w:pos="6178" w:val="left" w:leader="none"/>
        </w:tabs>
        <w:spacing w:before="0"/>
        <w:ind w:left="387" w:right="0" w:firstLine="0"/>
        <w:jc w:val="left"/>
        <w:rPr>
          <w:rFonts w:ascii="宋体" w:hAnsi="宋体" w:cs="宋体" w:eastAsia="宋体" w:hint="default"/>
          <w:sz w:val="18"/>
          <w:szCs w:val="18"/>
        </w:rPr>
      </w:pPr>
      <w:r>
        <w:rPr>
          <w:rFonts w:ascii="宋体"/>
          <w:spacing w:val="-1"/>
          <w:sz w:val="18"/>
        </w:rPr>
        <w:t>16,455,743.29</w:t>
        <w:tab/>
        <w:t>3,211,578.41</w:t>
        <w:tab/>
        <w:t>-100,000.00</w:t>
        <w:tab/>
        <w:t>19,567,321.70</w:t>
      </w:r>
    </w:p>
    <w:p>
      <w:pPr>
        <w:spacing w:after="0"/>
        <w:jc w:val="left"/>
        <w:rPr>
          <w:rFonts w:ascii="宋体" w:hAnsi="宋体" w:cs="宋体" w:eastAsia="宋体" w:hint="default"/>
          <w:sz w:val="18"/>
          <w:szCs w:val="18"/>
        </w:rPr>
        <w:sectPr>
          <w:type w:val="continuous"/>
          <w:pgSz w:w="11910" w:h="16840"/>
          <w:pgMar w:top="1060" w:bottom="1160" w:left="660" w:right="0"/>
          <w:cols w:num="2" w:equalWidth="0">
            <w:col w:w="2053" w:space="40"/>
            <w:col w:w="9157"/>
          </w:cols>
        </w:sectPr>
      </w:pPr>
    </w:p>
    <w:p>
      <w:pPr>
        <w:tabs>
          <w:tab w:pos="2480" w:val="left" w:leader="none"/>
          <w:tab w:pos="4012" w:val="left" w:leader="none"/>
          <w:tab w:pos="7061" w:val="left" w:leader="none"/>
          <w:tab w:pos="8271" w:val="left" w:leader="none"/>
        </w:tabs>
        <w:spacing w:before="48"/>
        <w:ind w:left="1481" w:right="0"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pacing w:val="-1"/>
          <w:sz w:val="18"/>
          <w:szCs w:val="18"/>
          <w:u w:val="thick" w:color="000000"/>
        </w:rPr>
        <w:t>16,455,743.29</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3,211,578.41</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-100,000.00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19,567,321.70</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before="36"/>
        <w:ind w:left="895" w:right="0"/>
        <w:jc w:val="left"/>
      </w:pPr>
      <w:r>
        <w:rPr>
          <w:rFonts w:ascii="宋体" w:hAnsi="宋体" w:cs="宋体" w:eastAsia="宋体" w:hint="default"/>
        </w:rPr>
        <w:t>4.</w:t>
      </w:r>
      <w:r>
        <w:rPr/>
        <w:t>按欠款方归集的期末应收账款金额前五名情况</w:t>
      </w:r>
    </w:p>
    <w:p>
      <w:pPr>
        <w:spacing w:line="240" w:lineRule="auto" w:before="5"/>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3383"/>
        <w:gridCol w:w="1297"/>
        <w:gridCol w:w="1666"/>
        <w:gridCol w:w="1193"/>
        <w:gridCol w:w="1129"/>
        <w:gridCol w:w="1681"/>
      </w:tblGrid>
      <w:tr>
        <w:trPr>
          <w:trHeight w:val="598" w:hRule="exact"/>
        </w:trPr>
        <w:tc>
          <w:tcPr>
            <w:tcW w:w="3383"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218"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297" w:type="dxa"/>
            <w:tcBorders>
              <w:top w:val="nil" w:sz="6" w:space="0" w:color="auto"/>
              <w:left w:val="nil" w:sz="6" w:space="0" w:color="auto"/>
              <w:bottom w:val="single" w:sz="8" w:space="0" w:color="000000"/>
              <w:right w:val="nil" w:sz="6" w:space="0" w:color="auto"/>
            </w:tcBorders>
          </w:tcPr>
          <w:p>
            <w:pPr>
              <w:pStyle w:val="TableParagraph"/>
              <w:spacing w:line="182"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与本公</w:t>
            </w:r>
            <w:r>
              <w:rPr>
                <w:rFonts w:ascii="宋体" w:hAnsi="宋体" w:cs="宋体" w:eastAsia="宋体" w:hint="default"/>
                <w:sz w:val="18"/>
                <w:szCs w:val="18"/>
              </w:rPr>
            </w:r>
          </w:p>
          <w:p>
            <w:pPr>
              <w:pStyle w:val="TableParagraph"/>
              <w:spacing w:line="240" w:lineRule="auto" w:before="124"/>
              <w:ind w:left="386" w:right="0"/>
              <w:jc w:val="left"/>
              <w:rPr>
                <w:rFonts w:ascii="宋体" w:hAnsi="宋体" w:cs="宋体" w:eastAsia="宋体" w:hint="default"/>
                <w:sz w:val="18"/>
                <w:szCs w:val="18"/>
              </w:rPr>
            </w:pPr>
            <w:r>
              <w:rPr>
                <w:rFonts w:ascii="宋体" w:hAnsi="宋体" w:cs="宋体" w:eastAsia="宋体" w:hint="default"/>
                <w:b/>
                <w:bCs/>
                <w:sz w:val="18"/>
                <w:szCs w:val="18"/>
              </w:rPr>
              <w:t>司关系</w:t>
            </w:r>
            <w:r>
              <w:rPr>
                <w:rFonts w:ascii="宋体" w:hAnsi="宋体" w:cs="宋体" w:eastAsia="宋体" w:hint="default"/>
                <w:sz w:val="18"/>
                <w:szCs w:val="18"/>
              </w:rPr>
            </w:r>
          </w:p>
        </w:tc>
        <w:tc>
          <w:tcPr>
            <w:tcW w:w="1666"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36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3"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right="247"/>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129"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right="3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81" w:type="dxa"/>
            <w:tcBorders>
              <w:top w:val="nil" w:sz="6" w:space="0" w:color="auto"/>
              <w:left w:val="nil" w:sz="6" w:space="0" w:color="auto"/>
              <w:bottom w:val="single" w:sz="8" w:space="0" w:color="000000"/>
              <w:right w:val="nil" w:sz="6" w:space="0" w:color="auto"/>
            </w:tcBorders>
          </w:tcPr>
          <w:p>
            <w:pPr>
              <w:pStyle w:val="TableParagraph"/>
              <w:spacing w:line="182"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坏账准备期末余</w:t>
            </w:r>
            <w:r>
              <w:rPr>
                <w:rFonts w:ascii="宋体" w:hAnsi="宋体" w:cs="宋体" w:eastAsia="宋体" w:hint="default"/>
                <w:sz w:val="18"/>
                <w:szCs w:val="18"/>
              </w:rPr>
            </w:r>
          </w:p>
          <w:p>
            <w:pPr>
              <w:pStyle w:val="TableParagraph"/>
              <w:spacing w:line="240" w:lineRule="auto" w:before="124"/>
              <w:ind w:left="57" w:right="0"/>
              <w:jc w:val="center"/>
              <w:rPr>
                <w:rFonts w:ascii="宋体" w:hAnsi="宋体" w:cs="宋体" w:eastAsia="宋体" w:hint="default"/>
                <w:sz w:val="18"/>
                <w:szCs w:val="18"/>
              </w:rPr>
            </w:pPr>
            <w:r>
              <w:rPr>
                <w:rFonts w:ascii="宋体" w:hAnsi="宋体" w:cs="宋体" w:eastAsia="宋体" w:hint="default"/>
                <w:b/>
                <w:bCs/>
                <w:w w:val="100"/>
                <w:sz w:val="18"/>
                <w:szCs w:val="18"/>
              </w:rPr>
              <w:t>额</w:t>
            </w:r>
            <w:r>
              <w:rPr>
                <w:rFonts w:ascii="宋体" w:hAnsi="宋体" w:cs="宋体" w:eastAsia="宋体" w:hint="default"/>
                <w:w w:val="100"/>
                <w:sz w:val="18"/>
                <w:szCs w:val="18"/>
              </w:rPr>
            </w:r>
          </w:p>
        </w:tc>
      </w:tr>
      <w:tr>
        <w:trPr>
          <w:trHeight w:val="451" w:hRule="exact"/>
        </w:trPr>
        <w:tc>
          <w:tcPr>
            <w:tcW w:w="338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深圳开创网络技术有限公司</w:t>
            </w:r>
          </w:p>
        </w:tc>
        <w:tc>
          <w:tcPr>
            <w:tcW w:w="1297"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360"/>
              <w:jc w:val="right"/>
              <w:rPr>
                <w:rFonts w:ascii="宋体" w:hAnsi="宋体" w:cs="宋体" w:eastAsia="宋体" w:hint="default"/>
                <w:sz w:val="18"/>
                <w:szCs w:val="18"/>
              </w:rPr>
            </w:pPr>
            <w:r>
              <w:rPr>
                <w:rFonts w:ascii="宋体" w:hAnsi="宋体" w:cs="宋体" w:eastAsia="宋体" w:hint="default"/>
                <w:spacing w:val="-2"/>
                <w:sz w:val="18"/>
                <w:szCs w:val="18"/>
              </w:rPr>
              <w:t>第三方</w:t>
            </w:r>
          </w:p>
        </w:tc>
        <w:tc>
          <w:tcPr>
            <w:tcW w:w="1666"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25"/>
              <w:jc w:val="right"/>
              <w:rPr>
                <w:rFonts w:ascii="宋体" w:hAnsi="宋体" w:cs="宋体" w:eastAsia="宋体" w:hint="default"/>
                <w:sz w:val="18"/>
                <w:szCs w:val="18"/>
              </w:rPr>
            </w:pPr>
            <w:r>
              <w:rPr>
                <w:rFonts w:ascii="宋体"/>
                <w:spacing w:val="-1"/>
                <w:sz w:val="18"/>
              </w:rPr>
              <w:t>6,045,060.66</w:t>
            </w:r>
          </w:p>
        </w:tc>
        <w:tc>
          <w:tcPr>
            <w:tcW w:w="119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204"/>
              <w:jc w:val="right"/>
              <w:rPr>
                <w:rFonts w:ascii="宋体" w:hAnsi="宋体" w:cs="宋体" w:eastAsia="宋体" w:hint="default"/>
                <w:sz w:val="18"/>
                <w:szCs w:val="18"/>
              </w:rPr>
            </w:pPr>
            <w:r>
              <w:rPr>
                <w:rFonts w:ascii="宋体"/>
                <w:sz w:val="18"/>
              </w:rPr>
              <w:t>7.94</w:t>
            </w:r>
          </w:p>
        </w:tc>
        <w:tc>
          <w:tcPr>
            <w:tcW w:w="112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4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68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2,297,048.53</w:t>
            </w:r>
          </w:p>
        </w:tc>
      </w:tr>
      <w:tr>
        <w:trPr>
          <w:trHeight w:val="398"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神木市人民政府</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0"/>
              <w:jc w:val="right"/>
              <w:rPr>
                <w:rFonts w:ascii="宋体" w:hAnsi="宋体" w:cs="宋体" w:eastAsia="宋体" w:hint="default"/>
                <w:sz w:val="18"/>
                <w:szCs w:val="18"/>
              </w:rPr>
            </w:pPr>
            <w:r>
              <w:rPr>
                <w:rFonts w:ascii="宋体" w:hAnsi="宋体" w:cs="宋体" w:eastAsia="宋体" w:hint="default"/>
                <w:spacing w:val="-2"/>
                <w:sz w:val="18"/>
                <w:szCs w:val="18"/>
              </w:rPr>
              <w:t>第三方</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5"/>
              <w:jc w:val="right"/>
              <w:rPr>
                <w:rFonts w:ascii="宋体" w:hAnsi="宋体" w:cs="宋体" w:eastAsia="宋体" w:hint="default"/>
                <w:sz w:val="18"/>
                <w:szCs w:val="18"/>
              </w:rPr>
            </w:pPr>
            <w:r>
              <w:rPr>
                <w:rFonts w:ascii="宋体"/>
                <w:spacing w:val="-1"/>
                <w:sz w:val="18"/>
              </w:rPr>
              <w:t>5,000,000.09</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宋体" w:hAnsi="宋体" w:cs="宋体" w:eastAsia="宋体" w:hint="default"/>
                <w:sz w:val="18"/>
                <w:szCs w:val="18"/>
              </w:rPr>
            </w:pPr>
            <w:r>
              <w:rPr>
                <w:rFonts w:ascii="宋体"/>
                <w:sz w:val="18"/>
              </w:rPr>
              <w:t>6.57</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100,000.00</w:t>
            </w:r>
          </w:p>
        </w:tc>
      </w:tr>
      <w:tr>
        <w:trPr>
          <w:trHeight w:val="290"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重庆高新技术产业开发区管理委员会</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0"/>
              <w:jc w:val="right"/>
              <w:rPr>
                <w:rFonts w:ascii="宋体" w:hAnsi="宋体" w:cs="宋体" w:eastAsia="宋体" w:hint="default"/>
                <w:sz w:val="18"/>
                <w:szCs w:val="18"/>
              </w:rPr>
            </w:pPr>
            <w:r>
              <w:rPr>
                <w:rFonts w:ascii="宋体" w:hAnsi="宋体" w:cs="宋体" w:eastAsia="宋体" w:hint="default"/>
                <w:spacing w:val="-2"/>
                <w:sz w:val="18"/>
                <w:szCs w:val="18"/>
              </w:rPr>
              <w:t>第三方</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5"/>
              <w:jc w:val="right"/>
              <w:rPr>
                <w:rFonts w:ascii="宋体" w:hAnsi="宋体" w:cs="宋体" w:eastAsia="宋体" w:hint="default"/>
                <w:sz w:val="18"/>
                <w:szCs w:val="18"/>
              </w:rPr>
            </w:pPr>
            <w:r>
              <w:rPr>
                <w:rFonts w:ascii="宋体"/>
                <w:spacing w:val="-1"/>
                <w:sz w:val="18"/>
              </w:rPr>
              <w:t>4,116,666.65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宋体" w:hAnsi="宋体" w:cs="宋体" w:eastAsia="宋体" w:hint="default"/>
                <w:sz w:val="18"/>
                <w:szCs w:val="18"/>
              </w:rPr>
            </w:pPr>
            <w:r>
              <w:rPr>
                <w:rFonts w:ascii="宋体"/>
                <w:sz w:val="18"/>
              </w:rPr>
              <w:t>5.41</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120,333.33</w:t>
            </w:r>
          </w:p>
        </w:tc>
      </w:tr>
    </w:tbl>
    <w:p>
      <w:pPr>
        <w:spacing w:after="0" w:line="240" w:lineRule="auto"/>
        <w:jc w:val="right"/>
        <w:rPr>
          <w:rFonts w:ascii="宋体" w:hAnsi="宋体" w:cs="宋体" w:eastAsia="宋体" w:hint="default"/>
          <w:sz w:val="18"/>
          <w:szCs w:val="18"/>
        </w:rPr>
        <w:sectPr>
          <w:type w:val="continuous"/>
          <w:pgSz w:w="11910" w:h="16840"/>
          <w:pgMar w:top="1060" w:bottom="1160" w:left="6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3203"/>
        <w:gridCol w:w="1477"/>
        <w:gridCol w:w="1666"/>
        <w:gridCol w:w="1193"/>
        <w:gridCol w:w="1129"/>
        <w:gridCol w:w="1681"/>
      </w:tblGrid>
      <w:tr>
        <w:trPr>
          <w:trHeight w:val="598" w:hRule="exact"/>
        </w:trPr>
        <w:tc>
          <w:tcPr>
            <w:tcW w:w="3203"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1435" w:right="0"/>
              <w:jc w:val="left"/>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477" w:type="dxa"/>
            <w:tcBorders>
              <w:top w:val="nil" w:sz="6" w:space="0" w:color="auto"/>
              <w:left w:val="nil" w:sz="6" w:space="0" w:color="auto"/>
              <w:bottom w:val="single" w:sz="8" w:space="0" w:color="000000"/>
              <w:right w:val="nil" w:sz="6" w:space="0" w:color="auto"/>
            </w:tcBorders>
          </w:tcPr>
          <w:p>
            <w:pPr>
              <w:pStyle w:val="TableParagraph"/>
              <w:spacing w:line="182" w:lineRule="exact"/>
              <w:ind w:left="566" w:right="0"/>
              <w:jc w:val="left"/>
              <w:rPr>
                <w:rFonts w:ascii="宋体" w:hAnsi="宋体" w:cs="宋体" w:eastAsia="宋体" w:hint="default"/>
                <w:sz w:val="18"/>
                <w:szCs w:val="18"/>
              </w:rPr>
            </w:pPr>
            <w:r>
              <w:rPr>
                <w:rFonts w:ascii="宋体" w:hAnsi="宋体" w:cs="宋体" w:eastAsia="宋体" w:hint="default"/>
                <w:b/>
                <w:bCs/>
                <w:sz w:val="18"/>
                <w:szCs w:val="18"/>
              </w:rPr>
              <w:t>与本公</w:t>
            </w:r>
            <w:r>
              <w:rPr>
                <w:rFonts w:ascii="宋体" w:hAnsi="宋体" w:cs="宋体" w:eastAsia="宋体" w:hint="default"/>
                <w:sz w:val="18"/>
                <w:szCs w:val="18"/>
              </w:rPr>
            </w:r>
          </w:p>
          <w:p>
            <w:pPr>
              <w:pStyle w:val="TableParagraph"/>
              <w:spacing w:line="240" w:lineRule="auto" w:before="124"/>
              <w:ind w:left="566" w:right="0"/>
              <w:jc w:val="left"/>
              <w:rPr>
                <w:rFonts w:ascii="宋体" w:hAnsi="宋体" w:cs="宋体" w:eastAsia="宋体" w:hint="default"/>
                <w:sz w:val="18"/>
                <w:szCs w:val="18"/>
              </w:rPr>
            </w:pPr>
            <w:r>
              <w:rPr>
                <w:rFonts w:ascii="宋体" w:hAnsi="宋体" w:cs="宋体" w:eastAsia="宋体" w:hint="default"/>
                <w:b/>
                <w:bCs/>
                <w:sz w:val="18"/>
                <w:szCs w:val="18"/>
              </w:rPr>
              <w:t>司关系</w:t>
            </w:r>
            <w:r>
              <w:rPr>
                <w:rFonts w:ascii="宋体" w:hAnsi="宋体" w:cs="宋体" w:eastAsia="宋体" w:hint="default"/>
                <w:sz w:val="18"/>
                <w:szCs w:val="18"/>
              </w:rPr>
            </w:r>
          </w:p>
        </w:tc>
        <w:tc>
          <w:tcPr>
            <w:tcW w:w="1666"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36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93"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right="247"/>
              <w:jc w:val="right"/>
              <w:rPr>
                <w:rFonts w:ascii="宋体" w:hAnsi="宋体" w:cs="宋体" w:eastAsia="宋体" w:hint="default"/>
                <w:sz w:val="18"/>
                <w:szCs w:val="18"/>
              </w:rPr>
            </w:pP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129"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right="3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81" w:type="dxa"/>
            <w:tcBorders>
              <w:top w:val="nil" w:sz="6" w:space="0" w:color="auto"/>
              <w:left w:val="nil" w:sz="6" w:space="0" w:color="auto"/>
              <w:bottom w:val="single" w:sz="8" w:space="0" w:color="000000"/>
              <w:right w:val="nil" w:sz="6" w:space="0" w:color="auto"/>
            </w:tcBorders>
          </w:tcPr>
          <w:p>
            <w:pPr>
              <w:pStyle w:val="TableParagraph"/>
              <w:spacing w:line="182"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坏账准备期末余</w:t>
            </w:r>
            <w:r>
              <w:rPr>
                <w:rFonts w:ascii="宋体" w:hAnsi="宋体" w:cs="宋体" w:eastAsia="宋体" w:hint="default"/>
                <w:sz w:val="18"/>
                <w:szCs w:val="18"/>
              </w:rPr>
            </w:r>
          </w:p>
          <w:p>
            <w:pPr>
              <w:pStyle w:val="TableParagraph"/>
              <w:spacing w:line="240" w:lineRule="auto" w:before="124"/>
              <w:ind w:left="57" w:right="0"/>
              <w:jc w:val="center"/>
              <w:rPr>
                <w:rFonts w:ascii="宋体" w:hAnsi="宋体" w:cs="宋体" w:eastAsia="宋体" w:hint="default"/>
                <w:sz w:val="18"/>
                <w:szCs w:val="18"/>
              </w:rPr>
            </w:pPr>
            <w:r>
              <w:rPr>
                <w:rFonts w:ascii="宋体" w:hAnsi="宋体" w:cs="宋体" w:eastAsia="宋体" w:hint="default"/>
                <w:b/>
                <w:bCs/>
                <w:w w:val="100"/>
                <w:sz w:val="18"/>
                <w:szCs w:val="18"/>
              </w:rPr>
              <w:t>额</w:t>
            </w:r>
            <w:r>
              <w:rPr>
                <w:rFonts w:ascii="宋体" w:hAnsi="宋体" w:cs="宋体" w:eastAsia="宋体" w:hint="default"/>
                <w:w w:val="100"/>
                <w:sz w:val="18"/>
                <w:szCs w:val="18"/>
              </w:rPr>
            </w:r>
          </w:p>
        </w:tc>
      </w:tr>
      <w:tr>
        <w:trPr>
          <w:trHeight w:val="451" w:hRule="exact"/>
        </w:trPr>
        <w:tc>
          <w:tcPr>
            <w:tcW w:w="320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广州博鳌纵横网络科技有限公司</w:t>
            </w:r>
          </w:p>
        </w:tc>
        <w:tc>
          <w:tcPr>
            <w:tcW w:w="1477"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20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1666"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25"/>
              <w:jc w:val="right"/>
              <w:rPr>
                <w:rFonts w:ascii="宋体" w:hAnsi="宋体" w:cs="宋体" w:eastAsia="宋体" w:hint="default"/>
                <w:sz w:val="18"/>
                <w:szCs w:val="18"/>
              </w:rPr>
            </w:pPr>
            <w:r>
              <w:rPr>
                <w:rFonts w:ascii="宋体"/>
                <w:spacing w:val="-1"/>
                <w:sz w:val="18"/>
              </w:rPr>
              <w:t>4,000,000.00</w:t>
            </w:r>
          </w:p>
        </w:tc>
        <w:tc>
          <w:tcPr>
            <w:tcW w:w="119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204"/>
              <w:jc w:val="right"/>
              <w:rPr>
                <w:rFonts w:ascii="宋体" w:hAnsi="宋体" w:cs="宋体" w:eastAsia="宋体" w:hint="default"/>
                <w:sz w:val="18"/>
                <w:szCs w:val="18"/>
              </w:rPr>
            </w:pPr>
            <w:r>
              <w:rPr>
                <w:rFonts w:ascii="宋体"/>
                <w:sz w:val="18"/>
              </w:rPr>
              <w:t>5.25</w:t>
            </w:r>
          </w:p>
        </w:tc>
        <w:tc>
          <w:tcPr>
            <w:tcW w:w="112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41"/>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1681"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360,000.00</w:t>
            </w:r>
          </w:p>
        </w:tc>
      </w:tr>
      <w:tr>
        <w:trPr>
          <w:trHeight w:val="396"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青岛市崂山区科技创新委员会</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9" w:right="0"/>
              <w:jc w:val="center"/>
              <w:rPr>
                <w:rFonts w:ascii="宋体" w:hAnsi="宋体" w:cs="宋体" w:eastAsia="宋体" w:hint="default"/>
                <w:sz w:val="18"/>
                <w:szCs w:val="18"/>
              </w:rPr>
            </w:pPr>
            <w:r>
              <w:rPr>
                <w:rFonts w:ascii="宋体" w:hAnsi="宋体" w:cs="宋体" w:eastAsia="宋体" w:hint="default"/>
                <w:sz w:val="18"/>
                <w:szCs w:val="18"/>
              </w:rPr>
              <w:t>第三方</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5"/>
              <w:jc w:val="right"/>
              <w:rPr>
                <w:rFonts w:ascii="宋体" w:hAnsi="宋体" w:cs="宋体" w:eastAsia="宋体" w:hint="default"/>
                <w:sz w:val="18"/>
                <w:szCs w:val="18"/>
              </w:rPr>
            </w:pPr>
            <w:r>
              <w:rPr>
                <w:rFonts w:ascii="宋体"/>
                <w:spacing w:val="-1"/>
                <w:sz w:val="18"/>
              </w:rPr>
              <w:t>3,647,058.82</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4"/>
              <w:jc w:val="right"/>
              <w:rPr>
                <w:rFonts w:ascii="宋体" w:hAnsi="宋体" w:cs="宋体" w:eastAsia="宋体" w:hint="default"/>
                <w:sz w:val="18"/>
                <w:szCs w:val="18"/>
              </w:rPr>
            </w:pPr>
            <w:r>
              <w:rPr>
                <w:rFonts w:ascii="宋体"/>
                <w:sz w:val="18"/>
              </w:rPr>
              <w:t>4.79</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72,941.18</w:t>
            </w:r>
          </w:p>
        </w:tc>
      </w:tr>
      <w:tr>
        <w:trPr>
          <w:trHeight w:val="288"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8"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477"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w w:val="101"/>
                <w:sz w:val="18"/>
              </w:rPr>
            </w:r>
            <w:r>
              <w:rPr>
                <w:rFonts w:ascii="宋体"/>
                <w:spacing w:val="-1"/>
                <w:sz w:val="18"/>
                <w:u w:val="thick" w:color="000000"/>
              </w:rPr>
              <w:t>22,808,786.22</w:t>
            </w:r>
            <w:r>
              <w:rPr>
                <w:rFonts w:ascii="宋体"/>
                <w:spacing w:val="-1"/>
                <w:sz w:val="18"/>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4"/>
              <w:jc w:val="right"/>
              <w:rPr>
                <w:rFonts w:ascii="宋体" w:hAnsi="宋体" w:cs="宋体" w:eastAsia="宋体" w:hint="default"/>
                <w:sz w:val="18"/>
                <w:szCs w:val="18"/>
              </w:rPr>
            </w:pPr>
            <w:r>
              <w:rPr>
                <w:rFonts w:ascii="宋体"/>
                <w:w w:val="101"/>
                <w:sz w:val="18"/>
              </w:rPr>
            </w:r>
            <w:r>
              <w:rPr>
                <w:rFonts w:ascii="宋体"/>
                <w:sz w:val="18"/>
                <w:u w:val="thick" w:color="000000"/>
              </w:rPr>
              <w:t>29.96</w:t>
            </w:r>
            <w:r>
              <w:rPr>
                <w:rFonts w:ascii="宋体"/>
                <w:sz w:val="18"/>
              </w:rPr>
            </w:r>
          </w:p>
        </w:tc>
        <w:tc>
          <w:tcPr>
            <w:tcW w:w="1129" w:type="dxa"/>
            <w:tcBorders>
              <w:top w:val="nil" w:sz="6" w:space="0" w:color="auto"/>
              <w:left w:val="nil" w:sz="6" w:space="0" w:color="auto"/>
              <w:bottom w:val="nil" w:sz="6" w:space="0" w:color="auto"/>
              <w:right w:val="nil" w:sz="6" w:space="0" w:color="auto"/>
            </w:tcBorders>
          </w:tcPr>
          <w:p>
            <w:pP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2,950,323.04</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09" w:lineRule="auto" w:before="36"/>
        <w:ind w:left="473" w:right="1122" w:firstLine="422"/>
        <w:jc w:val="both"/>
      </w:pPr>
      <w:r>
        <w:rPr/>
        <w:t>注</w:t>
      </w:r>
      <w:r>
        <w:rPr>
          <w:spacing w:val="-80"/>
        </w:rPr>
        <w:t> </w:t>
      </w:r>
      <w:r>
        <w:rPr>
          <w:rFonts w:ascii="宋体" w:hAnsi="宋体" w:cs="宋体" w:eastAsia="宋体" w:hint="default"/>
        </w:rPr>
        <w:t>1</w:t>
      </w:r>
      <w:r>
        <w:rPr>
          <w:rFonts w:ascii="宋体" w:hAnsi="宋体" w:cs="宋体" w:eastAsia="宋体" w:hint="default"/>
          <w:spacing w:val="-80"/>
        </w:rPr>
        <w:t> </w:t>
      </w:r>
      <w:r>
        <w:rPr/>
        <w:t>：</w:t>
      </w:r>
      <w:r>
        <w:rPr>
          <w:spacing w:val="-80"/>
        </w:rPr>
        <w:t> </w:t>
      </w:r>
      <w:r>
        <w:rPr>
          <w:spacing w:val="15"/>
        </w:rPr>
        <w:t>深圳开创网络技术有限公司期末余额</w:t>
      </w:r>
      <w:r>
        <w:rPr>
          <w:spacing w:val="-75"/>
        </w:rPr>
        <w:t> </w:t>
      </w:r>
      <w:r>
        <w:rPr>
          <w:rFonts w:ascii="宋体" w:hAnsi="宋体" w:cs="宋体" w:eastAsia="宋体" w:hint="default"/>
        </w:rPr>
        <w:t>6,045,060.66</w:t>
      </w:r>
      <w:r>
        <w:rPr>
          <w:rFonts w:ascii="宋体" w:hAnsi="宋体" w:cs="宋体" w:eastAsia="宋体" w:hint="default"/>
          <w:spacing w:val="-80"/>
        </w:rPr>
        <w:t> </w:t>
      </w:r>
      <w:r>
        <w:rPr>
          <w:spacing w:val="14"/>
        </w:rPr>
        <w:t>元，其中账龄</w:t>
      </w:r>
      <w:r>
        <w:rPr>
          <w:rFonts w:ascii="宋体" w:hAnsi="宋体" w:cs="宋体" w:eastAsia="宋体" w:hint="default"/>
          <w:spacing w:val="14"/>
          <w:sz w:val="18"/>
          <w:szCs w:val="18"/>
        </w:rPr>
        <w:t>1</w:t>
      </w:r>
      <w:r>
        <w:rPr>
          <w:rFonts w:ascii="宋体" w:hAnsi="宋体" w:cs="宋体" w:eastAsia="宋体" w:hint="default"/>
          <w:spacing w:val="-65"/>
          <w:sz w:val="18"/>
          <w:szCs w:val="18"/>
        </w:rPr>
        <w:t> </w:t>
      </w:r>
      <w:r>
        <w:rPr>
          <w:spacing w:val="10"/>
          <w:sz w:val="18"/>
          <w:szCs w:val="18"/>
        </w:rPr>
        <w:t>年以</w:t>
      </w:r>
      <w:r>
        <w:rPr>
          <w:spacing w:val="10"/>
        </w:rPr>
        <w:t>内</w:t>
      </w:r>
      <w:r>
        <w:rPr>
          <w:spacing w:val="-80"/>
        </w:rPr>
        <w:t> </w:t>
      </w:r>
      <w:r>
        <w:rPr>
          <w:rFonts w:ascii="宋体" w:hAnsi="宋体" w:cs="宋体" w:eastAsia="宋体" w:hint="default"/>
        </w:rPr>
        <w:t>256.96</w:t>
      </w:r>
      <w:r>
        <w:rPr>
          <w:rFonts w:ascii="宋体" w:hAnsi="宋体" w:cs="宋体" w:eastAsia="宋体" w:hint="default"/>
          <w:spacing w:val="-80"/>
        </w:rPr>
        <w:t> </w:t>
      </w:r>
      <w:r>
        <w:rPr>
          <w:spacing w:val="9"/>
        </w:rPr>
        <w:t>元，</w:t>
      </w:r>
      <w:r>
        <w:rPr>
          <w:spacing w:val="-80"/>
        </w:rPr>
        <w:t> </w:t>
      </w:r>
      <w:r>
        <w:rPr>
          <w:rFonts w:ascii="宋体" w:hAnsi="宋体" w:cs="宋体" w:eastAsia="宋体" w:hint="default"/>
          <w:sz w:val="18"/>
          <w:szCs w:val="18"/>
        </w:rPr>
        <w:t>1-2</w:t>
      </w:r>
      <w:r>
        <w:rPr>
          <w:rFonts w:ascii="宋体" w:hAnsi="宋体" w:cs="宋体" w:eastAsia="宋体" w:hint="default"/>
          <w:spacing w:val="-65"/>
          <w:sz w:val="18"/>
          <w:szCs w:val="18"/>
        </w:rPr>
        <w:t> </w:t>
      </w:r>
      <w:r>
        <w:rPr>
          <w:sz w:val="18"/>
          <w:szCs w:val="18"/>
        </w:rPr>
        <w:t>年</w:t>
      </w:r>
      <w:r>
        <w:rPr>
          <w:w w:val="101"/>
          <w:sz w:val="18"/>
          <w:szCs w:val="18"/>
        </w:rPr>
        <w:t> </w:t>
      </w:r>
      <w:r>
        <w:rPr>
          <w:rFonts w:ascii="宋体" w:hAnsi="宋体" w:cs="宋体" w:eastAsia="宋体" w:hint="default"/>
        </w:rPr>
        <w:t>6,044,803.70</w:t>
      </w:r>
      <w:r>
        <w:rPr/>
        <w:t>元</w:t>
      </w:r>
    </w:p>
    <w:p>
      <w:pPr>
        <w:spacing w:line="240" w:lineRule="auto" w:before="13"/>
        <w:rPr>
          <w:rFonts w:ascii="宋体" w:hAnsi="宋体" w:cs="宋体" w:eastAsia="宋体" w:hint="default"/>
          <w:sz w:val="13"/>
          <w:szCs w:val="13"/>
        </w:rPr>
      </w:pPr>
    </w:p>
    <w:p>
      <w:pPr>
        <w:pStyle w:val="BodyText"/>
        <w:spacing w:line="309" w:lineRule="auto"/>
        <w:ind w:left="473" w:right="1117" w:firstLine="422"/>
        <w:jc w:val="both"/>
      </w:pPr>
      <w:r>
        <w:rPr/>
        <w:t>注</w:t>
      </w:r>
      <w:r>
        <w:rPr>
          <w:rFonts w:ascii="宋体" w:hAnsi="宋体" w:cs="宋体" w:eastAsia="宋体" w:hint="default"/>
        </w:rPr>
        <w:t>2</w:t>
      </w:r>
      <w:r>
        <w:rPr/>
        <w:t>：重庆高新技术产业开发区管理委员会期末余额</w:t>
      </w:r>
      <w:r>
        <w:rPr>
          <w:rFonts w:ascii="宋体" w:hAnsi="宋体" w:cs="宋体" w:eastAsia="宋体" w:hint="default"/>
        </w:rPr>
        <w:t>4,116,666.65</w:t>
      </w:r>
      <w:r>
        <w:rPr/>
        <w:t>元，其中账龄</w:t>
      </w:r>
      <w:r>
        <w:rPr>
          <w:rFonts w:ascii="宋体" w:hAnsi="宋体" w:cs="宋体" w:eastAsia="宋体" w:hint="default"/>
          <w:sz w:val="18"/>
          <w:szCs w:val="18"/>
        </w:rPr>
        <w:t>1</w:t>
      </w:r>
      <w:r>
        <w:rPr>
          <w:sz w:val="18"/>
          <w:szCs w:val="18"/>
        </w:rPr>
        <w:t>年以</w:t>
      </w:r>
      <w:r>
        <w:rPr/>
        <w:t>内</w:t>
      </w:r>
      <w:r>
        <w:rPr>
          <w:rFonts w:ascii="宋体" w:hAnsi="宋体" w:cs="宋体" w:eastAsia="宋体" w:hint="default"/>
        </w:rPr>
        <w:t>3,166,666.65</w:t>
      </w:r>
      <w:r>
        <w:rPr>
          <w:rFonts w:ascii="宋体" w:hAnsi="宋体" w:cs="宋体" w:eastAsia="宋体" w:hint="default"/>
          <w:w w:val="100"/>
        </w:rPr>
        <w:t> </w:t>
      </w:r>
      <w:r>
        <w:rPr/>
        <w:t>元，</w:t>
      </w:r>
      <w:r>
        <w:rPr>
          <w:rFonts w:ascii="宋体" w:hAnsi="宋体" w:cs="宋体" w:eastAsia="宋体" w:hint="default"/>
          <w:sz w:val="18"/>
          <w:szCs w:val="18"/>
        </w:rPr>
        <w:t>1-2</w:t>
      </w:r>
      <w:r>
        <w:rPr>
          <w:sz w:val="18"/>
          <w:szCs w:val="18"/>
        </w:rPr>
        <w:t>年</w:t>
      </w:r>
      <w:r>
        <w:rPr>
          <w:rFonts w:ascii="宋体" w:hAnsi="宋体" w:cs="宋体" w:eastAsia="宋体" w:hint="default"/>
        </w:rPr>
        <w:t>950,000.00</w:t>
      </w:r>
      <w:r>
        <w:rPr/>
        <w:t>元；</w:t>
      </w:r>
    </w:p>
    <w:p>
      <w:pPr>
        <w:spacing w:line="240" w:lineRule="auto" w:before="5"/>
        <w:rPr>
          <w:rFonts w:ascii="宋体" w:hAnsi="宋体" w:cs="宋体" w:eastAsia="宋体" w:hint="default"/>
          <w:sz w:val="14"/>
          <w:szCs w:val="14"/>
        </w:rPr>
      </w:pPr>
    </w:p>
    <w:p>
      <w:pPr>
        <w:pStyle w:val="BodyText"/>
        <w:spacing w:line="312" w:lineRule="auto"/>
        <w:ind w:left="473" w:right="1122" w:firstLine="422"/>
        <w:jc w:val="both"/>
      </w:pPr>
      <w:r>
        <w:rPr/>
        <w:t>注</w:t>
      </w:r>
      <w:r>
        <w:rPr>
          <w:rFonts w:ascii="宋体" w:hAnsi="宋体" w:cs="宋体" w:eastAsia="宋体" w:hint="default"/>
        </w:rPr>
        <w:t>4</w:t>
      </w:r>
      <w:r>
        <w:rPr/>
        <w:t>：广州博鳌纵横网络科技有限公司期末余额</w:t>
      </w:r>
      <w:r>
        <w:rPr>
          <w:rFonts w:ascii="宋体" w:hAnsi="宋体" w:cs="宋体" w:eastAsia="宋体" w:hint="default"/>
        </w:rPr>
        <w:t>4,000,000.00</w:t>
      </w:r>
      <w:r>
        <w:rPr/>
        <w:t>元，其中账龄</w:t>
      </w:r>
      <w:r>
        <w:rPr>
          <w:rFonts w:ascii="宋体" w:hAnsi="宋体" w:cs="宋体" w:eastAsia="宋体" w:hint="default"/>
          <w:sz w:val="18"/>
          <w:szCs w:val="18"/>
        </w:rPr>
        <w:t>1</w:t>
      </w:r>
      <w:r>
        <w:rPr>
          <w:sz w:val="18"/>
          <w:szCs w:val="18"/>
        </w:rPr>
        <w:t>年以</w:t>
      </w:r>
      <w:r>
        <w:rPr/>
        <w:t>内</w:t>
      </w:r>
      <w:r>
        <w:rPr>
          <w:rFonts w:ascii="宋体" w:hAnsi="宋体" w:cs="宋体" w:eastAsia="宋体" w:hint="default"/>
        </w:rPr>
        <w:t>2,220,000.00</w:t>
      </w:r>
      <w:r>
        <w:rPr/>
        <w:t>元，</w:t>
      </w:r>
      <w:r>
        <w:rPr>
          <w:w w:val="100"/>
        </w:rPr>
        <w:t> </w:t>
      </w:r>
      <w:r>
        <w:rPr>
          <w:rFonts w:ascii="宋体" w:hAnsi="宋体" w:cs="宋体" w:eastAsia="宋体" w:hint="default"/>
          <w:spacing w:val="-3"/>
          <w:sz w:val="18"/>
          <w:szCs w:val="18"/>
        </w:rPr>
        <w:t>1-2</w:t>
      </w:r>
      <w:r>
        <w:rPr>
          <w:spacing w:val="-3"/>
          <w:sz w:val="18"/>
          <w:szCs w:val="18"/>
        </w:rPr>
        <w:t>年</w:t>
      </w:r>
      <w:r>
        <w:rPr>
          <w:rFonts w:ascii="宋体" w:hAnsi="宋体" w:cs="宋体" w:eastAsia="宋体" w:hint="default"/>
          <w:spacing w:val="-3"/>
        </w:rPr>
        <w:t>1,780,000.00</w:t>
      </w:r>
      <w:r>
        <w:rPr>
          <w:spacing w:val="-3"/>
        </w:rPr>
        <w:t>元；本公司的子公司黑马致通（嘉兴）投资管理有限公司持有广州博鳌纵横网络科技有</w:t>
      </w:r>
      <w:r>
        <w:rPr/>
        <w:t> </w:t>
      </w:r>
      <w:r>
        <w:rPr/>
        <w:t>限公司</w:t>
      </w:r>
      <w:r>
        <w:rPr>
          <w:rFonts w:ascii="宋体" w:hAnsi="宋体" w:cs="宋体" w:eastAsia="宋体" w:hint="default"/>
        </w:rPr>
        <w:t>0.22%</w:t>
      </w:r>
      <w:r>
        <w:rPr/>
        <w:t>的股份。</w:t>
      </w:r>
    </w:p>
    <w:p>
      <w:pPr>
        <w:pStyle w:val="BodyText"/>
        <w:spacing w:line="453" w:lineRule="auto" w:before="175"/>
        <w:ind w:left="895" w:right="8240"/>
        <w:jc w:val="left"/>
      </w:pPr>
      <w:bookmarkStart w:name="（三）预付款项" w:id="201"/>
      <w:bookmarkEnd w:id="201"/>
      <w:r>
        <w:rPr/>
      </w:r>
      <w:r>
        <w:rPr/>
        <w:t>（三）预付款项</w:t>
      </w:r>
      <w:r>
        <w:rPr>
          <w:spacing w:val="-102"/>
        </w:rPr>
        <w:t> </w:t>
      </w:r>
      <w:r>
        <w:rPr>
          <w:spacing w:val="-102"/>
        </w:rPr>
      </w:r>
      <w:r>
        <w:rPr>
          <w:rFonts w:ascii="宋体" w:hAnsi="宋体" w:cs="宋体" w:eastAsia="宋体" w:hint="default"/>
          <w:spacing w:val="-1"/>
        </w:rPr>
        <w:t>1.</w:t>
      </w:r>
      <w:r>
        <w:rPr>
          <w:spacing w:val="-1"/>
        </w:rPr>
        <w:t>预付款项按账龄列示</w:t>
      </w:r>
    </w:p>
    <w:p>
      <w:pPr>
        <w:tabs>
          <w:tab w:pos="7748" w:val="left" w:leader="none"/>
        </w:tabs>
        <w:spacing w:line="219" w:lineRule="exact" w:before="111"/>
        <w:ind w:left="4804"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tab/>
        <w:t>期初余额</w:t>
      </w:r>
      <w:r>
        <w:rPr>
          <w:rFonts w:ascii="宋体" w:hAnsi="宋体" w:cs="宋体" w:eastAsia="宋体" w:hint="default"/>
          <w:sz w:val="18"/>
          <w:szCs w:val="18"/>
        </w:rPr>
      </w:r>
    </w:p>
    <w:p>
      <w:pPr>
        <w:spacing w:line="199" w:lineRule="exact" w:before="0"/>
        <w:ind w:left="2173" w:right="0" w:firstLine="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p>
      <w:pPr>
        <w:tabs>
          <w:tab w:pos="5635" w:val="left" w:leader="none"/>
          <w:tab w:pos="7272" w:val="left" w:leader="none"/>
          <w:tab w:pos="8482" w:val="left" w:leader="none"/>
        </w:tabs>
        <w:spacing w:line="216" w:lineRule="exact" w:before="0"/>
        <w:ind w:left="4348" w:right="0" w:firstLine="0"/>
        <w:jc w:val="left"/>
        <w:rPr>
          <w:rFonts w:ascii="宋体" w:hAnsi="宋体" w:cs="宋体" w:eastAsia="宋体" w:hint="default"/>
          <w:sz w:val="18"/>
          <w:szCs w:val="18"/>
        </w:rPr>
      </w:pPr>
      <w:r>
        <w:rPr>
          <w:rFonts w:ascii="宋体" w:hAnsi="宋体" w:cs="宋体" w:eastAsia="宋体" w:hint="default"/>
          <w:b/>
          <w:bCs/>
          <w:sz w:val="18"/>
          <w:szCs w:val="18"/>
        </w:rPr>
        <w:t>余额</w:t>
        <w:tab/>
      </w: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tab/>
      </w:r>
      <w:r>
        <w:rPr>
          <w:rFonts w:ascii="宋体" w:hAnsi="宋体" w:cs="宋体" w:eastAsia="宋体" w:hint="default"/>
          <w:b/>
          <w:bCs/>
          <w:sz w:val="18"/>
          <w:szCs w:val="18"/>
        </w:rPr>
        <w:t>余额</w:t>
        <w:tab/>
      </w: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p>
      <w:pPr>
        <w:spacing w:line="240" w:lineRule="auto" w:before="0"/>
        <w:rPr>
          <w:rFonts w:ascii="宋体" w:hAnsi="宋体" w:cs="宋体" w:eastAsia="宋体" w:hint="default"/>
          <w:b/>
          <w:bCs/>
          <w:sz w:val="5"/>
          <w:szCs w:val="5"/>
        </w:rPr>
      </w:pPr>
    </w:p>
    <w:p>
      <w:pPr>
        <w:spacing w:line="20" w:lineRule="exact"/>
        <w:ind w:left="1034" w:right="0" w:firstLine="0"/>
        <w:rPr>
          <w:rFonts w:ascii="宋体" w:hAnsi="宋体" w:cs="宋体" w:eastAsia="宋体" w:hint="default"/>
          <w:sz w:val="2"/>
          <w:szCs w:val="2"/>
        </w:rPr>
      </w:pPr>
      <w:r>
        <w:rPr>
          <w:rFonts w:ascii="宋体" w:hAnsi="宋体" w:cs="宋体" w:eastAsia="宋体" w:hint="default"/>
          <w:sz w:val="2"/>
          <w:szCs w:val="2"/>
        </w:rPr>
        <w:pict>
          <v:group style="width:425.95pt;height:.5pt;mso-position-horizontal-relative:char;mso-position-vertical-relative:line" coordorigin="0,0" coordsize="8519,10">
            <v:group style="position:absolute;left:5;top:5;width:2622;height:2" coordorigin="5,5" coordsize="2622,2">
              <v:shape style="position:absolute;left:5;top:5;width:2622;height:2" coordorigin="5,5" coordsize="2622,0" path="m5,5l2627,5e" filled="false" stroked="true" strokeweight=".48001pt" strokecolor="#000000">
                <v:path arrowok="t"/>
              </v:shape>
            </v:group>
            <v:group style="position:absolute;left:2627;top:5;width:10;height:2" coordorigin="2627,5" coordsize="10,2">
              <v:shape style="position:absolute;left:2627;top:5;width:10;height:2" coordorigin="2627,5" coordsize="10,0" path="m2627,5l2636,5e" filled="false" stroked="true" strokeweight=".48001pt" strokecolor="#000000">
                <v:path arrowok="t"/>
              </v:shape>
            </v:group>
            <v:group style="position:absolute;left:2636;top:5;width:1729;height:2" coordorigin="2636,5" coordsize="1729,2">
              <v:shape style="position:absolute;left:2636;top:5;width:1729;height:2" coordorigin="2636,5" coordsize="1729,0" path="m2636,5l4365,5e" filled="false" stroked="true" strokeweight=".48001pt" strokecolor="#000000">
                <v:path arrowok="t"/>
              </v:shape>
            </v:group>
            <v:group style="position:absolute;left:4365;top:5;width:10;height:2" coordorigin="4365,5" coordsize="10,2">
              <v:shape style="position:absolute;left:4365;top:5;width:10;height:2" coordorigin="4365,5" coordsize="10,0" path="m4365,5l4375,5e" filled="false" stroked="true" strokeweight=".48001pt" strokecolor="#000000">
                <v:path arrowok="t"/>
              </v:shape>
            </v:group>
            <v:group style="position:absolute;left:4375;top:5;width:1268;height:2" coordorigin="4375,5" coordsize="1268,2">
              <v:shape style="position:absolute;left:4375;top:5;width:1268;height:2" coordorigin="4375,5" coordsize="1268,0" path="m4375,5l5642,5e" filled="false" stroked="true" strokeweight=".48001pt" strokecolor="#000000">
                <v:path arrowok="t"/>
              </v:shape>
            </v:group>
            <v:group style="position:absolute;left:5642;top:5;width:10;height:2" coordorigin="5642,5" coordsize="10,2">
              <v:shape style="position:absolute;left:5642;top:5;width:10;height:2" coordorigin="5642,5" coordsize="10,0" path="m5642,5l5652,5e" filled="false" stroked="true" strokeweight=".48001pt" strokecolor="#000000">
                <v:path arrowok="t"/>
              </v:shape>
            </v:group>
            <v:group style="position:absolute;left:5652;top:5;width:1551;height:2" coordorigin="5652,5" coordsize="1551,2">
              <v:shape style="position:absolute;left:5652;top:5;width:1551;height:2" coordorigin="5652,5" coordsize="1551,0" path="m5652,5l7203,5e" filled="false" stroked="true" strokeweight=".48001pt" strokecolor="#000000">
                <v:path arrowok="t"/>
              </v:shape>
            </v:group>
            <v:group style="position:absolute;left:7203;top:5;width:10;height:2" coordorigin="7203,5" coordsize="10,2">
              <v:shape style="position:absolute;left:7203;top:5;width:10;height:2" coordorigin="7203,5" coordsize="10,0" path="m7203,5l7213,5e" filled="false" stroked="true" strokeweight=".48001pt" strokecolor="#000000">
                <v:path arrowok="t"/>
              </v:shape>
            </v:group>
            <v:group style="position:absolute;left:7213;top:5;width:1302;height:2" coordorigin="7213,5" coordsize="1302,2">
              <v:shape style="position:absolute;left:7213;top:5;width:1302;height:2" coordorigin="7213,5" coordsize="1302,0" path="m7213,5l8514,5e" filled="false" stroked="true" strokeweight=".48001pt" strokecolor="#000000">
                <v:path arrowok="t"/>
              </v:shape>
            </v:group>
          </v:group>
        </w:pict>
      </w:r>
      <w:r>
        <w:rPr>
          <w:rFonts w:ascii="宋体" w:hAnsi="宋体" w:cs="宋体" w:eastAsia="宋体" w:hint="default"/>
          <w:sz w:val="2"/>
          <w:szCs w:val="2"/>
        </w:rPr>
      </w:r>
    </w:p>
    <w:tbl>
      <w:tblPr>
        <w:tblW w:w="0" w:type="auto"/>
        <w:jc w:val="left"/>
        <w:tblInd w:w="1115" w:type="dxa"/>
        <w:tblLayout w:type="fixed"/>
        <w:tblCellMar>
          <w:top w:w="0" w:type="dxa"/>
          <w:left w:w="0" w:type="dxa"/>
          <w:bottom w:w="0" w:type="dxa"/>
          <w:right w:w="0" w:type="dxa"/>
        </w:tblCellMar>
        <w:tblLook w:val="01E0"/>
      </w:tblPr>
      <w:tblGrid>
        <w:gridCol w:w="2352"/>
        <w:gridCol w:w="2566"/>
        <w:gridCol w:w="542"/>
        <w:gridCol w:w="380"/>
        <w:gridCol w:w="1176"/>
        <w:gridCol w:w="769"/>
        <w:gridCol w:w="577"/>
      </w:tblGrid>
      <w:tr>
        <w:trPr>
          <w:trHeight w:val="40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42" w:right="0"/>
              <w:jc w:val="left"/>
              <w:rPr>
                <w:rFonts w:ascii="宋体" w:hAnsi="宋体" w:cs="宋体" w:eastAsia="宋体" w:hint="default"/>
                <w:sz w:val="18"/>
                <w:szCs w:val="18"/>
              </w:rPr>
            </w:pPr>
            <w:r>
              <w:rPr>
                <w:rFonts w:ascii="宋体"/>
                <w:sz w:val="18"/>
              </w:rPr>
              <w:t>7,197,710.87</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86" w:right="0"/>
              <w:jc w:val="center"/>
              <w:rPr>
                <w:rFonts w:ascii="宋体" w:hAnsi="宋体" w:cs="宋体" w:eastAsia="宋体" w:hint="default"/>
                <w:sz w:val="18"/>
                <w:szCs w:val="18"/>
              </w:rPr>
            </w:pPr>
            <w:r>
              <w:rPr>
                <w:rFonts w:ascii="宋体"/>
                <w:sz w:val="18"/>
              </w:rPr>
              <w:t>83.36</w:t>
            </w:r>
          </w:p>
        </w:tc>
        <w:tc>
          <w:tcPr>
            <w:tcW w:w="38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22,431,516.70</w:t>
            </w:r>
          </w:p>
        </w:tc>
        <w:tc>
          <w:tcPr>
            <w:tcW w:w="769"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99.88</w:t>
            </w:r>
          </w:p>
        </w:tc>
      </w:tr>
      <w:tr>
        <w:trPr>
          <w:trHeight w:val="394"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742" w:right="0"/>
              <w:jc w:val="left"/>
              <w:rPr>
                <w:rFonts w:ascii="宋体" w:hAnsi="宋体" w:cs="宋体" w:eastAsia="宋体" w:hint="default"/>
                <w:sz w:val="18"/>
                <w:szCs w:val="18"/>
              </w:rPr>
            </w:pPr>
            <w:r>
              <w:rPr>
                <w:rFonts w:ascii="宋体"/>
                <w:sz w:val="18"/>
              </w:rPr>
              <w:t>1,437,209.07</w:t>
            </w:r>
          </w:p>
        </w:tc>
        <w:tc>
          <w:tcPr>
            <w:tcW w:w="5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6" w:right="0"/>
              <w:jc w:val="center"/>
              <w:rPr>
                <w:rFonts w:ascii="宋体" w:hAnsi="宋体" w:cs="宋体" w:eastAsia="宋体" w:hint="default"/>
                <w:sz w:val="18"/>
                <w:szCs w:val="18"/>
              </w:rPr>
            </w:pPr>
            <w:r>
              <w:rPr>
                <w:rFonts w:ascii="宋体"/>
                <w:sz w:val="18"/>
              </w:rPr>
              <w:t>16.64</w:t>
            </w:r>
          </w:p>
        </w:tc>
        <w:tc>
          <w:tcPr>
            <w:tcW w:w="38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pacing w:val="-1"/>
                <w:sz w:val="18"/>
              </w:rPr>
              <w:t>27,862.75</w:t>
            </w:r>
          </w:p>
        </w:tc>
        <w:tc>
          <w:tcPr>
            <w:tcW w:w="769"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0.12</w:t>
            </w:r>
          </w:p>
        </w:tc>
      </w:tr>
      <w:tr>
        <w:trPr>
          <w:trHeight w:val="315"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8"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42" w:right="0"/>
              <w:jc w:val="left"/>
              <w:rPr>
                <w:rFonts w:ascii="宋体" w:hAnsi="宋体" w:cs="宋体" w:eastAsia="宋体" w:hint="default"/>
                <w:sz w:val="18"/>
                <w:szCs w:val="18"/>
              </w:rPr>
            </w:pPr>
            <w:r>
              <w:rPr>
                <w:rFonts w:ascii="宋体"/>
                <w:w w:val="101"/>
                <w:sz w:val="18"/>
              </w:rPr>
            </w:r>
            <w:r>
              <w:rPr>
                <w:rFonts w:ascii="宋体"/>
                <w:sz w:val="18"/>
                <w:u w:val="thick" w:color="000000"/>
              </w:rPr>
              <w:t>8,634,919.94</w:t>
            </w:r>
            <w:r>
              <w:rPr>
                <w:rFonts w:ascii="宋体"/>
                <w:sz w:val="18"/>
              </w:rPr>
            </w:r>
          </w:p>
        </w:tc>
        <w:tc>
          <w:tcPr>
            <w:tcW w:w="54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 w:right="0"/>
              <w:jc w:val="center"/>
              <w:rPr>
                <w:rFonts w:ascii="宋体" w:hAnsi="宋体" w:cs="宋体" w:eastAsia="宋体" w:hint="default"/>
                <w:sz w:val="18"/>
                <w:szCs w:val="18"/>
              </w:rPr>
            </w:pPr>
            <w:r>
              <w:rPr>
                <w:rFonts w:ascii="宋体"/>
                <w:w w:val="101"/>
                <w:sz w:val="18"/>
              </w:rPr>
            </w:r>
            <w:r>
              <w:rPr>
                <w:rFonts w:ascii="宋体"/>
                <w:spacing w:val="-1"/>
                <w:sz w:val="18"/>
                <w:u w:val="single" w:color="000000"/>
              </w:rPr>
              <w:t>100.00</w:t>
            </w:r>
            <w:r>
              <w:rPr>
                <w:rFonts w:ascii="宋体"/>
                <w:spacing w:val="-1"/>
                <w:sz w:val="18"/>
              </w:rPr>
            </w:r>
          </w:p>
        </w:tc>
        <w:tc>
          <w:tcPr>
            <w:tcW w:w="38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22,459,379.45</w:t>
            </w:r>
            <w:r>
              <w:rPr>
                <w:rFonts w:ascii="宋体"/>
                <w:spacing w:val="-1"/>
                <w:sz w:val="18"/>
              </w:rPr>
            </w:r>
          </w:p>
        </w:tc>
        <w:tc>
          <w:tcPr>
            <w:tcW w:w="769"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single" w:sz="13" w:space="0" w:color="000000"/>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before="36"/>
        <w:ind w:left="895" w:right="0"/>
        <w:jc w:val="left"/>
      </w:pPr>
      <w:r>
        <w:rPr/>
        <w:t>账龄超过</w:t>
      </w:r>
      <w:r>
        <w:rPr>
          <w:rFonts w:ascii="宋体" w:hAnsi="宋体" w:cs="宋体" w:eastAsia="宋体" w:hint="default"/>
        </w:rPr>
        <w:t>1</w:t>
      </w:r>
      <w:r>
        <w:rPr/>
        <w:t>年且金额重要的预付款项未及时结算原因的说明：</w:t>
      </w:r>
    </w:p>
    <w:p>
      <w:pPr>
        <w:spacing w:line="240" w:lineRule="auto" w:before="3"/>
        <w:rPr>
          <w:rFonts w:ascii="宋体" w:hAnsi="宋体" w:cs="宋体" w:eastAsia="宋体" w:hint="default"/>
          <w:sz w:val="27"/>
          <w:szCs w:val="27"/>
        </w:rPr>
      </w:pPr>
    </w:p>
    <w:tbl>
      <w:tblPr>
        <w:tblW w:w="0" w:type="auto"/>
        <w:jc w:val="left"/>
        <w:tblInd w:w="1039" w:type="dxa"/>
        <w:tblLayout w:type="fixed"/>
        <w:tblCellMar>
          <w:top w:w="0" w:type="dxa"/>
          <w:left w:w="0" w:type="dxa"/>
          <w:bottom w:w="0" w:type="dxa"/>
          <w:right w:w="0" w:type="dxa"/>
        </w:tblCellMar>
        <w:tblLook w:val="01E0"/>
      </w:tblPr>
      <w:tblGrid>
        <w:gridCol w:w="2668"/>
        <w:gridCol w:w="1633"/>
        <w:gridCol w:w="1109"/>
        <w:gridCol w:w="3100"/>
      </w:tblGrid>
      <w:tr>
        <w:trPr>
          <w:trHeight w:val="258" w:hRule="exact"/>
        </w:trPr>
        <w:tc>
          <w:tcPr>
            <w:tcW w:w="2668" w:type="dxa"/>
            <w:tcBorders>
              <w:top w:val="nil" w:sz="6" w:space="0" w:color="auto"/>
              <w:left w:val="nil" w:sz="6" w:space="0" w:color="auto"/>
              <w:bottom w:val="single" w:sz="8" w:space="0" w:color="000000"/>
              <w:right w:val="nil" w:sz="6" w:space="0" w:color="auto"/>
            </w:tcBorders>
          </w:tcPr>
          <w:p>
            <w:pPr>
              <w:pStyle w:val="TableParagraph"/>
              <w:spacing w:line="182"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33" w:type="dxa"/>
            <w:tcBorders>
              <w:top w:val="nil" w:sz="6" w:space="0" w:color="auto"/>
              <w:left w:val="nil" w:sz="6" w:space="0" w:color="auto"/>
              <w:bottom w:val="single" w:sz="8" w:space="0" w:color="000000"/>
              <w:right w:val="nil" w:sz="6" w:space="0" w:color="auto"/>
            </w:tcBorders>
          </w:tcPr>
          <w:p>
            <w:pPr>
              <w:pStyle w:val="TableParagraph"/>
              <w:spacing w:line="182" w:lineRule="exact"/>
              <w:ind w:right="6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09" w:type="dxa"/>
            <w:tcBorders>
              <w:top w:val="nil" w:sz="6" w:space="0" w:color="auto"/>
              <w:left w:val="nil" w:sz="6" w:space="0" w:color="auto"/>
              <w:bottom w:val="single" w:sz="8" w:space="0" w:color="000000"/>
              <w:right w:val="nil" w:sz="6" w:space="0" w:color="auto"/>
            </w:tcBorders>
          </w:tcPr>
          <w:p>
            <w:pPr>
              <w:pStyle w:val="TableParagraph"/>
              <w:spacing w:line="182" w:lineRule="exact"/>
              <w:ind w:left="30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00" w:type="dxa"/>
            <w:tcBorders>
              <w:top w:val="nil" w:sz="6" w:space="0" w:color="auto"/>
              <w:left w:val="nil" w:sz="6" w:space="0" w:color="auto"/>
              <w:bottom w:val="single" w:sz="8" w:space="0" w:color="000000"/>
              <w:right w:val="nil" w:sz="6" w:space="0" w:color="auto"/>
            </w:tcBorders>
          </w:tcPr>
          <w:p>
            <w:pPr>
              <w:pStyle w:val="TableParagraph"/>
              <w:spacing w:line="182" w:lineRule="exact"/>
              <w:ind w:right="53"/>
              <w:jc w:val="center"/>
              <w:rPr>
                <w:rFonts w:ascii="宋体" w:hAnsi="宋体" w:cs="宋体" w:eastAsia="宋体" w:hint="default"/>
                <w:sz w:val="18"/>
                <w:szCs w:val="18"/>
              </w:rPr>
            </w:pPr>
            <w:r>
              <w:rPr>
                <w:rFonts w:ascii="宋体" w:hAnsi="宋体" w:cs="宋体" w:eastAsia="宋体" w:hint="default"/>
                <w:b/>
                <w:bCs/>
                <w:sz w:val="18"/>
                <w:szCs w:val="18"/>
              </w:rPr>
              <w:t>未结算的原因</w:t>
            </w:r>
            <w:r>
              <w:rPr>
                <w:rFonts w:ascii="宋体" w:hAnsi="宋体" w:cs="宋体" w:eastAsia="宋体" w:hint="default"/>
                <w:sz w:val="18"/>
                <w:szCs w:val="18"/>
              </w:rPr>
            </w:r>
          </w:p>
        </w:tc>
      </w:tr>
      <w:tr>
        <w:trPr>
          <w:trHeight w:val="448" w:hRule="exact"/>
        </w:trPr>
        <w:tc>
          <w:tcPr>
            <w:tcW w:w="2668"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6" w:right="0"/>
              <w:jc w:val="center"/>
              <w:rPr>
                <w:rFonts w:ascii="宋体" w:hAnsi="宋体" w:cs="宋体" w:eastAsia="宋体" w:hint="default"/>
                <w:sz w:val="18"/>
                <w:szCs w:val="18"/>
              </w:rPr>
            </w:pPr>
            <w:r>
              <w:rPr>
                <w:rFonts w:ascii="宋体" w:hAnsi="宋体" w:cs="宋体" w:eastAsia="宋体" w:hint="default"/>
                <w:spacing w:val="-3"/>
                <w:sz w:val="18"/>
                <w:szCs w:val="18"/>
              </w:rPr>
              <w:t>上海点冠网络科技有限公司</w:t>
            </w:r>
          </w:p>
        </w:tc>
        <w:tc>
          <w:tcPr>
            <w:tcW w:w="163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60"/>
              <w:jc w:val="center"/>
              <w:rPr>
                <w:rFonts w:ascii="宋体" w:hAnsi="宋体" w:cs="宋体" w:eastAsia="宋体" w:hint="default"/>
                <w:sz w:val="18"/>
                <w:szCs w:val="18"/>
              </w:rPr>
            </w:pPr>
            <w:r>
              <w:rPr>
                <w:rFonts w:ascii="宋体"/>
                <w:sz w:val="18"/>
              </w:rPr>
              <w:t>1,071,713.88</w:t>
            </w:r>
          </w:p>
        </w:tc>
        <w:tc>
          <w:tcPr>
            <w:tcW w:w="110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3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3100"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53"/>
              <w:jc w:val="center"/>
              <w:rPr>
                <w:rFonts w:ascii="宋体" w:hAnsi="宋体" w:cs="宋体" w:eastAsia="宋体" w:hint="default"/>
                <w:sz w:val="18"/>
                <w:szCs w:val="18"/>
              </w:rPr>
            </w:pPr>
            <w:r>
              <w:rPr>
                <w:rFonts w:ascii="宋体" w:hAnsi="宋体" w:cs="宋体" w:eastAsia="宋体" w:hint="default"/>
                <w:spacing w:val="-3"/>
                <w:sz w:val="18"/>
                <w:szCs w:val="18"/>
              </w:rPr>
              <w:t>预付平台充值款，尚未消耗</w:t>
            </w:r>
          </w:p>
        </w:tc>
      </w:tr>
      <w:tr>
        <w:trPr>
          <w:trHeight w:val="288" w:hRule="exact"/>
        </w:trPr>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center"/>
              <w:rPr>
                <w:rFonts w:ascii="宋体" w:hAnsi="宋体" w:cs="宋体" w:eastAsia="宋体" w:hint="default"/>
                <w:sz w:val="18"/>
                <w:szCs w:val="18"/>
              </w:rPr>
            </w:pPr>
            <w:r>
              <w:rPr>
                <w:rFonts w:ascii="宋体"/>
                <w:w w:val="101"/>
                <w:sz w:val="18"/>
              </w:rPr>
            </w:r>
            <w:r>
              <w:rPr>
                <w:rFonts w:ascii="宋体"/>
                <w:sz w:val="18"/>
                <w:u w:val="thick" w:color="000000"/>
              </w:rPr>
              <w:t>1,071,713.88</w:t>
            </w:r>
            <w:r>
              <w:rPr>
                <w:rFonts w:ascii="宋体"/>
                <w:sz w:val="18"/>
              </w:rPr>
            </w:r>
          </w:p>
        </w:tc>
        <w:tc>
          <w:tcPr>
            <w:tcW w:w="1109" w:type="dxa"/>
            <w:tcBorders>
              <w:top w:val="nil" w:sz="6" w:space="0" w:color="auto"/>
              <w:left w:val="nil" w:sz="6" w:space="0" w:color="auto"/>
              <w:bottom w:val="nil" w:sz="6" w:space="0" w:color="auto"/>
              <w:right w:val="nil" w:sz="6" w:space="0" w:color="auto"/>
            </w:tcBorders>
          </w:tcPr>
          <w:p>
            <w:pPr/>
          </w:p>
        </w:tc>
        <w:tc>
          <w:tcPr>
            <w:tcW w:w="310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09" w:lineRule="auto" w:before="36"/>
        <w:ind w:left="473" w:right="0" w:firstLine="422"/>
        <w:jc w:val="left"/>
      </w:pPr>
      <w:r>
        <w:rPr/>
        <w:t>注</w:t>
      </w:r>
      <w:r>
        <w:rPr>
          <w:rFonts w:ascii="宋体" w:hAnsi="宋体" w:cs="宋体" w:eastAsia="宋体" w:hint="default"/>
        </w:rPr>
        <w:t>1</w:t>
      </w:r>
      <w:r>
        <w:rPr/>
        <w:t>：上海点冠网络科技有限公司期末余额</w:t>
      </w:r>
      <w:r>
        <w:rPr>
          <w:rFonts w:ascii="宋体" w:hAnsi="宋体" w:cs="宋体" w:eastAsia="宋体" w:hint="default"/>
        </w:rPr>
        <w:t>1,071,713.88</w:t>
      </w:r>
      <w:r>
        <w:rPr/>
        <w:t>元，其中账龄</w:t>
      </w:r>
      <w:r>
        <w:rPr>
          <w:rFonts w:ascii="宋体" w:hAnsi="宋体" w:cs="宋体" w:eastAsia="宋体" w:hint="default"/>
        </w:rPr>
        <w:t>1</w:t>
      </w:r>
      <w:r>
        <w:rPr/>
        <w:t>年以内</w:t>
      </w:r>
      <w:r>
        <w:rPr>
          <w:rFonts w:ascii="宋体" w:hAnsi="宋体" w:cs="宋体" w:eastAsia="宋体" w:hint="default"/>
        </w:rPr>
        <w:t>65,747.52</w:t>
      </w:r>
      <w:r>
        <w:rPr/>
        <w:t>元，</w:t>
      </w:r>
      <w:r>
        <w:rPr>
          <w:rFonts w:ascii="宋体" w:hAnsi="宋体" w:cs="宋体" w:eastAsia="宋体" w:hint="default"/>
        </w:rPr>
        <w:t>1-2</w:t>
      </w:r>
      <w:r>
        <w:rPr/>
        <w:t>年</w:t>
      </w:r>
      <w:r>
        <w:rPr>
          <w:w w:val="100"/>
        </w:rPr>
        <w:t> </w:t>
      </w:r>
      <w:r>
        <w:rPr>
          <w:rFonts w:ascii="宋体" w:hAnsi="宋体" w:cs="宋体" w:eastAsia="宋体" w:hint="default"/>
        </w:rPr>
        <w:t>1,005,966.36</w:t>
      </w:r>
      <w:r>
        <w:rPr/>
        <w:t>元。</w:t>
      </w:r>
    </w:p>
    <w:p>
      <w:pPr>
        <w:pStyle w:val="BodyText"/>
        <w:spacing w:line="240" w:lineRule="auto" w:before="178"/>
        <w:ind w:left="895" w:right="0"/>
        <w:jc w:val="left"/>
      </w:pPr>
      <w:r>
        <w:rPr>
          <w:rFonts w:ascii="宋体" w:hAnsi="宋体" w:cs="宋体" w:eastAsia="宋体" w:hint="default"/>
        </w:rPr>
        <w:t>2.</w:t>
      </w:r>
      <w:r>
        <w:rPr/>
        <w:t>按预付对象归集的期末余额前五名的预付款情况</w:t>
      </w:r>
    </w:p>
    <w:p>
      <w:pPr>
        <w:spacing w:line="240" w:lineRule="auto" w:before="3"/>
        <w:rPr>
          <w:rFonts w:ascii="宋体" w:hAnsi="宋体" w:cs="宋体" w:eastAsia="宋体" w:hint="default"/>
          <w:sz w:val="27"/>
          <w:szCs w:val="27"/>
        </w:rPr>
      </w:pPr>
    </w:p>
    <w:tbl>
      <w:tblPr>
        <w:tblW w:w="0" w:type="auto"/>
        <w:jc w:val="left"/>
        <w:tblInd w:w="362" w:type="dxa"/>
        <w:tblLayout w:type="fixed"/>
        <w:tblCellMar>
          <w:top w:w="0" w:type="dxa"/>
          <w:left w:w="0" w:type="dxa"/>
          <w:bottom w:w="0" w:type="dxa"/>
          <w:right w:w="0" w:type="dxa"/>
        </w:tblCellMar>
        <w:tblLook w:val="01E0"/>
      </w:tblPr>
      <w:tblGrid>
        <w:gridCol w:w="3380"/>
        <w:gridCol w:w="2279"/>
        <w:gridCol w:w="2367"/>
        <w:gridCol w:w="1832"/>
      </w:tblGrid>
      <w:tr>
        <w:trPr>
          <w:trHeight w:val="253" w:hRule="exact"/>
        </w:trPr>
        <w:tc>
          <w:tcPr>
            <w:tcW w:w="3380" w:type="dxa"/>
            <w:tcBorders>
              <w:top w:val="nil" w:sz="6" w:space="0" w:color="auto"/>
              <w:left w:val="nil" w:sz="6" w:space="0" w:color="auto"/>
              <w:bottom w:val="single" w:sz="8" w:space="0" w:color="000000"/>
              <w:right w:val="nil" w:sz="6" w:space="0" w:color="auto"/>
            </w:tcBorders>
          </w:tcPr>
          <w:p>
            <w:pPr>
              <w:pStyle w:val="TableParagraph"/>
              <w:spacing w:line="182" w:lineRule="exact"/>
              <w:ind w:left="152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79" w:type="dxa"/>
            <w:tcBorders>
              <w:top w:val="nil" w:sz="6" w:space="0" w:color="auto"/>
              <w:left w:val="nil" w:sz="6" w:space="0" w:color="auto"/>
              <w:bottom w:val="single" w:sz="8" w:space="0" w:color="000000"/>
              <w:right w:val="nil" w:sz="6" w:space="0" w:color="auto"/>
            </w:tcBorders>
          </w:tcPr>
          <w:p>
            <w:pPr>
              <w:pStyle w:val="TableParagraph"/>
              <w:spacing w:line="182" w:lineRule="exact"/>
              <w:ind w:left="429"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367" w:type="dxa"/>
            <w:tcBorders>
              <w:top w:val="nil" w:sz="6" w:space="0" w:color="auto"/>
              <w:left w:val="nil" w:sz="6" w:space="0" w:color="auto"/>
              <w:bottom w:val="single" w:sz="8" w:space="0" w:color="000000"/>
              <w:right w:val="nil" w:sz="6" w:space="0" w:color="auto"/>
            </w:tcBorders>
          </w:tcPr>
          <w:p>
            <w:pPr>
              <w:pStyle w:val="TableParagraph"/>
              <w:spacing w:line="182"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32" w:type="dxa"/>
            <w:tcBorders>
              <w:top w:val="nil" w:sz="6" w:space="0" w:color="auto"/>
              <w:left w:val="nil" w:sz="6" w:space="0" w:color="auto"/>
              <w:bottom w:val="single" w:sz="8" w:space="0" w:color="000000"/>
              <w:right w:val="nil" w:sz="6" w:space="0" w:color="auto"/>
            </w:tcBorders>
          </w:tcPr>
          <w:p>
            <w:pPr>
              <w:pStyle w:val="TableParagraph"/>
              <w:spacing w:line="182"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50" w:hRule="exact"/>
        </w:trPr>
        <w:tc>
          <w:tcPr>
            <w:tcW w:w="3380"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北京氢元数据信息技术有限公司</w:t>
            </w:r>
          </w:p>
        </w:tc>
        <w:tc>
          <w:tcPr>
            <w:tcW w:w="227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429" w:right="0"/>
              <w:jc w:val="center"/>
              <w:rPr>
                <w:rFonts w:ascii="宋体" w:hAnsi="宋体" w:cs="宋体" w:eastAsia="宋体" w:hint="default"/>
                <w:sz w:val="18"/>
                <w:szCs w:val="18"/>
              </w:rPr>
            </w:pPr>
            <w:r>
              <w:rPr>
                <w:rFonts w:ascii="宋体" w:hAnsi="宋体" w:cs="宋体" w:eastAsia="宋体" w:hint="default"/>
                <w:sz w:val="18"/>
                <w:szCs w:val="18"/>
              </w:rPr>
              <w:t>NCC</w:t>
            </w:r>
            <w:r>
              <w:rPr>
                <w:rFonts w:ascii="宋体" w:hAnsi="宋体" w:cs="宋体" w:eastAsia="宋体" w:hint="default"/>
                <w:spacing w:val="-42"/>
                <w:sz w:val="18"/>
                <w:szCs w:val="18"/>
              </w:rPr>
              <w:t> </w:t>
            </w:r>
            <w:r>
              <w:rPr>
                <w:rFonts w:ascii="宋体" w:hAnsi="宋体" w:cs="宋体" w:eastAsia="宋体" w:hint="default"/>
                <w:sz w:val="18"/>
                <w:szCs w:val="18"/>
              </w:rPr>
              <w:t>项目实施费</w:t>
            </w:r>
          </w:p>
        </w:tc>
        <w:tc>
          <w:tcPr>
            <w:tcW w:w="2367"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375"/>
              <w:jc w:val="right"/>
              <w:rPr>
                <w:rFonts w:ascii="宋体" w:hAnsi="宋体" w:cs="宋体" w:eastAsia="宋体" w:hint="default"/>
                <w:sz w:val="18"/>
                <w:szCs w:val="18"/>
              </w:rPr>
            </w:pPr>
            <w:r>
              <w:rPr>
                <w:rFonts w:ascii="宋体"/>
                <w:spacing w:val="-1"/>
                <w:sz w:val="18"/>
              </w:rPr>
              <w:t>1,415,094.30</w:t>
            </w:r>
          </w:p>
        </w:tc>
        <w:tc>
          <w:tcPr>
            <w:tcW w:w="1832"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94"/>
              <w:jc w:val="right"/>
              <w:rPr>
                <w:rFonts w:ascii="宋体" w:hAnsi="宋体" w:cs="宋体" w:eastAsia="宋体" w:hint="default"/>
                <w:sz w:val="18"/>
                <w:szCs w:val="18"/>
              </w:rPr>
            </w:pPr>
            <w:r>
              <w:rPr>
                <w:rFonts w:ascii="宋体"/>
                <w:sz w:val="18"/>
              </w:rPr>
              <w:t>16.39</w:t>
            </w:r>
          </w:p>
        </w:tc>
      </w:tr>
      <w:tr>
        <w:trPr>
          <w:trHeight w:val="290"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上海点冠网络科技有限公司</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24" w:right="0"/>
              <w:jc w:val="center"/>
              <w:rPr>
                <w:rFonts w:ascii="宋体" w:hAnsi="宋体" w:cs="宋体" w:eastAsia="宋体" w:hint="default"/>
                <w:sz w:val="18"/>
                <w:szCs w:val="18"/>
              </w:rPr>
            </w:pPr>
            <w:r>
              <w:rPr>
                <w:rFonts w:ascii="宋体" w:hAnsi="宋体" w:cs="宋体" w:eastAsia="宋体" w:hint="default"/>
                <w:sz w:val="18"/>
                <w:szCs w:val="18"/>
              </w:rPr>
              <w:t>充值款</w:t>
            </w: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5"/>
              <w:jc w:val="right"/>
              <w:rPr>
                <w:rFonts w:ascii="宋体" w:hAnsi="宋体" w:cs="宋体" w:eastAsia="宋体" w:hint="default"/>
                <w:sz w:val="18"/>
                <w:szCs w:val="18"/>
              </w:rPr>
            </w:pPr>
            <w:r>
              <w:rPr>
                <w:rFonts w:ascii="宋体"/>
                <w:spacing w:val="-1"/>
                <w:sz w:val="18"/>
              </w:rPr>
              <w:t>1,071,713.88</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sz w:val="18"/>
              </w:rPr>
              <w:t>12.41</w:t>
            </w:r>
          </w:p>
        </w:tc>
      </w:tr>
    </w:tbl>
    <w:p>
      <w:pPr>
        <w:spacing w:after="0" w:line="240" w:lineRule="auto"/>
        <w:jc w:val="right"/>
        <w:rPr>
          <w:rFonts w:ascii="宋体" w:hAnsi="宋体" w:cs="宋体" w:eastAsia="宋体" w:hint="default"/>
          <w:sz w:val="18"/>
          <w:szCs w:val="18"/>
        </w:rPr>
        <w:sectPr>
          <w:pgSz w:w="11910" w:h="16840"/>
          <w:pgMar w:header="741" w:footer="979" w:top="1060" w:bottom="1160" w:left="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3716"/>
        <w:gridCol w:w="1875"/>
        <w:gridCol w:w="2434"/>
        <w:gridCol w:w="1832"/>
      </w:tblGrid>
      <w:tr>
        <w:trPr>
          <w:trHeight w:val="258" w:hRule="exact"/>
        </w:trPr>
        <w:tc>
          <w:tcPr>
            <w:tcW w:w="3716" w:type="dxa"/>
            <w:tcBorders>
              <w:top w:val="nil" w:sz="6" w:space="0" w:color="auto"/>
              <w:left w:val="nil" w:sz="6" w:space="0" w:color="auto"/>
              <w:bottom w:val="single" w:sz="8" w:space="0" w:color="000000"/>
              <w:right w:val="nil" w:sz="6" w:space="0" w:color="auto"/>
            </w:tcBorders>
          </w:tcPr>
          <w:p>
            <w:pPr>
              <w:pStyle w:val="TableParagraph"/>
              <w:spacing w:line="182"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75" w:type="dxa"/>
            <w:tcBorders>
              <w:top w:val="nil" w:sz="6" w:space="0" w:color="auto"/>
              <w:left w:val="nil" w:sz="6" w:space="0" w:color="auto"/>
              <w:bottom w:val="single" w:sz="8" w:space="0" w:color="000000"/>
              <w:right w:val="nil" w:sz="6" w:space="0" w:color="auto"/>
            </w:tcBorders>
          </w:tcPr>
          <w:p>
            <w:pPr>
              <w:pStyle w:val="TableParagraph"/>
              <w:spacing w:line="182" w:lineRule="exact"/>
              <w:ind w:left="16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434" w:type="dxa"/>
            <w:tcBorders>
              <w:top w:val="nil" w:sz="6" w:space="0" w:color="auto"/>
              <w:left w:val="nil" w:sz="6" w:space="0" w:color="auto"/>
              <w:bottom w:val="single" w:sz="8" w:space="0" w:color="000000"/>
              <w:right w:val="nil" w:sz="6" w:space="0" w:color="auto"/>
            </w:tcBorders>
          </w:tcPr>
          <w:p>
            <w:pPr>
              <w:pStyle w:val="TableParagraph"/>
              <w:spacing w:line="18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7"/>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32" w:type="dxa"/>
            <w:tcBorders>
              <w:top w:val="nil" w:sz="6" w:space="0" w:color="auto"/>
              <w:left w:val="nil" w:sz="6" w:space="0" w:color="auto"/>
              <w:bottom w:val="single" w:sz="8" w:space="0" w:color="000000"/>
              <w:right w:val="nil" w:sz="6" w:space="0" w:color="auto"/>
            </w:tcBorders>
          </w:tcPr>
          <w:p>
            <w:pPr>
              <w:pStyle w:val="TableParagraph"/>
              <w:spacing w:line="182"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8" w:hRule="exact"/>
        </w:trPr>
        <w:tc>
          <w:tcPr>
            <w:tcW w:w="3716"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用友网络科技股份有限公司北京分公司</w:t>
            </w:r>
          </w:p>
        </w:tc>
        <w:tc>
          <w:tcPr>
            <w:tcW w:w="1875"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60" w:right="0"/>
              <w:jc w:val="center"/>
              <w:rPr>
                <w:rFonts w:ascii="宋体" w:hAnsi="宋体" w:cs="宋体" w:eastAsia="宋体" w:hint="default"/>
                <w:sz w:val="18"/>
                <w:szCs w:val="18"/>
              </w:rPr>
            </w:pPr>
            <w:r>
              <w:rPr>
                <w:rFonts w:ascii="宋体" w:hAnsi="宋体" w:cs="宋体" w:eastAsia="宋体" w:hint="default"/>
                <w:sz w:val="18"/>
                <w:szCs w:val="18"/>
              </w:rPr>
              <w:t>NC</w:t>
            </w:r>
            <w:r>
              <w:rPr>
                <w:rFonts w:ascii="宋体" w:hAnsi="宋体" w:cs="宋体" w:eastAsia="宋体" w:hint="default"/>
                <w:spacing w:val="-40"/>
                <w:sz w:val="18"/>
                <w:szCs w:val="18"/>
              </w:rPr>
              <w:t> </w:t>
            </w:r>
            <w:r>
              <w:rPr>
                <w:rFonts w:ascii="宋体" w:hAnsi="宋体" w:cs="宋体" w:eastAsia="宋体" w:hint="default"/>
                <w:sz w:val="18"/>
                <w:szCs w:val="18"/>
              </w:rPr>
              <w:t>财务软件</w:t>
            </w:r>
          </w:p>
        </w:tc>
        <w:tc>
          <w:tcPr>
            <w:tcW w:w="2434"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375"/>
              <w:jc w:val="right"/>
              <w:rPr>
                <w:rFonts w:ascii="宋体" w:hAnsi="宋体" w:cs="宋体" w:eastAsia="宋体" w:hint="default"/>
                <w:sz w:val="18"/>
                <w:szCs w:val="18"/>
              </w:rPr>
            </w:pPr>
            <w:r>
              <w:rPr>
                <w:rFonts w:ascii="宋体"/>
                <w:spacing w:val="-1"/>
                <w:sz w:val="18"/>
              </w:rPr>
              <w:t>923,714.56</w:t>
            </w:r>
          </w:p>
        </w:tc>
        <w:tc>
          <w:tcPr>
            <w:tcW w:w="1832"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94"/>
              <w:jc w:val="right"/>
              <w:rPr>
                <w:rFonts w:ascii="宋体" w:hAnsi="宋体" w:cs="宋体" w:eastAsia="宋体" w:hint="default"/>
                <w:sz w:val="18"/>
                <w:szCs w:val="18"/>
              </w:rPr>
            </w:pPr>
            <w:r>
              <w:rPr>
                <w:rFonts w:ascii="宋体"/>
                <w:sz w:val="18"/>
              </w:rPr>
              <w:t>10.70</w:t>
            </w:r>
          </w:p>
        </w:tc>
      </w:tr>
      <w:tr>
        <w:trPr>
          <w:trHeight w:val="396"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驰众广告有限公司</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1" w:right="0"/>
              <w:jc w:val="center"/>
              <w:rPr>
                <w:rFonts w:ascii="宋体" w:hAnsi="宋体" w:cs="宋体" w:eastAsia="宋体" w:hint="default"/>
                <w:sz w:val="18"/>
                <w:szCs w:val="18"/>
              </w:rPr>
            </w:pPr>
            <w:r>
              <w:rPr>
                <w:rFonts w:ascii="宋体" w:hAnsi="宋体" w:cs="宋体" w:eastAsia="宋体" w:hint="default"/>
                <w:sz w:val="18"/>
                <w:szCs w:val="18"/>
              </w:rPr>
              <w:t>广告投放费</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683,962.26</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z w:val="18"/>
              </w:rPr>
              <w:t>7.92</w:t>
            </w:r>
          </w:p>
        </w:tc>
      </w:tr>
      <w:tr>
        <w:trPr>
          <w:trHeight w:val="398"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北京京城电通投资管理有限责任公司</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1" w:right="0"/>
              <w:jc w:val="center"/>
              <w:rPr>
                <w:rFonts w:ascii="宋体" w:hAnsi="宋体" w:cs="宋体" w:eastAsia="宋体" w:hint="default"/>
                <w:sz w:val="18"/>
                <w:szCs w:val="18"/>
              </w:rPr>
            </w:pPr>
            <w:r>
              <w:rPr>
                <w:rFonts w:ascii="宋体" w:hAnsi="宋体" w:cs="宋体" w:eastAsia="宋体" w:hint="default"/>
                <w:sz w:val="18"/>
                <w:szCs w:val="18"/>
              </w:rPr>
              <w:t>房屋物业费</w:t>
            </w: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5"/>
              <w:jc w:val="right"/>
              <w:rPr>
                <w:rFonts w:ascii="宋体" w:hAnsi="宋体" w:cs="宋体" w:eastAsia="宋体" w:hint="default"/>
                <w:sz w:val="18"/>
                <w:szCs w:val="18"/>
              </w:rPr>
            </w:pPr>
            <w:r>
              <w:rPr>
                <w:rFonts w:ascii="宋体"/>
                <w:spacing w:val="-1"/>
                <w:sz w:val="18"/>
              </w:rPr>
              <w:t>679,920.01</w:t>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sz w:val="18"/>
              </w:rPr>
              <w:t>7.87</w:t>
            </w:r>
          </w:p>
        </w:tc>
      </w:tr>
      <w:tr>
        <w:trPr>
          <w:trHeight w:val="290" w:hRule="exact"/>
        </w:trPr>
        <w:tc>
          <w:tcPr>
            <w:tcW w:w="37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7"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875"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5"/>
              <w:jc w:val="right"/>
              <w:rPr>
                <w:rFonts w:ascii="宋体" w:hAnsi="宋体" w:cs="宋体" w:eastAsia="宋体" w:hint="default"/>
                <w:sz w:val="18"/>
                <w:szCs w:val="18"/>
              </w:rPr>
            </w:pPr>
            <w:r>
              <w:rPr>
                <w:rFonts w:ascii="宋体"/>
                <w:w w:val="101"/>
                <w:sz w:val="18"/>
              </w:rPr>
            </w:r>
            <w:r>
              <w:rPr>
                <w:rFonts w:ascii="宋体"/>
                <w:spacing w:val="-1"/>
                <w:sz w:val="18"/>
                <w:u w:val="thick" w:color="000000"/>
              </w:rPr>
              <w:t>4,774,405.01</w:t>
            </w:r>
            <w:r>
              <w:rPr>
                <w:rFonts w:ascii="宋体"/>
                <w:spacing w:val="-1"/>
                <w:sz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w w:val="101"/>
                <w:sz w:val="18"/>
              </w:rPr>
            </w:r>
            <w:r>
              <w:rPr>
                <w:rFonts w:ascii="宋体"/>
                <w:sz w:val="18"/>
                <w:u w:val="thick" w:color="000000"/>
              </w:rPr>
              <w:t>55.29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453" w:lineRule="auto" w:before="36"/>
        <w:ind w:left="635" w:right="8649"/>
        <w:jc w:val="left"/>
      </w:pPr>
      <w:bookmarkStart w:name="（四）其他应收款" w:id="202"/>
      <w:bookmarkEnd w:id="202"/>
      <w:r>
        <w:rPr/>
      </w:r>
      <w:r>
        <w:rPr/>
        <w:t>（四）其他应收款</w:t>
      </w:r>
      <w:r>
        <w:rPr>
          <w:spacing w:val="-101"/>
        </w:rPr>
        <w:t> </w:t>
      </w:r>
      <w:r>
        <w:rPr>
          <w:spacing w:val="-101"/>
        </w:rPr>
      </w:r>
      <w:r>
        <w:rPr>
          <w:rFonts w:ascii="宋体" w:hAnsi="宋体" w:cs="宋体" w:eastAsia="宋体" w:hint="default"/>
        </w:rPr>
        <w:t>1.</w:t>
      </w:r>
      <w:r>
        <w:rPr/>
        <w:t>总表情况</w:t>
      </w:r>
    </w:p>
    <w:p>
      <w:pPr>
        <w:pStyle w:val="BodyText"/>
        <w:spacing w:line="240" w:lineRule="auto" w:before="52"/>
        <w:ind w:left="635" w:right="1118"/>
        <w:jc w:val="left"/>
      </w:pPr>
      <w:r>
        <w:rPr/>
        <w:t>（</w:t>
      </w:r>
      <w:r>
        <w:rPr>
          <w:rFonts w:ascii="宋体" w:hAnsi="宋体" w:cs="宋体" w:eastAsia="宋体" w:hint="default"/>
        </w:rPr>
        <w:t>1</w:t>
      </w:r>
      <w:r>
        <w:rPr/>
        <w:t>）分类列示</w:t>
      </w:r>
    </w:p>
    <w:p>
      <w:pPr>
        <w:spacing w:line="240" w:lineRule="auto" w:before="10"/>
        <w:rPr>
          <w:rFonts w:ascii="宋体" w:hAnsi="宋体" w:cs="宋体" w:eastAsia="宋体" w:hint="default"/>
          <w:sz w:val="25"/>
          <w:szCs w:val="25"/>
        </w:rPr>
      </w:pPr>
    </w:p>
    <w:tbl>
      <w:tblPr>
        <w:tblW w:w="0" w:type="auto"/>
        <w:jc w:val="left"/>
        <w:tblInd w:w="779" w:type="dxa"/>
        <w:tblLayout w:type="fixed"/>
        <w:tblCellMar>
          <w:top w:w="0" w:type="dxa"/>
          <w:left w:w="0" w:type="dxa"/>
          <w:bottom w:w="0" w:type="dxa"/>
          <w:right w:w="0" w:type="dxa"/>
        </w:tblCellMar>
        <w:tblLook w:val="01E0"/>
      </w:tblPr>
      <w:tblGrid>
        <w:gridCol w:w="2792"/>
        <w:gridCol w:w="2860"/>
        <w:gridCol w:w="2857"/>
      </w:tblGrid>
      <w:tr>
        <w:trPr>
          <w:trHeight w:val="268" w:hRule="exact"/>
        </w:trPr>
        <w:tc>
          <w:tcPr>
            <w:tcW w:w="2792" w:type="dxa"/>
            <w:tcBorders>
              <w:top w:val="nil" w:sz="6" w:space="0" w:color="auto"/>
              <w:left w:val="nil" w:sz="6" w:space="0" w:color="auto"/>
              <w:bottom w:val="single" w:sz="4" w:space="0" w:color="000000"/>
              <w:right w:val="nil" w:sz="6" w:space="0" w:color="auto"/>
            </w:tcBorders>
          </w:tcPr>
          <w:p>
            <w:pPr>
              <w:pStyle w:val="TableParagraph"/>
              <w:spacing w:line="182" w:lineRule="exact"/>
              <w:ind w:left="5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60" w:type="dxa"/>
            <w:tcBorders>
              <w:top w:val="nil" w:sz="6" w:space="0" w:color="auto"/>
              <w:left w:val="nil" w:sz="6" w:space="0" w:color="auto"/>
              <w:bottom w:val="single" w:sz="4" w:space="0" w:color="000000"/>
              <w:right w:val="nil" w:sz="6" w:space="0" w:color="auto"/>
            </w:tcBorders>
          </w:tcPr>
          <w:p>
            <w:pPr>
              <w:pStyle w:val="TableParagraph"/>
              <w:spacing w:line="201"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57" w:type="dxa"/>
            <w:tcBorders>
              <w:top w:val="nil" w:sz="6" w:space="0" w:color="auto"/>
              <w:left w:val="nil" w:sz="6" w:space="0" w:color="auto"/>
              <w:bottom w:val="single" w:sz="4" w:space="0" w:color="000000"/>
              <w:right w:val="nil" w:sz="6" w:space="0" w:color="auto"/>
            </w:tcBorders>
          </w:tcPr>
          <w:p>
            <w:pPr>
              <w:pStyle w:val="TableParagraph"/>
              <w:spacing w:line="201" w:lineRule="exact"/>
              <w:ind w:left="24"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9" w:hRule="exact"/>
        </w:trPr>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45"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2860" w:type="dxa"/>
            <w:tcBorders>
              <w:top w:val="single" w:sz="4" w:space="0" w:color="000000"/>
              <w:left w:val="nil" w:sz="6" w:space="0" w:color="auto"/>
              <w:bottom w:val="nil" w:sz="6" w:space="0" w:color="auto"/>
              <w:right w:val="nil" w:sz="6" w:space="0" w:color="auto"/>
            </w:tcBorders>
          </w:tcPr>
          <w:p>
            <w:pPr/>
          </w:p>
        </w:tc>
        <w:tc>
          <w:tcPr>
            <w:tcW w:w="2857"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86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408"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4" w:right="0"/>
              <w:jc w:val="center"/>
              <w:rPr>
                <w:rFonts w:ascii="宋体" w:hAnsi="宋体" w:cs="宋体" w:eastAsia="宋体" w:hint="default"/>
                <w:sz w:val="18"/>
                <w:szCs w:val="18"/>
              </w:rPr>
            </w:pPr>
            <w:r>
              <w:rPr>
                <w:rFonts w:ascii="宋体"/>
                <w:sz w:val="18"/>
              </w:rPr>
              <w:t>6,905,965.81</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9" w:right="0"/>
              <w:jc w:val="center"/>
              <w:rPr>
                <w:rFonts w:ascii="宋体" w:hAnsi="宋体" w:cs="宋体" w:eastAsia="宋体" w:hint="default"/>
                <w:sz w:val="18"/>
                <w:szCs w:val="18"/>
              </w:rPr>
            </w:pPr>
            <w:r>
              <w:rPr>
                <w:rFonts w:ascii="宋体"/>
                <w:sz w:val="18"/>
              </w:rPr>
              <w:t>14,164,872.19</w:t>
            </w:r>
          </w:p>
        </w:tc>
      </w:tr>
      <w:tr>
        <w:trPr>
          <w:trHeight w:val="295"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0"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4" w:right="0"/>
              <w:jc w:val="center"/>
              <w:rPr>
                <w:rFonts w:ascii="宋体" w:hAnsi="宋体" w:cs="宋体" w:eastAsia="宋体" w:hint="default"/>
                <w:sz w:val="18"/>
                <w:szCs w:val="18"/>
              </w:rPr>
            </w:pPr>
            <w:r>
              <w:rPr>
                <w:rFonts w:ascii="宋体"/>
                <w:w w:val="101"/>
                <w:sz w:val="18"/>
              </w:rPr>
            </w:r>
            <w:r>
              <w:rPr>
                <w:rFonts w:ascii="宋体"/>
                <w:sz w:val="18"/>
                <w:u w:val="thick" w:color="000000"/>
              </w:rPr>
              <w:t>6,905,965.81</w:t>
            </w:r>
            <w:r>
              <w:rPr>
                <w:rFonts w:ascii="宋体"/>
                <w:sz w:val="18"/>
              </w:rPr>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 w:right="0"/>
              <w:jc w:val="center"/>
              <w:rPr>
                <w:rFonts w:ascii="宋体" w:hAnsi="宋体" w:cs="宋体" w:eastAsia="宋体" w:hint="default"/>
                <w:sz w:val="18"/>
                <w:szCs w:val="18"/>
              </w:rPr>
            </w:pPr>
            <w:r>
              <w:rPr>
                <w:rFonts w:ascii="宋体"/>
                <w:w w:val="101"/>
                <w:sz w:val="18"/>
              </w:rPr>
            </w:r>
            <w:r>
              <w:rPr>
                <w:rFonts w:ascii="宋体"/>
                <w:sz w:val="18"/>
                <w:u w:val="thick" w:color="000000"/>
              </w:rPr>
              <w:t>14,164,872.19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451" w:lineRule="auto" w:before="36"/>
        <w:ind w:left="635" w:right="9063"/>
        <w:jc w:val="left"/>
      </w:pPr>
      <w:r>
        <w:rPr>
          <w:rFonts w:ascii="宋体" w:hAnsi="宋体" w:cs="宋体" w:eastAsia="宋体" w:hint="default"/>
        </w:rPr>
        <w:t>2.</w:t>
      </w:r>
      <w:r>
        <w:rPr/>
        <w:t>应收利息</w:t>
      </w:r>
      <w:r>
        <w:rPr>
          <w:spacing w:val="-99"/>
        </w:rPr>
        <w:t> </w:t>
      </w:r>
      <w:r>
        <w:rPr/>
        <w:t>无</w:t>
      </w:r>
      <w:r>
        <w:rPr>
          <w:w w:val="100"/>
        </w:rPr>
        <w:t> </w:t>
      </w:r>
      <w:r>
        <w:rPr>
          <w:rFonts w:ascii="宋体" w:hAnsi="宋体" w:cs="宋体" w:eastAsia="宋体" w:hint="default"/>
        </w:rPr>
        <w:t>3.</w:t>
      </w:r>
      <w:r>
        <w:rPr/>
        <w:t>应收股利</w:t>
      </w:r>
      <w:r>
        <w:rPr>
          <w:spacing w:val="-99"/>
        </w:rPr>
        <w:t> </w:t>
      </w:r>
      <w:r>
        <w:rPr/>
        <w:t>无。</w:t>
      </w:r>
      <w:r>
        <w:rPr>
          <w:spacing w:val="-103"/>
        </w:rPr>
        <w:t> </w:t>
      </w:r>
      <w:r>
        <w:rPr>
          <w:rFonts w:ascii="宋体" w:hAnsi="宋体" w:cs="宋体" w:eastAsia="宋体" w:hint="default"/>
        </w:rPr>
        <w:t>4.</w:t>
      </w:r>
      <w:r>
        <w:rPr/>
        <w:t>其他应收款</w:t>
      </w:r>
    </w:p>
    <w:p>
      <w:pPr>
        <w:pStyle w:val="BodyText"/>
        <w:spacing w:line="240" w:lineRule="auto" w:before="54"/>
        <w:ind w:left="635" w:right="1118"/>
        <w:jc w:val="left"/>
      </w:pPr>
      <w:r>
        <w:rPr/>
        <w:t>（</w:t>
      </w:r>
      <w:r>
        <w:rPr>
          <w:rFonts w:ascii="宋体" w:hAnsi="宋体" w:cs="宋体" w:eastAsia="宋体" w:hint="default"/>
        </w:rPr>
        <w:t>1</w:t>
      </w:r>
      <w:r>
        <w:rPr/>
        <w:t>）按账龄披露</w:t>
      </w:r>
    </w:p>
    <w:p>
      <w:pPr>
        <w:spacing w:line="240" w:lineRule="auto" w:before="3"/>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5865"/>
        <w:gridCol w:w="3993"/>
      </w:tblGrid>
      <w:tr>
        <w:trPr>
          <w:trHeight w:val="253" w:hRule="exact"/>
        </w:trPr>
        <w:tc>
          <w:tcPr>
            <w:tcW w:w="5865" w:type="dxa"/>
            <w:tcBorders>
              <w:top w:val="nil" w:sz="6" w:space="0" w:color="auto"/>
              <w:left w:val="nil" w:sz="6" w:space="0" w:color="auto"/>
              <w:bottom w:val="single" w:sz="4" w:space="0" w:color="000000"/>
              <w:right w:val="nil" w:sz="6" w:space="0" w:color="auto"/>
            </w:tcBorders>
          </w:tcPr>
          <w:p>
            <w:pPr>
              <w:pStyle w:val="TableParagraph"/>
              <w:spacing w:line="182" w:lineRule="exact"/>
              <w:ind w:right="2190"/>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993" w:type="dxa"/>
            <w:tcBorders>
              <w:top w:val="nil" w:sz="6" w:space="0" w:color="auto"/>
              <w:left w:val="nil" w:sz="6" w:space="0" w:color="auto"/>
              <w:bottom w:val="single" w:sz="4" w:space="0" w:color="000000"/>
              <w:right w:val="nil" w:sz="6" w:space="0" w:color="auto"/>
            </w:tcBorders>
          </w:tcPr>
          <w:p>
            <w:pPr>
              <w:pStyle w:val="TableParagraph"/>
              <w:spacing w:line="182" w:lineRule="exact"/>
              <w:ind w:left="21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5865"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993"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981,098.98</w:t>
            </w:r>
          </w:p>
        </w:tc>
      </w:tr>
      <w:tr>
        <w:trPr>
          <w:trHeight w:val="398"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5,596,019.32</w:t>
            </w:r>
          </w:p>
        </w:tc>
      </w:tr>
      <w:tr>
        <w:trPr>
          <w:trHeight w:val="408"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371,407.51</w:t>
            </w:r>
          </w:p>
        </w:tc>
      </w:tr>
      <w:tr>
        <w:trPr>
          <w:trHeight w:val="290"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9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6,948,525.81</w:t>
            </w:r>
            <w:r>
              <w:rPr>
                <w:rFonts w:ascii="宋体"/>
                <w:spacing w:val="-1"/>
                <w:sz w:val="18"/>
              </w:rPr>
            </w:r>
          </w:p>
        </w:tc>
      </w:tr>
    </w:tbl>
    <w:p>
      <w:pPr>
        <w:spacing w:line="240" w:lineRule="auto" w:before="2"/>
        <w:rPr>
          <w:rFonts w:ascii="宋体" w:hAnsi="宋体" w:cs="宋体" w:eastAsia="宋体" w:hint="default"/>
          <w:sz w:val="20"/>
          <w:szCs w:val="20"/>
        </w:rPr>
      </w:pPr>
    </w:p>
    <w:p>
      <w:pPr>
        <w:pStyle w:val="BodyText"/>
        <w:spacing w:line="240" w:lineRule="auto" w:before="36"/>
        <w:ind w:left="635" w:right="1118"/>
        <w:jc w:val="left"/>
      </w:pPr>
      <w:r>
        <w:rPr/>
        <w:t>（</w:t>
      </w:r>
      <w:r>
        <w:rPr>
          <w:rFonts w:ascii="宋体" w:hAnsi="宋体" w:cs="宋体" w:eastAsia="宋体" w:hint="default"/>
        </w:rPr>
        <w:t>2</w:t>
      </w:r>
      <w:r>
        <w:rPr/>
        <w:t>）按款项性质分类情况</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3824"/>
        <w:gridCol w:w="3719"/>
        <w:gridCol w:w="2315"/>
      </w:tblGrid>
      <w:tr>
        <w:trPr>
          <w:trHeight w:val="253" w:hRule="exact"/>
        </w:trPr>
        <w:tc>
          <w:tcPr>
            <w:tcW w:w="3824" w:type="dxa"/>
            <w:tcBorders>
              <w:top w:val="nil" w:sz="6" w:space="0" w:color="auto"/>
              <w:left w:val="nil" w:sz="6" w:space="0" w:color="auto"/>
              <w:bottom w:val="single" w:sz="4" w:space="0" w:color="000000"/>
              <w:right w:val="nil" w:sz="6" w:space="0" w:color="auto"/>
            </w:tcBorders>
          </w:tcPr>
          <w:p>
            <w:pPr>
              <w:pStyle w:val="TableParagraph"/>
              <w:spacing w:line="182" w:lineRule="exact"/>
              <w:ind w:left="40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9" w:type="dxa"/>
            <w:tcBorders>
              <w:top w:val="nil" w:sz="6" w:space="0" w:color="auto"/>
              <w:left w:val="nil" w:sz="6" w:space="0" w:color="auto"/>
              <w:bottom w:val="single" w:sz="4" w:space="0" w:color="000000"/>
              <w:right w:val="nil" w:sz="6" w:space="0" w:color="auto"/>
            </w:tcBorders>
          </w:tcPr>
          <w:p>
            <w:pPr>
              <w:pStyle w:val="TableParagraph"/>
              <w:spacing w:line="182"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315" w:type="dxa"/>
            <w:tcBorders>
              <w:top w:val="nil" w:sz="6" w:space="0" w:color="auto"/>
              <w:left w:val="nil" w:sz="6" w:space="0" w:color="auto"/>
              <w:bottom w:val="single" w:sz="4" w:space="0" w:color="000000"/>
              <w:right w:val="nil" w:sz="6" w:space="0" w:color="auto"/>
            </w:tcBorders>
          </w:tcPr>
          <w:p>
            <w:pPr>
              <w:pStyle w:val="TableParagraph"/>
              <w:spacing w:line="182"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46" w:hRule="exact"/>
        </w:trPr>
        <w:tc>
          <w:tcPr>
            <w:tcW w:w="382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39"/>
              <w:jc w:val="right"/>
              <w:rPr>
                <w:rFonts w:ascii="宋体" w:hAnsi="宋体" w:cs="宋体" w:eastAsia="宋体" w:hint="default"/>
                <w:sz w:val="18"/>
                <w:szCs w:val="18"/>
              </w:rPr>
            </w:pPr>
            <w:r>
              <w:rPr>
                <w:rFonts w:ascii="宋体"/>
                <w:spacing w:val="-1"/>
                <w:sz w:val="18"/>
              </w:rPr>
              <w:t>6,744,585.69</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14,110,739.12</w:t>
            </w:r>
          </w:p>
        </w:tc>
      </w:tr>
      <w:tr>
        <w:trPr>
          <w:trHeight w:val="290"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9"/>
              <w:jc w:val="right"/>
              <w:rPr>
                <w:rFonts w:ascii="宋体" w:hAnsi="宋体" w:cs="宋体" w:eastAsia="宋体" w:hint="default"/>
                <w:sz w:val="18"/>
                <w:szCs w:val="18"/>
              </w:rPr>
            </w:pPr>
            <w:r>
              <w:rPr>
                <w:rFonts w:ascii="宋体"/>
                <w:spacing w:val="-1"/>
                <w:sz w:val="18"/>
              </w:rPr>
              <w:t>203,940.12</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54,133.07</w:t>
            </w:r>
          </w:p>
        </w:tc>
      </w:tr>
    </w:tbl>
    <w:p>
      <w:pPr>
        <w:spacing w:after="0" w:line="240" w:lineRule="auto"/>
        <w:jc w:val="right"/>
        <w:rPr>
          <w:rFonts w:ascii="宋体" w:hAnsi="宋体" w:cs="宋体" w:eastAsia="宋体" w:hint="default"/>
          <w:sz w:val="18"/>
          <w:szCs w:val="18"/>
        </w:rPr>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3824"/>
        <w:gridCol w:w="3277"/>
        <w:gridCol w:w="2655"/>
        <w:gridCol w:w="101"/>
      </w:tblGrid>
      <w:tr>
        <w:trPr>
          <w:trHeight w:val="253" w:hRule="exact"/>
        </w:trPr>
        <w:tc>
          <w:tcPr>
            <w:tcW w:w="3824" w:type="dxa"/>
            <w:tcBorders>
              <w:top w:val="nil" w:sz="6" w:space="0" w:color="auto"/>
              <w:left w:val="nil" w:sz="6" w:space="0" w:color="auto"/>
              <w:bottom w:val="single" w:sz="4" w:space="0" w:color="000000"/>
              <w:right w:val="nil" w:sz="6" w:space="0" w:color="auto"/>
            </w:tcBorders>
          </w:tcPr>
          <w:p>
            <w:pPr>
              <w:pStyle w:val="TableParagraph"/>
              <w:spacing w:line="182" w:lineRule="exact"/>
              <w:ind w:left="40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277" w:type="dxa"/>
            <w:tcBorders>
              <w:top w:val="nil" w:sz="6" w:space="0" w:color="auto"/>
              <w:left w:val="nil" w:sz="6" w:space="0" w:color="auto"/>
              <w:bottom w:val="single" w:sz="4" w:space="0" w:color="000000"/>
              <w:right w:val="nil" w:sz="6" w:space="0" w:color="auto"/>
            </w:tcBorders>
          </w:tcPr>
          <w:p>
            <w:pPr>
              <w:pStyle w:val="TableParagraph"/>
              <w:spacing w:line="182" w:lineRule="exact"/>
              <w:ind w:left="1347"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655" w:type="dxa"/>
            <w:tcBorders>
              <w:top w:val="nil" w:sz="6" w:space="0" w:color="auto"/>
              <w:left w:val="nil" w:sz="6" w:space="0" w:color="auto"/>
              <w:bottom w:val="single" w:sz="4" w:space="0" w:color="000000"/>
              <w:right w:val="nil" w:sz="6" w:space="0" w:color="auto"/>
            </w:tcBorders>
          </w:tcPr>
          <w:p>
            <w:pPr>
              <w:pStyle w:val="TableParagraph"/>
              <w:spacing w:line="182" w:lineRule="exact"/>
              <w:ind w:left="883"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c>
          <w:tcPr>
            <w:tcW w:w="101" w:type="dxa"/>
            <w:tcBorders>
              <w:top w:val="nil" w:sz="6" w:space="0" w:color="auto"/>
              <w:left w:val="nil" w:sz="6" w:space="0" w:color="auto"/>
              <w:bottom w:val="single" w:sz="4" w:space="0" w:color="000000"/>
              <w:right w:val="nil" w:sz="6" w:space="0" w:color="auto"/>
            </w:tcBorders>
          </w:tcPr>
          <w:p>
            <w:pPr/>
          </w:p>
        </w:tc>
      </w:tr>
      <w:tr>
        <w:trPr>
          <w:trHeight w:val="353" w:hRule="exact"/>
        </w:trPr>
        <w:tc>
          <w:tcPr>
            <w:tcW w:w="3824"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40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77" w:type="dxa"/>
            <w:tcBorders>
              <w:top w:val="single" w:sz="4" w:space="0" w:color="000000"/>
              <w:left w:val="nil" w:sz="6" w:space="0" w:color="auto"/>
              <w:bottom w:val="single" w:sz="13"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6,948,525.81</w:t>
            </w:r>
          </w:p>
        </w:tc>
        <w:tc>
          <w:tcPr>
            <w:tcW w:w="2655" w:type="dxa"/>
            <w:tcBorders>
              <w:top w:val="single" w:sz="4" w:space="0" w:color="000000"/>
              <w:left w:val="nil" w:sz="6" w:space="0" w:color="auto"/>
              <w:bottom w:val="single" w:sz="13" w:space="0" w:color="000000"/>
              <w:right w:val="nil" w:sz="6" w:space="0" w:color="auto"/>
            </w:tcBorders>
          </w:tcPr>
          <w:p>
            <w:pPr>
              <w:pStyle w:val="TableParagraph"/>
              <w:spacing w:line="240" w:lineRule="auto" w:before="97"/>
              <w:ind w:left="1479" w:right="0"/>
              <w:jc w:val="left"/>
              <w:rPr>
                <w:rFonts w:ascii="宋体" w:hAnsi="宋体" w:cs="宋体" w:eastAsia="宋体" w:hint="default"/>
                <w:sz w:val="18"/>
                <w:szCs w:val="18"/>
              </w:rPr>
            </w:pPr>
            <w:r>
              <w:rPr>
                <w:rFonts w:ascii="宋体"/>
                <w:spacing w:val="-1"/>
                <w:sz w:val="18"/>
              </w:rPr>
              <w:t>14,164,872.19</w:t>
            </w:r>
          </w:p>
        </w:tc>
        <w:tc>
          <w:tcPr>
            <w:tcW w:w="101" w:type="dxa"/>
            <w:tcBorders>
              <w:top w:val="single" w:sz="4" w:space="0" w:color="000000"/>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left="635" w:right="1118"/>
        <w:jc w:val="left"/>
      </w:pPr>
      <w:r>
        <w:rPr/>
        <w:t>（</w:t>
      </w:r>
      <w:r>
        <w:rPr>
          <w:rFonts w:ascii="宋体" w:hAnsi="宋体" w:cs="宋体" w:eastAsia="宋体" w:hint="default"/>
        </w:rPr>
        <w:t>3</w:t>
      </w:r>
      <w:r>
        <w:rPr/>
        <w:t>）坏账准备计提情况</w:t>
      </w:r>
    </w:p>
    <w:p>
      <w:pPr>
        <w:spacing w:line="240" w:lineRule="auto" w:before="3"/>
        <w:rPr>
          <w:rFonts w:ascii="宋体" w:hAnsi="宋体" w:cs="宋体" w:eastAsia="宋体" w:hint="default"/>
          <w:sz w:val="27"/>
          <w:szCs w:val="27"/>
        </w:rPr>
      </w:pPr>
    </w:p>
    <w:tbl>
      <w:tblPr>
        <w:tblW w:w="0" w:type="auto"/>
        <w:jc w:val="left"/>
        <w:tblInd w:w="213" w:type="dxa"/>
        <w:tblLayout w:type="fixed"/>
        <w:tblCellMar>
          <w:top w:w="0" w:type="dxa"/>
          <w:left w:w="0" w:type="dxa"/>
          <w:bottom w:w="0" w:type="dxa"/>
          <w:right w:w="0" w:type="dxa"/>
        </w:tblCellMar>
        <w:tblLook w:val="01E0"/>
      </w:tblPr>
      <w:tblGrid>
        <w:gridCol w:w="2115"/>
        <w:gridCol w:w="1654"/>
        <w:gridCol w:w="2123"/>
        <w:gridCol w:w="2370"/>
        <w:gridCol w:w="1381"/>
      </w:tblGrid>
      <w:tr>
        <w:trPr>
          <w:trHeight w:val="271" w:hRule="exact"/>
        </w:trPr>
        <w:tc>
          <w:tcPr>
            <w:tcW w:w="2115"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82"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第一阶段</w:t>
            </w:r>
            <w:r>
              <w:rPr>
                <w:rFonts w:ascii="宋体" w:hAnsi="宋体" w:cs="宋体" w:eastAsia="宋体" w:hint="default"/>
                <w:sz w:val="18"/>
                <w:szCs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182"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第二阶段</w:t>
            </w:r>
            <w:r>
              <w:rPr>
                <w:rFonts w:ascii="宋体" w:hAnsi="宋体" w:cs="宋体" w:eastAsia="宋体" w:hint="default"/>
                <w:sz w:val="18"/>
                <w:szCs w:val="18"/>
              </w:rPr>
            </w:r>
          </w:p>
        </w:tc>
        <w:tc>
          <w:tcPr>
            <w:tcW w:w="2370" w:type="dxa"/>
            <w:tcBorders>
              <w:top w:val="nil" w:sz="6" w:space="0" w:color="auto"/>
              <w:left w:val="nil" w:sz="6" w:space="0" w:color="auto"/>
              <w:bottom w:val="nil" w:sz="6" w:space="0" w:color="auto"/>
              <w:right w:val="nil" w:sz="6" w:space="0" w:color="auto"/>
            </w:tcBorders>
          </w:tcPr>
          <w:p>
            <w:pPr>
              <w:pStyle w:val="TableParagraph"/>
              <w:spacing w:line="182" w:lineRule="exact"/>
              <w:ind w:left="696" w:right="0"/>
              <w:jc w:val="left"/>
              <w:rPr>
                <w:rFonts w:ascii="宋体" w:hAnsi="宋体" w:cs="宋体" w:eastAsia="宋体" w:hint="default"/>
                <w:sz w:val="18"/>
                <w:szCs w:val="18"/>
              </w:rPr>
            </w:pPr>
            <w:r>
              <w:rPr>
                <w:rFonts w:ascii="宋体" w:hAnsi="宋体" w:cs="宋体" w:eastAsia="宋体" w:hint="default"/>
                <w:b/>
                <w:bCs/>
                <w:sz w:val="18"/>
                <w:szCs w:val="18"/>
              </w:rPr>
              <w:t>第三阶段</w:t>
            </w:r>
            <w:r>
              <w:rPr>
                <w:rFonts w:ascii="宋体" w:hAnsi="宋体" w:cs="宋体" w:eastAsia="宋体" w:hint="default"/>
                <w:sz w:val="18"/>
                <w:szCs w:val="18"/>
              </w:rPr>
            </w:r>
          </w:p>
        </w:tc>
        <w:tc>
          <w:tcPr>
            <w:tcW w:w="1381" w:type="dxa"/>
            <w:tcBorders>
              <w:top w:val="nil" w:sz="6" w:space="0" w:color="auto"/>
              <w:left w:val="nil" w:sz="6" w:space="0" w:color="auto"/>
              <w:bottom w:val="nil" w:sz="6" w:space="0" w:color="auto"/>
              <w:right w:val="nil" w:sz="6" w:space="0" w:color="auto"/>
            </w:tcBorders>
          </w:tcPr>
          <w:p>
            <w:pPr/>
          </w:p>
        </w:tc>
      </w:tr>
      <w:tr>
        <w:trPr>
          <w:trHeight w:val="697" w:hRule="exact"/>
        </w:trPr>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6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b/>
                <w:bCs/>
                <w:sz w:val="18"/>
                <w:szCs w:val="18"/>
              </w:rPr>
              <w:t>未来</w:t>
            </w:r>
            <w:r>
              <w:rPr>
                <w:rFonts w:ascii="宋体" w:hAnsi="宋体" w:cs="宋体" w:eastAsia="宋体" w:hint="default"/>
                <w:b/>
                <w:bCs/>
                <w:spacing w:val="-42"/>
                <w:sz w:val="18"/>
                <w:szCs w:val="18"/>
              </w:rPr>
              <w:t> </w:t>
            </w:r>
            <w:r>
              <w:rPr>
                <w:rFonts w:ascii="宋体" w:hAnsi="宋体" w:cs="宋体" w:eastAsia="宋体" w:hint="default"/>
                <w:b/>
                <w:bCs/>
                <w:sz w:val="18"/>
                <w:szCs w:val="18"/>
              </w:rPr>
              <w:t>12</w:t>
            </w:r>
            <w:r>
              <w:rPr>
                <w:rFonts w:ascii="宋体" w:hAnsi="宋体" w:cs="宋体" w:eastAsia="宋体" w:hint="default"/>
                <w:b/>
                <w:bCs/>
                <w:spacing w:val="-42"/>
                <w:sz w:val="18"/>
                <w:szCs w:val="18"/>
              </w:rPr>
              <w:t> </w:t>
            </w:r>
            <w:r>
              <w:rPr>
                <w:rFonts w:ascii="宋体" w:hAnsi="宋体" w:cs="宋体" w:eastAsia="宋体" w:hint="default"/>
                <w:b/>
                <w:bCs/>
                <w:spacing w:val="-3"/>
                <w:sz w:val="18"/>
                <w:szCs w:val="18"/>
              </w:rPr>
              <w:t>个月预期</w:t>
            </w:r>
            <w:r>
              <w:rPr>
                <w:rFonts w:ascii="宋体" w:hAnsi="宋体" w:cs="宋体" w:eastAsia="宋体" w:hint="default"/>
                <w:sz w:val="18"/>
                <w:szCs w:val="18"/>
              </w:rPr>
            </w:r>
          </w:p>
          <w:p>
            <w:pPr>
              <w:pStyle w:val="TableParagraph"/>
              <w:spacing w:line="240" w:lineRule="auto" w:before="124"/>
              <w:ind w:right="5"/>
              <w:jc w:val="center"/>
              <w:rPr>
                <w:rFonts w:ascii="宋体" w:hAnsi="宋体" w:cs="宋体" w:eastAsia="宋体" w:hint="default"/>
                <w:sz w:val="18"/>
                <w:szCs w:val="18"/>
              </w:rPr>
            </w:pPr>
            <w:r>
              <w:rPr>
                <w:rFonts w:ascii="宋体" w:hAnsi="宋体" w:cs="宋体" w:eastAsia="宋体" w:hint="default"/>
                <w:b/>
                <w:bCs/>
                <w:sz w:val="18"/>
                <w:szCs w:val="18"/>
              </w:rPr>
              <w:t>信用损失</w:t>
            </w:r>
            <w:r>
              <w:rPr>
                <w:rFonts w:ascii="宋体" w:hAnsi="宋体" w:cs="宋体" w:eastAsia="宋体" w:hint="default"/>
                <w:sz w:val="18"/>
                <w:szCs w:val="18"/>
              </w:rPr>
            </w:r>
          </w:p>
        </w:tc>
        <w:tc>
          <w:tcPr>
            <w:tcW w:w="212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b/>
                <w:bCs/>
                <w:sz w:val="18"/>
                <w:szCs w:val="18"/>
              </w:rPr>
              <w:t>整个存续期预期信用损</w:t>
            </w:r>
            <w:r>
              <w:rPr>
                <w:rFonts w:ascii="宋体" w:hAnsi="宋体" w:cs="宋体" w:eastAsia="宋体" w:hint="default"/>
                <w:sz w:val="18"/>
                <w:szCs w:val="18"/>
              </w:rPr>
            </w:r>
          </w:p>
          <w:p>
            <w:pPr>
              <w:pStyle w:val="TableParagraph"/>
              <w:spacing w:line="240" w:lineRule="auto" w:before="124"/>
              <w:ind w:left="153" w:right="0"/>
              <w:jc w:val="left"/>
              <w:rPr>
                <w:rFonts w:ascii="宋体" w:hAnsi="宋体" w:cs="宋体" w:eastAsia="宋体" w:hint="default"/>
                <w:sz w:val="18"/>
                <w:szCs w:val="18"/>
              </w:rPr>
            </w:pPr>
            <w:r>
              <w:rPr>
                <w:rFonts w:ascii="宋体" w:hAnsi="宋体" w:cs="宋体" w:eastAsia="宋体" w:hint="default"/>
                <w:b/>
                <w:bCs/>
                <w:sz w:val="18"/>
                <w:szCs w:val="18"/>
              </w:rPr>
              <w:t>失（未发生信用减值）</w:t>
            </w:r>
            <w:r>
              <w:rPr>
                <w:rFonts w:ascii="宋体" w:hAnsi="宋体" w:cs="宋体" w:eastAsia="宋体" w:hint="default"/>
                <w:sz w:val="18"/>
                <w:szCs w:val="18"/>
              </w:rPr>
            </w:r>
          </w:p>
        </w:tc>
        <w:tc>
          <w:tcPr>
            <w:tcW w:w="237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b/>
                <w:bCs/>
                <w:sz w:val="18"/>
                <w:szCs w:val="18"/>
              </w:rPr>
              <w:t>整个存续期预期信用损</w:t>
            </w:r>
            <w:r>
              <w:rPr>
                <w:rFonts w:ascii="宋体" w:hAnsi="宋体" w:cs="宋体" w:eastAsia="宋体" w:hint="default"/>
                <w:sz w:val="18"/>
                <w:szCs w:val="18"/>
              </w:rPr>
            </w:r>
          </w:p>
          <w:p>
            <w:pPr>
              <w:pStyle w:val="TableParagraph"/>
              <w:spacing w:line="240" w:lineRule="auto" w:before="124"/>
              <w:ind w:left="158" w:right="0"/>
              <w:jc w:val="left"/>
              <w:rPr>
                <w:rFonts w:ascii="宋体" w:hAnsi="宋体" w:cs="宋体" w:eastAsia="宋体" w:hint="default"/>
                <w:sz w:val="18"/>
                <w:szCs w:val="18"/>
              </w:rPr>
            </w:pPr>
            <w:r>
              <w:rPr>
                <w:rFonts w:ascii="宋体" w:hAnsi="宋体" w:cs="宋体" w:eastAsia="宋体" w:hint="default"/>
                <w:b/>
                <w:bCs/>
                <w:sz w:val="18"/>
                <w:szCs w:val="18"/>
              </w:rPr>
              <w:t>失（已发生信用减值）</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1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6" w:hRule="exact"/>
        </w:trPr>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1"/>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日余额</w:t>
            </w:r>
            <w:r>
              <w:rPr>
                <w:rFonts w:ascii="宋体" w:hAnsi="宋体" w:cs="宋体" w:eastAsia="宋体" w:hint="default"/>
                <w:sz w:val="18"/>
                <w:szCs w:val="18"/>
              </w:rPr>
            </w:r>
          </w:p>
        </w:tc>
        <w:tc>
          <w:tcPr>
            <w:tcW w:w="1654" w:type="dxa"/>
            <w:tcBorders>
              <w:top w:val="single" w:sz="4" w:space="0" w:color="000000"/>
              <w:left w:val="nil" w:sz="6" w:space="0" w:color="auto"/>
              <w:bottom w:val="nil" w:sz="6" w:space="0" w:color="auto"/>
              <w:right w:val="nil" w:sz="6" w:space="0" w:color="auto"/>
            </w:tcBorders>
          </w:tcPr>
          <w:p>
            <w:pPr/>
          </w:p>
        </w:tc>
        <w:tc>
          <w:tcPr>
            <w:tcW w:w="2123" w:type="dxa"/>
            <w:tcBorders>
              <w:top w:val="single" w:sz="4" w:space="0" w:color="000000"/>
              <w:left w:val="nil" w:sz="6" w:space="0" w:color="auto"/>
              <w:bottom w:val="nil" w:sz="6" w:space="0" w:color="auto"/>
              <w:right w:val="nil" w:sz="6" w:space="0" w:color="auto"/>
            </w:tcBorders>
          </w:tcPr>
          <w:p>
            <w:pPr/>
          </w:p>
        </w:tc>
        <w:tc>
          <w:tcPr>
            <w:tcW w:w="2370"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r>
      <w:tr>
        <w:trPr>
          <w:trHeight w:val="739"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144"/>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日其他应</w:t>
            </w:r>
            <w:r>
              <w:rPr>
                <w:rFonts w:ascii="宋体" w:hAnsi="宋体" w:cs="宋体" w:eastAsia="宋体" w:hint="default"/>
                <w:b/>
                <w:bCs/>
                <w:w w:val="100"/>
                <w:sz w:val="18"/>
                <w:szCs w:val="18"/>
              </w:rPr>
              <w:t> </w:t>
            </w:r>
            <w:r>
              <w:rPr>
                <w:rFonts w:ascii="宋体" w:hAnsi="宋体" w:cs="宋体" w:eastAsia="宋体" w:hint="default"/>
                <w:b/>
                <w:bCs/>
                <w:sz w:val="18"/>
                <w:szCs w:val="18"/>
              </w:rPr>
              <w:t>收款账面余额在本期</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89"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b/>
                <w:bCs/>
                <w:sz w:val="18"/>
                <w:szCs w:val="18"/>
              </w:rPr>
              <w:t>——转入第二阶段</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b/>
                <w:bCs/>
                <w:sz w:val="18"/>
                <w:szCs w:val="18"/>
              </w:rPr>
              <w:t>——转入第三阶段</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b/>
                <w:bCs/>
                <w:sz w:val="18"/>
                <w:szCs w:val="18"/>
              </w:rPr>
              <w:t>——转回第二阶段</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——转回第一阶段</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15" w:right="0"/>
              <w:jc w:val="left"/>
              <w:rPr>
                <w:rFonts w:ascii="宋体" w:hAnsi="宋体" w:cs="宋体" w:eastAsia="宋体" w:hint="default"/>
                <w:sz w:val="18"/>
                <w:szCs w:val="18"/>
              </w:rPr>
            </w:pPr>
            <w:r>
              <w:rPr>
                <w:rFonts w:ascii="宋体"/>
                <w:sz w:val="18"/>
              </w:rPr>
              <w:t>42,560.00</w:t>
            </w: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1"/>
              <w:jc w:val="center"/>
              <w:rPr>
                <w:rFonts w:ascii="宋体" w:hAnsi="宋体" w:cs="宋体" w:eastAsia="宋体" w:hint="default"/>
                <w:sz w:val="18"/>
                <w:szCs w:val="18"/>
              </w:rPr>
            </w:pPr>
            <w:r>
              <w:rPr>
                <w:rFonts w:ascii="宋体"/>
                <w:sz w:val="18"/>
              </w:rPr>
              <w:t>42,560.00</w:t>
            </w:r>
          </w:p>
        </w:tc>
      </w:tr>
      <w:tr>
        <w:trPr>
          <w:trHeight w:val="39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本期转回</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b/>
                <w:bCs/>
                <w:sz w:val="18"/>
                <w:szCs w:val="18"/>
              </w:rPr>
              <w:t>本期转销</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本期核销</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6"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28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日余额</w:t>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15" w:right="0"/>
              <w:jc w:val="left"/>
              <w:rPr>
                <w:rFonts w:ascii="宋体" w:hAnsi="宋体" w:cs="宋体" w:eastAsia="宋体" w:hint="default"/>
                <w:sz w:val="18"/>
                <w:szCs w:val="18"/>
              </w:rPr>
            </w:pPr>
            <w:r>
              <w:rPr>
                <w:rFonts w:ascii="宋体"/>
                <w:sz w:val="18"/>
              </w:rPr>
              <w:t>42,560.00</w:t>
            </w:r>
          </w:p>
        </w:tc>
        <w:tc>
          <w:tcPr>
            <w:tcW w:w="2123" w:type="dxa"/>
            <w:tcBorders>
              <w:top w:val="nil" w:sz="6" w:space="0" w:color="auto"/>
              <w:left w:val="nil" w:sz="6" w:space="0" w:color="auto"/>
              <w:bottom w:val="nil" w:sz="6" w:space="0" w:color="auto"/>
              <w:right w:val="nil" w:sz="6" w:space="0" w:color="auto"/>
            </w:tcBorders>
          </w:tcPr>
          <w:p>
            <w:pPr/>
          </w:p>
        </w:tc>
        <w:tc>
          <w:tcPr>
            <w:tcW w:w="237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1"/>
              <w:jc w:val="center"/>
              <w:rPr>
                <w:rFonts w:ascii="宋体" w:hAnsi="宋体" w:cs="宋体" w:eastAsia="宋体" w:hint="default"/>
                <w:sz w:val="18"/>
                <w:szCs w:val="18"/>
              </w:rPr>
            </w:pPr>
            <w:r>
              <w:rPr>
                <w:rFonts w:ascii="宋体"/>
                <w:sz w:val="18"/>
              </w:rPr>
              <w:t>42,560.00</w:t>
            </w:r>
          </w:p>
        </w:tc>
      </w:tr>
    </w:tbl>
    <w:p>
      <w:pPr>
        <w:spacing w:line="240" w:lineRule="auto" w:before="8"/>
        <w:rPr>
          <w:rFonts w:ascii="宋体" w:hAnsi="宋体" w:cs="宋体" w:eastAsia="宋体" w:hint="default"/>
          <w:sz w:val="20"/>
          <w:szCs w:val="20"/>
        </w:rPr>
      </w:pPr>
    </w:p>
    <w:p>
      <w:pPr>
        <w:pStyle w:val="BodyText"/>
        <w:spacing w:line="240" w:lineRule="auto" w:before="36"/>
        <w:ind w:left="530" w:right="1118"/>
        <w:jc w:val="left"/>
      </w:pPr>
      <w:r>
        <w:rPr/>
        <w:t>（</w:t>
      </w:r>
      <w:r>
        <w:rPr>
          <w:rFonts w:ascii="宋体" w:hAnsi="宋体" w:cs="宋体" w:eastAsia="宋体" w:hint="default"/>
        </w:rPr>
        <w:t>4</w:t>
      </w:r>
      <w:r>
        <w:rPr/>
        <w:t>）坏账准备的情况</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835"/>
        <w:gridCol w:w="2876"/>
        <w:gridCol w:w="1791"/>
        <w:gridCol w:w="1544"/>
        <w:gridCol w:w="2812"/>
      </w:tblGrid>
      <w:tr>
        <w:trPr>
          <w:trHeight w:val="192" w:hRule="exact"/>
        </w:trPr>
        <w:tc>
          <w:tcPr>
            <w:tcW w:w="835" w:type="dxa"/>
            <w:tcBorders>
              <w:top w:val="nil" w:sz="6" w:space="0" w:color="auto"/>
              <w:left w:val="nil" w:sz="6" w:space="0" w:color="auto"/>
              <w:bottom w:val="nil" w:sz="6" w:space="0" w:color="auto"/>
              <w:right w:val="nil" w:sz="6" w:space="0" w:color="auto"/>
            </w:tcBorders>
          </w:tcPr>
          <w:p>
            <w:pPr/>
          </w:p>
        </w:tc>
        <w:tc>
          <w:tcPr>
            <w:tcW w:w="2876" w:type="dxa"/>
            <w:tcBorders>
              <w:top w:val="nil" w:sz="6" w:space="0" w:color="auto"/>
              <w:left w:val="nil" w:sz="6" w:space="0" w:color="auto"/>
              <w:bottom w:val="nil" w:sz="6" w:space="0" w:color="auto"/>
              <w:right w:val="nil" w:sz="6" w:space="0" w:color="auto"/>
            </w:tcBorders>
          </w:tcPr>
          <w:p>
            <w:pPr/>
          </w:p>
        </w:tc>
        <w:tc>
          <w:tcPr>
            <w:tcW w:w="3335"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1229"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2812" w:type="dxa"/>
            <w:tcBorders>
              <w:top w:val="nil" w:sz="6" w:space="0" w:color="auto"/>
              <w:left w:val="nil" w:sz="6" w:space="0" w:color="auto"/>
              <w:bottom w:val="nil" w:sz="6" w:space="0" w:color="auto"/>
              <w:right w:val="nil" w:sz="6" w:space="0" w:color="auto"/>
            </w:tcBorders>
          </w:tcPr>
          <w:p>
            <w:pPr/>
          </w:p>
        </w:tc>
      </w:tr>
      <w:tr>
        <w:trPr>
          <w:trHeight w:val="190" w:hRule="exact"/>
        </w:trPr>
        <w:tc>
          <w:tcPr>
            <w:tcW w:w="835" w:type="dxa"/>
            <w:tcBorders>
              <w:top w:val="nil" w:sz="6" w:space="0" w:color="auto"/>
              <w:left w:val="nil" w:sz="6" w:space="0" w:color="auto"/>
              <w:bottom w:val="nil" w:sz="6" w:space="0" w:color="auto"/>
              <w:right w:val="nil" w:sz="6" w:space="0" w:color="auto"/>
            </w:tcBorders>
          </w:tcPr>
          <w:p>
            <w:pPr>
              <w:pStyle w:val="TableParagraph"/>
              <w:spacing w:line="192" w:lineRule="exact"/>
              <w:ind w:right="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876" w:type="dxa"/>
            <w:tcBorders>
              <w:top w:val="nil" w:sz="6" w:space="0" w:color="auto"/>
              <w:left w:val="nil" w:sz="6" w:space="0" w:color="auto"/>
              <w:bottom w:val="nil" w:sz="6" w:space="0" w:color="auto"/>
              <w:right w:val="nil" w:sz="6" w:space="0" w:color="auto"/>
            </w:tcBorders>
          </w:tcPr>
          <w:p>
            <w:pPr>
              <w:pStyle w:val="TableParagraph"/>
              <w:spacing w:line="192" w:lineRule="exact"/>
              <w:ind w:left="7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92" w:lineRule="exact"/>
              <w:ind w:right="329"/>
              <w:jc w:val="righ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70" w:hRule="exact"/>
        </w:trPr>
        <w:tc>
          <w:tcPr>
            <w:tcW w:w="835" w:type="dxa"/>
            <w:tcBorders>
              <w:top w:val="nil" w:sz="6" w:space="0" w:color="auto"/>
              <w:left w:val="nil" w:sz="6" w:space="0" w:color="auto"/>
              <w:bottom w:val="single" w:sz="4" w:space="0" w:color="000000"/>
              <w:right w:val="nil" w:sz="6" w:space="0" w:color="auto"/>
            </w:tcBorders>
          </w:tcPr>
          <w:p>
            <w:pPr/>
          </w:p>
        </w:tc>
        <w:tc>
          <w:tcPr>
            <w:tcW w:w="2876" w:type="dxa"/>
            <w:tcBorders>
              <w:top w:val="nil" w:sz="6" w:space="0" w:color="auto"/>
              <w:left w:val="nil" w:sz="6" w:space="0" w:color="auto"/>
              <w:bottom w:val="single" w:sz="4" w:space="0" w:color="000000"/>
              <w:right w:val="nil" w:sz="6" w:space="0" w:color="auto"/>
            </w:tcBorders>
          </w:tcPr>
          <w:p>
            <w:pPr>
              <w:pStyle w:val="TableParagraph"/>
              <w:spacing w:line="199" w:lineRule="exact"/>
              <w:ind w:right="223"/>
              <w:jc w:val="righ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199" w:lineRule="exact"/>
              <w:ind w:left="595" w:right="0"/>
              <w:jc w:val="left"/>
              <w:rPr>
                <w:rFonts w:ascii="宋体" w:hAnsi="宋体" w:cs="宋体" w:eastAsia="宋体" w:hint="default"/>
                <w:sz w:val="18"/>
                <w:szCs w:val="18"/>
              </w:rPr>
            </w:pPr>
            <w:r>
              <w:rPr>
                <w:rFonts w:ascii="宋体" w:hAnsi="宋体" w:cs="宋体" w:eastAsia="宋体" w:hint="default"/>
                <w:b/>
                <w:bCs/>
                <w:sz w:val="18"/>
                <w:szCs w:val="18"/>
              </w:rPr>
              <w:t>收回或转回</w:t>
            </w:r>
            <w:r>
              <w:rPr>
                <w:rFonts w:ascii="宋体" w:hAnsi="宋体" w:cs="宋体" w:eastAsia="宋体"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199"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转销或核销</w:t>
            </w:r>
            <w:r>
              <w:rPr>
                <w:rFonts w:ascii="宋体" w:hAnsi="宋体" w:cs="宋体" w:eastAsia="宋体" w:hint="default"/>
                <w:sz w:val="18"/>
                <w:szCs w:val="18"/>
              </w:rPr>
            </w:r>
          </w:p>
        </w:tc>
        <w:tc>
          <w:tcPr>
            <w:tcW w:w="2812" w:type="dxa"/>
            <w:tcBorders>
              <w:top w:val="nil" w:sz="6" w:space="0" w:color="auto"/>
              <w:left w:val="nil" w:sz="6" w:space="0" w:color="auto"/>
              <w:bottom w:val="single" w:sz="4" w:space="0" w:color="000000"/>
              <w:right w:val="nil" w:sz="6" w:space="0" w:color="auto"/>
            </w:tcBorders>
          </w:tcPr>
          <w:p>
            <w:pPr>
              <w:pStyle w:val="TableParagraph"/>
              <w:spacing w:line="180"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r>
      <w:tr>
        <w:trPr>
          <w:trHeight w:val="437" w:hRule="exact"/>
        </w:trPr>
        <w:tc>
          <w:tcPr>
            <w:tcW w:w="83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hAnsi="宋体" w:cs="宋体" w:eastAsia="宋体" w:hint="default"/>
                <w:sz w:val="18"/>
                <w:szCs w:val="18"/>
              </w:rPr>
              <w:t>其他</w:t>
            </w:r>
          </w:p>
        </w:tc>
        <w:tc>
          <w:tcPr>
            <w:tcW w:w="287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
              <w:jc w:val="right"/>
              <w:rPr>
                <w:rFonts w:ascii="宋体" w:hAnsi="宋体" w:cs="宋体" w:eastAsia="宋体" w:hint="default"/>
                <w:sz w:val="18"/>
                <w:szCs w:val="18"/>
              </w:rPr>
            </w:pPr>
            <w:r>
              <w:rPr>
                <w:rFonts w:ascii="宋体"/>
                <w:spacing w:val="-1"/>
                <w:sz w:val="18"/>
              </w:rPr>
              <w:t>42,560.00</w:t>
            </w:r>
          </w:p>
        </w:tc>
        <w:tc>
          <w:tcPr>
            <w:tcW w:w="1791" w:type="dxa"/>
            <w:tcBorders>
              <w:top w:val="single" w:sz="4" w:space="0" w:color="000000"/>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
        </w:tc>
        <w:tc>
          <w:tcPr>
            <w:tcW w:w="281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86"/>
              <w:jc w:val="right"/>
              <w:rPr>
                <w:rFonts w:ascii="宋体" w:hAnsi="宋体" w:cs="宋体" w:eastAsia="宋体" w:hint="default"/>
                <w:sz w:val="18"/>
                <w:szCs w:val="18"/>
              </w:rPr>
            </w:pPr>
            <w:r>
              <w:rPr>
                <w:rFonts w:ascii="宋体"/>
                <w:spacing w:val="-1"/>
                <w:sz w:val="18"/>
              </w:rPr>
              <w:t>42,560.00</w:t>
            </w:r>
          </w:p>
        </w:tc>
      </w:tr>
      <w:tr>
        <w:trPr>
          <w:trHeight w:val="308" w:hRule="exact"/>
        </w:trPr>
        <w:tc>
          <w:tcPr>
            <w:tcW w:w="83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87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
              <w:jc w:val="right"/>
              <w:rPr>
                <w:rFonts w:ascii="宋体" w:hAnsi="宋体" w:cs="宋体" w:eastAsia="宋体" w:hint="default"/>
                <w:sz w:val="18"/>
                <w:szCs w:val="18"/>
              </w:rPr>
            </w:pPr>
            <w:r>
              <w:rPr>
                <w:rFonts w:ascii="宋体"/>
                <w:w w:val="101"/>
                <w:sz w:val="18"/>
              </w:rPr>
            </w:r>
            <w:r>
              <w:rPr>
                <w:rFonts w:ascii="宋体"/>
                <w:spacing w:val="-1"/>
                <w:sz w:val="18"/>
                <w:u w:val="single" w:color="000000"/>
              </w:rPr>
              <w:t>42,560.00</w:t>
            </w:r>
            <w:r>
              <w:rPr>
                <w:rFonts w:ascii="宋体"/>
                <w:spacing w:val="-1"/>
                <w:sz w:val="18"/>
              </w:rPr>
            </w:r>
          </w:p>
        </w:tc>
        <w:tc>
          <w:tcPr>
            <w:tcW w:w="1791"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86"/>
              <w:jc w:val="right"/>
              <w:rPr>
                <w:rFonts w:ascii="宋体" w:hAnsi="宋体" w:cs="宋体" w:eastAsia="宋体" w:hint="default"/>
                <w:sz w:val="18"/>
                <w:szCs w:val="18"/>
              </w:rPr>
            </w:pPr>
            <w:r>
              <w:rPr>
                <w:rFonts w:ascii="宋体"/>
                <w:w w:val="101"/>
                <w:sz w:val="18"/>
              </w:rPr>
            </w:r>
            <w:r>
              <w:rPr>
                <w:rFonts w:ascii="宋体"/>
                <w:spacing w:val="-1"/>
                <w:sz w:val="18"/>
                <w:u w:val="single" w:color="000000"/>
              </w:rPr>
              <w:t>42,560.00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6"/>
        <w:ind w:left="530" w:right="1118"/>
        <w:jc w:val="left"/>
      </w:pPr>
      <w:r>
        <w:rPr/>
        <w:t>（</w:t>
      </w:r>
      <w:r>
        <w:rPr>
          <w:rFonts w:ascii="宋体" w:hAnsi="宋体" w:cs="宋体" w:eastAsia="宋体" w:hint="default"/>
        </w:rPr>
        <w:t>5</w:t>
      </w:r>
      <w:r>
        <w:rPr/>
        <w:t>）按欠款方归集的期末余额前五名的其他应收款情况</w:t>
      </w:r>
    </w:p>
    <w:p>
      <w:pPr>
        <w:spacing w:line="240" w:lineRule="auto" w:before="5"/>
        <w:rPr>
          <w:rFonts w:ascii="宋体" w:hAnsi="宋体" w:cs="宋体" w:eastAsia="宋体" w:hint="default"/>
          <w:sz w:val="25"/>
          <w:szCs w:val="25"/>
        </w:rPr>
      </w:pPr>
    </w:p>
    <w:tbl>
      <w:tblPr>
        <w:tblW w:w="0" w:type="auto"/>
        <w:jc w:val="left"/>
        <w:tblInd w:w="213" w:type="dxa"/>
        <w:tblLayout w:type="fixed"/>
        <w:tblCellMar>
          <w:top w:w="0" w:type="dxa"/>
          <w:left w:w="0" w:type="dxa"/>
          <w:bottom w:w="0" w:type="dxa"/>
          <w:right w:w="0" w:type="dxa"/>
        </w:tblCellMar>
        <w:tblLook w:val="01E0"/>
      </w:tblPr>
      <w:tblGrid>
        <w:gridCol w:w="3133"/>
        <w:gridCol w:w="1237"/>
        <w:gridCol w:w="1414"/>
        <w:gridCol w:w="761"/>
        <w:gridCol w:w="1455"/>
        <w:gridCol w:w="1643"/>
      </w:tblGrid>
      <w:tr>
        <w:trPr>
          <w:trHeight w:val="594" w:hRule="exact"/>
        </w:trPr>
        <w:tc>
          <w:tcPr>
            <w:tcW w:w="3133"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0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37"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right="9"/>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414"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61"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55" w:type="dxa"/>
            <w:tcBorders>
              <w:top w:val="nil" w:sz="6" w:space="0" w:color="auto"/>
              <w:left w:val="nil" w:sz="6" w:space="0" w:color="auto"/>
              <w:bottom w:val="single" w:sz="6" w:space="0" w:color="000000"/>
              <w:right w:val="nil" w:sz="6" w:space="0" w:color="auto"/>
            </w:tcBorders>
          </w:tcPr>
          <w:p>
            <w:pPr>
              <w:pStyle w:val="TableParagraph"/>
              <w:spacing w:line="182" w:lineRule="exact"/>
              <w:ind w:right="46"/>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24"/>
              <w:ind w:right="12"/>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43"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5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60" w:hRule="exact"/>
        </w:trPr>
        <w:tc>
          <w:tcPr>
            <w:tcW w:w="3133"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hAnsi="宋体" w:cs="宋体" w:eastAsia="宋体" w:hint="default"/>
                <w:spacing w:val="-3"/>
                <w:sz w:val="18"/>
                <w:szCs w:val="18"/>
              </w:rPr>
              <w:t>上海北岛科技发展有限公司</w:t>
            </w:r>
          </w:p>
        </w:tc>
        <w:tc>
          <w:tcPr>
            <w:tcW w:w="1237"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right="9"/>
              <w:jc w:val="center"/>
              <w:rPr>
                <w:rFonts w:ascii="宋体" w:hAnsi="宋体" w:cs="宋体" w:eastAsia="宋体" w:hint="default"/>
                <w:sz w:val="18"/>
                <w:szCs w:val="18"/>
              </w:rPr>
            </w:pPr>
            <w:r>
              <w:rPr>
                <w:rFonts w:ascii="宋体" w:hAnsi="宋体" w:cs="宋体" w:eastAsia="宋体" w:hint="default"/>
                <w:sz w:val="18"/>
                <w:szCs w:val="18"/>
              </w:rPr>
              <w:t>押金</w:t>
            </w:r>
          </w:p>
        </w:tc>
        <w:tc>
          <w:tcPr>
            <w:tcW w:w="1414"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right="38"/>
              <w:jc w:val="right"/>
              <w:rPr>
                <w:rFonts w:ascii="宋体" w:hAnsi="宋体" w:cs="宋体" w:eastAsia="宋体" w:hint="default"/>
                <w:sz w:val="18"/>
                <w:szCs w:val="18"/>
              </w:rPr>
            </w:pPr>
            <w:r>
              <w:rPr>
                <w:rFonts w:ascii="宋体"/>
                <w:spacing w:val="-1"/>
                <w:sz w:val="18"/>
              </w:rPr>
              <w:t>2,826,292.80</w:t>
            </w:r>
          </w:p>
        </w:tc>
        <w:tc>
          <w:tcPr>
            <w:tcW w:w="761"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1455"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right="79"/>
              <w:jc w:val="right"/>
              <w:rPr>
                <w:rFonts w:ascii="宋体" w:hAnsi="宋体" w:cs="宋体" w:eastAsia="宋体" w:hint="default"/>
                <w:sz w:val="18"/>
                <w:szCs w:val="18"/>
              </w:rPr>
            </w:pPr>
            <w:r>
              <w:rPr>
                <w:rFonts w:ascii="宋体"/>
                <w:sz w:val="18"/>
              </w:rPr>
              <w:t>40.67</w:t>
            </w:r>
          </w:p>
        </w:tc>
        <w:tc>
          <w:tcPr>
            <w:tcW w:w="1643" w:type="dxa"/>
            <w:tcBorders>
              <w:top w:val="single" w:sz="6" w:space="0" w:color="000000"/>
              <w:left w:val="nil" w:sz="6" w:space="0" w:color="auto"/>
              <w:bottom w:val="nil" w:sz="6" w:space="0" w:color="auto"/>
              <w:right w:val="nil" w:sz="6" w:space="0" w:color="auto"/>
            </w:tcBorders>
          </w:tcPr>
          <w:p>
            <w:pPr/>
          </w:p>
        </w:tc>
      </w:tr>
      <w:tr>
        <w:trPr>
          <w:trHeight w:val="389"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3"/>
                <w:sz w:val="18"/>
                <w:szCs w:val="18"/>
              </w:rPr>
              <w:t>北京京城电通投资管理有限责任公司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
              <w:jc w:val="center"/>
              <w:rPr>
                <w:rFonts w:ascii="宋体" w:hAnsi="宋体" w:cs="宋体" w:eastAsia="宋体" w:hint="default"/>
                <w:sz w:val="18"/>
                <w:szCs w:val="18"/>
              </w:rPr>
            </w:pPr>
            <w:r>
              <w:rPr>
                <w:rFonts w:ascii="宋体" w:hAnsi="宋体" w:cs="宋体" w:eastAsia="宋体" w:hint="default"/>
                <w:sz w:val="18"/>
                <w:szCs w:val="18"/>
              </w:rPr>
              <w:t>押金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8"/>
              <w:jc w:val="right"/>
              <w:rPr>
                <w:rFonts w:ascii="宋体" w:hAnsi="宋体" w:cs="宋体" w:eastAsia="宋体" w:hint="default"/>
                <w:sz w:val="18"/>
                <w:szCs w:val="18"/>
              </w:rPr>
            </w:pPr>
            <w:r>
              <w:rPr>
                <w:rFonts w:ascii="宋体"/>
                <w:spacing w:val="-1"/>
                <w:sz w:val="18"/>
              </w:rPr>
              <w:t>1,860,742.38</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宋体" w:hAnsi="宋体" w:cs="宋体" w:eastAsia="宋体" w:hint="default"/>
                <w:sz w:val="18"/>
                <w:szCs w:val="18"/>
              </w:rPr>
            </w:pPr>
            <w:r>
              <w:rPr>
                <w:rFonts w:ascii="宋体"/>
                <w:sz w:val="18"/>
              </w:rPr>
              <w:t>26.78</w:t>
            </w:r>
          </w:p>
        </w:tc>
        <w:tc>
          <w:tcPr>
            <w:tcW w:w="1643" w:type="dxa"/>
            <w:tcBorders>
              <w:top w:val="nil" w:sz="6" w:space="0" w:color="auto"/>
              <w:left w:val="nil" w:sz="6" w:space="0" w:color="auto"/>
              <w:bottom w:val="nil" w:sz="6" w:space="0" w:color="auto"/>
              <w:right w:val="nil" w:sz="6" w:space="0" w:color="auto"/>
            </w:tcBorders>
          </w:tcPr>
          <w:p>
            <w:pPr/>
          </w:p>
        </w:tc>
      </w:tr>
      <w:tr>
        <w:trPr>
          <w:trHeight w:val="406"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pacing w:val="-3"/>
                <w:sz w:val="18"/>
                <w:szCs w:val="18"/>
              </w:rPr>
              <w:t>上海长阳创谷企业发展有限公司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押金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8"/>
              <w:jc w:val="right"/>
              <w:rPr>
                <w:rFonts w:ascii="宋体" w:hAnsi="宋体" w:cs="宋体" w:eastAsia="宋体" w:hint="default"/>
                <w:sz w:val="18"/>
                <w:szCs w:val="18"/>
              </w:rPr>
            </w:pPr>
            <w:r>
              <w:rPr>
                <w:rFonts w:ascii="宋体"/>
                <w:spacing w:val="-1"/>
                <w:sz w:val="18"/>
              </w:rPr>
              <w:t>822,716.49</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宋体" w:hAnsi="宋体" w:cs="宋体" w:eastAsia="宋体" w:hint="default"/>
                <w:sz w:val="18"/>
                <w:szCs w:val="18"/>
              </w:rPr>
            </w:pPr>
            <w:r>
              <w:rPr>
                <w:rFonts w:ascii="宋体"/>
                <w:sz w:val="18"/>
              </w:rPr>
              <w:t>11.84</w:t>
            </w:r>
          </w:p>
        </w:tc>
        <w:tc>
          <w:tcPr>
            <w:tcW w:w="1643" w:type="dxa"/>
            <w:tcBorders>
              <w:top w:val="nil" w:sz="6" w:space="0" w:color="auto"/>
              <w:left w:val="nil" w:sz="6" w:space="0" w:color="auto"/>
              <w:bottom w:val="nil" w:sz="6" w:space="0" w:color="auto"/>
              <w:right w:val="nil" w:sz="6" w:space="0" w:color="auto"/>
            </w:tcBorders>
          </w:tcPr>
          <w:p>
            <w:pPr/>
          </w:p>
        </w:tc>
      </w:tr>
      <w:tr>
        <w:trPr>
          <w:trHeight w:val="396"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left"/>
              <w:rPr>
                <w:rFonts w:ascii="宋体" w:hAnsi="宋体" w:cs="宋体" w:eastAsia="宋体" w:hint="default"/>
                <w:sz w:val="18"/>
                <w:szCs w:val="18"/>
              </w:rPr>
            </w:pPr>
            <w:r>
              <w:rPr>
                <w:rFonts w:ascii="宋体" w:hAnsi="宋体" w:cs="宋体" w:eastAsia="宋体" w:hint="default"/>
                <w:spacing w:val="-3"/>
                <w:sz w:val="18"/>
                <w:szCs w:val="18"/>
              </w:rPr>
              <w:t>重庆星宏教育投资有限公司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
              <w:jc w:val="right"/>
              <w:rPr>
                <w:rFonts w:ascii="宋体" w:hAnsi="宋体" w:cs="宋体" w:eastAsia="宋体" w:hint="default"/>
                <w:sz w:val="18"/>
                <w:szCs w:val="18"/>
              </w:rPr>
            </w:pPr>
            <w:r>
              <w:rPr>
                <w:rFonts w:ascii="宋体"/>
                <w:spacing w:val="-1"/>
                <w:sz w:val="18"/>
              </w:rPr>
              <w:t>215,468.20</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9"/>
              <w:jc w:val="right"/>
              <w:rPr>
                <w:rFonts w:ascii="宋体" w:hAnsi="宋体" w:cs="宋体" w:eastAsia="宋体" w:hint="default"/>
                <w:sz w:val="18"/>
                <w:szCs w:val="18"/>
              </w:rPr>
            </w:pPr>
            <w:r>
              <w:rPr>
                <w:rFonts w:ascii="宋体"/>
                <w:sz w:val="18"/>
              </w:rPr>
              <w:t>3.10</w:t>
            </w:r>
          </w:p>
        </w:tc>
        <w:tc>
          <w:tcPr>
            <w:tcW w:w="1643" w:type="dxa"/>
            <w:tcBorders>
              <w:top w:val="nil" w:sz="6" w:space="0" w:color="auto"/>
              <w:left w:val="nil" w:sz="6" w:space="0" w:color="auto"/>
              <w:bottom w:val="nil" w:sz="6" w:space="0" w:color="auto"/>
              <w:right w:val="nil" w:sz="6" w:space="0" w:color="auto"/>
            </w:tcBorders>
          </w:tcPr>
          <w:p>
            <w:pPr/>
          </w:p>
        </w:tc>
      </w:tr>
      <w:tr>
        <w:trPr>
          <w:trHeight w:val="300" w:hRule="exact"/>
        </w:trPr>
        <w:tc>
          <w:tcPr>
            <w:tcW w:w="31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3"/>
                <w:sz w:val="18"/>
                <w:szCs w:val="18"/>
              </w:rPr>
              <w:t>广州市华南版权贸易股份有限公司</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8"/>
              <w:jc w:val="right"/>
              <w:rPr>
                <w:rFonts w:ascii="宋体" w:hAnsi="宋体" w:cs="宋体" w:eastAsia="宋体" w:hint="default"/>
                <w:sz w:val="18"/>
                <w:szCs w:val="18"/>
              </w:rPr>
            </w:pPr>
            <w:r>
              <w:rPr>
                <w:rFonts w:ascii="宋体"/>
                <w:spacing w:val="-1"/>
                <w:sz w:val="18"/>
              </w:rPr>
              <w:t>171,000.00</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9"/>
              <w:jc w:val="right"/>
              <w:rPr>
                <w:rFonts w:ascii="宋体" w:hAnsi="宋体" w:cs="宋体" w:eastAsia="宋体" w:hint="default"/>
                <w:sz w:val="18"/>
                <w:szCs w:val="18"/>
              </w:rPr>
            </w:pPr>
            <w:r>
              <w:rPr>
                <w:rFonts w:ascii="宋体"/>
                <w:sz w:val="18"/>
              </w:rPr>
              <w:t>2.46</w:t>
            </w:r>
          </w:p>
        </w:tc>
        <w:tc>
          <w:tcPr>
            <w:tcW w:w="164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53" w:type="dxa"/>
        <w:tblLayout w:type="fixed"/>
        <w:tblCellMar>
          <w:top w:w="0" w:type="dxa"/>
          <w:left w:w="0" w:type="dxa"/>
          <w:bottom w:w="0" w:type="dxa"/>
          <w:right w:w="0" w:type="dxa"/>
        </w:tblCellMar>
        <w:tblLook w:val="01E0"/>
      </w:tblPr>
      <w:tblGrid>
        <w:gridCol w:w="2682"/>
        <w:gridCol w:w="1688"/>
        <w:gridCol w:w="1493"/>
        <w:gridCol w:w="603"/>
        <w:gridCol w:w="1534"/>
        <w:gridCol w:w="1643"/>
      </w:tblGrid>
      <w:tr>
        <w:trPr>
          <w:trHeight w:val="594" w:hRule="exact"/>
        </w:trPr>
        <w:tc>
          <w:tcPr>
            <w:tcW w:w="2682"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55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88"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69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493"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25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603"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120"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34" w:type="dxa"/>
            <w:tcBorders>
              <w:top w:val="nil" w:sz="6" w:space="0" w:color="auto"/>
              <w:left w:val="nil" w:sz="6" w:space="0" w:color="auto"/>
              <w:bottom w:val="single" w:sz="6" w:space="0" w:color="000000"/>
              <w:right w:val="nil" w:sz="6" w:space="0" w:color="auto"/>
            </w:tcBorders>
          </w:tcPr>
          <w:p>
            <w:pPr>
              <w:pStyle w:val="TableParagraph"/>
              <w:spacing w:line="182" w:lineRule="exact"/>
              <w:ind w:left="30" w:right="0"/>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24"/>
              <w:ind w:left="64" w:right="0"/>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43" w:type="dxa"/>
            <w:tcBorders>
              <w:top w:val="nil" w:sz="6" w:space="0" w:color="auto"/>
              <w:left w:val="nil" w:sz="6" w:space="0" w:color="auto"/>
              <w:bottom w:val="single" w:sz="6" w:space="0" w:color="000000"/>
              <w:right w:val="nil" w:sz="6" w:space="0" w:color="auto"/>
            </w:tcBorders>
          </w:tcPr>
          <w:p>
            <w:pPr>
              <w:pStyle w:val="TableParagraph"/>
              <w:spacing w:line="240" w:lineRule="auto" w:before="129"/>
              <w:ind w:left="5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362" w:hRule="exact"/>
        </w:trPr>
        <w:tc>
          <w:tcPr>
            <w:tcW w:w="2682"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554"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88" w:type="dxa"/>
            <w:tcBorders>
              <w:top w:val="single" w:sz="6" w:space="0" w:color="000000"/>
              <w:left w:val="nil" w:sz="6" w:space="0" w:color="auto"/>
              <w:bottom w:val="nil" w:sz="6" w:space="0" w:color="auto"/>
              <w:right w:val="nil" w:sz="6" w:space="0" w:color="auto"/>
            </w:tcBorders>
          </w:tcPr>
          <w:p>
            <w:pPr/>
          </w:p>
        </w:tc>
        <w:tc>
          <w:tcPr>
            <w:tcW w:w="1493"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left="288" w:right="0"/>
              <w:jc w:val="left"/>
              <w:rPr>
                <w:rFonts w:ascii="宋体" w:hAnsi="宋体" w:cs="宋体" w:eastAsia="宋体" w:hint="default"/>
                <w:sz w:val="18"/>
                <w:szCs w:val="18"/>
              </w:rPr>
            </w:pPr>
            <w:r>
              <w:rPr>
                <w:rFonts w:ascii="宋体"/>
                <w:w w:val="101"/>
                <w:sz w:val="18"/>
              </w:rPr>
            </w:r>
            <w:r>
              <w:rPr>
                <w:rFonts w:ascii="宋体"/>
                <w:sz w:val="18"/>
                <w:u w:val="thick" w:color="000000"/>
              </w:rPr>
              <w:t>5,896,219.87</w:t>
            </w:r>
            <w:r>
              <w:rPr>
                <w:rFonts w:ascii="宋体"/>
                <w:sz w:val="18"/>
              </w:rPr>
            </w:r>
          </w:p>
        </w:tc>
        <w:tc>
          <w:tcPr>
            <w:tcW w:w="603" w:type="dxa"/>
            <w:tcBorders>
              <w:top w:val="single" w:sz="6" w:space="0" w:color="000000"/>
              <w:left w:val="nil" w:sz="6" w:space="0" w:color="auto"/>
              <w:bottom w:val="nil" w:sz="6" w:space="0" w:color="auto"/>
              <w:right w:val="nil" w:sz="6" w:space="0" w:color="auto"/>
            </w:tcBorders>
          </w:tcPr>
          <w:p>
            <w:pPr/>
          </w:p>
        </w:tc>
        <w:tc>
          <w:tcPr>
            <w:tcW w:w="1534" w:type="dxa"/>
            <w:tcBorders>
              <w:top w:val="single" w:sz="6" w:space="0" w:color="000000"/>
              <w:left w:val="nil" w:sz="6" w:space="0" w:color="auto"/>
              <w:bottom w:val="nil" w:sz="6" w:space="0" w:color="auto"/>
              <w:right w:val="nil" w:sz="6" w:space="0" w:color="auto"/>
            </w:tcBorders>
          </w:tcPr>
          <w:p>
            <w:pPr>
              <w:pStyle w:val="TableParagraph"/>
              <w:spacing w:line="240" w:lineRule="auto" w:before="118"/>
              <w:ind w:left="996" w:right="0"/>
              <w:jc w:val="left"/>
              <w:rPr>
                <w:rFonts w:ascii="宋体" w:hAnsi="宋体" w:cs="宋体" w:eastAsia="宋体" w:hint="default"/>
                <w:sz w:val="18"/>
                <w:szCs w:val="18"/>
              </w:rPr>
            </w:pPr>
            <w:r>
              <w:rPr>
                <w:rFonts w:ascii="宋体"/>
                <w:w w:val="101"/>
                <w:sz w:val="18"/>
              </w:rPr>
            </w:r>
            <w:r>
              <w:rPr>
                <w:rFonts w:ascii="宋体"/>
                <w:sz w:val="18"/>
                <w:u w:val="thick" w:color="000000"/>
              </w:rPr>
              <w:t>84.85</w:t>
            </w:r>
            <w:r>
              <w:rPr>
                <w:rFonts w:ascii="宋体"/>
                <w:sz w:val="18"/>
              </w:rPr>
            </w:r>
          </w:p>
        </w:tc>
        <w:tc>
          <w:tcPr>
            <w:tcW w:w="1643" w:type="dxa"/>
            <w:tcBorders>
              <w:top w:val="single" w:sz="6"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309" w:lineRule="auto" w:before="36"/>
        <w:ind w:right="1021" w:firstLine="422"/>
        <w:jc w:val="left"/>
      </w:pPr>
      <w:r>
        <w:rPr>
          <w:spacing w:val="-4"/>
        </w:rPr>
        <w:t>注</w:t>
      </w:r>
      <w:r>
        <w:rPr>
          <w:rFonts w:ascii="宋体" w:hAnsi="宋体" w:cs="宋体" w:eastAsia="宋体" w:hint="default"/>
          <w:spacing w:val="-4"/>
        </w:rPr>
        <w:t>1</w:t>
      </w:r>
      <w:r>
        <w:rPr>
          <w:spacing w:val="-4"/>
        </w:rPr>
        <w:t>：北京京城电通投资管理有限责任公司期末余额</w:t>
      </w:r>
      <w:r>
        <w:rPr>
          <w:rFonts w:ascii="宋体" w:hAnsi="宋体" w:cs="宋体" w:eastAsia="宋体" w:hint="default"/>
          <w:spacing w:val="-4"/>
        </w:rPr>
        <w:t>1,860,742.38</w:t>
      </w:r>
      <w:r>
        <w:rPr>
          <w:spacing w:val="-4"/>
        </w:rPr>
        <w:t>元，其中账龄</w:t>
      </w:r>
      <w:r>
        <w:rPr>
          <w:rFonts w:ascii="宋体" w:hAnsi="宋体" w:cs="宋体" w:eastAsia="宋体" w:hint="default"/>
          <w:spacing w:val="-4"/>
        </w:rPr>
        <w:t>1</w:t>
      </w:r>
      <w:r>
        <w:rPr>
          <w:spacing w:val="-4"/>
        </w:rPr>
        <w:t>年以内</w:t>
      </w:r>
      <w:r>
        <w:rPr>
          <w:rFonts w:ascii="宋体" w:hAnsi="宋体" w:cs="宋体" w:eastAsia="宋体" w:hint="default"/>
          <w:spacing w:val="-4"/>
        </w:rPr>
        <w:t>171,431.13</w:t>
      </w:r>
      <w:r>
        <w:rPr>
          <w:spacing w:val="-4"/>
        </w:rPr>
        <w:t>元，</w:t>
      </w:r>
      <w:r>
        <w:rPr>
          <w:spacing w:val="-5"/>
          <w:w w:val="100"/>
        </w:rPr>
        <w:t> </w:t>
      </w:r>
      <w:r>
        <w:rPr>
          <w:rFonts w:ascii="宋体" w:hAnsi="宋体" w:cs="宋体" w:eastAsia="宋体" w:hint="default"/>
        </w:rPr>
        <w:t>1-2</w:t>
      </w:r>
      <w:r>
        <w:rPr/>
        <w:t>年</w:t>
      </w:r>
      <w:r>
        <w:rPr>
          <w:rFonts w:ascii="宋体" w:hAnsi="宋体" w:cs="宋体" w:eastAsia="宋体" w:hint="default"/>
        </w:rPr>
        <w:t>1,689,311.25</w:t>
      </w:r>
      <w:r>
        <w:rPr/>
        <w:t>元。</w:t>
      </w:r>
    </w:p>
    <w:p>
      <w:pPr>
        <w:spacing w:line="240" w:lineRule="auto" w:before="13"/>
        <w:rPr>
          <w:rFonts w:ascii="宋体" w:hAnsi="宋体" w:cs="宋体" w:eastAsia="宋体" w:hint="default"/>
          <w:sz w:val="13"/>
          <w:szCs w:val="13"/>
        </w:rPr>
      </w:pPr>
    </w:p>
    <w:p>
      <w:pPr>
        <w:pStyle w:val="BodyText"/>
        <w:spacing w:line="240" w:lineRule="auto"/>
        <w:ind w:left="575" w:right="0"/>
        <w:jc w:val="left"/>
      </w:pPr>
      <w:bookmarkStart w:name="（五）其他流动资产" w:id="203"/>
      <w:bookmarkEnd w:id="203"/>
      <w:r>
        <w:rPr/>
      </w:r>
      <w:r>
        <w:rPr/>
        <w:t>（五）其他流动资产</w:t>
      </w:r>
    </w:p>
    <w:p>
      <w:pPr>
        <w:spacing w:line="240" w:lineRule="auto" w:before="5"/>
        <w:rPr>
          <w:rFonts w:ascii="宋体" w:hAnsi="宋体" w:cs="宋体" w:eastAsia="宋体" w:hint="default"/>
          <w:sz w:val="25"/>
          <w:szCs w:val="25"/>
        </w:rPr>
      </w:pPr>
    </w:p>
    <w:tbl>
      <w:tblPr>
        <w:tblW w:w="0" w:type="auto"/>
        <w:jc w:val="left"/>
        <w:tblInd w:w="719" w:type="dxa"/>
        <w:tblLayout w:type="fixed"/>
        <w:tblCellMar>
          <w:top w:w="0" w:type="dxa"/>
          <w:left w:w="0" w:type="dxa"/>
          <w:bottom w:w="0" w:type="dxa"/>
          <w:right w:w="0" w:type="dxa"/>
        </w:tblCellMar>
        <w:tblLook w:val="01E0"/>
      </w:tblPr>
      <w:tblGrid>
        <w:gridCol w:w="2747"/>
        <w:gridCol w:w="3402"/>
        <w:gridCol w:w="2360"/>
      </w:tblGrid>
      <w:tr>
        <w:trPr>
          <w:trHeight w:val="272" w:hRule="exact"/>
        </w:trPr>
        <w:tc>
          <w:tcPr>
            <w:tcW w:w="2747" w:type="dxa"/>
            <w:tcBorders>
              <w:top w:val="nil" w:sz="6" w:space="0" w:color="auto"/>
              <w:left w:val="nil" w:sz="6" w:space="0" w:color="auto"/>
              <w:bottom w:val="single" w:sz="4" w:space="0" w:color="000000"/>
              <w:right w:val="nil" w:sz="6" w:space="0" w:color="auto"/>
            </w:tcBorders>
          </w:tcPr>
          <w:p>
            <w:pPr>
              <w:pStyle w:val="TableParagraph"/>
              <w:spacing w:line="182" w:lineRule="exact"/>
              <w:ind w:right="114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tcBorders>
              <w:top w:val="nil" w:sz="6" w:space="0" w:color="auto"/>
              <w:left w:val="nil" w:sz="6" w:space="0" w:color="auto"/>
              <w:bottom w:val="single" w:sz="4" w:space="0" w:color="000000"/>
              <w:right w:val="nil" w:sz="6" w:space="0" w:color="auto"/>
            </w:tcBorders>
          </w:tcPr>
          <w:p>
            <w:pPr>
              <w:pStyle w:val="TableParagraph"/>
              <w:spacing w:line="182" w:lineRule="exact"/>
              <w:ind w:right="38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0" w:type="dxa"/>
            <w:tcBorders>
              <w:top w:val="nil" w:sz="6" w:space="0" w:color="auto"/>
              <w:left w:val="nil" w:sz="6" w:space="0" w:color="auto"/>
              <w:bottom w:val="single" w:sz="4" w:space="0" w:color="000000"/>
              <w:right w:val="nil" w:sz="6" w:space="0" w:color="auto"/>
            </w:tcBorders>
          </w:tcPr>
          <w:p>
            <w:pPr>
              <w:pStyle w:val="TableParagraph"/>
              <w:spacing w:line="182" w:lineRule="exact"/>
              <w:ind w:left="57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6" w:hRule="exact"/>
        </w:trPr>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40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76"/>
              <w:jc w:val="right"/>
              <w:rPr>
                <w:rFonts w:ascii="宋体" w:hAnsi="宋体" w:cs="宋体" w:eastAsia="宋体" w:hint="default"/>
                <w:sz w:val="18"/>
                <w:szCs w:val="18"/>
              </w:rPr>
            </w:pPr>
            <w:r>
              <w:rPr>
                <w:rFonts w:ascii="宋体"/>
                <w:spacing w:val="-1"/>
                <w:sz w:val="18"/>
              </w:rPr>
              <w:t>73,274,800.00</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9"/>
              <w:jc w:val="right"/>
              <w:rPr>
                <w:rFonts w:ascii="宋体" w:hAnsi="宋体" w:cs="宋体" w:eastAsia="宋体" w:hint="default"/>
                <w:sz w:val="18"/>
                <w:szCs w:val="18"/>
              </w:rPr>
            </w:pPr>
            <w:r>
              <w:rPr>
                <w:rFonts w:ascii="宋体"/>
                <w:spacing w:val="-2"/>
                <w:sz w:val="18"/>
              </w:rPr>
              <w:t>191,532,904.11</w:t>
            </w:r>
          </w:p>
        </w:tc>
      </w:tr>
      <w:tr>
        <w:trPr>
          <w:trHeight w:val="399"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6"/>
              <w:jc w:val="right"/>
              <w:rPr>
                <w:rFonts w:ascii="宋体" w:hAnsi="宋体" w:cs="宋体" w:eastAsia="宋体" w:hint="default"/>
                <w:sz w:val="18"/>
                <w:szCs w:val="18"/>
              </w:rPr>
            </w:pPr>
            <w:r>
              <w:rPr>
                <w:rFonts w:ascii="宋体"/>
                <w:spacing w:val="-1"/>
                <w:sz w:val="18"/>
              </w:rPr>
              <w:t>2,414,170.41</w:t>
            </w:r>
          </w:p>
        </w:tc>
        <w:tc>
          <w:tcPr>
            <w:tcW w:w="2360" w:type="dxa"/>
            <w:tcBorders>
              <w:top w:val="nil" w:sz="6" w:space="0" w:color="auto"/>
              <w:left w:val="nil" w:sz="6" w:space="0" w:color="auto"/>
              <w:bottom w:val="nil" w:sz="6" w:space="0" w:color="auto"/>
              <w:right w:val="nil" w:sz="6" w:space="0" w:color="auto"/>
            </w:tcBorders>
          </w:tcPr>
          <w:p>
            <w:pPr/>
          </w:p>
        </w:tc>
      </w:tr>
      <w:tr>
        <w:trPr>
          <w:trHeight w:val="396"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6"/>
              <w:jc w:val="right"/>
              <w:rPr>
                <w:rFonts w:ascii="宋体" w:hAnsi="宋体" w:cs="宋体" w:eastAsia="宋体" w:hint="default"/>
                <w:sz w:val="18"/>
                <w:szCs w:val="18"/>
              </w:rPr>
            </w:pPr>
            <w:r>
              <w:rPr>
                <w:rFonts w:ascii="宋体"/>
                <w:spacing w:val="-1"/>
                <w:sz w:val="18"/>
              </w:rPr>
              <w:t>2,353,394.08</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2,597,587.16</w:t>
            </w:r>
          </w:p>
        </w:tc>
      </w:tr>
      <w:tr>
        <w:trPr>
          <w:trHeight w:val="396"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6"/>
              <w:jc w:val="right"/>
              <w:rPr>
                <w:rFonts w:ascii="宋体" w:hAnsi="宋体" w:cs="宋体" w:eastAsia="宋体" w:hint="default"/>
                <w:sz w:val="18"/>
                <w:szCs w:val="18"/>
              </w:rPr>
            </w:pPr>
            <w:r>
              <w:rPr>
                <w:rFonts w:ascii="宋体"/>
                <w:spacing w:val="-1"/>
                <w:sz w:val="18"/>
              </w:rPr>
              <w:t>283,022.68</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3,235,941.81</w:t>
            </w:r>
          </w:p>
        </w:tc>
      </w:tr>
      <w:tr>
        <w:trPr>
          <w:trHeight w:val="398"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402"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3,000,000.00</w:t>
            </w:r>
          </w:p>
        </w:tc>
      </w:tr>
      <w:tr>
        <w:trPr>
          <w:trHeight w:val="396"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402" w:type="dxa"/>
            <w:tcBorders>
              <w:top w:val="nil" w:sz="6" w:space="0" w:color="auto"/>
              <w:left w:val="nil" w:sz="6" w:space="0" w:color="auto"/>
              <w:bottom w:val="nil" w:sz="6" w:space="0" w:color="auto"/>
              <w:right w:val="nil" w:sz="6" w:space="0" w:color="auto"/>
            </w:tcBorders>
          </w:tcPr>
          <w:p>
            <w:pP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644,815.81</w:t>
            </w:r>
          </w:p>
        </w:tc>
      </w:tr>
      <w:tr>
        <w:trPr>
          <w:trHeight w:val="288"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4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6"/>
              <w:jc w:val="right"/>
              <w:rPr>
                <w:rFonts w:ascii="宋体" w:hAnsi="宋体" w:cs="宋体" w:eastAsia="宋体" w:hint="default"/>
                <w:sz w:val="18"/>
                <w:szCs w:val="18"/>
              </w:rPr>
            </w:pPr>
            <w:r>
              <w:rPr>
                <w:rFonts w:ascii="宋体"/>
                <w:w w:val="101"/>
                <w:sz w:val="18"/>
              </w:rPr>
            </w:r>
            <w:r>
              <w:rPr>
                <w:rFonts w:ascii="宋体"/>
                <w:spacing w:val="-1"/>
                <w:sz w:val="18"/>
                <w:u w:val="thick" w:color="000000"/>
              </w:rPr>
              <w:t>78,325,387.17</w:t>
            </w:r>
            <w:r>
              <w:rPr>
                <w:rFonts w:ascii="宋体"/>
                <w:spacing w:val="-1"/>
                <w:sz w:val="18"/>
              </w:rPr>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w w:val="101"/>
                <w:sz w:val="18"/>
              </w:rPr>
            </w:r>
            <w:r>
              <w:rPr>
                <w:rFonts w:ascii="宋体"/>
                <w:spacing w:val="-2"/>
                <w:sz w:val="18"/>
                <w:u w:val="thick" w:color="000000"/>
              </w:rPr>
              <w:t>201,011,248.89</w:t>
            </w:r>
            <w:r>
              <w:rPr>
                <w:rFonts w:ascii="宋体"/>
                <w:spacing w:val="-2"/>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6"/>
        <w:ind w:left="575" w:right="0"/>
        <w:jc w:val="left"/>
      </w:pPr>
      <w:bookmarkStart w:name="（六）长期股权投资" w:id="204"/>
      <w:bookmarkEnd w:id="204"/>
      <w:r>
        <w:rPr/>
      </w:r>
      <w:r>
        <w:rPr/>
        <w:t>（六）长期股权投资</w:t>
      </w: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1" w:footer="979" w:top="1060" w:bottom="1160" w:left="980" w:right="0"/>
        </w:sectPr>
      </w:pPr>
    </w:p>
    <w:p>
      <w:pPr>
        <w:spacing w:line="240" w:lineRule="auto" w:before="8"/>
        <w:rPr>
          <w:rFonts w:ascii="宋体" w:hAnsi="宋体" w:cs="宋体" w:eastAsia="宋体" w:hint="default"/>
          <w:sz w:val="18"/>
          <w:szCs w:val="18"/>
        </w:rPr>
      </w:pPr>
    </w:p>
    <w:p>
      <w:pPr>
        <w:tabs>
          <w:tab w:pos="5075" w:val="left" w:leader="none"/>
        </w:tabs>
        <w:spacing w:before="0"/>
        <w:ind w:left="2001" w:right="-13" w:firstLine="0"/>
        <w:jc w:val="left"/>
        <w:rPr>
          <w:rFonts w:ascii="宋体" w:hAnsi="宋体" w:cs="宋体" w:eastAsia="宋体" w:hint="default"/>
          <w:sz w:val="18"/>
          <w:szCs w:val="18"/>
        </w:rPr>
      </w:pPr>
      <w:r>
        <w:rPr>
          <w:rFonts w:ascii="宋体" w:hAnsi="宋体" w:cs="宋体" w:eastAsia="宋体" w:hint="default"/>
          <w:b/>
          <w:bCs/>
          <w:spacing w:val="-2"/>
          <w:sz w:val="18"/>
          <w:szCs w:val="18"/>
        </w:rPr>
        <w:t>被投资单位名称</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before="46"/>
        <w:ind w:left="1386"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tabs>
          <w:tab w:pos="2495" w:val="left" w:leader="none"/>
        </w:tabs>
        <w:spacing w:before="0"/>
        <w:ind w:left="1069" w:right="0" w:firstLine="0"/>
        <w:jc w:val="left"/>
        <w:rPr>
          <w:rFonts w:ascii="宋体" w:hAnsi="宋体" w:cs="宋体" w:eastAsia="宋体" w:hint="default"/>
          <w:sz w:val="18"/>
          <w:szCs w:val="18"/>
        </w:rPr>
      </w:pPr>
      <w:r>
        <w:rPr>
          <w:rFonts w:ascii="宋体" w:hAnsi="宋体" w:cs="宋体" w:eastAsia="宋体" w:hint="default"/>
          <w:b/>
          <w:bCs/>
          <w:sz w:val="18"/>
          <w:szCs w:val="18"/>
        </w:rPr>
        <w:t>追加投资</w:t>
        <w:tab/>
        <w:t>减少投资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805" w:space="40"/>
            <w:col w:w="5085"/>
          </w:cols>
        </w:sectPr>
      </w:pPr>
    </w:p>
    <w:p>
      <w:pPr>
        <w:spacing w:line="240" w:lineRule="auto" w:before="0"/>
        <w:rPr>
          <w:rFonts w:ascii="宋体" w:hAnsi="宋体" w:cs="宋体" w:eastAsia="宋体" w:hint="default"/>
          <w:b/>
          <w:bCs/>
          <w:sz w:val="5"/>
          <w:szCs w:val="5"/>
        </w:rPr>
      </w:pPr>
    </w:p>
    <w:p>
      <w:pPr>
        <w:spacing w:line="20" w:lineRule="exact"/>
        <w:ind w:left="743" w:right="0" w:firstLine="0"/>
        <w:rPr>
          <w:rFonts w:ascii="宋体" w:hAnsi="宋体" w:cs="宋体" w:eastAsia="宋体" w:hint="default"/>
          <w:sz w:val="2"/>
          <w:szCs w:val="2"/>
        </w:rPr>
      </w:pPr>
      <w:r>
        <w:rPr>
          <w:rFonts w:ascii="宋体" w:hAnsi="宋体" w:cs="宋体" w:eastAsia="宋体" w:hint="default"/>
          <w:sz w:val="2"/>
          <w:szCs w:val="2"/>
        </w:rPr>
        <w:pict>
          <v:group style="width:423.05pt;height:.5pt;mso-position-horizontal-relative:char;mso-position-vertical-relative:line" coordorigin="0,0" coordsize="8461,10">
            <v:group style="position:absolute;left:5;top:5;width:3765;height:2" coordorigin="5,5" coordsize="3765,2">
              <v:shape style="position:absolute;left:5;top:5;width:3765;height:2" coordorigin="5,5" coordsize="3765,0" path="m5,5l3769,5e" filled="false" stroked="true" strokeweight=".47998pt" strokecolor="#000000">
                <v:path arrowok="t"/>
              </v:shape>
            </v:group>
            <v:group style="position:absolute;left:3770;top:5;width:10;height:2" coordorigin="3770,5" coordsize="10,2">
              <v:shape style="position:absolute;left:3770;top:5;width:10;height:2" coordorigin="3770,5" coordsize="10,0" path="m3770,5l3779,5e" filled="false" stroked="true" strokeweight=".47998pt" strokecolor="#000000">
                <v:path arrowok="t"/>
              </v:shape>
            </v:group>
            <v:group style="position:absolute;left:3779;top:5;width:1830;height:2" coordorigin="3779,5" coordsize="1830,2">
              <v:shape style="position:absolute;left:3779;top:5;width:1830;height:2" coordorigin="3779,5" coordsize="1830,0" path="m3779,5l5609,5e" filled="false" stroked="true" strokeweight=".47998pt" strokecolor="#000000">
                <v:path arrowok="t"/>
              </v:shape>
            </v:group>
            <v:group style="position:absolute;left:5609;top:5;width:10;height:2" coordorigin="5609,5" coordsize="10,2">
              <v:shape style="position:absolute;left:5609;top:5;width:10;height:2" coordorigin="5609,5" coordsize="10,0" path="m5609,5l5618,5e" filled="false" stroked="true" strokeweight=".47998pt" strokecolor="#000000">
                <v:path arrowok="t"/>
              </v:shape>
            </v:group>
            <v:group style="position:absolute;left:5618;top:5;width:1839;height:2" coordorigin="5618,5" coordsize="1839,2">
              <v:shape style="position:absolute;left:5618;top:5;width:1839;height:2" coordorigin="5618,5" coordsize="1839,0" path="m5618,5l7457,5e" filled="false" stroked="true" strokeweight=".47998pt" strokecolor="#000000">
                <v:path arrowok="t"/>
              </v:shape>
            </v:group>
            <v:group style="position:absolute;left:7457;top:5;width:10;height:2" coordorigin="7457,5" coordsize="10,2">
              <v:shape style="position:absolute;left:7457;top:5;width:10;height:2" coordorigin="7457,5" coordsize="10,0" path="m7457,5l7467,5e" filled="false" stroked="true" strokeweight=".47998pt" strokecolor="#000000">
                <v:path arrowok="t"/>
              </v:shape>
            </v:group>
            <v:group style="position:absolute;left:7467;top:5;width:990;height:2" coordorigin="7467,5" coordsize="990,2">
              <v:shape style="position:absolute;left:7467;top:5;width:990;height:2" coordorigin="7467,5" coordsize="990,0" path="m7467,5l8456,5e" filled="false" stroked="true" strokeweight=".47998pt" strokecolor="#000000">
                <v:path arrowok="t"/>
              </v:shape>
            </v:group>
          </v:group>
        </w:pict>
      </w:r>
      <w:r>
        <w:rPr>
          <w:rFonts w:ascii="宋体" w:hAnsi="宋体" w:cs="宋体" w:eastAsia="宋体" w:hint="default"/>
          <w:sz w:val="2"/>
          <w:szCs w:val="2"/>
        </w:rPr>
      </w:r>
    </w:p>
    <w:p>
      <w:pPr>
        <w:spacing w:before="67"/>
        <w:ind w:left="858" w:right="0"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40" w:lineRule="auto" w:before="7"/>
        <w:rPr>
          <w:rFonts w:ascii="宋体" w:hAnsi="宋体" w:cs="宋体" w:eastAsia="宋体" w:hint="default"/>
          <w:sz w:val="8"/>
          <w:szCs w:val="8"/>
        </w:rPr>
      </w:pPr>
    </w:p>
    <w:p>
      <w:pPr>
        <w:spacing w:before="46"/>
        <w:ind w:left="858" w:right="0" w:firstLine="0"/>
        <w:jc w:val="left"/>
        <w:rPr>
          <w:rFonts w:ascii="宋体" w:hAnsi="宋体" w:cs="宋体" w:eastAsia="宋体" w:hint="default"/>
          <w:sz w:val="18"/>
          <w:szCs w:val="18"/>
        </w:rPr>
      </w:pPr>
      <w:r>
        <w:rPr>
          <w:rFonts w:ascii="宋体" w:hAnsi="宋体" w:cs="宋体" w:eastAsia="宋体" w:hint="default"/>
          <w:sz w:val="18"/>
          <w:szCs w:val="18"/>
        </w:rPr>
        <w:t>二、联营企业</w:t>
      </w:r>
    </w:p>
    <w:p>
      <w:pPr>
        <w:spacing w:line="240" w:lineRule="auto" w:before="5"/>
        <w:rPr>
          <w:rFonts w:ascii="宋体" w:hAnsi="宋体" w:cs="宋体" w:eastAsia="宋体" w:hint="default"/>
          <w:sz w:val="12"/>
          <w:szCs w:val="12"/>
        </w:rPr>
      </w:pPr>
    </w:p>
    <w:p>
      <w:pPr>
        <w:tabs>
          <w:tab w:pos="4897" w:val="left" w:leader="none"/>
        </w:tabs>
        <w:spacing w:before="0"/>
        <w:ind w:left="858" w:right="0" w:firstLine="0"/>
        <w:jc w:val="left"/>
        <w:rPr>
          <w:rFonts w:ascii="宋体" w:hAnsi="宋体" w:cs="宋体" w:eastAsia="宋体" w:hint="default"/>
          <w:sz w:val="18"/>
          <w:szCs w:val="18"/>
        </w:rPr>
      </w:pPr>
      <w:r>
        <w:rPr>
          <w:rFonts w:ascii="宋体" w:hAnsi="宋体" w:cs="宋体" w:eastAsia="宋体" w:hint="default"/>
          <w:spacing w:val="-3"/>
          <w:position w:val="2"/>
          <w:sz w:val="18"/>
          <w:szCs w:val="18"/>
        </w:rPr>
        <w:t>北京天天不上班信息技术有限责任公司</w:t>
        <w:tab/>
      </w:r>
      <w:r>
        <w:rPr>
          <w:rFonts w:ascii="宋体" w:hAnsi="宋体" w:cs="宋体" w:eastAsia="宋体" w:hint="default"/>
          <w:sz w:val="18"/>
          <w:szCs w:val="18"/>
        </w:rPr>
        <w:t>3,103,361.45</w:t>
      </w:r>
    </w:p>
    <w:p>
      <w:pPr>
        <w:tabs>
          <w:tab w:pos="4897" w:val="left" w:leader="none"/>
        </w:tabs>
        <w:spacing w:before="143"/>
        <w:ind w:left="858" w:right="0" w:firstLine="0"/>
        <w:jc w:val="left"/>
        <w:rPr>
          <w:rFonts w:ascii="宋体" w:hAnsi="宋体" w:cs="宋体" w:eastAsia="宋体" w:hint="default"/>
          <w:sz w:val="18"/>
          <w:szCs w:val="18"/>
        </w:rPr>
      </w:pPr>
      <w:r>
        <w:rPr>
          <w:rFonts w:ascii="宋体" w:hAnsi="宋体" w:cs="宋体" w:eastAsia="宋体" w:hint="default"/>
          <w:spacing w:val="-3"/>
          <w:position w:val="2"/>
          <w:sz w:val="18"/>
          <w:szCs w:val="18"/>
        </w:rPr>
        <w:t>上海乂渠品牌管理有限公司</w:t>
        <w:tab/>
      </w:r>
      <w:r>
        <w:rPr>
          <w:rFonts w:ascii="宋体" w:hAnsi="宋体" w:cs="宋体" w:eastAsia="宋体" w:hint="default"/>
          <w:sz w:val="18"/>
          <w:szCs w:val="18"/>
        </w:rPr>
        <w:t>6,862,782.47</w:t>
      </w:r>
    </w:p>
    <w:p>
      <w:pPr>
        <w:tabs>
          <w:tab w:pos="6688" w:val="left" w:leader="none"/>
        </w:tabs>
        <w:spacing w:before="138"/>
        <w:ind w:left="858" w:right="0" w:firstLine="0"/>
        <w:jc w:val="left"/>
        <w:rPr>
          <w:rFonts w:ascii="宋体" w:hAnsi="宋体" w:cs="宋体" w:eastAsia="宋体" w:hint="default"/>
          <w:sz w:val="18"/>
          <w:szCs w:val="18"/>
        </w:rPr>
      </w:pPr>
      <w:r>
        <w:rPr>
          <w:rFonts w:ascii="宋体" w:hAnsi="宋体" w:cs="宋体" w:eastAsia="宋体" w:hint="default"/>
          <w:spacing w:val="-3"/>
          <w:position w:val="2"/>
          <w:sz w:val="18"/>
          <w:szCs w:val="18"/>
        </w:rPr>
        <w:t>北京创新黑马投资管理合伙企业（有限合伙）</w:t>
        <w:tab/>
      </w:r>
      <w:r>
        <w:rPr>
          <w:rFonts w:ascii="宋体" w:hAnsi="宋体" w:cs="宋体" w:eastAsia="宋体" w:hint="default"/>
          <w:sz w:val="18"/>
          <w:szCs w:val="18"/>
        </w:rPr>
        <w:t>30,000,000.00</w:t>
      </w:r>
    </w:p>
    <w:p>
      <w:pPr>
        <w:tabs>
          <w:tab w:pos="4897" w:val="left" w:leader="none"/>
          <w:tab w:pos="6688" w:val="left" w:leader="none"/>
        </w:tabs>
        <w:spacing w:before="143"/>
        <w:ind w:left="2453" w:right="0" w:firstLine="0"/>
        <w:jc w:val="left"/>
        <w:rPr>
          <w:rFonts w:ascii="宋体" w:hAnsi="宋体" w:cs="宋体" w:eastAsia="宋体" w:hint="default"/>
          <w:sz w:val="18"/>
          <w:szCs w:val="18"/>
        </w:rPr>
      </w:pPr>
      <w:r>
        <w:rPr>
          <w:rFonts w:ascii="宋体" w:hAnsi="宋体" w:cs="宋体" w:eastAsia="宋体" w:hint="default"/>
          <w:w w:val="101"/>
          <w:position w:val="2"/>
          <w:sz w:val="18"/>
          <w:szCs w:val="18"/>
        </w:rPr>
      </w:r>
      <w:r>
        <w:rPr>
          <w:rFonts w:ascii="宋体" w:hAnsi="宋体" w:cs="宋体" w:eastAsia="宋体" w:hint="default"/>
          <w:position w:val="2"/>
          <w:sz w:val="18"/>
          <w:szCs w:val="18"/>
          <w:u w:val="single" w:color="000000"/>
        </w:rPr>
        <w:t>小计</w:t>
      </w:r>
      <w:r>
        <w:rPr>
          <w:rFonts w:ascii="宋体" w:hAnsi="宋体" w:cs="宋体" w:eastAsia="宋体" w:hint="default"/>
          <w:position w:val="2"/>
          <w:sz w:val="18"/>
          <w:szCs w:val="18"/>
        </w:rPr>
        <w:tab/>
      </w:r>
      <w:r>
        <w:rPr>
          <w:rFonts w:ascii="宋体" w:hAnsi="宋体" w:cs="宋体" w:eastAsia="宋体" w:hint="default"/>
          <w:position w:val="2"/>
          <w:sz w:val="18"/>
          <w:szCs w:val="18"/>
        </w:rPr>
      </w:r>
      <w:r>
        <w:rPr>
          <w:rFonts w:ascii="宋体" w:hAnsi="宋体" w:cs="宋体" w:eastAsia="宋体" w:hint="default"/>
          <w:spacing w:val="-1"/>
          <w:position w:val="2"/>
          <w:sz w:val="18"/>
          <w:szCs w:val="18"/>
          <w:u w:val="single" w:color="000000"/>
        </w:rPr>
        <w:t>9,966,143.92</w:t>
      </w:r>
      <w:r>
        <w:rPr>
          <w:rFonts w:ascii="宋体" w:hAnsi="宋体" w:cs="宋体" w:eastAsia="宋体" w:hint="default"/>
          <w:spacing w:val="-1"/>
          <w:position w:val="2"/>
          <w:sz w:val="18"/>
          <w:szCs w:val="18"/>
        </w:rPr>
        <w:tab/>
      </w:r>
      <w:r>
        <w:rPr>
          <w:rFonts w:ascii="宋体" w:hAnsi="宋体" w:cs="宋体" w:eastAsia="宋体" w:hint="default"/>
          <w:spacing w:val="-1"/>
          <w:sz w:val="18"/>
          <w:szCs w:val="18"/>
        </w:rPr>
      </w:r>
      <w:r>
        <w:rPr>
          <w:rFonts w:ascii="宋体" w:hAnsi="宋体" w:cs="宋体" w:eastAsia="宋体" w:hint="default"/>
          <w:spacing w:val="-1"/>
          <w:sz w:val="18"/>
          <w:szCs w:val="18"/>
          <w:u w:val="single" w:color="000000"/>
        </w:rPr>
        <w:t>30,000,000.00</w:t>
      </w:r>
      <w:r>
        <w:rPr>
          <w:rFonts w:ascii="宋体" w:hAnsi="宋体" w:cs="宋体" w:eastAsia="宋体" w:hint="default"/>
          <w:spacing w:val="-1"/>
          <w:sz w:val="18"/>
          <w:szCs w:val="18"/>
        </w:rPr>
      </w:r>
    </w:p>
    <w:p>
      <w:pPr>
        <w:tabs>
          <w:tab w:pos="4897" w:val="left" w:leader="none"/>
          <w:tab w:pos="6688" w:val="left" w:leader="none"/>
        </w:tabs>
        <w:spacing w:before="143"/>
        <w:ind w:left="2453" w:right="0" w:firstLine="0"/>
        <w:jc w:val="left"/>
        <w:rPr>
          <w:rFonts w:ascii="宋体" w:hAnsi="宋体" w:cs="宋体" w:eastAsia="宋体" w:hint="default"/>
          <w:sz w:val="18"/>
          <w:szCs w:val="18"/>
        </w:rPr>
      </w:pPr>
      <w:r>
        <w:rPr>
          <w:rFonts w:ascii="宋体" w:hAnsi="宋体" w:cs="宋体" w:eastAsia="宋体" w:hint="default"/>
          <w:w w:val="101"/>
          <w:position w:val="2"/>
          <w:sz w:val="18"/>
          <w:szCs w:val="18"/>
        </w:rPr>
      </w:r>
      <w:r>
        <w:rPr>
          <w:rFonts w:ascii="宋体" w:hAnsi="宋体" w:cs="宋体" w:eastAsia="宋体" w:hint="default"/>
          <w:position w:val="2"/>
          <w:sz w:val="18"/>
          <w:szCs w:val="18"/>
          <w:u w:val="thick" w:color="000000"/>
        </w:rPr>
        <w:t>合计</w:t>
      </w:r>
      <w:r>
        <w:rPr>
          <w:rFonts w:ascii="宋体" w:hAnsi="宋体" w:cs="宋体" w:eastAsia="宋体" w:hint="default"/>
          <w:position w:val="2"/>
          <w:sz w:val="18"/>
          <w:szCs w:val="18"/>
        </w:rPr>
        <w:tab/>
      </w:r>
      <w:r>
        <w:rPr>
          <w:rFonts w:ascii="宋体" w:hAnsi="宋体" w:cs="宋体" w:eastAsia="宋体" w:hint="default"/>
          <w:position w:val="2"/>
          <w:sz w:val="18"/>
          <w:szCs w:val="18"/>
        </w:rPr>
      </w:r>
      <w:r>
        <w:rPr>
          <w:rFonts w:ascii="宋体" w:hAnsi="宋体" w:cs="宋体" w:eastAsia="宋体" w:hint="default"/>
          <w:spacing w:val="-1"/>
          <w:position w:val="2"/>
          <w:sz w:val="18"/>
          <w:szCs w:val="18"/>
          <w:u w:val="thick" w:color="000000"/>
        </w:rPr>
        <w:t>9,966,143.92</w:t>
      </w:r>
      <w:r>
        <w:rPr>
          <w:rFonts w:ascii="宋体" w:hAnsi="宋体" w:cs="宋体" w:eastAsia="宋体" w:hint="default"/>
          <w:spacing w:val="-1"/>
          <w:position w:val="2"/>
          <w:sz w:val="18"/>
          <w:szCs w:val="18"/>
        </w:rPr>
        <w:tab/>
      </w:r>
      <w:r>
        <w:rPr>
          <w:rFonts w:ascii="宋体" w:hAnsi="宋体" w:cs="宋体" w:eastAsia="宋体" w:hint="default"/>
          <w:spacing w:val="-1"/>
          <w:sz w:val="18"/>
          <w:szCs w:val="18"/>
        </w:rPr>
      </w:r>
      <w:r>
        <w:rPr>
          <w:rFonts w:ascii="宋体" w:hAnsi="宋体" w:cs="宋体" w:eastAsia="宋体" w:hint="default"/>
          <w:spacing w:val="-1"/>
          <w:sz w:val="18"/>
          <w:szCs w:val="18"/>
          <w:u w:val="thick" w:color="000000"/>
        </w:rPr>
        <w:t>30,000,000.00</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575" w:right="0"/>
        <w:jc w:val="left"/>
      </w:pPr>
      <w:r>
        <w:rPr/>
        <w:t>接上表：</w:t>
      </w:r>
    </w:p>
    <w:p>
      <w:pPr>
        <w:spacing w:line="240" w:lineRule="auto" w:before="11"/>
        <w:rPr>
          <w:rFonts w:ascii="宋体" w:hAnsi="宋体" w:cs="宋体" w:eastAsia="宋体" w:hint="default"/>
          <w:sz w:val="26"/>
          <w:szCs w:val="26"/>
        </w:rPr>
      </w:pPr>
    </w:p>
    <w:tbl>
      <w:tblPr>
        <w:tblW w:w="0" w:type="auto"/>
        <w:jc w:val="left"/>
        <w:tblInd w:w="508" w:type="dxa"/>
        <w:tblLayout w:type="fixed"/>
        <w:tblCellMar>
          <w:top w:w="0" w:type="dxa"/>
          <w:left w:w="0" w:type="dxa"/>
          <w:bottom w:w="0" w:type="dxa"/>
          <w:right w:w="0" w:type="dxa"/>
        </w:tblCellMar>
        <w:tblLook w:val="01E0"/>
      </w:tblPr>
      <w:tblGrid>
        <w:gridCol w:w="2370"/>
        <w:gridCol w:w="2149"/>
        <w:gridCol w:w="1690"/>
        <w:gridCol w:w="1352"/>
        <w:gridCol w:w="1371"/>
      </w:tblGrid>
      <w:tr>
        <w:trPr>
          <w:trHeight w:val="271" w:hRule="exact"/>
        </w:trPr>
        <w:tc>
          <w:tcPr>
            <w:tcW w:w="8931" w:type="dxa"/>
            <w:gridSpan w:val="5"/>
            <w:tcBorders>
              <w:top w:val="nil" w:sz="6" w:space="0" w:color="auto"/>
              <w:left w:val="nil" w:sz="6" w:space="0" w:color="auto"/>
              <w:bottom w:val="nil" w:sz="6" w:space="0" w:color="auto"/>
              <w:right w:val="nil" w:sz="6" w:space="0" w:color="auto"/>
            </w:tcBorders>
          </w:tcPr>
          <w:p>
            <w:pPr>
              <w:pStyle w:val="TableParagraph"/>
              <w:spacing w:line="182" w:lineRule="exact"/>
              <w:ind w:left="5253"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281"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0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149" w:type="dxa"/>
            <w:vMerge w:val="restart"/>
            <w:tcBorders>
              <w:top w:val="nil" w:sz="6" w:space="0" w:color="auto"/>
              <w:left w:val="nil" w:sz="6" w:space="0" w:color="auto"/>
              <w:right w:val="nil" w:sz="6" w:space="0" w:color="auto"/>
            </w:tcBorders>
          </w:tcPr>
          <w:p>
            <w:pPr>
              <w:pStyle w:val="TableParagraph"/>
              <w:spacing w:line="240" w:lineRule="auto" w:before="54"/>
              <w:ind w:left="285" w:right="0"/>
              <w:jc w:val="center"/>
              <w:rPr>
                <w:rFonts w:ascii="宋体" w:hAnsi="宋体" w:cs="宋体" w:eastAsia="宋体" w:hint="default"/>
                <w:sz w:val="18"/>
                <w:szCs w:val="18"/>
              </w:rPr>
            </w:pPr>
            <w:r>
              <w:rPr>
                <w:rFonts w:ascii="宋体" w:hAnsi="宋体" w:cs="宋体" w:eastAsia="宋体" w:hint="default"/>
                <w:b/>
                <w:bCs/>
                <w:sz w:val="18"/>
                <w:szCs w:val="18"/>
              </w:rPr>
              <w:t>权益法下确认的投资</w:t>
            </w:r>
            <w:r>
              <w:rPr>
                <w:rFonts w:ascii="宋体" w:hAnsi="宋体" w:cs="宋体" w:eastAsia="宋体" w:hint="default"/>
                <w:sz w:val="18"/>
                <w:szCs w:val="18"/>
              </w:rPr>
            </w:r>
          </w:p>
          <w:p>
            <w:pPr>
              <w:pStyle w:val="TableParagraph"/>
              <w:spacing w:line="240" w:lineRule="auto" w:before="125"/>
              <w:ind w:left="286" w:right="0"/>
              <w:jc w:val="center"/>
              <w:rPr>
                <w:rFonts w:ascii="宋体" w:hAnsi="宋体" w:cs="宋体" w:eastAsia="宋体" w:hint="default"/>
                <w:sz w:val="18"/>
                <w:szCs w:val="18"/>
              </w:rPr>
            </w:pPr>
            <w:r>
              <w:rPr>
                <w:rFonts w:ascii="宋体" w:hAnsi="宋体" w:cs="宋体" w:eastAsia="宋体" w:hint="default"/>
                <w:b/>
                <w:bCs/>
                <w:sz w:val="18"/>
                <w:szCs w:val="18"/>
              </w:rPr>
              <w:t>损益</w:t>
            </w:r>
            <w:r>
              <w:rPr>
                <w:rFonts w:ascii="宋体" w:hAnsi="宋体" w:cs="宋体" w:eastAsia="宋体" w:hint="default"/>
                <w:sz w:val="18"/>
                <w:szCs w:val="18"/>
              </w:rPr>
            </w: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1" w:type="dxa"/>
            <w:vMerge w:val="restart"/>
            <w:tcBorders>
              <w:top w:val="nil" w:sz="6" w:space="0" w:color="auto"/>
              <w:left w:val="nil" w:sz="6" w:space="0" w:color="auto"/>
              <w:right w:val="nil" w:sz="6" w:space="0" w:color="auto"/>
            </w:tcBorders>
          </w:tcPr>
          <w:p>
            <w:pPr>
              <w:pStyle w:val="TableParagraph"/>
              <w:spacing w:line="240" w:lineRule="auto" w:before="54"/>
              <w:ind w:left="228" w:right="0" w:hanging="92"/>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sz w:val="18"/>
                <w:szCs w:val="18"/>
              </w:rPr>
            </w: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b/>
                <w:bCs/>
                <w:sz w:val="18"/>
                <w:szCs w:val="18"/>
              </w:rPr>
              <w:t>红利或利润</w:t>
            </w:r>
            <w:r>
              <w:rPr>
                <w:rFonts w:ascii="宋体" w:hAnsi="宋体" w:cs="宋体" w:eastAsia="宋体" w:hint="default"/>
                <w:sz w:val="18"/>
                <w:szCs w:val="18"/>
              </w:rPr>
            </w:r>
          </w:p>
        </w:tc>
      </w:tr>
      <w:tr>
        <w:trPr>
          <w:trHeight w:val="421" w:hRule="exact"/>
        </w:trPr>
        <w:tc>
          <w:tcPr>
            <w:tcW w:w="2370" w:type="dxa"/>
            <w:tcBorders>
              <w:top w:val="nil" w:sz="6" w:space="0" w:color="auto"/>
              <w:left w:val="nil" w:sz="6" w:space="0" w:color="auto"/>
              <w:bottom w:val="single" w:sz="4" w:space="0" w:color="000000"/>
              <w:right w:val="nil" w:sz="6" w:space="0" w:color="auto"/>
            </w:tcBorders>
          </w:tcPr>
          <w:p>
            <w:pPr/>
          </w:p>
        </w:tc>
        <w:tc>
          <w:tcPr>
            <w:tcW w:w="2149" w:type="dxa"/>
            <w:vMerge/>
            <w:tcBorders>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19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sz w:val="18"/>
                <w:szCs w:val="18"/>
              </w:rPr>
            </w:r>
          </w:p>
        </w:tc>
        <w:tc>
          <w:tcPr>
            <w:tcW w:w="1352" w:type="dxa"/>
            <w:tcBorders>
              <w:top w:val="nil" w:sz="6" w:space="0" w:color="auto"/>
              <w:left w:val="nil" w:sz="6" w:space="0" w:color="auto"/>
              <w:bottom w:val="single" w:sz="4" w:space="0" w:color="000000"/>
              <w:right w:val="nil" w:sz="6" w:space="0" w:color="auto"/>
            </w:tcBorders>
          </w:tcPr>
          <w:p>
            <w:pPr>
              <w:pStyle w:val="TableParagraph"/>
              <w:spacing w:line="192"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sz w:val="18"/>
                <w:szCs w:val="18"/>
              </w:rPr>
            </w:r>
          </w:p>
        </w:tc>
        <w:tc>
          <w:tcPr>
            <w:tcW w:w="1371" w:type="dxa"/>
            <w:vMerge/>
            <w:tcBorders>
              <w:left w:val="nil" w:sz="6" w:space="0" w:color="auto"/>
              <w:bottom w:val="single" w:sz="4" w:space="0" w:color="000000"/>
              <w:right w:val="nil" w:sz="6" w:space="0" w:color="auto"/>
            </w:tcBorders>
          </w:tcPr>
          <w:p>
            <w:pPr/>
          </w:p>
        </w:tc>
      </w:tr>
      <w:tr>
        <w:trPr>
          <w:trHeight w:val="426" w:hRule="exact"/>
        </w:trPr>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149"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
        </w:tc>
      </w:tr>
      <w:tr>
        <w:trPr>
          <w:trHeight w:val="290" w:hRule="exact"/>
        </w:trPr>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2149"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568" w:type="dxa"/>
        <w:tblLayout w:type="fixed"/>
        <w:tblCellMar>
          <w:top w:w="0" w:type="dxa"/>
          <w:left w:w="0" w:type="dxa"/>
          <w:bottom w:w="0" w:type="dxa"/>
          <w:right w:w="0" w:type="dxa"/>
        </w:tblCellMar>
        <w:tblLook w:val="01E0"/>
      </w:tblPr>
      <w:tblGrid>
        <w:gridCol w:w="2612"/>
        <w:gridCol w:w="1907"/>
        <w:gridCol w:w="1690"/>
        <w:gridCol w:w="1352"/>
        <w:gridCol w:w="1371"/>
      </w:tblGrid>
      <w:tr>
        <w:trPr>
          <w:trHeight w:val="271" w:hRule="exact"/>
        </w:trPr>
        <w:tc>
          <w:tcPr>
            <w:tcW w:w="8931" w:type="dxa"/>
            <w:gridSpan w:val="5"/>
            <w:tcBorders>
              <w:top w:val="nil" w:sz="6" w:space="0" w:color="auto"/>
              <w:left w:val="nil" w:sz="6" w:space="0" w:color="auto"/>
              <w:bottom w:val="nil" w:sz="6" w:space="0" w:color="auto"/>
              <w:right w:val="nil" w:sz="6" w:space="0" w:color="auto"/>
            </w:tcBorders>
          </w:tcPr>
          <w:p>
            <w:pPr>
              <w:pStyle w:val="TableParagraph"/>
              <w:spacing w:line="182" w:lineRule="exact"/>
              <w:ind w:left="5253"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278"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0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907" w:type="dxa"/>
            <w:vMerge w:val="restart"/>
            <w:tcBorders>
              <w:top w:val="nil" w:sz="6" w:space="0" w:color="auto"/>
              <w:left w:val="nil" w:sz="6" w:space="0" w:color="auto"/>
              <w:right w:val="nil" w:sz="6" w:space="0" w:color="auto"/>
            </w:tcBorders>
          </w:tcPr>
          <w:p>
            <w:pPr>
              <w:pStyle w:val="TableParagraph"/>
              <w:spacing w:line="240" w:lineRule="auto" w:before="54"/>
              <w:ind w:left="42" w:right="0"/>
              <w:jc w:val="center"/>
              <w:rPr>
                <w:rFonts w:ascii="宋体" w:hAnsi="宋体" w:cs="宋体" w:eastAsia="宋体" w:hint="default"/>
                <w:sz w:val="18"/>
                <w:szCs w:val="18"/>
              </w:rPr>
            </w:pPr>
            <w:r>
              <w:rPr>
                <w:rFonts w:ascii="宋体" w:hAnsi="宋体" w:cs="宋体" w:eastAsia="宋体" w:hint="default"/>
                <w:b/>
                <w:bCs/>
                <w:sz w:val="18"/>
                <w:szCs w:val="18"/>
              </w:rPr>
              <w:t>权益法下确认的投资</w:t>
            </w:r>
            <w:r>
              <w:rPr>
                <w:rFonts w:ascii="宋体" w:hAnsi="宋体" w:cs="宋体" w:eastAsia="宋体" w:hint="default"/>
                <w:sz w:val="18"/>
                <w:szCs w:val="18"/>
              </w:rPr>
            </w:r>
          </w:p>
          <w:p>
            <w:pPr>
              <w:pStyle w:val="TableParagraph"/>
              <w:spacing w:line="240" w:lineRule="auto" w:before="124"/>
              <w:ind w:left="43" w:right="0"/>
              <w:jc w:val="center"/>
              <w:rPr>
                <w:rFonts w:ascii="宋体" w:hAnsi="宋体" w:cs="宋体" w:eastAsia="宋体" w:hint="default"/>
                <w:sz w:val="18"/>
                <w:szCs w:val="18"/>
              </w:rPr>
            </w:pPr>
            <w:r>
              <w:rPr>
                <w:rFonts w:ascii="宋体" w:hAnsi="宋体" w:cs="宋体" w:eastAsia="宋体" w:hint="default"/>
                <w:b/>
                <w:bCs/>
                <w:sz w:val="18"/>
                <w:szCs w:val="18"/>
              </w:rPr>
              <w:t>损益</w:t>
            </w:r>
            <w:r>
              <w:rPr>
                <w:rFonts w:ascii="宋体" w:hAnsi="宋体" w:cs="宋体" w:eastAsia="宋体" w:hint="default"/>
                <w:sz w:val="18"/>
                <w:szCs w:val="18"/>
              </w:rPr>
            </w: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1" w:type="dxa"/>
            <w:vMerge w:val="restart"/>
            <w:tcBorders>
              <w:top w:val="nil" w:sz="6" w:space="0" w:color="auto"/>
              <w:left w:val="nil" w:sz="6" w:space="0" w:color="auto"/>
              <w:right w:val="nil" w:sz="6" w:space="0" w:color="auto"/>
            </w:tcBorders>
          </w:tcPr>
          <w:p>
            <w:pPr>
              <w:pStyle w:val="TableParagraph"/>
              <w:spacing w:line="240" w:lineRule="auto" w:before="54"/>
              <w:ind w:left="228" w:right="0" w:hanging="92"/>
              <w:jc w:val="left"/>
              <w:rPr>
                <w:rFonts w:ascii="宋体" w:hAnsi="宋体" w:cs="宋体" w:eastAsia="宋体" w:hint="default"/>
                <w:sz w:val="18"/>
                <w:szCs w:val="18"/>
              </w:rPr>
            </w:pPr>
            <w:r>
              <w:rPr>
                <w:rFonts w:ascii="宋体" w:hAnsi="宋体" w:cs="宋体" w:eastAsia="宋体" w:hint="default"/>
                <w:b/>
                <w:bCs/>
                <w:sz w:val="18"/>
                <w:szCs w:val="18"/>
              </w:rPr>
              <w:t>宣告发放现金</w:t>
            </w:r>
            <w:r>
              <w:rPr>
                <w:rFonts w:ascii="宋体" w:hAnsi="宋体" w:cs="宋体" w:eastAsia="宋体" w:hint="default"/>
                <w:sz w:val="18"/>
                <w:szCs w:val="18"/>
              </w:rPr>
            </w:r>
          </w:p>
          <w:p>
            <w:pPr>
              <w:pStyle w:val="TableParagraph"/>
              <w:spacing w:line="240" w:lineRule="auto" w:before="124"/>
              <w:ind w:left="228" w:right="0"/>
              <w:jc w:val="left"/>
              <w:rPr>
                <w:rFonts w:ascii="宋体" w:hAnsi="宋体" w:cs="宋体" w:eastAsia="宋体" w:hint="default"/>
                <w:sz w:val="18"/>
                <w:szCs w:val="18"/>
              </w:rPr>
            </w:pPr>
            <w:r>
              <w:rPr>
                <w:rFonts w:ascii="宋体" w:hAnsi="宋体" w:cs="宋体" w:eastAsia="宋体" w:hint="default"/>
                <w:b/>
                <w:bCs/>
                <w:sz w:val="18"/>
                <w:szCs w:val="18"/>
              </w:rPr>
              <w:t>红利或利润</w:t>
            </w:r>
            <w:r>
              <w:rPr>
                <w:rFonts w:ascii="宋体" w:hAnsi="宋体" w:cs="宋体" w:eastAsia="宋体" w:hint="default"/>
                <w:sz w:val="18"/>
                <w:szCs w:val="18"/>
              </w:rPr>
            </w:r>
          </w:p>
        </w:tc>
      </w:tr>
      <w:tr>
        <w:trPr>
          <w:trHeight w:val="424" w:hRule="exact"/>
        </w:trPr>
        <w:tc>
          <w:tcPr>
            <w:tcW w:w="2612" w:type="dxa"/>
            <w:tcBorders>
              <w:top w:val="nil" w:sz="6" w:space="0" w:color="auto"/>
              <w:left w:val="nil" w:sz="6" w:space="0" w:color="auto"/>
              <w:bottom w:val="single" w:sz="4" w:space="0" w:color="000000"/>
              <w:right w:val="nil" w:sz="6" w:space="0" w:color="auto"/>
            </w:tcBorders>
          </w:tcPr>
          <w:p>
            <w:pPr/>
          </w:p>
        </w:tc>
        <w:tc>
          <w:tcPr>
            <w:tcW w:w="1907" w:type="dxa"/>
            <w:vMerge/>
            <w:tcBorders>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189"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sz w:val="18"/>
                <w:szCs w:val="18"/>
              </w:rPr>
            </w:r>
          </w:p>
        </w:tc>
        <w:tc>
          <w:tcPr>
            <w:tcW w:w="1352" w:type="dxa"/>
            <w:tcBorders>
              <w:top w:val="nil" w:sz="6" w:space="0" w:color="auto"/>
              <w:left w:val="nil" w:sz="6" w:space="0" w:color="auto"/>
              <w:bottom w:val="single" w:sz="4" w:space="0" w:color="000000"/>
              <w:right w:val="nil" w:sz="6" w:space="0" w:color="auto"/>
            </w:tcBorders>
          </w:tcPr>
          <w:p>
            <w:pPr>
              <w:pStyle w:val="TableParagraph"/>
              <w:spacing w:line="189" w:lineRule="exact"/>
              <w:ind w:right="135"/>
              <w:jc w:val="right"/>
              <w:rPr>
                <w:rFonts w:ascii="宋体" w:hAnsi="宋体" w:cs="宋体" w:eastAsia="宋体" w:hint="default"/>
                <w:sz w:val="18"/>
                <w:szCs w:val="18"/>
              </w:rPr>
            </w:pPr>
            <w:r>
              <w:rPr>
                <w:rFonts w:ascii="宋体" w:hAnsi="宋体" w:cs="宋体" w:eastAsia="宋体" w:hint="default"/>
                <w:b/>
                <w:bCs/>
                <w:spacing w:val="-1"/>
                <w:sz w:val="18"/>
                <w:szCs w:val="18"/>
              </w:rPr>
              <w:t>其他权益变动</w:t>
            </w:r>
            <w:r>
              <w:rPr>
                <w:rFonts w:ascii="宋体" w:hAnsi="宋体" w:cs="宋体" w:eastAsia="宋体" w:hint="default"/>
                <w:spacing w:val="-1"/>
                <w:sz w:val="18"/>
                <w:szCs w:val="18"/>
              </w:rPr>
            </w:r>
          </w:p>
        </w:tc>
        <w:tc>
          <w:tcPr>
            <w:tcW w:w="1371" w:type="dxa"/>
            <w:vMerge/>
            <w:tcBorders>
              <w:left w:val="nil" w:sz="6" w:space="0" w:color="auto"/>
              <w:bottom w:val="single" w:sz="4" w:space="0" w:color="000000"/>
              <w:right w:val="nil" w:sz="6" w:space="0" w:color="auto"/>
            </w:tcBorders>
          </w:tcPr>
          <w:p>
            <w:pPr/>
          </w:p>
        </w:tc>
      </w:tr>
      <w:tr>
        <w:trPr>
          <w:trHeight w:val="767" w:hRule="exact"/>
        </w:trPr>
        <w:tc>
          <w:tcPr>
            <w:tcW w:w="2612" w:type="dxa"/>
            <w:tcBorders>
              <w:top w:val="single" w:sz="4" w:space="0" w:color="000000"/>
              <w:left w:val="nil" w:sz="6" w:space="0" w:color="auto"/>
              <w:bottom w:val="nil" w:sz="6" w:space="0" w:color="auto"/>
              <w:right w:val="nil" w:sz="6" w:space="0" w:color="auto"/>
            </w:tcBorders>
          </w:tcPr>
          <w:p>
            <w:pPr>
              <w:pStyle w:val="TableParagraph"/>
              <w:spacing w:line="367" w:lineRule="auto" w:before="77"/>
              <w:ind w:left="110" w:right="156"/>
              <w:jc w:val="left"/>
              <w:rPr>
                <w:rFonts w:ascii="宋体" w:hAnsi="宋体" w:cs="宋体" w:eastAsia="宋体" w:hint="default"/>
                <w:sz w:val="18"/>
                <w:szCs w:val="18"/>
              </w:rPr>
            </w:pPr>
            <w:r>
              <w:rPr>
                <w:rFonts w:ascii="宋体" w:hAnsi="宋体" w:cs="宋体" w:eastAsia="宋体" w:hint="default"/>
                <w:spacing w:val="-3"/>
                <w:sz w:val="18"/>
                <w:szCs w:val="18"/>
              </w:rPr>
              <w:t>北京天天不上班信息技术有限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责任公司</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13"/>
              <w:jc w:val="right"/>
              <w:rPr>
                <w:rFonts w:ascii="宋体" w:hAnsi="宋体" w:cs="宋体" w:eastAsia="宋体" w:hint="default"/>
                <w:sz w:val="18"/>
                <w:szCs w:val="18"/>
              </w:rPr>
            </w:pPr>
            <w:r>
              <w:rPr>
                <w:rFonts w:ascii="宋体"/>
                <w:spacing w:val="-1"/>
                <w:sz w:val="18"/>
              </w:rPr>
              <w:t>-35,337.33</w:t>
            </w:r>
          </w:p>
        </w:tc>
        <w:tc>
          <w:tcPr>
            <w:tcW w:w="1690" w:type="dxa"/>
            <w:tcBorders>
              <w:top w:val="single" w:sz="4" w:space="0" w:color="000000"/>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
        </w:tc>
      </w:tr>
      <w:tr>
        <w:trPr>
          <w:trHeight w:val="389"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上海乂渠品牌管理有限公司</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3"/>
              <w:jc w:val="right"/>
              <w:rPr>
                <w:rFonts w:ascii="宋体" w:hAnsi="宋体" w:cs="宋体" w:eastAsia="宋体" w:hint="default"/>
                <w:sz w:val="18"/>
                <w:szCs w:val="18"/>
              </w:rPr>
            </w:pPr>
            <w:r>
              <w:rPr>
                <w:rFonts w:ascii="宋体"/>
                <w:spacing w:val="-1"/>
                <w:sz w:val="18"/>
              </w:rPr>
              <w:t>-2,325,449.30</w:t>
            </w: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
              <w:jc w:val="right"/>
              <w:rPr>
                <w:rFonts w:ascii="宋体" w:hAnsi="宋体" w:cs="宋体" w:eastAsia="宋体" w:hint="default"/>
                <w:sz w:val="18"/>
                <w:szCs w:val="18"/>
              </w:rPr>
            </w:pPr>
            <w:r>
              <w:rPr>
                <w:rFonts w:ascii="宋体"/>
                <w:spacing w:val="-1"/>
                <w:sz w:val="18"/>
              </w:rPr>
              <w:t>543,164.76</w:t>
            </w:r>
          </w:p>
        </w:tc>
        <w:tc>
          <w:tcPr>
            <w:tcW w:w="1371" w:type="dxa"/>
            <w:tcBorders>
              <w:top w:val="nil" w:sz="6" w:space="0" w:color="auto"/>
              <w:left w:val="nil" w:sz="6" w:space="0" w:color="auto"/>
              <w:bottom w:val="nil" w:sz="6" w:space="0" w:color="auto"/>
              <w:right w:val="nil" w:sz="6" w:space="0" w:color="auto"/>
            </w:tcBorders>
          </w:tcPr>
          <w:p>
            <w:pPr/>
          </w:p>
        </w:tc>
      </w:tr>
      <w:tr>
        <w:trPr>
          <w:trHeight w:val="730"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156"/>
              <w:jc w:val="left"/>
              <w:rPr>
                <w:rFonts w:ascii="宋体" w:hAnsi="宋体" w:cs="宋体" w:eastAsia="宋体" w:hint="default"/>
                <w:sz w:val="18"/>
                <w:szCs w:val="18"/>
              </w:rPr>
            </w:pPr>
            <w:r>
              <w:rPr>
                <w:rFonts w:ascii="宋体" w:hAnsi="宋体" w:cs="宋体" w:eastAsia="宋体" w:hint="default"/>
                <w:spacing w:val="-3"/>
                <w:sz w:val="18"/>
                <w:szCs w:val="18"/>
              </w:rPr>
              <w:t>北京创新黑马投资管理合伙企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3"/>
              <w:jc w:val="right"/>
              <w:rPr>
                <w:rFonts w:ascii="宋体" w:hAnsi="宋体" w:cs="宋体" w:eastAsia="宋体" w:hint="default"/>
                <w:sz w:val="18"/>
                <w:szCs w:val="18"/>
              </w:rPr>
            </w:pPr>
            <w:r>
              <w:rPr>
                <w:rFonts w:ascii="宋体"/>
                <w:spacing w:val="-1"/>
                <w:sz w:val="18"/>
              </w:rPr>
              <w:t>-574,196.86</w:t>
            </w: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r>
        <w:trPr>
          <w:trHeight w:val="384"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3"/>
              <w:jc w:val="right"/>
              <w:rPr>
                <w:rFonts w:ascii="宋体" w:hAnsi="宋体" w:cs="宋体" w:eastAsia="宋体" w:hint="default"/>
                <w:sz w:val="18"/>
                <w:szCs w:val="18"/>
              </w:rPr>
            </w:pPr>
            <w:r>
              <w:rPr>
                <w:rFonts w:ascii="宋体"/>
                <w:w w:val="101"/>
                <w:sz w:val="18"/>
              </w:rPr>
            </w:r>
            <w:r>
              <w:rPr>
                <w:rFonts w:ascii="宋体"/>
                <w:spacing w:val="-1"/>
                <w:sz w:val="18"/>
                <w:u w:val="single" w:color="000000"/>
              </w:rPr>
              <w:t>-2,934,983.49</w:t>
            </w:r>
            <w:r>
              <w:rPr>
                <w:rFonts w:ascii="宋体"/>
                <w:spacing w:val="-1"/>
                <w:sz w:val="18"/>
              </w:rPr>
            </w: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5"/>
              <w:jc w:val="right"/>
              <w:rPr>
                <w:rFonts w:ascii="宋体" w:hAnsi="宋体" w:cs="宋体" w:eastAsia="宋体" w:hint="default"/>
                <w:sz w:val="18"/>
                <w:szCs w:val="18"/>
              </w:rPr>
            </w:pPr>
            <w:r>
              <w:rPr>
                <w:rFonts w:ascii="宋体"/>
                <w:w w:val="101"/>
                <w:sz w:val="18"/>
              </w:rPr>
            </w:r>
            <w:r>
              <w:rPr>
                <w:rFonts w:ascii="宋体"/>
                <w:spacing w:val="-1"/>
                <w:sz w:val="18"/>
                <w:u w:val="single" w:color="000000"/>
              </w:rPr>
              <w:t>543,164.76</w:t>
            </w:r>
            <w:r>
              <w:rPr>
                <w:rFonts w:ascii="宋体"/>
                <w:spacing w:val="-1"/>
                <w:sz w:val="18"/>
              </w:rPr>
            </w:r>
          </w:p>
        </w:tc>
        <w:tc>
          <w:tcPr>
            <w:tcW w:w="1371" w:type="dxa"/>
            <w:tcBorders>
              <w:top w:val="nil" w:sz="6" w:space="0" w:color="auto"/>
              <w:left w:val="nil" w:sz="6" w:space="0" w:color="auto"/>
              <w:bottom w:val="nil" w:sz="6" w:space="0" w:color="auto"/>
              <w:right w:val="nil" w:sz="6" w:space="0" w:color="auto"/>
            </w:tcBorders>
          </w:tcPr>
          <w:p>
            <w:pPr/>
          </w:p>
        </w:tc>
      </w:tr>
      <w:tr>
        <w:trPr>
          <w:trHeight w:val="300"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8"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3"/>
              <w:jc w:val="right"/>
              <w:rPr>
                <w:rFonts w:ascii="宋体" w:hAnsi="宋体" w:cs="宋体" w:eastAsia="宋体" w:hint="default"/>
                <w:sz w:val="18"/>
                <w:szCs w:val="18"/>
              </w:rPr>
            </w:pPr>
            <w:r>
              <w:rPr>
                <w:rFonts w:ascii="宋体"/>
                <w:w w:val="101"/>
                <w:sz w:val="18"/>
              </w:rPr>
            </w:r>
            <w:r>
              <w:rPr>
                <w:rFonts w:ascii="宋体"/>
                <w:spacing w:val="-1"/>
                <w:sz w:val="18"/>
                <w:u w:val="thick" w:color="000000"/>
              </w:rPr>
              <w:t>-2,934,983.49</w:t>
            </w:r>
            <w:r>
              <w:rPr>
                <w:rFonts w:ascii="宋体"/>
                <w:spacing w:val="-1"/>
                <w:sz w:val="18"/>
              </w:rPr>
            </w:r>
          </w:p>
        </w:tc>
        <w:tc>
          <w:tcPr>
            <w:tcW w:w="169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5"/>
              <w:jc w:val="right"/>
              <w:rPr>
                <w:rFonts w:ascii="宋体" w:hAnsi="宋体" w:cs="宋体" w:eastAsia="宋体" w:hint="default"/>
                <w:sz w:val="18"/>
                <w:szCs w:val="18"/>
              </w:rPr>
            </w:pPr>
            <w:r>
              <w:rPr>
                <w:rFonts w:ascii="宋体"/>
                <w:w w:val="101"/>
                <w:sz w:val="18"/>
              </w:rPr>
            </w:r>
            <w:r>
              <w:rPr>
                <w:rFonts w:ascii="宋体"/>
                <w:spacing w:val="-1"/>
                <w:sz w:val="18"/>
                <w:u w:val="thick" w:color="000000"/>
              </w:rPr>
              <w:t>543,164.76</w:t>
            </w:r>
            <w:r>
              <w:rPr>
                <w:rFonts w:ascii="宋体"/>
                <w:spacing w:val="-1"/>
                <w:sz w:val="18"/>
              </w:rPr>
            </w:r>
          </w:p>
        </w:tc>
        <w:tc>
          <w:tcPr>
            <w:tcW w:w="137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635" w:right="1118"/>
        <w:jc w:val="left"/>
      </w:pPr>
      <w:r>
        <w:rPr/>
        <w:t>接上表：</w:t>
      </w:r>
    </w:p>
    <w:p>
      <w:pPr>
        <w:spacing w:line="240" w:lineRule="auto" w:before="6"/>
        <w:rPr>
          <w:rFonts w:ascii="宋体" w:hAnsi="宋体" w:cs="宋体" w:eastAsia="宋体" w:hint="default"/>
          <w:sz w:val="25"/>
          <w:szCs w:val="25"/>
        </w:rPr>
      </w:pPr>
    </w:p>
    <w:tbl>
      <w:tblPr>
        <w:tblW w:w="0" w:type="auto"/>
        <w:jc w:val="left"/>
        <w:tblInd w:w="563" w:type="dxa"/>
        <w:tblLayout w:type="fixed"/>
        <w:tblCellMar>
          <w:top w:w="0" w:type="dxa"/>
          <w:left w:w="0" w:type="dxa"/>
          <w:bottom w:w="0" w:type="dxa"/>
          <w:right w:w="0" w:type="dxa"/>
        </w:tblCellMar>
        <w:tblLook w:val="01E0"/>
      </w:tblPr>
      <w:tblGrid>
        <w:gridCol w:w="5085"/>
        <w:gridCol w:w="2406"/>
        <w:gridCol w:w="1450"/>
      </w:tblGrid>
      <w:tr>
        <w:trPr>
          <w:trHeight w:val="202"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182" w:lineRule="exact"/>
              <w:ind w:right="89"/>
              <w:jc w:val="right"/>
              <w:rPr>
                <w:rFonts w:ascii="宋体" w:hAnsi="宋体" w:cs="宋体" w:eastAsia="宋体" w:hint="default"/>
                <w:sz w:val="18"/>
                <w:szCs w:val="18"/>
              </w:rPr>
            </w:pPr>
            <w:r>
              <w:rPr>
                <w:rFonts w:ascii="宋体" w:hAnsi="宋体" w:cs="宋体" w:eastAsia="宋体" w:hint="default"/>
                <w:b/>
                <w:bCs/>
                <w:spacing w:val="-1"/>
                <w:sz w:val="18"/>
                <w:szCs w:val="18"/>
              </w:rPr>
              <w:t>本期增减变动</w:t>
            </w:r>
            <w:r>
              <w:rPr>
                <w:rFonts w:ascii="宋体" w:hAnsi="宋体" w:cs="宋体" w:eastAsia="宋体" w:hint="default"/>
                <w:spacing w:val="-1"/>
                <w:sz w:val="18"/>
                <w:szCs w:val="18"/>
              </w:rPr>
            </w:r>
          </w:p>
        </w:tc>
        <w:tc>
          <w:tcPr>
            <w:tcW w:w="2406" w:type="dxa"/>
            <w:tcBorders>
              <w:top w:val="nil" w:sz="6" w:space="0" w:color="auto"/>
              <w:left w:val="nil" w:sz="6" w:space="0" w:color="auto"/>
              <w:bottom w:val="nil" w:sz="6" w:space="0" w:color="auto"/>
              <w:right w:val="nil" w:sz="6" w:space="0" w:color="auto"/>
            </w:tcBorders>
          </w:tcPr>
          <w:p>
            <w:pPr/>
          </w:p>
        </w:tc>
        <w:tc>
          <w:tcPr>
            <w:tcW w:w="1450" w:type="dxa"/>
            <w:vMerge w:val="restart"/>
            <w:tcBorders>
              <w:top w:val="nil" w:sz="6" w:space="0" w:color="auto"/>
              <w:left w:val="nil" w:sz="6" w:space="0" w:color="auto"/>
              <w:right w:val="nil" w:sz="6" w:space="0" w:color="auto"/>
            </w:tcBorders>
          </w:tcPr>
          <w:p>
            <w:pPr>
              <w:pStyle w:val="TableParagraph"/>
              <w:spacing w:line="220" w:lineRule="exact"/>
              <w:ind w:left="101" w:right="0"/>
              <w:jc w:val="center"/>
              <w:rPr>
                <w:rFonts w:ascii="宋体" w:hAnsi="宋体" w:cs="宋体" w:eastAsia="宋体" w:hint="default"/>
                <w:sz w:val="18"/>
                <w:szCs w:val="18"/>
              </w:rPr>
            </w:pPr>
            <w:r>
              <w:rPr>
                <w:rFonts w:ascii="宋体" w:hAnsi="宋体" w:cs="宋体" w:eastAsia="宋体" w:hint="default"/>
                <w:b/>
                <w:bCs/>
                <w:sz w:val="18"/>
                <w:szCs w:val="18"/>
              </w:rPr>
              <w:t>减值准备期末</w:t>
            </w:r>
            <w:r>
              <w:rPr>
                <w:rFonts w:ascii="宋体" w:hAnsi="宋体" w:cs="宋体" w:eastAsia="宋体" w:hint="default"/>
                <w:sz w:val="18"/>
                <w:szCs w:val="18"/>
              </w:rPr>
            </w:r>
          </w:p>
          <w:p>
            <w:pPr>
              <w:pStyle w:val="TableParagraph"/>
              <w:spacing w:line="240" w:lineRule="auto" w:before="124"/>
              <w:ind w:left="96"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199"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01"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406" w:type="dxa"/>
            <w:tcBorders>
              <w:top w:val="nil" w:sz="6" w:space="0" w:color="auto"/>
              <w:left w:val="nil" w:sz="6" w:space="0" w:color="auto"/>
              <w:bottom w:val="nil" w:sz="6" w:space="0" w:color="auto"/>
              <w:right w:val="nil" w:sz="6" w:space="0" w:color="auto"/>
            </w:tcBorders>
          </w:tcPr>
          <w:p>
            <w:pPr>
              <w:pStyle w:val="TableParagraph"/>
              <w:spacing w:line="201" w:lineRule="exact"/>
              <w:ind w:left="14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50" w:type="dxa"/>
            <w:vMerge/>
            <w:tcBorders>
              <w:left w:val="nil" w:sz="6" w:space="0" w:color="auto"/>
              <w:right w:val="nil" w:sz="6" w:space="0" w:color="auto"/>
            </w:tcBorders>
          </w:tcPr>
          <w:p>
            <w:pPr/>
          </w:p>
        </w:tc>
      </w:tr>
      <w:tr>
        <w:trPr>
          <w:trHeight w:val="270" w:hRule="exact"/>
        </w:trPr>
        <w:tc>
          <w:tcPr>
            <w:tcW w:w="5085" w:type="dxa"/>
            <w:tcBorders>
              <w:top w:val="nil" w:sz="6" w:space="0" w:color="auto"/>
              <w:left w:val="nil" w:sz="6" w:space="0" w:color="auto"/>
              <w:bottom w:val="single" w:sz="4" w:space="0" w:color="000000"/>
              <w:right w:val="nil" w:sz="6" w:space="0" w:color="auto"/>
            </w:tcBorders>
          </w:tcPr>
          <w:p>
            <w:pPr>
              <w:pStyle w:val="TableParagraph"/>
              <w:spacing w:line="180" w:lineRule="exact"/>
              <w:ind w:left="2880"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sz w:val="18"/>
                <w:szCs w:val="18"/>
              </w:rPr>
            </w:r>
          </w:p>
        </w:tc>
        <w:tc>
          <w:tcPr>
            <w:tcW w:w="2406" w:type="dxa"/>
            <w:tcBorders>
              <w:top w:val="nil" w:sz="6" w:space="0" w:color="auto"/>
              <w:left w:val="nil" w:sz="6" w:space="0" w:color="auto"/>
              <w:bottom w:val="single" w:sz="4" w:space="0" w:color="000000"/>
              <w:right w:val="nil" w:sz="6" w:space="0" w:color="auto"/>
            </w:tcBorders>
          </w:tcPr>
          <w:p>
            <w:pPr>
              <w:pStyle w:val="TableParagraph"/>
              <w:spacing w:line="180" w:lineRule="exact"/>
              <w:ind w:left="91"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50" w:type="dxa"/>
            <w:vMerge/>
            <w:tcBorders>
              <w:left w:val="nil" w:sz="6" w:space="0" w:color="auto"/>
              <w:bottom w:val="single" w:sz="4" w:space="0" w:color="000000"/>
              <w:right w:val="nil" w:sz="6" w:space="0" w:color="auto"/>
            </w:tcBorders>
          </w:tcPr>
          <w:p>
            <w:pPr/>
          </w:p>
        </w:tc>
      </w:tr>
      <w:tr>
        <w:trPr>
          <w:trHeight w:val="426" w:hRule="exact"/>
        </w:trPr>
        <w:tc>
          <w:tcPr>
            <w:tcW w:w="508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406"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2406"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r>
      <w:tr>
        <w:trPr>
          <w:trHeight w:val="737"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367" w:lineRule="auto" w:before="52"/>
              <w:ind w:left="105" w:right="2634"/>
              <w:jc w:val="left"/>
              <w:rPr>
                <w:rFonts w:ascii="宋体" w:hAnsi="宋体" w:cs="宋体" w:eastAsia="宋体" w:hint="default"/>
                <w:sz w:val="18"/>
                <w:szCs w:val="18"/>
              </w:rPr>
            </w:pPr>
            <w:r>
              <w:rPr>
                <w:rFonts w:ascii="宋体" w:hAnsi="宋体" w:cs="宋体" w:eastAsia="宋体" w:hint="default"/>
                <w:spacing w:val="-3"/>
                <w:sz w:val="18"/>
                <w:szCs w:val="18"/>
              </w:rPr>
              <w:t>北京天天不上班信息技术有限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责任公司</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3,068,024.12</w:t>
            </w:r>
          </w:p>
        </w:tc>
        <w:tc>
          <w:tcPr>
            <w:tcW w:w="1450" w:type="dxa"/>
            <w:tcBorders>
              <w:top w:val="nil" w:sz="6" w:space="0" w:color="auto"/>
              <w:left w:val="nil" w:sz="6" w:space="0" w:color="auto"/>
              <w:bottom w:val="nil" w:sz="6" w:space="0" w:color="auto"/>
              <w:right w:val="nil" w:sz="6" w:space="0" w:color="auto"/>
            </w:tcBorders>
          </w:tcPr>
          <w:p>
            <w:pPr/>
          </w:p>
        </w:tc>
      </w:tr>
      <w:tr>
        <w:trPr>
          <w:trHeight w:val="389"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上海乂渠品牌管理有限公司</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
              <w:jc w:val="right"/>
              <w:rPr>
                <w:rFonts w:ascii="宋体" w:hAnsi="宋体" w:cs="宋体" w:eastAsia="宋体" w:hint="default"/>
                <w:sz w:val="18"/>
                <w:szCs w:val="18"/>
              </w:rPr>
            </w:pPr>
            <w:r>
              <w:rPr>
                <w:rFonts w:ascii="宋体"/>
                <w:spacing w:val="-1"/>
                <w:sz w:val="18"/>
              </w:rPr>
              <w:t>5,080,497.93</w:t>
            </w:r>
          </w:p>
        </w:tc>
        <w:tc>
          <w:tcPr>
            <w:tcW w:w="1450" w:type="dxa"/>
            <w:tcBorders>
              <w:top w:val="nil" w:sz="6" w:space="0" w:color="auto"/>
              <w:left w:val="nil" w:sz="6" w:space="0" w:color="auto"/>
              <w:bottom w:val="nil" w:sz="6" w:space="0" w:color="auto"/>
              <w:right w:val="nil" w:sz="6" w:space="0" w:color="auto"/>
            </w:tcBorders>
          </w:tcPr>
          <w:p>
            <w:pPr/>
          </w:p>
        </w:tc>
      </w:tr>
      <w:tr>
        <w:trPr>
          <w:trHeight w:val="730"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05" w:right="2634"/>
              <w:jc w:val="left"/>
              <w:rPr>
                <w:rFonts w:ascii="宋体" w:hAnsi="宋体" w:cs="宋体" w:eastAsia="宋体" w:hint="default"/>
                <w:sz w:val="18"/>
                <w:szCs w:val="18"/>
              </w:rPr>
            </w:pPr>
            <w:r>
              <w:rPr>
                <w:rFonts w:ascii="宋体" w:hAnsi="宋体" w:cs="宋体" w:eastAsia="宋体" w:hint="default"/>
                <w:spacing w:val="-3"/>
                <w:sz w:val="18"/>
                <w:szCs w:val="18"/>
              </w:rPr>
              <w:t>北京创新黑马投资管理合伙企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
              <w:jc w:val="right"/>
              <w:rPr>
                <w:rFonts w:ascii="宋体" w:hAnsi="宋体" w:cs="宋体" w:eastAsia="宋体" w:hint="default"/>
                <w:sz w:val="18"/>
                <w:szCs w:val="18"/>
              </w:rPr>
            </w:pPr>
            <w:r>
              <w:rPr>
                <w:rFonts w:ascii="宋体"/>
                <w:spacing w:val="-1"/>
                <w:sz w:val="18"/>
              </w:rPr>
              <w:t>29,425,803.14</w:t>
            </w:r>
          </w:p>
        </w:tc>
        <w:tc>
          <w:tcPr>
            <w:tcW w:w="1450" w:type="dxa"/>
            <w:tcBorders>
              <w:top w:val="nil" w:sz="6" w:space="0" w:color="auto"/>
              <w:left w:val="nil" w:sz="6" w:space="0" w:color="auto"/>
              <w:bottom w:val="nil" w:sz="6" w:space="0" w:color="auto"/>
              <w:right w:val="nil" w:sz="6" w:space="0" w:color="auto"/>
            </w:tcBorders>
          </w:tcPr>
          <w:p>
            <w:pPr/>
          </w:p>
        </w:tc>
      </w:tr>
      <w:tr>
        <w:trPr>
          <w:trHeight w:val="389"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66"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
              <w:jc w:val="right"/>
              <w:rPr>
                <w:rFonts w:ascii="宋体" w:hAnsi="宋体" w:cs="宋体" w:eastAsia="宋体" w:hint="default"/>
                <w:sz w:val="18"/>
                <w:szCs w:val="18"/>
              </w:rPr>
            </w:pPr>
            <w:r>
              <w:rPr>
                <w:rFonts w:ascii="宋体"/>
                <w:w w:val="101"/>
                <w:sz w:val="18"/>
              </w:rPr>
            </w:r>
            <w:r>
              <w:rPr>
                <w:rFonts w:ascii="宋体"/>
                <w:spacing w:val="-1"/>
                <w:sz w:val="18"/>
                <w:u w:val="single" w:color="000000"/>
              </w:rPr>
              <w:t>37,574,325.19</w:t>
            </w:r>
            <w:r>
              <w:rPr>
                <w:rFonts w:ascii="宋体"/>
                <w:spacing w:val="-1"/>
                <w:sz w:val="18"/>
              </w:rPr>
            </w:r>
          </w:p>
        </w:tc>
        <w:tc>
          <w:tcPr>
            <w:tcW w:w="1450" w:type="dxa"/>
            <w:tcBorders>
              <w:top w:val="nil" w:sz="6" w:space="0" w:color="auto"/>
              <w:left w:val="nil" w:sz="6" w:space="0" w:color="auto"/>
              <w:bottom w:val="nil" w:sz="6" w:space="0" w:color="auto"/>
              <w:right w:val="nil" w:sz="6" w:space="0" w:color="auto"/>
            </w:tcBorders>
          </w:tcPr>
          <w:p>
            <w:pPr/>
          </w:p>
        </w:tc>
      </w:tr>
      <w:tr>
        <w:trPr>
          <w:trHeight w:val="300" w:hRule="exact"/>
        </w:trPr>
        <w:tc>
          <w:tcPr>
            <w:tcW w:w="50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66"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
              <w:jc w:val="right"/>
              <w:rPr>
                <w:rFonts w:ascii="宋体" w:hAnsi="宋体" w:cs="宋体" w:eastAsia="宋体" w:hint="default"/>
                <w:sz w:val="18"/>
                <w:szCs w:val="18"/>
              </w:rPr>
            </w:pPr>
            <w:r>
              <w:rPr>
                <w:rFonts w:ascii="宋体"/>
                <w:w w:val="101"/>
                <w:sz w:val="18"/>
              </w:rPr>
            </w:r>
            <w:r>
              <w:rPr>
                <w:rFonts w:ascii="宋体"/>
                <w:spacing w:val="-1"/>
                <w:sz w:val="18"/>
                <w:u w:val="thick" w:color="000000"/>
              </w:rPr>
              <w:t>37,574,325.19</w:t>
            </w:r>
            <w:r>
              <w:rPr>
                <w:rFonts w:ascii="宋体"/>
                <w:spacing w:val="-1"/>
                <w:sz w:val="18"/>
              </w:rPr>
            </w:r>
          </w:p>
        </w:tc>
        <w:tc>
          <w:tcPr>
            <w:tcW w:w="145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635" w:right="1118"/>
        <w:jc w:val="left"/>
      </w:pPr>
      <w:bookmarkStart w:name="（七）其他非流动金融资产" w:id="205"/>
      <w:bookmarkEnd w:id="205"/>
      <w:r>
        <w:rPr/>
      </w:r>
      <w:r>
        <w:rPr/>
        <w:t>（七）其他非流动金融资产</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5200"/>
        <w:gridCol w:w="2778"/>
        <w:gridCol w:w="1880"/>
      </w:tblGrid>
      <w:tr>
        <w:trPr>
          <w:trHeight w:val="253" w:hRule="exact"/>
        </w:trPr>
        <w:tc>
          <w:tcPr>
            <w:tcW w:w="5200" w:type="dxa"/>
            <w:tcBorders>
              <w:top w:val="nil" w:sz="6" w:space="0" w:color="auto"/>
              <w:left w:val="nil" w:sz="6" w:space="0" w:color="auto"/>
              <w:bottom w:val="single" w:sz="4" w:space="0" w:color="000000"/>
              <w:right w:val="nil" w:sz="6" w:space="0" w:color="auto"/>
            </w:tcBorders>
          </w:tcPr>
          <w:p>
            <w:pPr>
              <w:pStyle w:val="TableParagraph"/>
              <w:spacing w:line="182" w:lineRule="exact"/>
              <w:ind w:left="15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78" w:type="dxa"/>
            <w:tcBorders>
              <w:top w:val="nil" w:sz="6" w:space="0" w:color="auto"/>
              <w:left w:val="nil" w:sz="6" w:space="0" w:color="auto"/>
              <w:bottom w:val="single" w:sz="4" w:space="0" w:color="000000"/>
              <w:right w:val="nil" w:sz="6" w:space="0" w:color="auto"/>
            </w:tcBorders>
          </w:tcPr>
          <w:p>
            <w:pPr>
              <w:pStyle w:val="TableParagraph"/>
              <w:spacing w:line="182" w:lineRule="exact"/>
              <w:ind w:right="15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880" w:type="dxa"/>
            <w:tcBorders>
              <w:top w:val="nil" w:sz="6" w:space="0" w:color="auto"/>
              <w:left w:val="nil" w:sz="6" w:space="0" w:color="auto"/>
              <w:bottom w:val="single" w:sz="4" w:space="0" w:color="000000"/>
              <w:right w:val="nil" w:sz="6" w:space="0" w:color="auto"/>
            </w:tcBorders>
          </w:tcPr>
          <w:p>
            <w:pPr>
              <w:pStyle w:val="TableParagraph"/>
              <w:spacing w:line="182"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6" w:hRule="exact"/>
        </w:trPr>
        <w:tc>
          <w:tcPr>
            <w:tcW w:w="520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东莞市达晨创景股权投资合伙企业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r>
              <w:rPr>
                <w:rFonts w:ascii="宋体" w:hAnsi="宋体" w:cs="宋体" w:eastAsia="宋体" w:hint="default"/>
                <w:spacing w:val="-3"/>
                <w:sz w:val="18"/>
                <w:szCs w:val="18"/>
              </w:rPr>
              <w:t>投资款</w:t>
            </w:r>
          </w:p>
        </w:tc>
        <w:tc>
          <w:tcPr>
            <w:tcW w:w="27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18"/>
              <w:jc w:val="right"/>
              <w:rPr>
                <w:rFonts w:ascii="宋体" w:hAnsi="宋体" w:cs="宋体" w:eastAsia="宋体" w:hint="default"/>
                <w:sz w:val="18"/>
                <w:szCs w:val="18"/>
              </w:rPr>
            </w:pPr>
            <w:r>
              <w:rPr>
                <w:rFonts w:ascii="宋体"/>
                <w:spacing w:val="-1"/>
                <w:sz w:val="18"/>
              </w:rPr>
              <w:t>5,158,309.49</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4"/>
              <w:jc w:val="right"/>
              <w:rPr>
                <w:rFonts w:ascii="宋体" w:hAnsi="宋体" w:cs="宋体" w:eastAsia="宋体" w:hint="default"/>
                <w:sz w:val="18"/>
                <w:szCs w:val="18"/>
              </w:rPr>
            </w:pPr>
            <w:r>
              <w:rPr>
                <w:rFonts w:ascii="宋体"/>
                <w:spacing w:val="-1"/>
                <w:sz w:val="18"/>
              </w:rPr>
              <w:t>5,000,000.00</w:t>
            </w:r>
          </w:p>
        </w:tc>
      </w:tr>
      <w:tr>
        <w:trPr>
          <w:trHeight w:val="389" w:hRule="exact"/>
        </w:trPr>
        <w:tc>
          <w:tcPr>
            <w:tcW w:w="52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广州博鳌纵横网络科技有限公司投资款</w:t>
            </w: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8"/>
              <w:jc w:val="right"/>
              <w:rPr>
                <w:rFonts w:ascii="宋体" w:hAnsi="宋体" w:cs="宋体" w:eastAsia="宋体" w:hint="default"/>
                <w:sz w:val="18"/>
                <w:szCs w:val="18"/>
              </w:rPr>
            </w:pPr>
            <w:r>
              <w:rPr>
                <w:rFonts w:ascii="宋体"/>
                <w:spacing w:val="-1"/>
                <w:sz w:val="18"/>
              </w:rPr>
              <w:t>10,249,560.41</w:t>
            </w:r>
          </w:p>
        </w:tc>
        <w:tc>
          <w:tcPr>
            <w:tcW w:w="1880" w:type="dxa"/>
            <w:tcBorders>
              <w:top w:val="nil" w:sz="6" w:space="0" w:color="auto"/>
              <w:left w:val="nil" w:sz="6" w:space="0" w:color="auto"/>
              <w:bottom w:val="nil" w:sz="6" w:space="0" w:color="auto"/>
              <w:right w:val="nil" w:sz="6" w:space="0" w:color="auto"/>
            </w:tcBorders>
          </w:tcPr>
          <w:p>
            <w:pPr/>
          </w:p>
        </w:tc>
      </w:tr>
      <w:tr>
        <w:trPr>
          <w:trHeight w:val="396" w:hRule="exact"/>
        </w:trPr>
        <w:tc>
          <w:tcPr>
            <w:tcW w:w="520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燎原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pacing w:val="-3"/>
                <w:sz w:val="18"/>
                <w:szCs w:val="18"/>
              </w:rPr>
              <w:t>号契约型私募股权投资基金投资款</w:t>
            </w: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18"/>
              <w:jc w:val="right"/>
              <w:rPr>
                <w:rFonts w:ascii="宋体" w:hAnsi="宋体" w:cs="宋体" w:eastAsia="宋体" w:hint="default"/>
                <w:sz w:val="18"/>
                <w:szCs w:val="18"/>
              </w:rPr>
            </w:pPr>
            <w:r>
              <w:rPr>
                <w:rFonts w:ascii="宋体"/>
                <w:spacing w:val="-1"/>
                <w:sz w:val="18"/>
              </w:rPr>
              <w:t>3,000,000.00</w:t>
            </w:r>
          </w:p>
        </w:tc>
        <w:tc>
          <w:tcPr>
            <w:tcW w:w="1880" w:type="dxa"/>
            <w:tcBorders>
              <w:top w:val="nil" w:sz="6" w:space="0" w:color="auto"/>
              <w:left w:val="nil" w:sz="6" w:space="0" w:color="auto"/>
              <w:bottom w:val="nil" w:sz="6" w:space="0" w:color="auto"/>
              <w:right w:val="nil" w:sz="6" w:space="0" w:color="auto"/>
            </w:tcBorders>
          </w:tcPr>
          <w:p>
            <w:pPr/>
          </w:p>
        </w:tc>
      </w:tr>
      <w:tr>
        <w:trPr>
          <w:trHeight w:val="298" w:hRule="exact"/>
        </w:trPr>
        <w:tc>
          <w:tcPr>
            <w:tcW w:w="520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8"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18"/>
              <w:jc w:val="right"/>
              <w:rPr>
                <w:rFonts w:ascii="宋体" w:hAnsi="宋体" w:cs="宋体" w:eastAsia="宋体" w:hint="default"/>
                <w:sz w:val="18"/>
                <w:szCs w:val="18"/>
              </w:rPr>
            </w:pPr>
            <w:r>
              <w:rPr>
                <w:rFonts w:ascii="宋体"/>
                <w:w w:val="101"/>
                <w:sz w:val="18"/>
              </w:rPr>
            </w:r>
            <w:r>
              <w:rPr>
                <w:rFonts w:ascii="宋体"/>
                <w:spacing w:val="-1"/>
                <w:sz w:val="18"/>
                <w:u w:val="thick" w:color="000000"/>
              </w:rPr>
              <w:t>18,407,869.90</w:t>
            </w:r>
            <w:r>
              <w:rPr>
                <w:rFonts w:ascii="宋体"/>
                <w:spacing w:val="-1"/>
                <w:sz w:val="18"/>
              </w:rPr>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4"/>
              <w:jc w:val="right"/>
              <w:rPr>
                <w:rFonts w:ascii="宋体" w:hAnsi="宋体" w:cs="宋体" w:eastAsia="宋体" w:hint="default"/>
                <w:sz w:val="18"/>
                <w:szCs w:val="18"/>
              </w:rPr>
            </w:pPr>
            <w:r>
              <w:rPr>
                <w:rFonts w:ascii="宋体"/>
                <w:w w:val="101"/>
                <w:sz w:val="18"/>
              </w:rPr>
            </w:r>
            <w:r>
              <w:rPr>
                <w:rFonts w:ascii="宋体"/>
                <w:spacing w:val="-1"/>
                <w:sz w:val="18"/>
                <w:u w:val="thick" w:color="000000"/>
              </w:rPr>
              <w:t>5,000,000.00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448" w:lineRule="auto" w:before="36"/>
        <w:ind w:left="635" w:right="8859"/>
        <w:jc w:val="left"/>
      </w:pPr>
      <w:bookmarkStart w:name="（八）固定资产" w:id="206"/>
      <w:bookmarkEnd w:id="206"/>
      <w:r>
        <w:rPr/>
      </w:r>
      <w:r>
        <w:rPr/>
        <w:t>（八）固定资产</w:t>
      </w:r>
      <w:r>
        <w:rPr>
          <w:spacing w:val="-102"/>
        </w:rPr>
        <w:t> </w:t>
      </w:r>
      <w:r>
        <w:rPr>
          <w:spacing w:val="-102"/>
        </w:rPr>
      </w:r>
      <w:r>
        <w:rPr>
          <w:rFonts w:ascii="宋体" w:hAnsi="宋体" w:cs="宋体" w:eastAsia="宋体" w:hint="default"/>
        </w:rPr>
        <w:t>1.</w:t>
      </w:r>
      <w:r>
        <w:rPr/>
        <w:t>总表情况</w:t>
      </w:r>
    </w:p>
    <w:p>
      <w:pPr>
        <w:pStyle w:val="BodyText"/>
        <w:spacing w:line="240" w:lineRule="auto" w:before="61"/>
        <w:ind w:left="635" w:right="1118"/>
        <w:jc w:val="left"/>
      </w:pPr>
      <w:r>
        <w:rPr/>
        <w:t>（</w:t>
      </w:r>
      <w:r>
        <w:rPr>
          <w:rFonts w:ascii="宋体" w:hAnsi="宋体" w:cs="宋体" w:eastAsia="宋体" w:hint="default"/>
        </w:rPr>
        <w:t>1</w:t>
      </w:r>
      <w:r>
        <w:rPr/>
        <w:t>）分类列示</w:t>
      </w:r>
    </w:p>
    <w:p>
      <w:pPr>
        <w:spacing w:after="0" w:line="240" w:lineRule="auto"/>
        <w:jc w:val="left"/>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694" w:type="dxa"/>
        <w:tblLayout w:type="fixed"/>
        <w:tblCellMar>
          <w:top w:w="0" w:type="dxa"/>
          <w:left w:w="0" w:type="dxa"/>
          <w:bottom w:w="0" w:type="dxa"/>
          <w:right w:w="0" w:type="dxa"/>
        </w:tblCellMar>
        <w:tblLook w:val="01E0"/>
      </w:tblPr>
      <w:tblGrid>
        <w:gridCol w:w="2869"/>
        <w:gridCol w:w="2944"/>
        <w:gridCol w:w="2903"/>
      </w:tblGrid>
      <w:tr>
        <w:trPr>
          <w:trHeight w:val="272" w:hRule="exact"/>
        </w:trPr>
        <w:tc>
          <w:tcPr>
            <w:tcW w:w="2869" w:type="dxa"/>
            <w:tcBorders>
              <w:top w:val="nil" w:sz="6" w:space="0" w:color="auto"/>
              <w:left w:val="nil" w:sz="6" w:space="0" w:color="auto"/>
              <w:bottom w:val="single" w:sz="4" w:space="0" w:color="000000"/>
              <w:right w:val="nil" w:sz="6" w:space="0" w:color="auto"/>
            </w:tcBorders>
          </w:tcPr>
          <w:p>
            <w:pPr>
              <w:pStyle w:val="TableParagraph"/>
              <w:spacing w:line="201" w:lineRule="exact"/>
              <w:ind w:left="18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44" w:type="dxa"/>
            <w:tcBorders>
              <w:top w:val="nil" w:sz="6" w:space="0" w:color="auto"/>
              <w:left w:val="nil" w:sz="6" w:space="0" w:color="auto"/>
              <w:bottom w:val="single" w:sz="4" w:space="0" w:color="000000"/>
              <w:right w:val="nil" w:sz="6" w:space="0" w:color="auto"/>
            </w:tcBorders>
          </w:tcPr>
          <w:p>
            <w:pPr>
              <w:pStyle w:val="TableParagraph"/>
              <w:spacing w:line="182" w:lineRule="exact"/>
              <w:ind w:left="10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03" w:type="dxa"/>
            <w:tcBorders>
              <w:top w:val="nil" w:sz="6" w:space="0" w:color="auto"/>
              <w:left w:val="nil" w:sz="6" w:space="0" w:color="auto"/>
              <w:bottom w:val="single" w:sz="4" w:space="0" w:color="000000"/>
              <w:right w:val="nil" w:sz="6" w:space="0" w:color="auto"/>
            </w:tcBorders>
          </w:tcPr>
          <w:p>
            <w:pPr>
              <w:pStyle w:val="TableParagraph"/>
              <w:spacing w:line="182" w:lineRule="exact"/>
              <w:ind w:right="6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28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80"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center"/>
              <w:rPr>
                <w:rFonts w:ascii="宋体" w:hAnsi="宋体" w:cs="宋体" w:eastAsia="宋体" w:hint="default"/>
                <w:sz w:val="18"/>
                <w:szCs w:val="18"/>
              </w:rPr>
            </w:pPr>
            <w:r>
              <w:rPr>
                <w:rFonts w:ascii="宋体"/>
                <w:sz w:val="18"/>
              </w:rPr>
              <w:t>3,547,754.02</w:t>
            </w:r>
          </w:p>
        </w:tc>
        <w:tc>
          <w:tcPr>
            <w:tcW w:w="290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62"/>
              <w:jc w:val="center"/>
              <w:rPr>
                <w:rFonts w:ascii="宋体" w:hAnsi="宋体" w:cs="宋体" w:eastAsia="宋体" w:hint="default"/>
                <w:sz w:val="18"/>
                <w:szCs w:val="18"/>
              </w:rPr>
            </w:pPr>
            <w:r>
              <w:rPr>
                <w:rFonts w:ascii="宋体"/>
                <w:sz w:val="18"/>
              </w:rPr>
              <w:t>3,869,439.32</w:t>
            </w:r>
          </w:p>
        </w:tc>
      </w:tr>
      <w:tr>
        <w:trPr>
          <w:trHeight w:val="396"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85" w:right="0"/>
              <w:jc w:val="center"/>
              <w:rPr>
                <w:rFonts w:ascii="宋体" w:hAnsi="宋体" w:cs="宋体" w:eastAsia="宋体" w:hint="default"/>
                <w:sz w:val="18"/>
                <w:szCs w:val="18"/>
              </w:rPr>
            </w:pPr>
            <w:r>
              <w:rPr>
                <w:rFonts w:ascii="宋体" w:hAnsi="宋体" w:cs="宋体" w:eastAsia="宋体" w:hint="default"/>
                <w:sz w:val="18"/>
                <w:szCs w:val="18"/>
              </w:rPr>
              <w:t>固定资产清理</w:t>
            </w:r>
          </w:p>
        </w:tc>
        <w:tc>
          <w:tcPr>
            <w:tcW w:w="2944" w:type="dxa"/>
            <w:tcBorders>
              <w:top w:val="nil" w:sz="6" w:space="0" w:color="auto"/>
              <w:left w:val="nil" w:sz="6" w:space="0" w:color="auto"/>
              <w:bottom w:val="nil" w:sz="6" w:space="0" w:color="auto"/>
              <w:right w:val="nil" w:sz="6" w:space="0" w:color="auto"/>
            </w:tcBorders>
          </w:tcPr>
          <w:p>
            <w:pPr/>
          </w:p>
        </w:tc>
        <w:tc>
          <w:tcPr>
            <w:tcW w:w="2903" w:type="dxa"/>
            <w:tcBorders>
              <w:top w:val="nil" w:sz="6" w:space="0" w:color="auto"/>
              <w:left w:val="nil" w:sz="6" w:space="0" w:color="auto"/>
              <w:bottom w:val="nil" w:sz="6" w:space="0" w:color="auto"/>
              <w:right w:val="nil" w:sz="6" w:space="0" w:color="auto"/>
            </w:tcBorders>
          </w:tcPr>
          <w:p>
            <w:pPr/>
          </w:p>
        </w:tc>
      </w:tr>
      <w:tr>
        <w:trPr>
          <w:trHeight w:val="288"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4"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center"/>
              <w:rPr>
                <w:rFonts w:ascii="宋体" w:hAnsi="宋体" w:cs="宋体" w:eastAsia="宋体" w:hint="default"/>
                <w:sz w:val="18"/>
                <w:szCs w:val="18"/>
              </w:rPr>
            </w:pPr>
            <w:r>
              <w:rPr>
                <w:rFonts w:ascii="宋体"/>
                <w:w w:val="101"/>
                <w:sz w:val="18"/>
              </w:rPr>
            </w:r>
            <w:r>
              <w:rPr>
                <w:rFonts w:ascii="宋体"/>
                <w:sz w:val="18"/>
                <w:u w:val="thick" w:color="000000"/>
              </w:rPr>
              <w:t>3,547,754.02</w:t>
            </w:r>
            <w:r>
              <w:rPr>
                <w:rFonts w:ascii="宋体"/>
                <w:sz w:val="18"/>
              </w:rPr>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center"/>
              <w:rPr>
                <w:rFonts w:ascii="宋体" w:hAnsi="宋体" w:cs="宋体" w:eastAsia="宋体" w:hint="default"/>
                <w:sz w:val="18"/>
                <w:szCs w:val="18"/>
              </w:rPr>
            </w:pPr>
            <w:r>
              <w:rPr>
                <w:rFonts w:ascii="宋体"/>
                <w:w w:val="101"/>
                <w:sz w:val="18"/>
              </w:rPr>
            </w:r>
            <w:r>
              <w:rPr>
                <w:rFonts w:ascii="宋体"/>
                <w:sz w:val="18"/>
                <w:u w:val="thick" w:color="000000"/>
              </w:rPr>
              <w:t>3,869,439.32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6"/>
        <w:ind w:left="655" w:right="1115"/>
        <w:jc w:val="left"/>
      </w:pPr>
      <w:r>
        <w:rPr>
          <w:rFonts w:ascii="宋体" w:hAnsi="宋体" w:cs="宋体" w:eastAsia="宋体" w:hint="default"/>
        </w:rPr>
        <w:t>2.</w:t>
      </w:r>
      <w:r>
        <w:rPr/>
        <w:t>固定资产</w:t>
      </w:r>
    </w:p>
    <w:p>
      <w:pPr>
        <w:spacing w:line="240" w:lineRule="auto" w:before="8"/>
        <w:rPr>
          <w:rFonts w:ascii="宋体" w:hAnsi="宋体" w:cs="宋体" w:eastAsia="宋体" w:hint="default"/>
          <w:sz w:val="18"/>
          <w:szCs w:val="18"/>
        </w:rPr>
      </w:pPr>
    </w:p>
    <w:p>
      <w:pPr>
        <w:pStyle w:val="BodyText"/>
        <w:spacing w:line="240" w:lineRule="auto"/>
        <w:ind w:left="655" w:right="1115"/>
        <w:jc w:val="left"/>
      </w:pPr>
      <w:r>
        <w:rPr/>
        <w:t>（</w:t>
      </w:r>
      <w:r>
        <w:rPr>
          <w:rFonts w:ascii="宋体" w:hAnsi="宋体" w:cs="宋体" w:eastAsia="宋体" w:hint="default"/>
        </w:rPr>
        <w:t>1</w:t>
      </w:r>
      <w:r>
        <w:rPr/>
        <w:t>）固定资产情况</w:t>
      </w:r>
    </w:p>
    <w:p>
      <w:pPr>
        <w:spacing w:line="240" w:lineRule="auto" w:before="11"/>
        <w:rPr>
          <w:rFonts w:ascii="宋体" w:hAnsi="宋体" w:cs="宋体" w:eastAsia="宋体" w:hint="default"/>
          <w:sz w:val="26"/>
          <w:szCs w:val="26"/>
        </w:rPr>
      </w:pPr>
    </w:p>
    <w:tbl>
      <w:tblPr>
        <w:tblW w:w="0" w:type="auto"/>
        <w:jc w:val="left"/>
        <w:tblInd w:w="799" w:type="dxa"/>
        <w:tblLayout w:type="fixed"/>
        <w:tblCellMar>
          <w:top w:w="0" w:type="dxa"/>
          <w:left w:w="0" w:type="dxa"/>
          <w:bottom w:w="0" w:type="dxa"/>
          <w:right w:w="0" w:type="dxa"/>
        </w:tblCellMar>
        <w:tblLook w:val="01E0"/>
      </w:tblPr>
      <w:tblGrid>
        <w:gridCol w:w="2116"/>
        <w:gridCol w:w="2079"/>
        <w:gridCol w:w="1467"/>
        <w:gridCol w:w="1467"/>
        <w:gridCol w:w="1381"/>
      </w:tblGrid>
      <w:tr>
        <w:trPr>
          <w:trHeight w:val="253" w:hRule="exact"/>
        </w:trPr>
        <w:tc>
          <w:tcPr>
            <w:tcW w:w="2116" w:type="dxa"/>
            <w:tcBorders>
              <w:top w:val="nil" w:sz="6" w:space="0" w:color="auto"/>
              <w:left w:val="nil" w:sz="6" w:space="0" w:color="auto"/>
              <w:bottom w:val="single" w:sz="4" w:space="0" w:color="000000"/>
              <w:right w:val="nil" w:sz="6" w:space="0" w:color="auto"/>
            </w:tcBorders>
          </w:tcPr>
          <w:p>
            <w:pPr>
              <w:pStyle w:val="TableParagraph"/>
              <w:spacing w:line="182" w:lineRule="exact"/>
              <w:ind w:left="3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79" w:type="dxa"/>
            <w:tcBorders>
              <w:top w:val="nil" w:sz="6" w:space="0" w:color="auto"/>
              <w:left w:val="nil" w:sz="6" w:space="0" w:color="auto"/>
              <w:bottom w:val="single" w:sz="4" w:space="0" w:color="000000"/>
              <w:right w:val="nil" w:sz="6" w:space="0" w:color="auto"/>
            </w:tcBorders>
          </w:tcPr>
          <w:p>
            <w:pPr>
              <w:pStyle w:val="TableParagraph"/>
              <w:spacing w:line="182"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467" w:type="dxa"/>
            <w:tcBorders>
              <w:top w:val="nil" w:sz="6" w:space="0" w:color="auto"/>
              <w:left w:val="nil" w:sz="6" w:space="0" w:color="auto"/>
              <w:bottom w:val="single" w:sz="4" w:space="0" w:color="000000"/>
              <w:right w:val="nil" w:sz="6" w:space="0" w:color="auto"/>
            </w:tcBorders>
          </w:tcPr>
          <w:p>
            <w:pPr>
              <w:pStyle w:val="TableParagraph"/>
              <w:spacing w:line="182"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sz w:val="18"/>
                <w:szCs w:val="18"/>
              </w:rPr>
            </w:r>
          </w:p>
        </w:tc>
        <w:tc>
          <w:tcPr>
            <w:tcW w:w="1467" w:type="dxa"/>
            <w:tcBorders>
              <w:top w:val="nil" w:sz="6" w:space="0" w:color="auto"/>
              <w:left w:val="nil" w:sz="6" w:space="0" w:color="auto"/>
              <w:bottom w:val="single" w:sz="4" w:space="0" w:color="000000"/>
              <w:right w:val="nil" w:sz="6" w:space="0" w:color="auto"/>
            </w:tcBorders>
          </w:tcPr>
          <w:p>
            <w:pPr>
              <w:pStyle w:val="TableParagraph"/>
              <w:spacing w:line="182"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电子设备</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82" w:lineRule="exact"/>
              <w:ind w:right="8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6" w:hRule="exact"/>
        </w:trPr>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079" w:type="dxa"/>
            <w:tcBorders>
              <w:top w:val="single" w:sz="4" w:space="0" w:color="000000"/>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897,516.93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2,056,773.17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5,440,943.56</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8,395,233.66</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375,627.04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宋体" w:hAnsi="宋体" w:cs="宋体" w:eastAsia="宋体" w:hint="default"/>
                <w:sz w:val="18"/>
                <w:szCs w:val="18"/>
              </w:rPr>
            </w:pPr>
            <w:r>
              <w:rPr>
                <w:rFonts w:ascii="宋体"/>
                <w:spacing w:val="-1"/>
                <w:sz w:val="18"/>
              </w:rPr>
              <w:t>1,336,389.63</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1,712,016.67</w:t>
            </w:r>
          </w:p>
        </w:tc>
      </w:tr>
      <w:tr>
        <w:trPr>
          <w:trHeight w:val="398"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375,627.04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1,336,389.63</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1,712,016.67</w:t>
            </w:r>
          </w:p>
        </w:tc>
      </w:tr>
      <w:tr>
        <w:trPr>
          <w:trHeight w:val="398"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104,496.76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宋体" w:hAnsi="宋体" w:cs="宋体" w:eastAsia="宋体" w:hint="default"/>
                <w:sz w:val="18"/>
                <w:szCs w:val="18"/>
              </w:rPr>
            </w:pPr>
            <w:r>
              <w:rPr>
                <w:rFonts w:ascii="宋体"/>
                <w:spacing w:val="-1"/>
                <w:sz w:val="18"/>
              </w:rPr>
              <w:t>187,000.00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291,496.76</w:t>
            </w:r>
          </w:p>
        </w:tc>
      </w:tr>
      <w:tr>
        <w:trPr>
          <w:trHeight w:val="398"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104,496.76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187,000.00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宋体" w:hAnsi="宋体" w:cs="宋体" w:eastAsia="宋体" w:hint="default"/>
                <w:sz w:val="18"/>
                <w:szCs w:val="18"/>
              </w:rPr>
            </w:pPr>
            <w:r>
              <w:rPr>
                <w:rFonts w:ascii="宋体"/>
                <w:spacing w:val="-1"/>
                <w:sz w:val="18"/>
              </w:rPr>
              <w:t>291,496.76</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897,516.93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2,327,903.45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6,590,333.19</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9,815,753.57</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9"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278,982.27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1,048,344.26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3,198,467.81</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4,525,794.34</w:t>
            </w:r>
          </w:p>
        </w:tc>
      </w:tr>
      <w:tr>
        <w:trPr>
          <w:trHeight w:val="398"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206,801.88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469,987.84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1,293,550.05</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1,970,339.77</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206,801.88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469,987.84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1,293,550.05</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1,970,339.77</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2"/>
                <w:sz w:val="18"/>
              </w:rPr>
              <w:t>49,537.77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宋体" w:hAnsi="宋体" w:cs="宋体" w:eastAsia="宋体" w:hint="default"/>
                <w:sz w:val="18"/>
                <w:szCs w:val="18"/>
              </w:rPr>
            </w:pPr>
            <w:r>
              <w:rPr>
                <w:rFonts w:ascii="宋体"/>
                <w:spacing w:val="-1"/>
                <w:sz w:val="18"/>
              </w:rPr>
              <w:t>178,596.79</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228,134.56</w:t>
            </w:r>
          </w:p>
        </w:tc>
      </w:tr>
      <w:tr>
        <w:trPr>
          <w:trHeight w:val="399"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2"/>
                <w:sz w:val="18"/>
              </w:rPr>
              <w:t>49,537.77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178,596.79</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228,134.56</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7"/>
              <w:jc w:val="right"/>
              <w:rPr>
                <w:rFonts w:ascii="宋体" w:hAnsi="宋体" w:cs="宋体" w:eastAsia="宋体" w:hint="default"/>
                <w:sz w:val="18"/>
                <w:szCs w:val="18"/>
              </w:rPr>
            </w:pPr>
            <w:r>
              <w:rPr>
                <w:rFonts w:ascii="宋体"/>
                <w:spacing w:val="-1"/>
                <w:sz w:val="18"/>
              </w:rPr>
              <w:t>485,784.15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0"/>
              <w:jc w:val="right"/>
              <w:rPr>
                <w:rFonts w:ascii="宋体" w:hAnsi="宋体" w:cs="宋体" w:eastAsia="宋体" w:hint="default"/>
                <w:sz w:val="18"/>
                <w:szCs w:val="18"/>
              </w:rPr>
            </w:pPr>
            <w:r>
              <w:rPr>
                <w:rFonts w:ascii="宋体"/>
                <w:spacing w:val="-1"/>
                <w:sz w:val="18"/>
              </w:rPr>
              <w:t>1,468,794.33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7"/>
              <w:jc w:val="right"/>
              <w:rPr>
                <w:rFonts w:ascii="宋体" w:hAnsi="宋体" w:cs="宋体" w:eastAsia="宋体" w:hint="default"/>
                <w:sz w:val="18"/>
                <w:szCs w:val="18"/>
              </w:rPr>
            </w:pPr>
            <w:r>
              <w:rPr>
                <w:rFonts w:ascii="宋体"/>
                <w:spacing w:val="-1"/>
                <w:sz w:val="18"/>
              </w:rPr>
              <w:t>4,313,421.07</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宋体" w:hAnsi="宋体" w:cs="宋体" w:eastAsia="宋体" w:hint="default"/>
                <w:sz w:val="18"/>
                <w:szCs w:val="18"/>
              </w:rPr>
            </w:pPr>
            <w:r>
              <w:rPr>
                <w:rFonts w:ascii="宋体"/>
                <w:spacing w:val="-1"/>
                <w:sz w:val="18"/>
              </w:rPr>
              <w:t>6,267,999.55</w:t>
            </w:r>
          </w:p>
        </w:tc>
      </w:tr>
      <w:tr>
        <w:trPr>
          <w:trHeight w:val="396"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2079"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398"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411,732.78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859,109.12</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2,276,912.12</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3,547,754.02</w:t>
            </w:r>
          </w:p>
        </w:tc>
      </w:tr>
      <w:tr>
        <w:trPr>
          <w:trHeight w:val="290"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618,534.66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1,008,428.91</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2,242,475.75</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3,869,439.32</w:t>
            </w:r>
          </w:p>
        </w:tc>
      </w:tr>
    </w:tbl>
    <w:p>
      <w:pPr>
        <w:spacing w:line="240" w:lineRule="auto" w:before="3"/>
        <w:rPr>
          <w:rFonts w:ascii="宋体" w:hAnsi="宋体" w:cs="宋体" w:eastAsia="宋体" w:hint="default"/>
          <w:sz w:val="20"/>
          <w:szCs w:val="20"/>
        </w:rPr>
      </w:pPr>
    </w:p>
    <w:p>
      <w:pPr>
        <w:pStyle w:val="BodyText"/>
        <w:spacing w:line="453" w:lineRule="auto" w:before="36"/>
        <w:ind w:left="655" w:right="8859"/>
        <w:jc w:val="left"/>
      </w:pPr>
      <w:r>
        <w:rPr>
          <w:rFonts w:ascii="宋体" w:hAnsi="宋体" w:cs="宋体" w:eastAsia="宋体" w:hint="default"/>
        </w:rPr>
        <w:t>3.</w:t>
      </w:r>
      <w:r>
        <w:rPr/>
        <w:t>固定资产清理</w:t>
      </w:r>
      <w:r>
        <w:rPr>
          <w:spacing w:val="-102"/>
        </w:rPr>
        <w:t> </w:t>
      </w:r>
      <w:r>
        <w:rPr>
          <w:spacing w:val="-102"/>
        </w:rPr>
      </w:r>
      <w:r>
        <w:rPr/>
        <w:t>无。</w:t>
      </w:r>
    </w:p>
    <w:p>
      <w:pPr>
        <w:pStyle w:val="BodyText"/>
        <w:spacing w:line="453" w:lineRule="auto" w:before="52"/>
        <w:ind w:left="655" w:right="8859"/>
        <w:jc w:val="left"/>
      </w:pPr>
      <w:r>
        <w:rPr/>
        <w:pict>
          <v:group style="position:absolute;margin-left:50.18401pt;margin-top:72.249695pt;width:494.15pt;height:.5pt;mso-position-horizontal-relative:page;mso-position-vertical-relative:paragraph;z-index:-924376" coordorigin="1004,1445" coordsize="9883,10">
            <v:group style="position:absolute;left:1008;top:1450;width:5014;height:2" coordorigin="1008,1450" coordsize="5014,2">
              <v:shape style="position:absolute;left:1008;top:1450;width:5014;height:2" coordorigin="1008,1450" coordsize="5014,0" path="m1008,1450l6022,1450e" filled="false" stroked="true" strokeweight=".47998pt" strokecolor="#000000">
                <v:path arrowok="t"/>
              </v:shape>
            </v:group>
            <v:group style="position:absolute;left:6007;top:1450;width:10;height:2" coordorigin="6007,1450" coordsize="10,2">
              <v:shape style="position:absolute;left:6007;top:1450;width:10;height:2" coordorigin="6007,1450" coordsize="10,0" path="m6007,1450l6017,1450e" filled="false" stroked="true" strokeweight=".47998pt" strokecolor="#000000">
                <v:path arrowok="t"/>
              </v:shape>
            </v:group>
            <v:group style="position:absolute;left:6017;top:1450;width:2440;height:2" coordorigin="6017,1450" coordsize="2440,2">
              <v:shape style="position:absolute;left:6017;top:1450;width:2440;height:2" coordorigin="6017,1450" coordsize="2440,0" path="m6017,1450l8456,1450e" filled="false" stroked="true" strokeweight=".47998pt" strokecolor="#000000">
                <v:path arrowok="t"/>
              </v:shape>
            </v:group>
            <v:group style="position:absolute;left:8442;top:1450;width:10;height:2" coordorigin="8442,1450" coordsize="10,2">
              <v:shape style="position:absolute;left:8442;top:1450;width:10;height:2" coordorigin="8442,1450" coordsize="10,0" path="m8442,1450l8451,1450e" filled="false" stroked="true" strokeweight=".47998pt" strokecolor="#000000">
                <v:path arrowok="t"/>
              </v:shape>
            </v:group>
            <v:group style="position:absolute;left:8451;top:1450;width:2430;height:2" coordorigin="8451,1450" coordsize="2430,2">
              <v:shape style="position:absolute;left:8451;top:1450;width:2430;height:2" coordorigin="8451,1450" coordsize="2430,0" path="m8451,1450l10881,1450e" filled="false" stroked="true" strokeweight=".47998pt" strokecolor="#000000">
                <v:path arrowok="t"/>
              </v:shape>
            </v:group>
            <w10:wrap type="none"/>
          </v:group>
        </w:pict>
      </w:r>
      <w:bookmarkStart w:name="（九）无形资产" w:id="207"/>
      <w:bookmarkEnd w:id="207"/>
      <w:r>
        <w:rPr/>
      </w:r>
      <w:r>
        <w:rPr/>
        <w:t>（九）无形资产</w:t>
      </w:r>
      <w:r>
        <w:rPr>
          <w:spacing w:val="-102"/>
        </w:rPr>
        <w:t> </w:t>
      </w:r>
      <w:r>
        <w:rPr>
          <w:spacing w:val="-102"/>
        </w:rPr>
      </w:r>
      <w:r>
        <w:rPr>
          <w:rFonts w:ascii="宋体" w:hAnsi="宋体" w:cs="宋体" w:eastAsia="宋体" w:hint="default"/>
        </w:rPr>
        <w:t>1.</w:t>
      </w:r>
      <w:r>
        <w:rPr/>
        <w:t>无形资产情况</w:t>
      </w:r>
    </w:p>
    <w:p>
      <w:pPr>
        <w:spacing w:line="240" w:lineRule="auto" w:before="7"/>
        <w:rPr>
          <w:rFonts w:ascii="宋体" w:hAnsi="宋体" w:cs="宋体" w:eastAsia="宋体" w:hint="default"/>
          <w:sz w:val="12"/>
          <w:szCs w:val="12"/>
        </w:rPr>
      </w:pPr>
    </w:p>
    <w:tbl>
      <w:tblPr>
        <w:tblW w:w="0" w:type="auto"/>
        <w:jc w:val="left"/>
        <w:tblInd w:w="2242" w:type="dxa"/>
        <w:tblLayout w:type="fixed"/>
        <w:tblCellMar>
          <w:top w:w="0" w:type="dxa"/>
          <w:left w:w="0" w:type="dxa"/>
          <w:bottom w:w="0" w:type="dxa"/>
          <w:right w:w="0" w:type="dxa"/>
        </w:tblCellMar>
        <w:tblLook w:val="01E0"/>
      </w:tblPr>
      <w:tblGrid>
        <w:gridCol w:w="2106"/>
        <w:gridCol w:w="3344"/>
        <w:gridCol w:w="1461"/>
      </w:tblGrid>
      <w:tr>
        <w:trPr>
          <w:trHeight w:val="253" w:hRule="exact"/>
        </w:trPr>
        <w:tc>
          <w:tcPr>
            <w:tcW w:w="2106"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4" w:type="dxa"/>
            <w:tcBorders>
              <w:top w:val="nil" w:sz="6" w:space="0" w:color="auto"/>
              <w:left w:val="nil" w:sz="6" w:space="0" w:color="auto"/>
              <w:bottom w:val="nil" w:sz="6" w:space="0" w:color="auto"/>
              <w:right w:val="nil" w:sz="6" w:space="0" w:color="auto"/>
            </w:tcBorders>
          </w:tcPr>
          <w:p>
            <w:pPr>
              <w:pStyle w:val="TableParagraph"/>
              <w:spacing w:line="182" w:lineRule="exact"/>
              <w:ind w:left="1541" w:right="0"/>
              <w:jc w:val="left"/>
              <w:rPr>
                <w:rFonts w:ascii="宋体" w:hAnsi="宋体" w:cs="宋体" w:eastAsia="宋体" w:hint="default"/>
                <w:sz w:val="18"/>
                <w:szCs w:val="18"/>
              </w:rPr>
            </w:pPr>
            <w:r>
              <w:rPr>
                <w:rFonts w:ascii="宋体" w:hAnsi="宋体" w:cs="宋体" w:eastAsia="宋体" w:hint="default"/>
                <w:b/>
                <w:bCs/>
                <w:sz w:val="18"/>
                <w:szCs w:val="18"/>
              </w:rPr>
              <w:t>软件使用权</w:t>
            </w:r>
            <w:r>
              <w:rPr>
                <w:rFonts w:ascii="宋体" w:hAnsi="宋体" w:cs="宋体" w:eastAsia="宋体" w:hint="default"/>
                <w:sz w:val="18"/>
                <w:szCs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182" w:lineRule="exact"/>
              <w:ind w:left="89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bl>
    <w:p>
      <w:pPr>
        <w:spacing w:after="0" w:line="182" w:lineRule="exact"/>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22" w:type="dxa"/>
        <w:tblLayout w:type="fixed"/>
        <w:tblCellMar>
          <w:top w:w="0" w:type="dxa"/>
          <w:left w:w="0" w:type="dxa"/>
          <w:bottom w:w="0" w:type="dxa"/>
          <w:right w:w="0" w:type="dxa"/>
        </w:tblCellMar>
        <w:tblLook w:val="01E0"/>
      </w:tblPr>
      <w:tblGrid>
        <w:gridCol w:w="4225"/>
        <w:gridCol w:w="3673"/>
        <w:gridCol w:w="1959"/>
      </w:tblGrid>
      <w:tr>
        <w:trPr>
          <w:trHeight w:val="253" w:hRule="exact"/>
        </w:trPr>
        <w:tc>
          <w:tcPr>
            <w:tcW w:w="4225" w:type="dxa"/>
            <w:tcBorders>
              <w:top w:val="nil" w:sz="6" w:space="0" w:color="auto"/>
              <w:left w:val="nil" w:sz="6" w:space="0" w:color="auto"/>
              <w:bottom w:val="single" w:sz="4" w:space="0" w:color="000000"/>
              <w:right w:val="nil" w:sz="6" w:space="0" w:color="auto"/>
            </w:tcBorders>
          </w:tcPr>
          <w:p>
            <w:pPr>
              <w:pStyle w:val="TableParagraph"/>
              <w:spacing w:line="182" w:lineRule="exact"/>
              <w:ind w:left="77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73" w:type="dxa"/>
            <w:tcBorders>
              <w:top w:val="nil" w:sz="6" w:space="0" w:color="auto"/>
              <w:left w:val="nil" w:sz="6" w:space="0" w:color="auto"/>
              <w:bottom w:val="single" w:sz="4" w:space="0" w:color="000000"/>
              <w:right w:val="nil" w:sz="6" w:space="0" w:color="auto"/>
            </w:tcBorders>
          </w:tcPr>
          <w:p>
            <w:pPr>
              <w:pStyle w:val="TableParagraph"/>
              <w:spacing w:line="182" w:lineRule="exact"/>
              <w:ind w:left="316" w:right="0"/>
              <w:jc w:val="center"/>
              <w:rPr>
                <w:rFonts w:ascii="宋体" w:hAnsi="宋体" w:cs="宋体" w:eastAsia="宋体" w:hint="default"/>
                <w:sz w:val="18"/>
                <w:szCs w:val="18"/>
              </w:rPr>
            </w:pPr>
            <w:r>
              <w:rPr>
                <w:rFonts w:ascii="宋体" w:hAnsi="宋体" w:cs="宋体" w:eastAsia="宋体" w:hint="default"/>
                <w:b/>
                <w:bCs/>
                <w:sz w:val="18"/>
                <w:szCs w:val="18"/>
              </w:rPr>
              <w:t>软件使用权</w:t>
            </w:r>
            <w:r>
              <w:rPr>
                <w:rFonts w:ascii="宋体" w:hAnsi="宋体" w:cs="宋体" w:eastAsia="宋体" w:hint="default"/>
                <w:sz w:val="18"/>
                <w:szCs w:val="18"/>
              </w:rPr>
            </w:r>
          </w:p>
        </w:tc>
        <w:tc>
          <w:tcPr>
            <w:tcW w:w="1959" w:type="dxa"/>
            <w:tcBorders>
              <w:top w:val="nil" w:sz="6" w:space="0" w:color="auto"/>
              <w:left w:val="nil" w:sz="6" w:space="0" w:color="auto"/>
              <w:bottom w:val="single" w:sz="4" w:space="0" w:color="000000"/>
              <w:right w:val="nil" w:sz="6" w:space="0" w:color="auto"/>
            </w:tcBorders>
          </w:tcPr>
          <w:p>
            <w:pPr>
              <w:pStyle w:val="TableParagraph"/>
              <w:spacing w:line="182" w:lineRule="exact"/>
              <w:ind w:left="56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4" w:hRule="exact"/>
        </w:trPr>
        <w:tc>
          <w:tcPr>
            <w:tcW w:w="422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673" w:type="dxa"/>
            <w:tcBorders>
              <w:top w:val="single" w:sz="4" w:space="0" w:color="000000"/>
              <w:left w:val="nil" w:sz="6" w:space="0" w:color="auto"/>
              <w:bottom w:val="nil" w:sz="6" w:space="0" w:color="auto"/>
              <w:right w:val="nil" w:sz="6" w:space="0" w:color="auto"/>
            </w:tcBorders>
          </w:tcPr>
          <w:p>
            <w:pPr/>
          </w:p>
        </w:tc>
        <w:tc>
          <w:tcPr>
            <w:tcW w:w="1959" w:type="dxa"/>
            <w:tcBorders>
              <w:top w:val="single" w:sz="4" w:space="0" w:color="000000"/>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8,096,816.39</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8,096,816.39</w:t>
            </w:r>
          </w:p>
        </w:tc>
      </w:tr>
      <w:tr>
        <w:trPr>
          <w:trHeight w:val="398"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4"/>
              <w:jc w:val="right"/>
              <w:rPr>
                <w:rFonts w:ascii="宋体" w:hAnsi="宋体" w:cs="宋体" w:eastAsia="宋体" w:hint="default"/>
                <w:sz w:val="18"/>
                <w:szCs w:val="18"/>
              </w:rPr>
            </w:pPr>
            <w:r>
              <w:rPr>
                <w:rFonts w:ascii="宋体"/>
                <w:spacing w:val="-1"/>
                <w:sz w:val="18"/>
              </w:rPr>
              <w:t>4,370,227.00</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4,370,227.00</w:t>
            </w: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4"/>
              <w:jc w:val="right"/>
              <w:rPr>
                <w:rFonts w:ascii="宋体" w:hAnsi="宋体" w:cs="宋体" w:eastAsia="宋体" w:hint="default"/>
                <w:sz w:val="18"/>
                <w:szCs w:val="18"/>
              </w:rPr>
            </w:pPr>
            <w:r>
              <w:rPr>
                <w:rFonts w:ascii="宋体"/>
                <w:spacing w:val="-1"/>
                <w:sz w:val="18"/>
              </w:rPr>
              <w:t>111,946.90</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111,946.90</w:t>
            </w: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）内部研发</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4,258,280.10</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4,258,280.10</w:t>
            </w:r>
          </w:p>
        </w:tc>
      </w:tr>
      <w:tr>
        <w:trPr>
          <w:trHeight w:val="399"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9"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12,467,043.39</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12,467,043.39</w:t>
            </w:r>
          </w:p>
        </w:tc>
      </w:tr>
      <w:tr>
        <w:trPr>
          <w:trHeight w:val="399"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4"/>
              <w:jc w:val="right"/>
              <w:rPr>
                <w:rFonts w:ascii="宋体" w:hAnsi="宋体" w:cs="宋体" w:eastAsia="宋体" w:hint="default"/>
                <w:sz w:val="18"/>
                <w:szCs w:val="18"/>
              </w:rPr>
            </w:pPr>
            <w:r>
              <w:rPr>
                <w:rFonts w:ascii="宋体"/>
                <w:spacing w:val="-1"/>
                <w:sz w:val="18"/>
              </w:rPr>
              <w:t>2,510,269.52</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2,510,269.52</w:t>
            </w: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3,205,947.68</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3,205,947.68</w:t>
            </w:r>
          </w:p>
        </w:tc>
      </w:tr>
      <w:tr>
        <w:trPr>
          <w:trHeight w:val="398"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4"/>
              <w:jc w:val="right"/>
              <w:rPr>
                <w:rFonts w:ascii="宋体" w:hAnsi="宋体" w:cs="宋体" w:eastAsia="宋体" w:hint="default"/>
                <w:sz w:val="18"/>
                <w:szCs w:val="18"/>
              </w:rPr>
            </w:pPr>
            <w:r>
              <w:rPr>
                <w:rFonts w:ascii="宋体"/>
                <w:spacing w:val="-1"/>
                <w:sz w:val="18"/>
              </w:rPr>
              <w:t>3,205,947.68</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3,205,947.68</w:t>
            </w:r>
          </w:p>
        </w:tc>
      </w:tr>
      <w:tr>
        <w:trPr>
          <w:trHeight w:val="399"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5,716,217.20</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5,716,217.20</w:t>
            </w:r>
          </w:p>
        </w:tc>
      </w:tr>
      <w:tr>
        <w:trPr>
          <w:trHeight w:val="398"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3673"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r>
      <w:tr>
        <w:trPr>
          <w:trHeight w:val="396"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4"/>
              <w:jc w:val="right"/>
              <w:rPr>
                <w:rFonts w:ascii="宋体" w:hAnsi="宋体" w:cs="宋体" w:eastAsia="宋体" w:hint="default"/>
                <w:sz w:val="18"/>
                <w:szCs w:val="18"/>
              </w:rPr>
            </w:pPr>
            <w:r>
              <w:rPr>
                <w:rFonts w:ascii="宋体"/>
                <w:spacing w:val="-1"/>
                <w:sz w:val="18"/>
              </w:rPr>
              <w:t>6,750,826.19</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6,750,826.19</w:t>
            </w:r>
          </w:p>
        </w:tc>
      </w:tr>
      <w:tr>
        <w:trPr>
          <w:trHeight w:val="288" w:hRule="exact"/>
        </w:trPr>
        <w:tc>
          <w:tcPr>
            <w:tcW w:w="4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3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4"/>
              <w:jc w:val="right"/>
              <w:rPr>
                <w:rFonts w:ascii="宋体" w:hAnsi="宋体" w:cs="宋体" w:eastAsia="宋体" w:hint="default"/>
                <w:sz w:val="18"/>
                <w:szCs w:val="18"/>
              </w:rPr>
            </w:pPr>
            <w:r>
              <w:rPr>
                <w:rFonts w:ascii="宋体"/>
                <w:spacing w:val="-1"/>
                <w:sz w:val="18"/>
              </w:rPr>
              <w:t>5,586,546.87</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5,586,546.87</w:t>
            </w:r>
          </w:p>
        </w:tc>
      </w:tr>
    </w:tbl>
    <w:p>
      <w:pPr>
        <w:spacing w:line="240" w:lineRule="auto" w:before="7"/>
        <w:rPr>
          <w:rFonts w:ascii="宋体" w:hAnsi="宋体" w:cs="宋体" w:eastAsia="宋体" w:hint="default"/>
          <w:sz w:val="20"/>
          <w:szCs w:val="20"/>
        </w:rPr>
      </w:pPr>
    </w:p>
    <w:p>
      <w:pPr>
        <w:pStyle w:val="BodyText"/>
        <w:spacing w:line="240" w:lineRule="auto" w:before="36"/>
        <w:ind w:left="655" w:right="1115"/>
        <w:jc w:val="left"/>
      </w:pPr>
      <w:bookmarkStart w:name="（十）开发支出" w:id="208"/>
      <w:bookmarkEnd w:id="208"/>
      <w:r>
        <w:rPr/>
      </w:r>
      <w:r>
        <w:rPr/>
        <w:t>（十）开发支出</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1" w:footer="979" w:top="1060" w:bottom="1160" w:left="900" w:right="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tabs>
          <w:tab w:pos="1784" w:val="left" w:leader="none"/>
        </w:tabs>
        <w:spacing w:before="0"/>
        <w:ind w:left="554" w:right="-13" w:firstLine="0"/>
        <w:jc w:val="left"/>
        <w:rPr>
          <w:rFonts w:ascii="宋体" w:hAnsi="宋体" w:cs="宋体" w:eastAsia="宋体" w:hint="default"/>
          <w:sz w:val="18"/>
          <w:szCs w:val="18"/>
        </w:rPr>
      </w:pPr>
      <w:r>
        <w:rPr>
          <w:rFonts w:ascii="宋体" w:hAnsi="宋体" w:cs="宋体" w:eastAsia="宋体" w:hint="default"/>
          <w:b/>
          <w:bCs/>
          <w:sz w:val="18"/>
          <w:szCs w:val="18"/>
        </w:rPr>
        <w:t>项目</w:t>
        <w:tab/>
        <w:t>期初余额</w:t>
      </w:r>
      <w:r>
        <w:rPr>
          <w:rFonts w:ascii="宋体" w:hAnsi="宋体" w:cs="宋体" w:eastAsia="宋体" w:hint="default"/>
          <w:sz w:val="18"/>
          <w:szCs w:val="18"/>
        </w:rPr>
      </w:r>
    </w:p>
    <w:p>
      <w:pPr>
        <w:tabs>
          <w:tab w:pos="3772" w:val="left" w:leader="none"/>
        </w:tabs>
        <w:spacing w:before="45"/>
        <w:ind w:left="1141" w:right="-13" w:firstLine="0"/>
        <w:jc w:val="left"/>
        <w:rPr>
          <w:rFonts w:ascii="宋体" w:hAnsi="宋体" w:cs="宋体" w:eastAsia="宋体" w:hint="default"/>
          <w:sz w:val="18"/>
          <w:szCs w:val="18"/>
        </w:rPr>
      </w:pPr>
      <w:r>
        <w:rPr/>
        <w:br w:type="column"/>
      </w:r>
      <w:r>
        <w:rPr>
          <w:rFonts w:ascii="宋体" w:hAnsi="宋体" w:cs="宋体" w:eastAsia="宋体" w:hint="default"/>
          <w:b/>
          <w:bCs/>
          <w:position w:val="2"/>
          <w:sz w:val="18"/>
          <w:szCs w:val="18"/>
        </w:rPr>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p>
      <w:pPr>
        <w:spacing w:line="240" w:lineRule="auto" w:before="13"/>
        <w:rPr>
          <w:rFonts w:ascii="宋体" w:hAnsi="宋体" w:cs="宋体" w:eastAsia="宋体" w:hint="default"/>
          <w:b/>
          <w:bCs/>
          <w:sz w:val="24"/>
          <w:szCs w:val="24"/>
        </w:rPr>
      </w:pPr>
    </w:p>
    <w:p>
      <w:pPr>
        <w:tabs>
          <w:tab w:pos="2120" w:val="left" w:leader="none"/>
          <w:tab w:pos="2941" w:val="left" w:leader="none"/>
        </w:tabs>
        <w:spacing w:before="0"/>
        <w:ind w:left="554" w:right="-13" w:firstLine="0"/>
        <w:jc w:val="left"/>
        <w:rPr>
          <w:rFonts w:ascii="宋体" w:hAnsi="宋体" w:cs="宋体" w:eastAsia="宋体" w:hint="default"/>
          <w:sz w:val="18"/>
          <w:szCs w:val="18"/>
        </w:rPr>
      </w:pPr>
      <w:r>
        <w:rPr>
          <w:rFonts w:ascii="宋体" w:hAnsi="宋体" w:cs="宋体" w:eastAsia="宋体" w:hint="default"/>
          <w:b/>
          <w:bCs/>
          <w:spacing w:val="-1"/>
          <w:sz w:val="18"/>
          <w:szCs w:val="18"/>
        </w:rPr>
        <w:t>内部开发支出</w:t>
        <w:tab/>
      </w:r>
      <w:r>
        <w:rPr>
          <w:rFonts w:ascii="宋体" w:hAnsi="宋体" w:cs="宋体" w:eastAsia="宋体" w:hint="default"/>
          <w:b/>
          <w:bCs/>
          <w:sz w:val="18"/>
          <w:szCs w:val="18"/>
        </w:rPr>
        <w:t>其他</w:t>
        <w:tab/>
      </w:r>
      <w:r>
        <w:rPr>
          <w:rFonts w:ascii="宋体" w:hAnsi="宋体" w:cs="宋体" w:eastAsia="宋体" w:hint="default"/>
          <w:b/>
          <w:bCs/>
          <w:spacing w:val="-2"/>
          <w:sz w:val="18"/>
          <w:szCs w:val="18"/>
        </w:rPr>
        <w:t>确认为无形资产</w:t>
      </w:r>
      <w:r>
        <w:rPr>
          <w:rFonts w:ascii="宋体" w:hAnsi="宋体" w:cs="宋体" w:eastAsia="宋体" w:hint="default"/>
          <w:spacing w:val="-2"/>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15"/>
          <w:szCs w:val="15"/>
        </w:rPr>
      </w:pPr>
    </w:p>
    <w:p>
      <w:pPr>
        <w:spacing w:before="0"/>
        <w:ind w:left="99" w:right="-13" w:firstLine="0"/>
        <w:jc w:val="left"/>
        <w:rPr>
          <w:rFonts w:ascii="宋体" w:hAnsi="宋体" w:cs="宋体" w:eastAsia="宋体" w:hint="default"/>
          <w:sz w:val="18"/>
          <w:szCs w:val="18"/>
        </w:rPr>
      </w:pPr>
      <w:r>
        <w:rPr>
          <w:rFonts w:ascii="宋体" w:hAnsi="宋体" w:cs="宋体" w:eastAsia="宋体" w:hint="default"/>
          <w:b/>
          <w:bCs/>
          <w:sz w:val="18"/>
          <w:szCs w:val="18"/>
        </w:rPr>
        <w:t>计入当期</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4"/>
          <w:szCs w:val="14"/>
        </w:rPr>
      </w:pPr>
    </w:p>
    <w:p>
      <w:pPr>
        <w:spacing w:before="0"/>
        <w:ind w:left="554"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00" w:right="0"/>
          <w:cols w:num="4" w:equalWidth="0">
            <w:col w:w="2514" w:space="122"/>
            <w:col w:w="4502" w:space="40"/>
            <w:col w:w="829" w:space="166"/>
            <w:col w:w="2837"/>
          </w:cols>
        </w:sectPr>
      </w:pPr>
    </w:p>
    <w:tbl>
      <w:tblPr>
        <w:tblW w:w="0" w:type="auto"/>
        <w:jc w:val="left"/>
        <w:tblInd w:w="122" w:type="dxa"/>
        <w:tblLayout w:type="fixed"/>
        <w:tblCellMar>
          <w:top w:w="0" w:type="dxa"/>
          <w:left w:w="0" w:type="dxa"/>
          <w:bottom w:w="0" w:type="dxa"/>
          <w:right w:w="0" w:type="dxa"/>
        </w:tblCellMar>
        <w:tblLook w:val="01E0"/>
      </w:tblPr>
      <w:tblGrid>
        <w:gridCol w:w="1229"/>
        <w:gridCol w:w="1738"/>
        <w:gridCol w:w="2070"/>
        <w:gridCol w:w="1925"/>
        <w:gridCol w:w="1361"/>
        <w:gridCol w:w="1535"/>
      </w:tblGrid>
      <w:tr>
        <w:trPr>
          <w:trHeight w:val="234" w:hRule="exact"/>
        </w:trPr>
        <w:tc>
          <w:tcPr>
            <w:tcW w:w="6962" w:type="dxa"/>
            <w:gridSpan w:val="4"/>
            <w:tcBorders>
              <w:top w:val="nil" w:sz="6" w:space="0" w:color="auto"/>
              <w:left w:val="nil" w:sz="6" w:space="0" w:color="auto"/>
              <w:bottom w:val="single" w:sz="4" w:space="0" w:color="000000"/>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178" w:lineRule="exact"/>
              <w:ind w:right="244"/>
              <w:jc w:val="center"/>
              <w:rPr>
                <w:rFonts w:ascii="宋体" w:hAnsi="宋体" w:cs="宋体" w:eastAsia="宋体" w:hint="default"/>
                <w:sz w:val="18"/>
                <w:szCs w:val="18"/>
              </w:rPr>
            </w:pPr>
            <w:r>
              <w:rPr>
                <w:rFonts w:ascii="宋体" w:hAnsi="宋体" w:cs="宋体" w:eastAsia="宋体" w:hint="default"/>
                <w:b/>
                <w:bCs/>
                <w:sz w:val="18"/>
                <w:szCs w:val="18"/>
              </w:rPr>
              <w:t>损益</w:t>
            </w:r>
            <w:r>
              <w:rPr>
                <w:rFonts w:ascii="宋体" w:hAnsi="宋体" w:cs="宋体" w:eastAsia="宋体" w:hint="default"/>
                <w:sz w:val="18"/>
                <w:szCs w:val="18"/>
              </w:rPr>
            </w:r>
          </w:p>
        </w:tc>
        <w:tc>
          <w:tcPr>
            <w:tcW w:w="1535" w:type="dxa"/>
            <w:tcBorders>
              <w:top w:val="nil" w:sz="6" w:space="0" w:color="auto"/>
              <w:left w:val="nil" w:sz="6" w:space="0" w:color="auto"/>
              <w:bottom w:val="single" w:sz="4" w:space="0" w:color="000000"/>
              <w:right w:val="nil" w:sz="6" w:space="0" w:color="auto"/>
            </w:tcBorders>
          </w:tcPr>
          <w:p>
            <w:pPr/>
          </w:p>
        </w:tc>
      </w:tr>
      <w:tr>
        <w:trPr>
          <w:trHeight w:val="426" w:hRule="exact"/>
        </w:trPr>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91"/>
              <w:jc w:val="right"/>
              <w:rPr>
                <w:rFonts w:ascii="宋体" w:hAnsi="宋体" w:cs="宋体" w:eastAsia="宋体" w:hint="default"/>
                <w:sz w:val="18"/>
                <w:szCs w:val="18"/>
              </w:rPr>
            </w:pPr>
            <w:r>
              <w:rPr>
                <w:rFonts w:ascii="宋体"/>
                <w:spacing w:val="-1"/>
                <w:sz w:val="18"/>
              </w:rPr>
              <w:t>2019RD04</w:t>
            </w:r>
          </w:p>
        </w:tc>
        <w:tc>
          <w:tcPr>
            <w:tcW w:w="1738" w:type="dxa"/>
            <w:tcBorders>
              <w:top w:val="single" w:sz="4" w:space="0" w:color="000000"/>
              <w:left w:val="nil" w:sz="6" w:space="0" w:color="auto"/>
              <w:bottom w:val="nil" w:sz="6" w:space="0" w:color="auto"/>
              <w:right w:val="nil" w:sz="6" w:space="0" w:color="auto"/>
            </w:tcBorders>
          </w:tcPr>
          <w:p>
            <w:pPr/>
          </w:p>
        </w:tc>
        <w:tc>
          <w:tcPr>
            <w:tcW w:w="207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32"/>
              <w:jc w:val="right"/>
              <w:rPr>
                <w:rFonts w:ascii="宋体" w:hAnsi="宋体" w:cs="宋体" w:eastAsia="宋体" w:hint="default"/>
                <w:sz w:val="18"/>
                <w:szCs w:val="18"/>
              </w:rPr>
            </w:pPr>
            <w:r>
              <w:rPr>
                <w:rFonts w:ascii="宋体"/>
                <w:spacing w:val="-1"/>
                <w:sz w:val="18"/>
              </w:rPr>
              <w:t>960,948.29</w:t>
            </w:r>
          </w:p>
        </w:tc>
        <w:tc>
          <w:tcPr>
            <w:tcW w:w="1925" w:type="dxa"/>
            <w:tcBorders>
              <w:top w:val="single" w:sz="4" w:space="0" w:color="000000"/>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nil" w:sz="6" w:space="0" w:color="auto"/>
              <w:right w:val="nil" w:sz="6" w:space="0" w:color="auto"/>
            </w:tcBorders>
          </w:tcPr>
          <w:p>
            <w:pP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960,948.29</w:t>
            </w:r>
          </w:p>
        </w:tc>
      </w:tr>
      <w:tr>
        <w:trPr>
          <w:trHeight w:val="398"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1"/>
              <w:jc w:val="right"/>
              <w:rPr>
                <w:rFonts w:ascii="宋体" w:hAnsi="宋体" w:cs="宋体" w:eastAsia="宋体" w:hint="default"/>
                <w:sz w:val="18"/>
                <w:szCs w:val="18"/>
              </w:rPr>
            </w:pPr>
            <w:r>
              <w:rPr>
                <w:rFonts w:ascii="宋体"/>
                <w:spacing w:val="-1"/>
                <w:sz w:val="18"/>
              </w:rPr>
              <w:t>2019RD02</w:t>
            </w:r>
          </w:p>
        </w:tc>
        <w:tc>
          <w:tcPr>
            <w:tcW w:w="1738"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32"/>
              <w:jc w:val="right"/>
              <w:rPr>
                <w:rFonts w:ascii="宋体" w:hAnsi="宋体" w:cs="宋体" w:eastAsia="宋体" w:hint="default"/>
                <w:sz w:val="18"/>
                <w:szCs w:val="18"/>
              </w:rPr>
            </w:pPr>
            <w:r>
              <w:rPr>
                <w:rFonts w:ascii="宋体"/>
                <w:spacing w:val="-1"/>
                <w:sz w:val="18"/>
              </w:rPr>
              <w:t>818,558.55</w:t>
            </w:r>
          </w:p>
        </w:tc>
        <w:tc>
          <w:tcPr>
            <w:tcW w:w="192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818,558.55</w:t>
            </w:r>
          </w:p>
        </w:tc>
      </w:tr>
      <w:tr>
        <w:trPr>
          <w:trHeight w:val="396"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1"/>
              <w:jc w:val="right"/>
              <w:rPr>
                <w:rFonts w:ascii="宋体" w:hAnsi="宋体" w:cs="宋体" w:eastAsia="宋体" w:hint="default"/>
                <w:sz w:val="18"/>
                <w:szCs w:val="18"/>
              </w:rPr>
            </w:pPr>
            <w:r>
              <w:rPr>
                <w:rFonts w:ascii="宋体"/>
                <w:spacing w:val="-1"/>
                <w:sz w:val="18"/>
              </w:rPr>
              <w:t>2019RD03</w:t>
            </w:r>
          </w:p>
        </w:tc>
        <w:tc>
          <w:tcPr>
            <w:tcW w:w="1738"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32"/>
              <w:jc w:val="right"/>
              <w:rPr>
                <w:rFonts w:ascii="宋体" w:hAnsi="宋体" w:cs="宋体" w:eastAsia="宋体" w:hint="default"/>
                <w:sz w:val="18"/>
                <w:szCs w:val="18"/>
              </w:rPr>
            </w:pPr>
            <w:r>
              <w:rPr>
                <w:rFonts w:ascii="宋体"/>
                <w:spacing w:val="-1"/>
                <w:sz w:val="18"/>
              </w:rPr>
              <w:t>703,717.50</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8"/>
                <w:szCs w:val="18"/>
              </w:rPr>
            </w:pPr>
            <w:r>
              <w:rPr>
                <w:rFonts w:ascii="宋体"/>
                <w:spacing w:val="-1"/>
                <w:sz w:val="18"/>
              </w:rPr>
              <w:t>703,717.50</w:t>
            </w:r>
          </w:p>
        </w:tc>
        <w:tc>
          <w:tcPr>
            <w:tcW w:w="1361"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r>
        <w:trPr>
          <w:trHeight w:val="396"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1"/>
              <w:jc w:val="right"/>
              <w:rPr>
                <w:rFonts w:ascii="宋体" w:hAnsi="宋体" w:cs="宋体" w:eastAsia="宋体" w:hint="default"/>
                <w:sz w:val="18"/>
                <w:szCs w:val="18"/>
              </w:rPr>
            </w:pPr>
            <w:r>
              <w:rPr>
                <w:rFonts w:ascii="宋体"/>
                <w:spacing w:val="-1"/>
                <w:sz w:val="18"/>
              </w:rPr>
              <w:t>2018RD01</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7"/>
              <w:jc w:val="right"/>
              <w:rPr>
                <w:rFonts w:ascii="宋体" w:hAnsi="宋体" w:cs="宋体" w:eastAsia="宋体" w:hint="default"/>
                <w:sz w:val="18"/>
                <w:szCs w:val="18"/>
              </w:rPr>
            </w:pPr>
            <w:r>
              <w:rPr>
                <w:rFonts w:ascii="宋体"/>
                <w:spacing w:val="-1"/>
                <w:sz w:val="18"/>
              </w:rPr>
              <w:t>1,652,549.77</w:t>
            </w:r>
          </w:p>
        </w:tc>
        <w:tc>
          <w:tcPr>
            <w:tcW w:w="2070"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8"/>
              <w:jc w:val="right"/>
              <w:rPr>
                <w:rFonts w:ascii="宋体" w:hAnsi="宋体" w:cs="宋体" w:eastAsia="宋体" w:hint="default"/>
                <w:sz w:val="18"/>
                <w:szCs w:val="18"/>
              </w:rPr>
            </w:pPr>
            <w:r>
              <w:rPr>
                <w:rFonts w:ascii="宋体"/>
                <w:spacing w:val="-1"/>
                <w:sz w:val="18"/>
              </w:rPr>
              <w:t>1,652,549.77</w:t>
            </w:r>
          </w:p>
        </w:tc>
        <w:tc>
          <w:tcPr>
            <w:tcW w:w="1361"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r>
        <w:trPr>
          <w:trHeight w:val="398"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1"/>
              <w:jc w:val="right"/>
              <w:rPr>
                <w:rFonts w:ascii="宋体" w:hAnsi="宋体" w:cs="宋体" w:eastAsia="宋体" w:hint="default"/>
                <w:sz w:val="18"/>
                <w:szCs w:val="18"/>
              </w:rPr>
            </w:pPr>
            <w:r>
              <w:rPr>
                <w:rFonts w:ascii="宋体"/>
                <w:spacing w:val="-1"/>
                <w:sz w:val="18"/>
              </w:rPr>
              <w:t>2018RD03</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7"/>
              <w:jc w:val="right"/>
              <w:rPr>
                <w:rFonts w:ascii="宋体" w:hAnsi="宋体" w:cs="宋体" w:eastAsia="宋体" w:hint="default"/>
                <w:sz w:val="18"/>
                <w:szCs w:val="18"/>
              </w:rPr>
            </w:pPr>
            <w:r>
              <w:rPr>
                <w:rFonts w:ascii="宋体"/>
                <w:spacing w:val="-1"/>
                <w:sz w:val="18"/>
              </w:rPr>
              <w:t>1,355,879.05</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32"/>
              <w:jc w:val="right"/>
              <w:rPr>
                <w:rFonts w:ascii="宋体" w:hAnsi="宋体" w:cs="宋体" w:eastAsia="宋体" w:hint="default"/>
                <w:sz w:val="18"/>
                <w:szCs w:val="18"/>
              </w:rPr>
            </w:pPr>
            <w:r>
              <w:rPr>
                <w:rFonts w:ascii="宋体"/>
                <w:spacing w:val="-1"/>
                <w:sz w:val="18"/>
              </w:rPr>
              <w:t>865,411.08</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8"/>
                <w:szCs w:val="18"/>
              </w:rPr>
            </w:pPr>
            <w:r>
              <w:rPr>
                <w:rFonts w:ascii="宋体"/>
                <w:spacing w:val="-1"/>
                <w:sz w:val="18"/>
              </w:rPr>
              <w:t>1,902,012.83</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5"/>
              <w:jc w:val="center"/>
              <w:rPr>
                <w:rFonts w:ascii="宋体" w:hAnsi="宋体" w:cs="宋体" w:eastAsia="宋体" w:hint="default"/>
                <w:sz w:val="18"/>
                <w:szCs w:val="18"/>
              </w:rPr>
            </w:pPr>
            <w:r>
              <w:rPr>
                <w:rFonts w:ascii="宋体"/>
                <w:sz w:val="18"/>
              </w:rPr>
              <w:t>319,277.30</w:t>
            </w:r>
          </w:p>
        </w:tc>
        <w:tc>
          <w:tcPr>
            <w:tcW w:w="1535" w:type="dxa"/>
            <w:tcBorders>
              <w:top w:val="nil" w:sz="6" w:space="0" w:color="auto"/>
              <w:left w:val="nil" w:sz="6" w:space="0" w:color="auto"/>
              <w:bottom w:val="nil" w:sz="6" w:space="0" w:color="auto"/>
              <w:right w:val="nil" w:sz="6" w:space="0" w:color="auto"/>
            </w:tcBorders>
          </w:tcPr>
          <w:p>
            <w:pPr/>
          </w:p>
        </w:tc>
      </w:tr>
      <w:tr>
        <w:trPr>
          <w:trHeight w:val="390" w:hRule="exact"/>
        </w:trPr>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2"/>
              <w:jc w:val="right"/>
              <w:rPr>
                <w:rFonts w:ascii="宋体" w:hAnsi="宋体" w:cs="宋体" w:eastAsia="宋体" w:hint="default"/>
                <w:sz w:val="18"/>
                <w:szCs w:val="18"/>
              </w:rPr>
            </w:pPr>
            <w:r>
              <w:rPr>
                <w:rFonts w:ascii="宋体"/>
                <w:w w:val="101"/>
                <w:sz w:val="18"/>
              </w:rPr>
            </w:r>
            <w:r>
              <w:rPr>
                <w:rFonts w:ascii="宋体"/>
                <w:spacing w:val="-1"/>
                <w:sz w:val="18"/>
                <w:u w:val="thick" w:color="000000"/>
              </w:rPr>
              <w:t>3,008,428.82</w:t>
            </w:r>
            <w:r>
              <w:rPr>
                <w:rFonts w:ascii="宋体"/>
                <w:spacing w:val="-1"/>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28"/>
              <w:jc w:val="right"/>
              <w:rPr>
                <w:rFonts w:ascii="宋体" w:hAnsi="宋体" w:cs="宋体" w:eastAsia="宋体" w:hint="default"/>
                <w:sz w:val="18"/>
                <w:szCs w:val="18"/>
              </w:rPr>
            </w:pPr>
            <w:r>
              <w:rPr>
                <w:rFonts w:ascii="宋体"/>
                <w:w w:val="101"/>
                <w:sz w:val="18"/>
              </w:rPr>
            </w:r>
            <w:r>
              <w:rPr>
                <w:rFonts w:ascii="宋体"/>
                <w:spacing w:val="-1"/>
                <w:sz w:val="18"/>
                <w:u w:val="thick" w:color="000000"/>
              </w:rPr>
              <w:t>3,348,635.42</w:t>
            </w:r>
            <w:r>
              <w:rPr>
                <w:rFonts w:ascii="宋体"/>
                <w:spacing w:val="-1"/>
                <w:sz w:val="18"/>
              </w:rPr>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w w:val="101"/>
                <w:sz w:val="18"/>
              </w:rPr>
            </w:r>
            <w:r>
              <w:rPr>
                <w:rFonts w:ascii="宋体"/>
                <w:spacing w:val="-1"/>
                <w:sz w:val="18"/>
                <w:u w:val="thick" w:color="000000"/>
              </w:rPr>
              <w:t>4,258,280.10</w:t>
            </w:r>
            <w:r>
              <w:rPr>
                <w:rFonts w:ascii="宋体"/>
                <w:spacing w:val="-1"/>
                <w:sz w:val="18"/>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5"/>
              <w:jc w:val="center"/>
              <w:rPr>
                <w:rFonts w:ascii="宋体" w:hAnsi="宋体" w:cs="宋体" w:eastAsia="宋体" w:hint="default"/>
                <w:sz w:val="18"/>
                <w:szCs w:val="18"/>
              </w:rPr>
            </w:pPr>
            <w:r>
              <w:rPr>
                <w:rFonts w:ascii="宋体"/>
                <w:w w:val="101"/>
                <w:sz w:val="18"/>
              </w:rPr>
            </w:r>
            <w:r>
              <w:rPr>
                <w:rFonts w:ascii="宋体"/>
                <w:sz w:val="18"/>
                <w:u w:val="thick" w:color="000000"/>
              </w:rPr>
              <w:t>319,277.30</w:t>
            </w:r>
            <w:r>
              <w:rPr>
                <w:rFonts w:ascii="宋体"/>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1,779,506.84</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36"/>
        <w:ind w:left="655" w:right="1115"/>
        <w:jc w:val="left"/>
      </w:pPr>
      <w:r>
        <w:rPr/>
        <w:pict>
          <v:group style="position:absolute;margin-left:50.183979pt;margin-top:45.499634pt;width:494.15pt;height:.5pt;mso-position-horizontal-relative:page;mso-position-vertical-relative:paragraph;z-index:-924352" coordorigin="1004,910" coordsize="9883,10">
            <v:group style="position:absolute;left:1008;top:915;width:2281;height:2" coordorigin="1008,915" coordsize="2281,2">
              <v:shape style="position:absolute;left:1008;top:915;width:2281;height:2" coordorigin="1008,915" coordsize="2281,0" path="m1008,915l3289,915e" filled="false" stroked="true" strokeweight=".48004pt" strokecolor="#000000">
                <v:path arrowok="t"/>
              </v:shape>
            </v:group>
            <v:group style="position:absolute;left:3275;top:915;width:10;height:2" coordorigin="3275,915" coordsize="10,2">
              <v:shape style="position:absolute;left:3275;top:915;width:10;height:2" coordorigin="3275,915" coordsize="10,0" path="m3275,915l3285,915e" filled="false" stroked="true" strokeweight=".48004pt" strokecolor="#000000">
                <v:path arrowok="t"/>
              </v:shape>
            </v:group>
            <v:group style="position:absolute;left:3285;top:915;width:1619;height:2" coordorigin="3285,915" coordsize="1619,2">
              <v:shape style="position:absolute;left:3285;top:915;width:1619;height:2" coordorigin="3285,915" coordsize="1619,0" path="m3285,915l4903,915e" filled="false" stroked="true" strokeweight=".48004pt" strokecolor="#000000">
                <v:path arrowok="t"/>
              </v:shape>
            </v:group>
            <v:group style="position:absolute;left:4888;top:915;width:10;height:2" coordorigin="4888,915" coordsize="10,2">
              <v:shape style="position:absolute;left:4888;top:915;width:10;height:2" coordorigin="4888,915" coordsize="10,0" path="m4888,915l4898,915e" filled="false" stroked="true" strokeweight=".48004pt" strokecolor="#000000">
                <v:path arrowok="t"/>
              </v:shape>
            </v:group>
            <v:group style="position:absolute;left:4898;top:915;width:1561;height:2" coordorigin="4898,915" coordsize="1561,2">
              <v:shape style="position:absolute;left:4898;top:915;width:1561;height:2" coordorigin="4898,915" coordsize="1561,0" path="m4898,915l6458,915e" filled="false" stroked="true" strokeweight=".48004pt" strokecolor="#000000">
                <v:path arrowok="t"/>
              </v:shape>
            </v:group>
            <v:group style="position:absolute;left:6444;top:915;width:10;height:2" coordorigin="6444,915" coordsize="10,2">
              <v:shape style="position:absolute;left:6444;top:915;width:10;height:2" coordorigin="6444,915" coordsize="10,0" path="m6444,915l6454,915e" filled="false" stroked="true" strokeweight=".48004pt" strokecolor="#000000">
                <v:path arrowok="t"/>
              </v:shape>
            </v:group>
            <v:group style="position:absolute;left:6454;top:915;width:1479;height:2" coordorigin="6454,915" coordsize="1479,2">
              <v:shape style="position:absolute;left:6454;top:915;width:1479;height:2" coordorigin="6454,915" coordsize="1479,0" path="m6454,915l7932,915e" filled="false" stroked="true" strokeweight=".48004pt" strokecolor="#000000">
                <v:path arrowok="t"/>
              </v:shape>
            </v:group>
            <v:group style="position:absolute;left:7918;top:915;width:10;height:2" coordorigin="7918,915" coordsize="10,2">
              <v:shape style="position:absolute;left:7918;top:915;width:10;height:2" coordorigin="7918,915" coordsize="10,0" path="m7918,915l7928,915e" filled="false" stroked="true" strokeweight=".48004pt" strokecolor="#000000">
                <v:path arrowok="t"/>
              </v:shape>
            </v:group>
            <v:group style="position:absolute;left:7928;top:915;width:1484;height:2" coordorigin="7928,915" coordsize="1484,2">
              <v:shape style="position:absolute;left:7928;top:915;width:1484;height:2" coordorigin="7928,915" coordsize="1484,0" path="m7928,915l9411,915e" filled="false" stroked="true" strokeweight=".48004pt" strokecolor="#000000">
                <v:path arrowok="t"/>
              </v:shape>
            </v:group>
            <v:group style="position:absolute;left:9397;top:915;width:10;height:2" coordorigin="9397,915" coordsize="10,2">
              <v:shape style="position:absolute;left:9397;top:915;width:10;height:2" coordorigin="9397,915" coordsize="10,0" path="m9397,915l9407,915e" filled="false" stroked="true" strokeweight=".48004pt" strokecolor="#000000">
                <v:path arrowok="t"/>
              </v:shape>
            </v:group>
            <v:group style="position:absolute;left:9407;top:915;width:1475;height:2" coordorigin="9407,915" coordsize="1475,2">
              <v:shape style="position:absolute;left:9407;top:915;width:1475;height:2" coordorigin="9407,915" coordsize="1475,0" path="m9407,915l10881,915e" filled="false" stroked="true" strokeweight=".48004pt" strokecolor="#000000">
                <v:path arrowok="t"/>
              </v:shape>
            </v:group>
            <w10:wrap type="none"/>
          </v:group>
        </w:pict>
      </w:r>
      <w:bookmarkStart w:name="（十一）长期待摊费用" w:id="209"/>
      <w:bookmarkEnd w:id="209"/>
      <w:r>
        <w:rPr/>
      </w:r>
      <w:r>
        <w:rPr/>
        <w:t>（十一）长期待摊费用</w:t>
      </w:r>
    </w:p>
    <w:p>
      <w:pPr>
        <w:spacing w:line="240" w:lineRule="auto" w:before="11"/>
        <w:rPr>
          <w:rFonts w:ascii="宋体" w:hAnsi="宋体" w:cs="宋体" w:eastAsia="宋体" w:hint="default"/>
          <w:sz w:val="26"/>
          <w:szCs w:val="26"/>
        </w:rPr>
      </w:pPr>
    </w:p>
    <w:tbl>
      <w:tblPr>
        <w:tblW w:w="0" w:type="auto"/>
        <w:jc w:val="left"/>
        <w:tblInd w:w="878" w:type="dxa"/>
        <w:tblLayout w:type="fixed"/>
        <w:tblCellMar>
          <w:top w:w="0" w:type="dxa"/>
          <w:left w:w="0" w:type="dxa"/>
          <w:bottom w:w="0" w:type="dxa"/>
          <w:right w:w="0" w:type="dxa"/>
        </w:tblCellMar>
        <w:tblLook w:val="01E0"/>
      </w:tblPr>
      <w:tblGrid>
        <w:gridCol w:w="1261"/>
        <w:gridCol w:w="1762"/>
        <w:gridCol w:w="1637"/>
        <w:gridCol w:w="1541"/>
        <w:gridCol w:w="1474"/>
        <w:gridCol w:w="1426"/>
      </w:tblGrid>
      <w:tr>
        <w:trPr>
          <w:trHeight w:val="253"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2" w:type="dxa"/>
            <w:tcBorders>
              <w:top w:val="nil" w:sz="6" w:space="0" w:color="auto"/>
              <w:left w:val="nil" w:sz="6" w:space="0" w:color="auto"/>
              <w:bottom w:val="nil" w:sz="6" w:space="0" w:color="auto"/>
              <w:right w:val="nil" w:sz="6" w:space="0" w:color="auto"/>
            </w:tcBorders>
          </w:tcPr>
          <w:p>
            <w:pPr>
              <w:pStyle w:val="TableParagraph"/>
              <w:spacing w:line="182" w:lineRule="exact"/>
              <w:ind w:left="69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37" w:type="dxa"/>
            <w:tcBorders>
              <w:top w:val="nil" w:sz="6" w:space="0" w:color="auto"/>
              <w:left w:val="nil" w:sz="6" w:space="0" w:color="auto"/>
              <w:bottom w:val="nil" w:sz="6" w:space="0" w:color="auto"/>
              <w:right w:val="nil" w:sz="6" w:space="0" w:color="auto"/>
            </w:tcBorders>
          </w:tcPr>
          <w:p>
            <w:pPr>
              <w:pStyle w:val="TableParagraph"/>
              <w:spacing w:line="182"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541" w:type="dxa"/>
            <w:tcBorders>
              <w:top w:val="nil" w:sz="6" w:space="0" w:color="auto"/>
              <w:left w:val="nil" w:sz="6" w:space="0" w:color="auto"/>
              <w:bottom w:val="nil" w:sz="6" w:space="0" w:color="auto"/>
              <w:right w:val="nil" w:sz="6" w:space="0" w:color="auto"/>
            </w:tcBorders>
          </w:tcPr>
          <w:p>
            <w:pPr>
              <w:pStyle w:val="TableParagraph"/>
              <w:spacing w:line="182"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182"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426" w:type="dxa"/>
            <w:tcBorders>
              <w:top w:val="nil" w:sz="6" w:space="0" w:color="auto"/>
              <w:left w:val="nil" w:sz="6" w:space="0" w:color="auto"/>
              <w:bottom w:val="nil" w:sz="6" w:space="0" w:color="auto"/>
              <w:right w:val="nil" w:sz="6" w:space="0" w:color="auto"/>
            </w:tcBorders>
          </w:tcPr>
          <w:p>
            <w:pPr>
              <w:pStyle w:val="TableParagraph"/>
              <w:spacing w:line="182" w:lineRule="exact"/>
              <w:ind w:left="3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bl>
    <w:p>
      <w:pPr>
        <w:spacing w:after="0" w:line="182" w:lineRule="exact"/>
        <w:jc w:val="left"/>
        <w:rPr>
          <w:rFonts w:ascii="宋体" w:hAnsi="宋体" w:cs="宋体" w:eastAsia="宋体" w:hint="default"/>
          <w:sz w:val="18"/>
          <w:szCs w:val="18"/>
        </w:rPr>
        <w:sectPr>
          <w:type w:val="continuous"/>
          <w:pgSz w:w="11910" w:h="16840"/>
          <w:pgMar w:top="1060" w:bottom="1160" w:left="9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2079"/>
        <w:gridCol w:w="1868"/>
        <w:gridCol w:w="1534"/>
        <w:gridCol w:w="1522"/>
        <w:gridCol w:w="1429"/>
        <w:gridCol w:w="1426"/>
      </w:tblGrid>
      <w:tr>
        <w:trPr>
          <w:trHeight w:val="253" w:hRule="exact"/>
        </w:trPr>
        <w:tc>
          <w:tcPr>
            <w:tcW w:w="2079" w:type="dxa"/>
            <w:tcBorders>
              <w:top w:val="nil" w:sz="6" w:space="0" w:color="auto"/>
              <w:left w:val="nil" w:sz="6" w:space="0" w:color="auto"/>
              <w:bottom w:val="single" w:sz="4" w:space="0" w:color="000000"/>
              <w:right w:val="nil" w:sz="6" w:space="0" w:color="auto"/>
            </w:tcBorders>
          </w:tcPr>
          <w:p>
            <w:pPr>
              <w:pStyle w:val="TableParagraph"/>
              <w:spacing w:line="182" w:lineRule="exact"/>
              <w:ind w:left="19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182"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34" w:type="dxa"/>
            <w:tcBorders>
              <w:top w:val="nil" w:sz="6" w:space="0" w:color="auto"/>
              <w:left w:val="nil" w:sz="6" w:space="0" w:color="auto"/>
              <w:bottom w:val="single" w:sz="4" w:space="0" w:color="000000"/>
              <w:right w:val="nil" w:sz="6" w:space="0" w:color="auto"/>
            </w:tcBorders>
          </w:tcPr>
          <w:p>
            <w:pPr>
              <w:pStyle w:val="TableParagraph"/>
              <w:spacing w:line="182"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本期增加金额</w:t>
            </w:r>
            <w:r>
              <w:rPr>
                <w:rFonts w:ascii="宋体" w:hAnsi="宋体" w:cs="宋体" w:eastAsia="宋体" w:hint="default"/>
                <w:sz w:val="18"/>
                <w:szCs w:val="18"/>
              </w:rPr>
            </w:r>
          </w:p>
        </w:tc>
        <w:tc>
          <w:tcPr>
            <w:tcW w:w="1522" w:type="dxa"/>
            <w:tcBorders>
              <w:top w:val="nil" w:sz="6" w:space="0" w:color="auto"/>
              <w:left w:val="nil" w:sz="6" w:space="0" w:color="auto"/>
              <w:bottom w:val="single" w:sz="4" w:space="0" w:color="000000"/>
              <w:right w:val="nil" w:sz="6" w:space="0" w:color="auto"/>
            </w:tcBorders>
          </w:tcPr>
          <w:p>
            <w:pPr>
              <w:pStyle w:val="TableParagraph"/>
              <w:spacing w:line="182"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本期摊销金额</w:t>
            </w:r>
            <w:r>
              <w:rPr>
                <w:rFonts w:ascii="宋体" w:hAnsi="宋体" w:cs="宋体" w:eastAsia="宋体" w:hint="default"/>
                <w:sz w:val="18"/>
                <w:szCs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182"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426" w:type="dxa"/>
            <w:tcBorders>
              <w:top w:val="nil" w:sz="6" w:space="0" w:color="auto"/>
              <w:left w:val="nil" w:sz="6" w:space="0" w:color="auto"/>
              <w:bottom w:val="single" w:sz="4" w:space="0" w:color="000000"/>
              <w:right w:val="nil" w:sz="6" w:space="0" w:color="auto"/>
            </w:tcBorders>
          </w:tcPr>
          <w:p>
            <w:pPr>
              <w:pStyle w:val="TableParagraph"/>
              <w:spacing w:line="182" w:lineRule="exact"/>
              <w:ind w:left="3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空调改造安装</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66"/>
              <w:jc w:val="right"/>
              <w:rPr>
                <w:rFonts w:ascii="宋体" w:hAnsi="宋体" w:cs="宋体" w:eastAsia="宋体" w:hint="default"/>
                <w:sz w:val="18"/>
                <w:szCs w:val="18"/>
              </w:rPr>
            </w:pPr>
            <w:r>
              <w:rPr>
                <w:rFonts w:ascii="宋体"/>
                <w:spacing w:val="-1"/>
                <w:sz w:val="18"/>
              </w:rPr>
              <w:t>59,687.71</w:t>
            </w:r>
          </w:p>
        </w:tc>
        <w:tc>
          <w:tcPr>
            <w:tcW w:w="1534"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2"/>
              <w:jc w:val="right"/>
              <w:rPr>
                <w:rFonts w:ascii="宋体" w:hAnsi="宋体" w:cs="宋体" w:eastAsia="宋体" w:hint="default"/>
                <w:sz w:val="18"/>
                <w:szCs w:val="18"/>
              </w:rPr>
            </w:pPr>
            <w:r>
              <w:rPr>
                <w:rFonts w:ascii="宋体"/>
                <w:spacing w:val="-1"/>
                <w:sz w:val="18"/>
              </w:rPr>
              <w:t>59,687.71</w:t>
            </w:r>
          </w:p>
        </w:tc>
        <w:tc>
          <w:tcPr>
            <w:tcW w:w="1429"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
        </w:tc>
      </w:tr>
      <w:tr>
        <w:trPr>
          <w:trHeight w:val="394"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装修费</w:t>
            </w:r>
            <w:r>
              <w:rPr>
                <w:rFonts w:ascii="宋体" w:hAnsi="宋体" w:cs="宋体" w:eastAsia="宋体" w:hint="default"/>
                <w:sz w:val="18"/>
                <w:szCs w:val="18"/>
              </w:rPr>
              <w:t>-</w:t>
            </w:r>
            <w:r>
              <w:rPr>
                <w:rFonts w:ascii="宋体" w:hAnsi="宋体" w:cs="宋体" w:eastAsia="宋体" w:hint="default"/>
                <w:sz w:val="18"/>
                <w:szCs w:val="18"/>
              </w:rPr>
              <w:t>路演中心</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6"/>
              <w:jc w:val="right"/>
              <w:rPr>
                <w:rFonts w:ascii="宋体" w:hAnsi="宋体" w:cs="宋体" w:eastAsia="宋体" w:hint="default"/>
                <w:sz w:val="18"/>
                <w:szCs w:val="18"/>
              </w:rPr>
            </w:pPr>
            <w:r>
              <w:rPr>
                <w:rFonts w:ascii="宋体"/>
                <w:spacing w:val="-1"/>
                <w:sz w:val="18"/>
              </w:rPr>
              <w:t>4,997,827.81</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11" w:right="0"/>
              <w:jc w:val="left"/>
              <w:rPr>
                <w:rFonts w:ascii="宋体" w:hAnsi="宋体" w:cs="宋体" w:eastAsia="宋体" w:hint="default"/>
                <w:sz w:val="18"/>
                <w:szCs w:val="18"/>
              </w:rPr>
            </w:pPr>
            <w:r>
              <w:rPr>
                <w:rFonts w:ascii="宋体"/>
                <w:sz w:val="18"/>
              </w:rPr>
              <w:t>14,260,110.38</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2"/>
              <w:jc w:val="right"/>
              <w:rPr>
                <w:rFonts w:ascii="宋体" w:hAnsi="宋体" w:cs="宋体" w:eastAsia="宋体" w:hint="default"/>
                <w:sz w:val="18"/>
                <w:szCs w:val="18"/>
              </w:rPr>
            </w:pPr>
            <w:r>
              <w:rPr>
                <w:rFonts w:ascii="宋体"/>
                <w:spacing w:val="-1"/>
                <w:sz w:val="18"/>
              </w:rPr>
              <w:t>9,600,972.78</w:t>
            </w:r>
          </w:p>
        </w:tc>
        <w:tc>
          <w:tcPr>
            <w:tcW w:w="142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9,656,965.41</w:t>
            </w:r>
          </w:p>
        </w:tc>
      </w:tr>
      <w:tr>
        <w:trPr>
          <w:trHeight w:val="300" w:hRule="exact"/>
        </w:trPr>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97"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66"/>
              <w:jc w:val="right"/>
              <w:rPr>
                <w:rFonts w:ascii="宋体" w:hAnsi="宋体" w:cs="宋体" w:eastAsia="宋体" w:hint="default"/>
                <w:sz w:val="18"/>
                <w:szCs w:val="18"/>
              </w:rPr>
            </w:pPr>
            <w:r>
              <w:rPr>
                <w:rFonts w:ascii="宋体"/>
                <w:w w:val="101"/>
                <w:sz w:val="18"/>
              </w:rPr>
            </w:r>
            <w:r>
              <w:rPr>
                <w:rFonts w:ascii="宋体"/>
                <w:spacing w:val="-1"/>
                <w:sz w:val="18"/>
                <w:u w:val="thick" w:color="000000"/>
              </w:rPr>
              <w:t>5,057,515.52</w:t>
            </w:r>
            <w:r>
              <w:rPr>
                <w:rFonts w:ascii="宋体"/>
                <w:spacing w:val="-1"/>
                <w:sz w:val="18"/>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11" w:right="0"/>
              <w:jc w:val="left"/>
              <w:rPr>
                <w:rFonts w:ascii="宋体" w:hAnsi="宋体" w:cs="宋体" w:eastAsia="宋体" w:hint="default"/>
                <w:sz w:val="18"/>
                <w:szCs w:val="18"/>
              </w:rPr>
            </w:pPr>
            <w:r>
              <w:rPr>
                <w:rFonts w:ascii="宋体"/>
                <w:w w:val="101"/>
                <w:sz w:val="18"/>
              </w:rPr>
            </w:r>
            <w:r>
              <w:rPr>
                <w:rFonts w:ascii="宋体"/>
                <w:sz w:val="18"/>
                <w:u w:val="thick" w:color="000000"/>
              </w:rPr>
              <w:t>14,260,110.38</w:t>
            </w:r>
            <w:r>
              <w:rPr>
                <w:rFonts w:ascii="宋体"/>
                <w:sz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2"/>
              <w:jc w:val="right"/>
              <w:rPr>
                <w:rFonts w:ascii="宋体" w:hAnsi="宋体" w:cs="宋体" w:eastAsia="宋体" w:hint="default"/>
                <w:sz w:val="18"/>
                <w:szCs w:val="18"/>
              </w:rPr>
            </w:pPr>
            <w:r>
              <w:rPr>
                <w:rFonts w:ascii="宋体"/>
                <w:w w:val="101"/>
                <w:sz w:val="18"/>
              </w:rPr>
            </w:r>
            <w:r>
              <w:rPr>
                <w:rFonts w:ascii="宋体"/>
                <w:spacing w:val="-1"/>
                <w:sz w:val="18"/>
                <w:u w:val="thick" w:color="000000"/>
              </w:rPr>
              <w:t>9,660,660.49</w:t>
            </w:r>
            <w:r>
              <w:rPr>
                <w:rFonts w:ascii="宋体"/>
                <w:spacing w:val="-1"/>
                <w:sz w:val="18"/>
              </w:rPr>
            </w:r>
          </w:p>
        </w:tc>
        <w:tc>
          <w:tcPr>
            <w:tcW w:w="1429"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9,656,965.41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453" w:lineRule="auto" w:before="36"/>
        <w:ind w:left="635" w:right="5495"/>
        <w:jc w:val="left"/>
      </w:pPr>
      <w:bookmarkStart w:name="（十二）递延所得税资产及递延所得税负债" w:id="210"/>
      <w:bookmarkEnd w:id="210"/>
      <w:r>
        <w:rPr/>
      </w:r>
      <w:r>
        <w:rPr>
          <w:spacing w:val="-2"/>
        </w:rPr>
        <w:t>（十二）递延所得税资产及递延所得税负债</w:t>
      </w:r>
      <w:r>
        <w:rPr>
          <w:spacing w:val="-65"/>
        </w:rPr>
        <w:t> </w:t>
      </w:r>
      <w:r>
        <w:rPr>
          <w:spacing w:val="-65"/>
        </w:rPr>
      </w:r>
      <w:r>
        <w:rPr>
          <w:rFonts w:ascii="宋体" w:hAnsi="宋体" w:cs="宋体" w:eastAsia="宋体" w:hint="default"/>
        </w:rPr>
        <w:t>1.</w:t>
      </w:r>
      <w:r>
        <w:rPr/>
        <w:t>未经抵销的递延所得税资产</w:t>
      </w:r>
    </w:p>
    <w:p>
      <w:pPr>
        <w:tabs>
          <w:tab w:pos="4424" w:val="left" w:leader="none"/>
        </w:tabs>
        <w:spacing w:line="219" w:lineRule="exact" w:before="111"/>
        <w:ind w:left="1091" w:right="0" w:firstLine="0"/>
        <w:jc w:val="center"/>
        <w:rPr>
          <w:rFonts w:ascii="宋体" w:hAnsi="宋体" w:cs="宋体" w:eastAsia="宋体" w:hint="default"/>
          <w:sz w:val="18"/>
          <w:szCs w:val="18"/>
        </w:rPr>
      </w:pPr>
      <w:r>
        <w:rPr>
          <w:rFonts w:ascii="宋体" w:hAnsi="宋体" w:cs="宋体" w:eastAsia="宋体" w:hint="default"/>
          <w:b/>
          <w:bCs/>
          <w:sz w:val="18"/>
          <w:szCs w:val="18"/>
        </w:rPr>
        <w:t>期末余额</w:t>
        <w:tab/>
        <w:t>期初余额</w:t>
      </w:r>
      <w:r>
        <w:rPr>
          <w:rFonts w:ascii="宋体" w:hAnsi="宋体" w:cs="宋体" w:eastAsia="宋体" w:hint="default"/>
          <w:sz w:val="18"/>
          <w:szCs w:val="18"/>
        </w:rPr>
      </w:r>
    </w:p>
    <w:p>
      <w:pPr>
        <w:spacing w:line="199" w:lineRule="exact" w:before="0"/>
        <w:ind w:left="1519" w:right="1118"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2882" w:val="left" w:leader="none"/>
          <w:tab w:pos="4428" w:val="left" w:leader="none"/>
          <w:tab w:pos="6104" w:val="left" w:leader="none"/>
        </w:tabs>
        <w:spacing w:line="216" w:lineRule="exact" w:before="0"/>
        <w:ind w:left="1043" w:right="0" w:firstLine="0"/>
        <w:jc w:val="center"/>
        <w:rPr>
          <w:rFonts w:ascii="宋体" w:hAnsi="宋体" w:cs="宋体" w:eastAsia="宋体" w:hint="default"/>
          <w:sz w:val="18"/>
          <w:szCs w:val="18"/>
        </w:rPr>
      </w:pPr>
      <w:r>
        <w:rPr>
          <w:rFonts w:ascii="宋体" w:hAnsi="宋体" w:cs="宋体" w:eastAsia="宋体" w:hint="default"/>
          <w:b/>
          <w:bCs/>
          <w:spacing w:val="-2"/>
          <w:sz w:val="18"/>
          <w:szCs w:val="18"/>
        </w:rPr>
        <w:t>可抵扣暂时性差异</w:t>
        <w:tab/>
        <w:t>递延所得税资产</w:t>
        <w:tab/>
        <w:t>可抵扣暂时性差异</w:t>
        <w:tab/>
        <w:t>递延所得税资产</w:t>
      </w:r>
      <w:r>
        <w:rPr>
          <w:rFonts w:ascii="宋体" w:hAnsi="宋体" w:cs="宋体" w:eastAsia="宋体" w:hint="default"/>
          <w:spacing w:val="-2"/>
          <w:sz w:val="18"/>
          <w:szCs w:val="18"/>
        </w:rPr>
      </w:r>
    </w:p>
    <w:p>
      <w:pPr>
        <w:spacing w:line="240" w:lineRule="auto" w:before="0"/>
        <w:rPr>
          <w:rFonts w:ascii="宋体" w:hAnsi="宋体" w:cs="宋体" w:eastAsia="宋体" w:hint="default"/>
          <w:b/>
          <w:bCs/>
          <w:sz w:val="5"/>
          <w:szCs w:val="5"/>
        </w:rPr>
      </w:pPr>
    </w:p>
    <w:p>
      <w:pPr>
        <w:spacing w:line="20" w:lineRule="exact"/>
        <w:ind w:left="774" w:right="0" w:firstLine="0"/>
        <w:rPr>
          <w:rFonts w:ascii="宋体" w:hAnsi="宋体" w:cs="宋体" w:eastAsia="宋体" w:hint="default"/>
          <w:sz w:val="2"/>
          <w:szCs w:val="2"/>
        </w:rPr>
      </w:pPr>
      <w:r>
        <w:rPr>
          <w:rFonts w:ascii="宋体" w:hAnsi="宋体" w:cs="宋体" w:eastAsia="宋体" w:hint="default"/>
          <w:sz w:val="2"/>
          <w:szCs w:val="2"/>
        </w:rPr>
        <w:pict>
          <v:group style="width:425.95pt;height:.5pt;mso-position-horizontal-relative:char;mso-position-vertical-relative:line" coordorigin="0,0" coordsize="8519,10">
            <v:group style="position:absolute;left:5;top:5;width:1835;height:2" coordorigin="5,5" coordsize="1835,2">
              <v:shape style="position:absolute;left:5;top:5;width:1835;height:2" coordorigin="5,5" coordsize="1835,0" path="m5,5l1839,5e" filled="false" stroked="true" strokeweight=".48001pt" strokecolor="#000000">
                <v:path arrowok="t"/>
              </v:shape>
            </v:group>
            <v:group style="position:absolute;left:1839;top:5;width:10;height:2" coordorigin="1839,5" coordsize="10,2">
              <v:shape style="position:absolute;left:1839;top:5;width:10;height:2" coordorigin="1839,5" coordsize="10,0" path="m1839,5l1849,5e" filled="false" stroked="true" strokeweight=".48001pt" strokecolor="#000000">
                <v:path arrowok="t"/>
              </v:shape>
            </v:group>
            <v:group style="position:absolute;left:1849;top:5;width:1902;height:2" coordorigin="1849,5" coordsize="1902,2">
              <v:shape style="position:absolute;left:1849;top:5;width:1902;height:2" coordorigin="1849,5" coordsize="1902,0" path="m1849,5l3750,5e" filled="false" stroked="true" strokeweight=".48001pt" strokecolor="#000000">
                <v:path arrowok="t"/>
              </v:shape>
            </v:group>
            <v:group style="position:absolute;left:3750;top:5;width:10;height:2" coordorigin="3750,5" coordsize="10,2">
              <v:shape style="position:absolute;left:3750;top:5;width:10;height:2" coordorigin="3750,5" coordsize="10,0" path="m3750,5l3760,5e" filled="false" stroked="true" strokeweight=".48001pt" strokecolor="#000000">
                <v:path arrowok="t"/>
              </v:shape>
            </v:group>
            <v:group style="position:absolute;left:3760;top:5;width:1585;height:2" coordorigin="3760,5" coordsize="1585,2">
              <v:shape style="position:absolute;left:3760;top:5;width:1585;height:2" coordorigin="3760,5" coordsize="1585,0" path="m3760,5l5345,5e" filled="false" stroked="true" strokeweight=".48001pt" strokecolor="#000000">
                <v:path arrowok="t"/>
              </v:shape>
            </v:group>
            <v:group style="position:absolute;left:5345;top:5;width:10;height:2" coordorigin="5345,5" coordsize="10,2">
              <v:shape style="position:absolute;left:5345;top:5;width:10;height:2" coordorigin="5345,5" coordsize="10,0" path="m5345,5l5354,5e" filled="false" stroked="true" strokeweight=".48001pt" strokecolor="#000000">
                <v:path arrowok="t"/>
              </v:shape>
            </v:group>
            <v:group style="position:absolute;left:5354;top:5;width:1667;height:2" coordorigin="5354,5" coordsize="1667,2">
              <v:shape style="position:absolute;left:5354;top:5;width:1667;height:2" coordorigin="5354,5" coordsize="1667,0" path="m5354,5l7020,5e" filled="false" stroked="true" strokeweight=".48001pt" strokecolor="#000000">
                <v:path arrowok="t"/>
              </v:shape>
            </v:group>
            <v:group style="position:absolute;left:7021;top:5;width:10;height:2" coordorigin="7021,5" coordsize="10,2">
              <v:shape style="position:absolute;left:7021;top:5;width:10;height:2" coordorigin="7021,5" coordsize="10,0" path="m7021,5l7030,5e" filled="false" stroked="true" strokeweight=".48001pt" strokecolor="#000000">
                <v:path arrowok="t"/>
              </v:shape>
            </v:group>
            <v:group style="position:absolute;left:7030;top:5;width:1484;height:2" coordorigin="7030,5" coordsize="1484,2">
              <v:shape style="position:absolute;left:7030;top:5;width:1484;height:2" coordorigin="7030,5" coordsize="1484,0" path="m7030,5l8514,5e" filled="false" stroked="true" strokeweight=".48001pt" strokecolor="#000000">
                <v:path arrowok="t"/>
              </v:shape>
            </v:group>
          </v:group>
        </w:pict>
      </w:r>
      <w:r>
        <w:rPr>
          <w:rFonts w:ascii="宋体" w:hAnsi="宋体" w:cs="宋体" w:eastAsia="宋体" w:hint="default"/>
          <w:sz w:val="2"/>
          <w:szCs w:val="2"/>
        </w:rPr>
      </w:r>
    </w:p>
    <w:p>
      <w:pPr>
        <w:tabs>
          <w:tab w:pos="2983" w:val="left" w:leader="none"/>
          <w:tab w:pos="4779" w:val="left" w:leader="none"/>
          <w:tab w:pos="6373" w:val="left" w:leader="none"/>
          <w:tab w:pos="8001" w:val="left" w:leader="none"/>
        </w:tabs>
        <w:spacing w:before="86"/>
        <w:ind w:left="1159" w:right="1118" w:firstLine="0"/>
        <w:jc w:val="left"/>
        <w:rPr>
          <w:rFonts w:ascii="宋体" w:hAnsi="宋体" w:cs="宋体" w:eastAsia="宋体" w:hint="default"/>
          <w:sz w:val="18"/>
          <w:szCs w:val="18"/>
        </w:rPr>
      </w:pPr>
      <w:r>
        <w:rPr>
          <w:rFonts w:ascii="宋体" w:hAnsi="宋体" w:cs="宋体" w:eastAsia="宋体" w:hint="default"/>
          <w:spacing w:val="-2"/>
          <w:sz w:val="18"/>
          <w:szCs w:val="18"/>
        </w:rPr>
        <w:t>资产减值准备</w:t>
        <w:tab/>
      </w:r>
      <w:r>
        <w:rPr>
          <w:rFonts w:ascii="宋体" w:hAnsi="宋体" w:cs="宋体" w:eastAsia="宋体" w:hint="default"/>
          <w:spacing w:val="-1"/>
          <w:sz w:val="18"/>
          <w:szCs w:val="18"/>
        </w:rPr>
        <w:t>16,165,784.52</w:t>
        <w:tab/>
        <w:t>2,393,895.28</w:t>
        <w:tab/>
        <w:t>14,356,720.56</w:t>
        <w:tab/>
        <w:t>2,153,508.08</w:t>
      </w:r>
    </w:p>
    <w:p>
      <w:pPr>
        <w:spacing w:line="240" w:lineRule="auto" w:before="7"/>
        <w:rPr>
          <w:rFonts w:ascii="宋体" w:hAnsi="宋体" w:cs="宋体" w:eastAsia="宋体" w:hint="default"/>
          <w:sz w:val="8"/>
          <w:szCs w:val="8"/>
        </w:rPr>
      </w:pPr>
    </w:p>
    <w:p>
      <w:pPr>
        <w:tabs>
          <w:tab w:pos="2983" w:val="left" w:leader="none"/>
          <w:tab w:pos="4779" w:val="left" w:leader="none"/>
          <w:tab w:pos="6373" w:val="left" w:leader="none"/>
          <w:tab w:pos="8001" w:val="left" w:leader="none"/>
        </w:tabs>
        <w:spacing w:before="46"/>
        <w:ind w:left="1519" w:right="1118"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pacing w:val="-1"/>
          <w:sz w:val="18"/>
          <w:szCs w:val="18"/>
          <w:u w:val="thick" w:color="000000"/>
        </w:rPr>
        <w:t>16,165,784.52</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2,393,895.28</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14,356,720.56</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2,153,508.08</w:t>
      </w:r>
      <w:r>
        <w:rPr>
          <w:rFonts w:ascii="宋体" w:hAnsi="宋体" w:cs="宋体" w:eastAsia="宋体" w:hint="default"/>
          <w:spacing w:val="-1"/>
          <w:sz w:val="18"/>
          <w:szCs w:val="18"/>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312" w:lineRule="auto"/>
        <w:ind w:left="213" w:right="1122" w:firstLine="422"/>
        <w:jc w:val="both"/>
      </w:pPr>
      <w:r>
        <w:rPr>
          <w:spacing w:val="-3"/>
        </w:rPr>
        <w:t>注：</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日可抵扣暂时性差异</w:t>
      </w:r>
      <w:r>
        <w:rPr>
          <w:rFonts w:ascii="宋体" w:hAnsi="宋体" w:cs="宋体" w:eastAsia="宋体" w:hint="default"/>
          <w:spacing w:val="-3"/>
        </w:rPr>
        <w:t>58,842,695.54</w:t>
      </w:r>
      <w:r>
        <w:rPr>
          <w:spacing w:val="-3"/>
        </w:rPr>
        <w:t>元，其中，已确认递延所得税资产</w:t>
      </w:r>
      <w:r>
        <w:rPr>
          <w:rFonts w:ascii="宋体" w:hAnsi="宋体" w:cs="宋体" w:eastAsia="宋体" w:hint="default"/>
          <w:spacing w:val="-3"/>
        </w:rPr>
        <w:t>2,393,895.28</w:t>
      </w:r>
      <w:r>
        <w:rPr>
          <w:rFonts w:ascii="宋体" w:hAnsi="宋体" w:cs="宋体" w:eastAsia="宋体" w:hint="default"/>
          <w:w w:val="100"/>
        </w:rPr>
        <w:t> </w:t>
      </w:r>
      <w:r>
        <w:rPr>
          <w:spacing w:val="16"/>
        </w:rPr>
        <w:t>元，对应的可抵扣暂时性差异</w:t>
      </w:r>
      <w:r>
        <w:rPr>
          <w:spacing w:val="-57"/>
        </w:rPr>
        <w:t> </w:t>
      </w:r>
      <w:r>
        <w:rPr>
          <w:rFonts w:ascii="宋体" w:hAnsi="宋体" w:cs="宋体" w:eastAsia="宋体" w:hint="default"/>
        </w:rPr>
        <w:t>16,165,784.52</w:t>
      </w:r>
      <w:r>
        <w:rPr>
          <w:rFonts w:ascii="宋体" w:hAnsi="宋体" w:cs="宋体" w:eastAsia="宋体" w:hint="default"/>
          <w:spacing w:val="-59"/>
        </w:rPr>
        <w:t> </w:t>
      </w:r>
      <w:r>
        <w:rPr>
          <w:spacing w:val="16"/>
        </w:rPr>
        <w:t>元；未确认递延所得税资产对应的可抵扣暂时性差异</w:t>
      </w:r>
      <w:r>
        <w:rPr>
          <w:spacing w:val="-71"/>
        </w:rPr>
        <w:t> </w:t>
      </w:r>
      <w:r>
        <w:rPr>
          <w:spacing w:val="-71"/>
        </w:rPr>
      </w:r>
      <w:r>
        <w:rPr>
          <w:rFonts w:ascii="宋体" w:hAnsi="宋体" w:cs="宋体" w:eastAsia="宋体" w:hint="default"/>
        </w:rPr>
        <w:t>42,676,911.02</w:t>
      </w:r>
      <w:r>
        <w:rPr/>
        <w:t>元。未确认原因是部分子公司存在亏损或规模较小，未来能否获得足够的应纳税所得额具</w:t>
      </w:r>
      <w:r>
        <w:rPr>
          <w:spacing w:val="-32"/>
        </w:rPr>
        <w:t> </w:t>
      </w:r>
      <w:r>
        <w:rPr>
          <w:spacing w:val="-32"/>
        </w:rPr>
      </w:r>
      <w:r>
        <w:rPr/>
        <w:t>有不确定性，故未对可抵扣暂时性差异确认递延所得税资产。</w:t>
      </w:r>
    </w:p>
    <w:p>
      <w:pPr>
        <w:spacing w:line="240" w:lineRule="auto" w:before="10"/>
        <w:rPr>
          <w:rFonts w:ascii="宋体" w:hAnsi="宋体" w:cs="宋体" w:eastAsia="宋体" w:hint="default"/>
          <w:sz w:val="13"/>
          <w:szCs w:val="13"/>
        </w:rPr>
      </w:pPr>
    </w:p>
    <w:p>
      <w:pPr>
        <w:pStyle w:val="BodyText"/>
        <w:spacing w:line="448" w:lineRule="auto"/>
        <w:ind w:left="635" w:right="7442"/>
        <w:jc w:val="left"/>
      </w:pPr>
      <w:r>
        <w:rPr>
          <w:rFonts w:ascii="宋体" w:hAnsi="宋体" w:cs="宋体" w:eastAsia="宋体" w:hint="default"/>
          <w:spacing w:val="-1"/>
        </w:rPr>
        <w:t>2.</w:t>
      </w:r>
      <w:r>
        <w:rPr>
          <w:spacing w:val="-1"/>
        </w:rPr>
        <w:t>未抵销的递延所得税负债</w:t>
      </w:r>
      <w:r>
        <w:rPr>
          <w:spacing w:val="-88"/>
        </w:rPr>
        <w:t> </w:t>
      </w:r>
      <w:r>
        <w:rPr>
          <w:spacing w:val="-88"/>
        </w:rPr>
      </w:r>
      <w:r>
        <w:rPr/>
        <w:t>无。</w:t>
      </w:r>
    </w:p>
    <w:p>
      <w:pPr>
        <w:pStyle w:val="BodyText"/>
        <w:spacing w:line="448" w:lineRule="auto" w:before="61"/>
        <w:ind w:left="635" w:right="5770"/>
        <w:jc w:val="left"/>
      </w:pPr>
      <w:r>
        <w:rPr>
          <w:rFonts w:ascii="宋体" w:hAnsi="宋体" w:cs="宋体" w:eastAsia="宋体" w:hint="default"/>
          <w:spacing w:val="-1"/>
        </w:rPr>
        <w:t>3.</w:t>
      </w:r>
      <w:r>
        <w:rPr>
          <w:spacing w:val="-1"/>
        </w:rPr>
        <w:t>以抵销后净额列示的递延所得税资产或负债</w:t>
      </w:r>
      <w:r>
        <w:rPr>
          <w:spacing w:val="-80"/>
        </w:rPr>
        <w:t> </w:t>
      </w:r>
      <w:r>
        <w:rPr>
          <w:spacing w:val="-80"/>
        </w:rPr>
      </w:r>
      <w:r>
        <w:rPr/>
        <w:t>无。</w:t>
      </w:r>
    </w:p>
    <w:p>
      <w:pPr>
        <w:pStyle w:val="BodyText"/>
        <w:spacing w:line="240" w:lineRule="auto" w:before="61"/>
        <w:ind w:left="635" w:right="1118"/>
        <w:jc w:val="left"/>
      </w:pPr>
      <w:r>
        <w:rPr>
          <w:rFonts w:ascii="宋体" w:hAnsi="宋体" w:cs="宋体" w:eastAsia="宋体" w:hint="default"/>
        </w:rPr>
        <w:t>4.</w:t>
      </w:r>
      <w:r>
        <w:rPr/>
        <w:t>未确认递延所得税资产明细</w:t>
      </w:r>
    </w:p>
    <w:p>
      <w:pPr>
        <w:spacing w:line="240" w:lineRule="auto" w:before="12"/>
        <w:rPr>
          <w:rFonts w:ascii="宋体" w:hAnsi="宋体" w:cs="宋体" w:eastAsia="宋体" w:hint="default"/>
          <w:sz w:val="26"/>
          <w:szCs w:val="26"/>
        </w:rPr>
      </w:pPr>
    </w:p>
    <w:tbl>
      <w:tblPr>
        <w:tblW w:w="0" w:type="auto"/>
        <w:jc w:val="left"/>
        <w:tblInd w:w="779" w:type="dxa"/>
        <w:tblLayout w:type="fixed"/>
        <w:tblCellMar>
          <w:top w:w="0" w:type="dxa"/>
          <w:left w:w="0" w:type="dxa"/>
          <w:bottom w:w="0" w:type="dxa"/>
          <w:right w:w="0" w:type="dxa"/>
        </w:tblCellMar>
        <w:tblLook w:val="01E0"/>
      </w:tblPr>
      <w:tblGrid>
        <w:gridCol w:w="2747"/>
        <w:gridCol w:w="3402"/>
        <w:gridCol w:w="2360"/>
      </w:tblGrid>
      <w:tr>
        <w:trPr>
          <w:trHeight w:val="253" w:hRule="exact"/>
        </w:trPr>
        <w:tc>
          <w:tcPr>
            <w:tcW w:w="2747" w:type="dxa"/>
            <w:tcBorders>
              <w:top w:val="nil" w:sz="6" w:space="0" w:color="auto"/>
              <w:left w:val="nil" w:sz="6" w:space="0" w:color="auto"/>
              <w:bottom w:val="single" w:sz="4" w:space="0" w:color="000000"/>
              <w:right w:val="nil" w:sz="6" w:space="0" w:color="auto"/>
            </w:tcBorders>
          </w:tcPr>
          <w:p>
            <w:pPr>
              <w:pStyle w:val="TableParagraph"/>
              <w:spacing w:line="182" w:lineRule="exact"/>
              <w:ind w:right="114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tcBorders>
              <w:top w:val="nil" w:sz="6" w:space="0" w:color="auto"/>
              <w:left w:val="nil" w:sz="6" w:space="0" w:color="auto"/>
              <w:bottom w:val="single" w:sz="4" w:space="0" w:color="000000"/>
              <w:right w:val="nil" w:sz="6" w:space="0" w:color="auto"/>
            </w:tcBorders>
          </w:tcPr>
          <w:p>
            <w:pPr>
              <w:pStyle w:val="TableParagraph"/>
              <w:spacing w:line="182" w:lineRule="exact"/>
              <w:ind w:right="38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60" w:type="dxa"/>
            <w:tcBorders>
              <w:top w:val="nil" w:sz="6" w:space="0" w:color="auto"/>
              <w:left w:val="nil" w:sz="6" w:space="0" w:color="auto"/>
              <w:bottom w:val="single" w:sz="4" w:space="0" w:color="000000"/>
              <w:right w:val="nil" w:sz="6" w:space="0" w:color="auto"/>
            </w:tcBorders>
          </w:tcPr>
          <w:p>
            <w:pPr>
              <w:pStyle w:val="TableParagraph"/>
              <w:spacing w:line="182" w:lineRule="exact"/>
              <w:ind w:left="57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6" w:hRule="exact"/>
        </w:trPr>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40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576"/>
              <w:jc w:val="right"/>
              <w:rPr>
                <w:rFonts w:ascii="宋体" w:hAnsi="宋体" w:cs="宋体" w:eastAsia="宋体" w:hint="default"/>
                <w:sz w:val="18"/>
                <w:szCs w:val="18"/>
              </w:rPr>
            </w:pPr>
            <w:r>
              <w:rPr>
                <w:rFonts w:ascii="宋体"/>
                <w:spacing w:val="-1"/>
                <w:sz w:val="18"/>
              </w:rPr>
              <w:t>3,444,097.18</w:t>
            </w:r>
          </w:p>
        </w:tc>
        <w:tc>
          <w:tcPr>
            <w:tcW w:w="23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3"/>
              <w:jc w:val="right"/>
              <w:rPr>
                <w:rFonts w:ascii="宋体" w:hAnsi="宋体" w:cs="宋体" w:eastAsia="宋体" w:hint="default"/>
                <w:sz w:val="18"/>
                <w:szCs w:val="18"/>
              </w:rPr>
            </w:pPr>
            <w:r>
              <w:rPr>
                <w:rFonts w:ascii="宋体"/>
                <w:spacing w:val="-1"/>
                <w:sz w:val="18"/>
              </w:rPr>
              <w:t>2,099,022.73</w:t>
            </w:r>
          </w:p>
        </w:tc>
      </w:tr>
      <w:tr>
        <w:trPr>
          <w:trHeight w:val="398"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8"/>
              <w:jc w:val="right"/>
              <w:rPr>
                <w:rFonts w:ascii="宋体" w:hAnsi="宋体" w:cs="宋体" w:eastAsia="宋体" w:hint="default"/>
                <w:sz w:val="18"/>
                <w:szCs w:val="18"/>
              </w:rPr>
            </w:pPr>
            <w:r>
              <w:rPr>
                <w:rFonts w:ascii="宋体"/>
                <w:spacing w:val="-1"/>
                <w:sz w:val="18"/>
              </w:rPr>
              <w:t>39,232,813.84</w:t>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3"/>
              <w:jc w:val="right"/>
              <w:rPr>
                <w:rFonts w:ascii="宋体" w:hAnsi="宋体" w:cs="宋体" w:eastAsia="宋体" w:hint="default"/>
                <w:sz w:val="18"/>
                <w:szCs w:val="18"/>
              </w:rPr>
            </w:pPr>
            <w:r>
              <w:rPr>
                <w:rFonts w:ascii="宋体"/>
                <w:spacing w:val="-1"/>
                <w:sz w:val="18"/>
              </w:rPr>
              <w:t>22,865,144.59</w:t>
            </w:r>
          </w:p>
        </w:tc>
      </w:tr>
      <w:tr>
        <w:trPr>
          <w:trHeight w:val="295"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4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8"/>
              <w:jc w:val="right"/>
              <w:rPr>
                <w:rFonts w:ascii="宋体" w:hAnsi="宋体" w:cs="宋体" w:eastAsia="宋体" w:hint="default"/>
                <w:sz w:val="18"/>
                <w:szCs w:val="18"/>
              </w:rPr>
            </w:pPr>
            <w:r>
              <w:rPr>
                <w:rFonts w:ascii="宋体"/>
                <w:w w:val="101"/>
                <w:sz w:val="18"/>
              </w:rPr>
            </w:r>
            <w:r>
              <w:rPr>
                <w:rFonts w:ascii="宋体"/>
                <w:spacing w:val="-1"/>
                <w:sz w:val="18"/>
                <w:u w:val="thick" w:color="000000"/>
              </w:rPr>
              <w:t>42,676,911.02</w:t>
            </w:r>
            <w:r>
              <w:rPr>
                <w:rFonts w:ascii="宋体"/>
                <w:spacing w:val="-1"/>
                <w:sz w:val="18"/>
              </w:rPr>
            </w:r>
          </w:p>
        </w:tc>
        <w:tc>
          <w:tcPr>
            <w:tcW w:w="23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3"/>
              <w:jc w:val="right"/>
              <w:rPr>
                <w:rFonts w:ascii="宋体" w:hAnsi="宋体" w:cs="宋体" w:eastAsia="宋体" w:hint="default"/>
                <w:sz w:val="18"/>
                <w:szCs w:val="18"/>
              </w:rPr>
            </w:pPr>
            <w:r>
              <w:rPr>
                <w:rFonts w:ascii="宋体"/>
                <w:w w:val="101"/>
                <w:sz w:val="18"/>
              </w:rPr>
            </w:r>
            <w:r>
              <w:rPr>
                <w:rFonts w:ascii="宋体"/>
                <w:spacing w:val="-1"/>
                <w:sz w:val="18"/>
                <w:u w:val="thick" w:color="000000"/>
              </w:rPr>
              <w:t>24,964,167.32</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635" w:right="1118"/>
        <w:jc w:val="left"/>
      </w:pPr>
      <w:r>
        <w:rPr>
          <w:rFonts w:ascii="宋体" w:hAnsi="宋体" w:cs="宋体" w:eastAsia="宋体" w:hint="default"/>
        </w:rPr>
        <w:t>5.</w:t>
      </w:r>
      <w:r>
        <w:rPr/>
        <w:t>未确认递延所得税资产的可抵扣亏损将于以下年度到期</w:t>
      </w:r>
    </w:p>
    <w:p>
      <w:pPr>
        <w:spacing w:line="240" w:lineRule="auto" w:before="11"/>
        <w:rPr>
          <w:rFonts w:ascii="宋体" w:hAnsi="宋体" w:cs="宋体" w:eastAsia="宋体" w:hint="default"/>
          <w:sz w:val="26"/>
          <w:szCs w:val="26"/>
        </w:rPr>
      </w:pPr>
    </w:p>
    <w:tbl>
      <w:tblPr>
        <w:tblW w:w="0" w:type="auto"/>
        <w:jc w:val="left"/>
        <w:tblInd w:w="779" w:type="dxa"/>
        <w:tblLayout w:type="fixed"/>
        <w:tblCellMar>
          <w:top w:w="0" w:type="dxa"/>
          <w:left w:w="0" w:type="dxa"/>
          <w:bottom w:w="0" w:type="dxa"/>
          <w:right w:w="0" w:type="dxa"/>
        </w:tblCellMar>
        <w:tblLook w:val="01E0"/>
      </w:tblPr>
      <w:tblGrid>
        <w:gridCol w:w="2039"/>
        <w:gridCol w:w="2516"/>
        <w:gridCol w:w="1921"/>
        <w:gridCol w:w="2034"/>
      </w:tblGrid>
      <w:tr>
        <w:trPr>
          <w:trHeight w:val="253" w:hRule="exact"/>
        </w:trPr>
        <w:tc>
          <w:tcPr>
            <w:tcW w:w="2039" w:type="dxa"/>
            <w:tcBorders>
              <w:top w:val="nil" w:sz="6" w:space="0" w:color="auto"/>
              <w:left w:val="nil" w:sz="6" w:space="0" w:color="auto"/>
              <w:bottom w:val="single" w:sz="4" w:space="0" w:color="000000"/>
              <w:right w:val="nil" w:sz="6" w:space="0" w:color="auto"/>
            </w:tcBorders>
          </w:tcPr>
          <w:p>
            <w:pPr>
              <w:pStyle w:val="TableParagraph"/>
              <w:spacing w:line="182" w:lineRule="exact"/>
              <w:ind w:right="788"/>
              <w:jc w:val="righ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516" w:type="dxa"/>
            <w:tcBorders>
              <w:top w:val="nil" w:sz="6" w:space="0" w:color="auto"/>
              <w:left w:val="nil" w:sz="6" w:space="0" w:color="auto"/>
              <w:bottom w:val="single" w:sz="4" w:space="0" w:color="000000"/>
              <w:right w:val="nil" w:sz="6" w:space="0" w:color="auto"/>
            </w:tcBorders>
          </w:tcPr>
          <w:p>
            <w:pPr>
              <w:pStyle w:val="TableParagraph"/>
              <w:spacing w:line="182" w:lineRule="exact"/>
              <w:ind w:left="7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21" w:type="dxa"/>
            <w:tcBorders>
              <w:top w:val="nil" w:sz="6" w:space="0" w:color="auto"/>
              <w:left w:val="nil" w:sz="6" w:space="0" w:color="auto"/>
              <w:bottom w:val="single" w:sz="4" w:space="0" w:color="000000"/>
              <w:right w:val="nil" w:sz="6" w:space="0" w:color="auto"/>
            </w:tcBorders>
          </w:tcPr>
          <w:p>
            <w:pPr>
              <w:pStyle w:val="TableParagraph"/>
              <w:spacing w:line="182" w:lineRule="exact"/>
              <w:ind w:left="4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34" w:type="dxa"/>
            <w:tcBorders>
              <w:top w:val="nil" w:sz="6" w:space="0" w:color="auto"/>
              <w:left w:val="nil" w:sz="6" w:space="0" w:color="auto"/>
              <w:bottom w:val="single" w:sz="4" w:space="0" w:color="000000"/>
              <w:right w:val="nil" w:sz="6" w:space="0" w:color="auto"/>
            </w:tcBorders>
          </w:tcPr>
          <w:p>
            <w:pPr>
              <w:pStyle w:val="TableParagraph"/>
              <w:spacing w:line="182" w:lineRule="exact"/>
              <w:ind w:right="86"/>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27" w:hRule="exact"/>
        </w:trPr>
        <w:tc>
          <w:tcPr>
            <w:tcW w:w="203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88"/>
              <w:jc w:val="right"/>
              <w:rPr>
                <w:rFonts w:ascii="宋体" w:hAnsi="宋体" w:cs="宋体" w:eastAsia="宋体" w:hint="default"/>
                <w:sz w:val="18"/>
                <w:szCs w:val="18"/>
              </w:rPr>
            </w:pPr>
            <w:r>
              <w:rPr>
                <w:rFonts w:ascii="宋体"/>
                <w:sz w:val="18"/>
              </w:rPr>
              <w:t>2020</w:t>
            </w:r>
          </w:p>
        </w:tc>
        <w:tc>
          <w:tcPr>
            <w:tcW w:w="2516" w:type="dxa"/>
            <w:tcBorders>
              <w:top w:val="single" w:sz="4" w:space="0" w:color="000000"/>
              <w:left w:val="nil" w:sz="6" w:space="0" w:color="auto"/>
              <w:bottom w:val="nil" w:sz="6" w:space="0" w:color="auto"/>
              <w:right w:val="nil" w:sz="6" w:space="0" w:color="auto"/>
            </w:tcBorders>
          </w:tcPr>
          <w:p>
            <w:pPr/>
          </w:p>
        </w:tc>
        <w:tc>
          <w:tcPr>
            <w:tcW w:w="1921" w:type="dxa"/>
            <w:tcBorders>
              <w:top w:val="single" w:sz="4" w:space="0" w:color="000000"/>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
        </w:tc>
      </w:tr>
      <w:tr>
        <w:trPr>
          <w:trHeight w:val="406"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88"/>
              <w:jc w:val="right"/>
              <w:rPr>
                <w:rFonts w:ascii="宋体" w:hAnsi="宋体" w:cs="宋体" w:eastAsia="宋体" w:hint="default"/>
                <w:sz w:val="18"/>
                <w:szCs w:val="18"/>
              </w:rPr>
            </w:pPr>
            <w:r>
              <w:rPr>
                <w:rFonts w:ascii="宋体"/>
                <w:sz w:val="18"/>
              </w:rPr>
              <w:t>2021</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98"/>
              <w:jc w:val="right"/>
              <w:rPr>
                <w:rFonts w:ascii="宋体" w:hAnsi="宋体" w:cs="宋体" w:eastAsia="宋体" w:hint="default"/>
                <w:sz w:val="18"/>
                <w:szCs w:val="18"/>
              </w:rPr>
            </w:pPr>
            <w:r>
              <w:rPr>
                <w:rFonts w:ascii="宋体"/>
                <w:spacing w:val="-1"/>
                <w:sz w:val="18"/>
              </w:rPr>
              <w:t>767,347.86</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2"/>
              <w:jc w:val="right"/>
              <w:rPr>
                <w:rFonts w:ascii="宋体" w:hAnsi="宋体" w:cs="宋体" w:eastAsia="宋体" w:hint="default"/>
                <w:sz w:val="18"/>
                <w:szCs w:val="18"/>
              </w:rPr>
            </w:pPr>
            <w:r>
              <w:rPr>
                <w:rFonts w:ascii="宋体"/>
                <w:spacing w:val="-1"/>
                <w:sz w:val="18"/>
              </w:rPr>
              <w:t>1,952,129.26</w:t>
            </w:r>
          </w:p>
        </w:tc>
        <w:tc>
          <w:tcPr>
            <w:tcW w:w="2034" w:type="dxa"/>
            <w:tcBorders>
              <w:top w:val="nil" w:sz="6" w:space="0" w:color="auto"/>
              <w:left w:val="nil" w:sz="6" w:space="0" w:color="auto"/>
              <w:bottom w:val="nil" w:sz="6" w:space="0" w:color="auto"/>
              <w:right w:val="nil" w:sz="6" w:space="0" w:color="auto"/>
            </w:tcBorders>
          </w:tcPr>
          <w:p>
            <w:pPr/>
          </w:p>
        </w:tc>
      </w:tr>
      <w:tr>
        <w:trPr>
          <w:trHeight w:val="396"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88"/>
              <w:jc w:val="right"/>
              <w:rPr>
                <w:rFonts w:ascii="宋体" w:hAnsi="宋体" w:cs="宋体" w:eastAsia="宋体" w:hint="default"/>
                <w:sz w:val="18"/>
                <w:szCs w:val="18"/>
              </w:rPr>
            </w:pPr>
            <w:r>
              <w:rPr>
                <w:rFonts w:ascii="宋体"/>
                <w:sz w:val="18"/>
              </w:rPr>
              <w:t>2022</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8"/>
              <w:jc w:val="right"/>
              <w:rPr>
                <w:rFonts w:ascii="宋体" w:hAnsi="宋体" w:cs="宋体" w:eastAsia="宋体" w:hint="default"/>
                <w:sz w:val="18"/>
                <w:szCs w:val="18"/>
              </w:rPr>
            </w:pPr>
            <w:r>
              <w:rPr>
                <w:rFonts w:ascii="宋体"/>
                <w:spacing w:val="-1"/>
                <w:sz w:val="18"/>
              </w:rPr>
              <w:t>403,292.80</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2"/>
              <w:jc w:val="right"/>
              <w:rPr>
                <w:rFonts w:ascii="宋体" w:hAnsi="宋体" w:cs="宋体" w:eastAsia="宋体" w:hint="default"/>
                <w:sz w:val="18"/>
                <w:szCs w:val="18"/>
              </w:rPr>
            </w:pPr>
            <w:r>
              <w:rPr>
                <w:rFonts w:ascii="宋体"/>
                <w:spacing w:val="-1"/>
                <w:sz w:val="18"/>
              </w:rPr>
              <w:t>1,236,215.19</w:t>
            </w:r>
          </w:p>
        </w:tc>
        <w:tc>
          <w:tcPr>
            <w:tcW w:w="2034" w:type="dxa"/>
            <w:tcBorders>
              <w:top w:val="nil" w:sz="6" w:space="0" w:color="auto"/>
              <w:left w:val="nil" w:sz="6" w:space="0" w:color="auto"/>
              <w:bottom w:val="nil" w:sz="6" w:space="0" w:color="auto"/>
              <w:right w:val="nil" w:sz="6" w:space="0" w:color="auto"/>
            </w:tcBorders>
          </w:tcPr>
          <w:p>
            <w:pPr/>
          </w:p>
        </w:tc>
      </w:tr>
      <w:tr>
        <w:trPr>
          <w:trHeight w:val="300"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8"/>
              <w:jc w:val="right"/>
              <w:rPr>
                <w:rFonts w:ascii="宋体" w:hAnsi="宋体" w:cs="宋体" w:eastAsia="宋体" w:hint="default"/>
                <w:sz w:val="18"/>
                <w:szCs w:val="18"/>
              </w:rPr>
            </w:pPr>
            <w:r>
              <w:rPr>
                <w:rFonts w:ascii="宋体"/>
                <w:sz w:val="18"/>
              </w:rPr>
              <w:t>2023</w:t>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98"/>
              <w:jc w:val="right"/>
              <w:rPr>
                <w:rFonts w:ascii="宋体" w:hAnsi="宋体" w:cs="宋体" w:eastAsia="宋体" w:hint="default"/>
                <w:sz w:val="18"/>
                <w:szCs w:val="18"/>
              </w:rPr>
            </w:pPr>
            <w:r>
              <w:rPr>
                <w:rFonts w:ascii="宋体"/>
                <w:spacing w:val="-1"/>
                <w:sz w:val="18"/>
              </w:rPr>
              <w:t>18,303,519.02</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2"/>
              <w:jc w:val="right"/>
              <w:rPr>
                <w:rFonts w:ascii="宋体" w:hAnsi="宋体" w:cs="宋体" w:eastAsia="宋体" w:hint="default"/>
                <w:sz w:val="18"/>
                <w:szCs w:val="18"/>
              </w:rPr>
            </w:pPr>
            <w:r>
              <w:rPr>
                <w:rFonts w:ascii="宋体"/>
                <w:spacing w:val="-1"/>
                <w:sz w:val="18"/>
              </w:rPr>
              <w:t>19,676,800.14</w:t>
            </w:r>
          </w:p>
        </w:tc>
        <w:tc>
          <w:tcPr>
            <w:tcW w:w="203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719" w:type="dxa"/>
        <w:tblLayout w:type="fixed"/>
        <w:tblCellMar>
          <w:top w:w="0" w:type="dxa"/>
          <w:left w:w="0" w:type="dxa"/>
          <w:bottom w:w="0" w:type="dxa"/>
          <w:right w:w="0" w:type="dxa"/>
        </w:tblCellMar>
        <w:tblLook w:val="01E0"/>
      </w:tblPr>
      <w:tblGrid>
        <w:gridCol w:w="2039"/>
        <w:gridCol w:w="2516"/>
        <w:gridCol w:w="1921"/>
        <w:gridCol w:w="2034"/>
      </w:tblGrid>
      <w:tr>
        <w:trPr>
          <w:trHeight w:val="253" w:hRule="exact"/>
        </w:trPr>
        <w:tc>
          <w:tcPr>
            <w:tcW w:w="2039" w:type="dxa"/>
            <w:tcBorders>
              <w:top w:val="nil" w:sz="6" w:space="0" w:color="auto"/>
              <w:left w:val="nil" w:sz="6" w:space="0" w:color="auto"/>
              <w:bottom w:val="single" w:sz="4" w:space="0" w:color="000000"/>
              <w:right w:val="nil" w:sz="6" w:space="0" w:color="auto"/>
            </w:tcBorders>
          </w:tcPr>
          <w:p>
            <w:pPr>
              <w:pStyle w:val="TableParagraph"/>
              <w:spacing w:line="182" w:lineRule="exact"/>
              <w:ind w:right="788"/>
              <w:jc w:val="righ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516" w:type="dxa"/>
            <w:tcBorders>
              <w:top w:val="nil" w:sz="6" w:space="0" w:color="auto"/>
              <w:left w:val="nil" w:sz="6" w:space="0" w:color="auto"/>
              <w:bottom w:val="single" w:sz="4" w:space="0" w:color="000000"/>
              <w:right w:val="nil" w:sz="6" w:space="0" w:color="auto"/>
            </w:tcBorders>
          </w:tcPr>
          <w:p>
            <w:pPr>
              <w:pStyle w:val="TableParagraph"/>
              <w:spacing w:line="182" w:lineRule="exact"/>
              <w:ind w:left="7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21" w:type="dxa"/>
            <w:tcBorders>
              <w:top w:val="nil" w:sz="6" w:space="0" w:color="auto"/>
              <w:left w:val="nil" w:sz="6" w:space="0" w:color="auto"/>
              <w:bottom w:val="single" w:sz="4" w:space="0" w:color="000000"/>
              <w:right w:val="nil" w:sz="6" w:space="0" w:color="auto"/>
            </w:tcBorders>
          </w:tcPr>
          <w:p>
            <w:pPr>
              <w:pStyle w:val="TableParagraph"/>
              <w:spacing w:line="182" w:lineRule="exact"/>
              <w:ind w:left="4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34" w:type="dxa"/>
            <w:tcBorders>
              <w:top w:val="nil" w:sz="6" w:space="0" w:color="auto"/>
              <w:left w:val="nil" w:sz="6" w:space="0" w:color="auto"/>
              <w:bottom w:val="single" w:sz="4" w:space="0" w:color="000000"/>
              <w:right w:val="nil" w:sz="6" w:space="0" w:color="auto"/>
            </w:tcBorders>
          </w:tcPr>
          <w:p>
            <w:pPr>
              <w:pStyle w:val="TableParagraph"/>
              <w:spacing w:line="182" w:lineRule="exact"/>
              <w:ind w:right="86"/>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36" w:hRule="exact"/>
        </w:trPr>
        <w:tc>
          <w:tcPr>
            <w:tcW w:w="203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88"/>
              <w:jc w:val="right"/>
              <w:rPr>
                <w:rFonts w:ascii="宋体" w:hAnsi="宋体" w:cs="宋体" w:eastAsia="宋体" w:hint="default"/>
                <w:sz w:val="18"/>
                <w:szCs w:val="18"/>
              </w:rPr>
            </w:pPr>
            <w:r>
              <w:rPr>
                <w:rFonts w:ascii="宋体"/>
                <w:sz w:val="18"/>
              </w:rPr>
              <w:t>2024</w:t>
            </w:r>
          </w:p>
        </w:tc>
        <w:tc>
          <w:tcPr>
            <w:tcW w:w="251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98"/>
              <w:jc w:val="right"/>
              <w:rPr>
                <w:rFonts w:ascii="宋体" w:hAnsi="宋体" w:cs="宋体" w:eastAsia="宋体" w:hint="default"/>
                <w:sz w:val="18"/>
                <w:szCs w:val="18"/>
              </w:rPr>
            </w:pPr>
            <w:r>
              <w:rPr>
                <w:rFonts w:ascii="宋体"/>
                <w:spacing w:val="-1"/>
                <w:sz w:val="18"/>
              </w:rPr>
              <w:t>19,758,654.16</w:t>
            </w:r>
          </w:p>
        </w:tc>
        <w:tc>
          <w:tcPr>
            <w:tcW w:w="1921" w:type="dxa"/>
            <w:tcBorders>
              <w:top w:val="single" w:sz="4" w:space="0" w:color="000000"/>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
        </w:tc>
      </w:tr>
      <w:tr>
        <w:trPr>
          <w:trHeight w:val="295"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88"/>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98"/>
              <w:jc w:val="right"/>
              <w:rPr>
                <w:rFonts w:ascii="宋体" w:hAnsi="宋体" w:cs="宋体" w:eastAsia="宋体" w:hint="default"/>
                <w:sz w:val="18"/>
                <w:szCs w:val="18"/>
              </w:rPr>
            </w:pPr>
            <w:r>
              <w:rPr>
                <w:rFonts w:ascii="宋体"/>
                <w:w w:val="101"/>
                <w:sz w:val="18"/>
              </w:rPr>
            </w:r>
            <w:r>
              <w:rPr>
                <w:rFonts w:ascii="宋体"/>
                <w:spacing w:val="-1"/>
                <w:sz w:val="18"/>
                <w:u w:val="thick" w:color="000000"/>
              </w:rPr>
              <w:t>39,232,813.84</w:t>
            </w:r>
            <w:r>
              <w:rPr>
                <w:rFonts w:ascii="宋体"/>
                <w:spacing w:val="-1"/>
                <w:sz w:val="18"/>
              </w:rPr>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49" w:right="0"/>
              <w:jc w:val="left"/>
              <w:rPr>
                <w:rFonts w:ascii="宋体" w:hAnsi="宋体" w:cs="宋体" w:eastAsia="宋体" w:hint="default"/>
                <w:sz w:val="18"/>
                <w:szCs w:val="18"/>
              </w:rPr>
            </w:pPr>
            <w:r>
              <w:rPr>
                <w:rFonts w:ascii="宋体"/>
                <w:w w:val="101"/>
                <w:sz w:val="18"/>
              </w:rPr>
            </w:r>
            <w:r>
              <w:rPr>
                <w:rFonts w:ascii="宋体"/>
                <w:sz w:val="18"/>
                <w:u w:val="thick" w:color="000000"/>
              </w:rPr>
              <w:t>22,865,144.59</w:t>
            </w:r>
            <w:r>
              <w:rPr>
                <w:rFonts w:ascii="宋体"/>
                <w:sz w:val="18"/>
              </w:rPr>
            </w:r>
          </w:p>
        </w:tc>
        <w:tc>
          <w:tcPr>
            <w:tcW w:w="203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575" w:right="0"/>
        <w:jc w:val="left"/>
      </w:pPr>
      <w:bookmarkStart w:name="（十三）其他非流动资产" w:id="211"/>
      <w:bookmarkEnd w:id="211"/>
      <w:r>
        <w:rPr/>
      </w:r>
      <w:r>
        <w:rPr/>
        <w:t>（十三）其他非流动资产</w:t>
      </w:r>
    </w:p>
    <w:p>
      <w:pPr>
        <w:spacing w:line="240" w:lineRule="auto" w:before="3"/>
        <w:rPr>
          <w:rFonts w:ascii="宋体" w:hAnsi="宋体" w:cs="宋体" w:eastAsia="宋体"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3227"/>
        <w:gridCol w:w="1030"/>
        <w:gridCol w:w="1076"/>
        <w:gridCol w:w="1227"/>
        <w:gridCol w:w="1032"/>
        <w:gridCol w:w="1205"/>
      </w:tblGrid>
      <w:tr>
        <w:trPr>
          <w:trHeight w:val="190" w:hRule="exact"/>
        </w:trPr>
        <w:tc>
          <w:tcPr>
            <w:tcW w:w="3227"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182"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7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182" w:lineRule="exact"/>
              <w:ind w:right="88"/>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05" w:type="dxa"/>
            <w:tcBorders>
              <w:top w:val="nil" w:sz="6" w:space="0" w:color="auto"/>
              <w:left w:val="nil" w:sz="6" w:space="0" w:color="auto"/>
              <w:bottom w:val="nil" w:sz="6" w:space="0" w:color="auto"/>
              <w:right w:val="nil" w:sz="6" w:space="0" w:color="auto"/>
            </w:tcBorders>
          </w:tcPr>
          <w:p>
            <w:pPr/>
          </w:p>
        </w:tc>
      </w:tr>
      <w:tr>
        <w:trPr>
          <w:trHeight w:val="197"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189" w:lineRule="exact"/>
              <w:ind w:left="87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r>
      <w:tr>
        <w:trPr>
          <w:trHeight w:val="260" w:hRule="exact"/>
        </w:trPr>
        <w:tc>
          <w:tcPr>
            <w:tcW w:w="3227" w:type="dxa"/>
            <w:tcBorders>
              <w:top w:val="nil" w:sz="6" w:space="0" w:color="auto"/>
              <w:left w:val="nil" w:sz="6" w:space="0" w:color="auto"/>
              <w:bottom w:val="single" w:sz="4" w:space="0" w:color="000000"/>
              <w:right w:val="nil" w:sz="6" w:space="0" w:color="auto"/>
            </w:tcBorders>
          </w:tcPr>
          <w:p>
            <w:pPr>
              <w:pStyle w:val="TableParagraph"/>
              <w:spacing w:line="189" w:lineRule="exact"/>
              <w:ind w:right="166"/>
              <w:jc w:val="righ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30" w:type="dxa"/>
            <w:tcBorders>
              <w:top w:val="nil" w:sz="6" w:space="0" w:color="auto"/>
              <w:left w:val="nil" w:sz="6" w:space="0" w:color="auto"/>
              <w:bottom w:val="single" w:sz="4" w:space="0" w:color="000000"/>
              <w:right w:val="nil" w:sz="6" w:space="0" w:color="auto"/>
            </w:tcBorders>
          </w:tcPr>
          <w:p>
            <w:pPr>
              <w:pStyle w:val="TableParagraph"/>
              <w:spacing w:line="189"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76" w:type="dxa"/>
            <w:tcBorders>
              <w:top w:val="nil" w:sz="6" w:space="0" w:color="auto"/>
              <w:left w:val="nil" w:sz="6" w:space="0" w:color="auto"/>
              <w:bottom w:val="single" w:sz="4" w:space="0" w:color="000000"/>
              <w:right w:val="nil" w:sz="6" w:space="0" w:color="auto"/>
            </w:tcBorders>
          </w:tcPr>
          <w:p>
            <w:pPr>
              <w:pStyle w:val="TableParagraph"/>
              <w:spacing w:line="189"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189" w:lineRule="exact"/>
              <w:ind w:right="67"/>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32" w:type="dxa"/>
            <w:tcBorders>
              <w:top w:val="nil" w:sz="6" w:space="0" w:color="auto"/>
              <w:left w:val="nil" w:sz="6" w:space="0" w:color="auto"/>
              <w:bottom w:val="single" w:sz="4" w:space="0" w:color="000000"/>
              <w:right w:val="nil" w:sz="6" w:space="0" w:color="auto"/>
            </w:tcBorders>
          </w:tcPr>
          <w:p>
            <w:pPr>
              <w:pStyle w:val="TableParagraph"/>
              <w:spacing w:line="189" w:lineRule="exact"/>
              <w:ind w:right="88"/>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189" w:lineRule="exact"/>
              <w:ind w:right="79"/>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36" w:hRule="exact"/>
        </w:trPr>
        <w:tc>
          <w:tcPr>
            <w:tcW w:w="322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装修工程建设期内支出</w:t>
            </w:r>
          </w:p>
        </w:tc>
        <w:tc>
          <w:tcPr>
            <w:tcW w:w="1030" w:type="dxa"/>
            <w:tcBorders>
              <w:top w:val="single" w:sz="4" w:space="0" w:color="000000"/>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8"/>
              <w:jc w:val="center"/>
              <w:rPr>
                <w:rFonts w:ascii="宋体" w:hAnsi="宋体" w:cs="宋体" w:eastAsia="宋体" w:hint="default"/>
                <w:sz w:val="18"/>
                <w:szCs w:val="18"/>
              </w:rPr>
            </w:pPr>
            <w:r>
              <w:rPr>
                <w:rFonts w:ascii="宋体"/>
                <w:sz w:val="18"/>
              </w:rPr>
              <w:t>3,801,635.08</w:t>
            </w:r>
          </w:p>
        </w:tc>
        <w:tc>
          <w:tcPr>
            <w:tcW w:w="1032" w:type="dxa"/>
            <w:tcBorders>
              <w:top w:val="single" w:sz="4" w:space="0" w:color="000000"/>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9"/>
              <w:jc w:val="center"/>
              <w:rPr>
                <w:rFonts w:ascii="宋体" w:hAnsi="宋体" w:cs="宋体" w:eastAsia="宋体" w:hint="default"/>
                <w:sz w:val="18"/>
                <w:szCs w:val="18"/>
              </w:rPr>
            </w:pPr>
            <w:r>
              <w:rPr>
                <w:rFonts w:ascii="宋体"/>
                <w:sz w:val="18"/>
              </w:rPr>
              <w:t>3,801,635.08</w:t>
            </w:r>
          </w:p>
        </w:tc>
      </w:tr>
      <w:tr>
        <w:trPr>
          <w:trHeight w:val="300"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878"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8"/>
              <w:jc w:val="center"/>
              <w:rPr>
                <w:rFonts w:ascii="宋体" w:hAnsi="宋体" w:cs="宋体" w:eastAsia="宋体" w:hint="default"/>
                <w:sz w:val="18"/>
                <w:szCs w:val="18"/>
              </w:rPr>
            </w:pPr>
            <w:r>
              <w:rPr>
                <w:rFonts w:ascii="宋体"/>
                <w:w w:val="101"/>
                <w:sz w:val="18"/>
              </w:rPr>
            </w:r>
            <w:r>
              <w:rPr>
                <w:rFonts w:ascii="宋体"/>
                <w:sz w:val="18"/>
                <w:u w:val="thick" w:color="000000"/>
              </w:rPr>
              <w:t>3,801,635.08</w:t>
            </w:r>
            <w:r>
              <w:rPr>
                <w:rFonts w:ascii="宋体"/>
                <w:sz w:val="18"/>
              </w:rPr>
            </w:r>
          </w:p>
        </w:tc>
        <w:tc>
          <w:tcPr>
            <w:tcW w:w="1032"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center"/>
              <w:rPr>
                <w:rFonts w:ascii="宋体" w:hAnsi="宋体" w:cs="宋体" w:eastAsia="宋体" w:hint="default"/>
                <w:sz w:val="18"/>
                <w:szCs w:val="18"/>
              </w:rPr>
            </w:pPr>
            <w:r>
              <w:rPr>
                <w:rFonts w:ascii="宋体"/>
                <w:w w:val="101"/>
                <w:sz w:val="18"/>
              </w:rPr>
            </w:r>
            <w:r>
              <w:rPr>
                <w:rFonts w:ascii="宋体"/>
                <w:sz w:val="18"/>
                <w:u w:val="thick" w:color="000000"/>
              </w:rPr>
              <w:t>3,801,635.08</w:t>
            </w:r>
            <w:r>
              <w:rPr>
                <w:rFonts w:ascii="宋体"/>
                <w:sz w:val="18"/>
              </w:rPr>
            </w:r>
          </w:p>
        </w:tc>
      </w:tr>
    </w:tbl>
    <w:p>
      <w:pPr>
        <w:spacing w:line="240" w:lineRule="auto" w:before="2"/>
        <w:rPr>
          <w:rFonts w:ascii="宋体" w:hAnsi="宋体" w:cs="宋体" w:eastAsia="宋体" w:hint="default"/>
          <w:sz w:val="20"/>
          <w:szCs w:val="20"/>
        </w:rPr>
      </w:pPr>
    </w:p>
    <w:p>
      <w:pPr>
        <w:pStyle w:val="BodyText"/>
        <w:spacing w:line="453" w:lineRule="auto" w:before="36"/>
        <w:ind w:left="575" w:right="8649"/>
        <w:jc w:val="left"/>
      </w:pPr>
      <w:bookmarkStart w:name="（十四）应付账款" w:id="212"/>
      <w:bookmarkEnd w:id="212"/>
      <w:r>
        <w:rPr/>
      </w:r>
      <w:r>
        <w:rPr/>
        <w:t>（十四）应付账款</w:t>
      </w:r>
      <w:r>
        <w:rPr>
          <w:spacing w:val="-101"/>
        </w:rPr>
        <w:t> </w:t>
      </w:r>
      <w:r>
        <w:rPr>
          <w:spacing w:val="-101"/>
        </w:rPr>
      </w:r>
      <w:r>
        <w:rPr>
          <w:rFonts w:ascii="宋体" w:hAnsi="宋体" w:cs="宋体" w:eastAsia="宋体" w:hint="default"/>
        </w:rPr>
        <w:t>1.</w:t>
      </w:r>
      <w:r>
        <w:rPr/>
        <w:t>应付账款列示</w:t>
      </w:r>
    </w:p>
    <w:p>
      <w:pPr>
        <w:spacing w:line="240" w:lineRule="auto" w:before="7"/>
        <w:rPr>
          <w:rFonts w:ascii="宋体" w:hAnsi="宋体" w:cs="宋体" w:eastAsia="宋体" w:hint="default"/>
          <w:sz w:val="12"/>
          <w:szCs w:val="12"/>
        </w:rPr>
      </w:pPr>
    </w:p>
    <w:tbl>
      <w:tblPr>
        <w:tblW w:w="0" w:type="auto"/>
        <w:jc w:val="left"/>
        <w:tblInd w:w="719" w:type="dxa"/>
        <w:tblLayout w:type="fixed"/>
        <w:tblCellMar>
          <w:top w:w="0" w:type="dxa"/>
          <w:left w:w="0" w:type="dxa"/>
          <w:bottom w:w="0" w:type="dxa"/>
          <w:right w:w="0" w:type="dxa"/>
        </w:tblCellMar>
        <w:tblLook w:val="01E0"/>
      </w:tblPr>
      <w:tblGrid>
        <w:gridCol w:w="3016"/>
        <w:gridCol w:w="2920"/>
        <w:gridCol w:w="2574"/>
      </w:tblGrid>
      <w:tr>
        <w:trPr>
          <w:trHeight w:val="253" w:hRule="exact"/>
        </w:trPr>
        <w:tc>
          <w:tcPr>
            <w:tcW w:w="3016" w:type="dxa"/>
            <w:tcBorders>
              <w:top w:val="nil" w:sz="6" w:space="0" w:color="auto"/>
              <w:left w:val="nil" w:sz="6" w:space="0" w:color="auto"/>
              <w:bottom w:val="single" w:sz="4" w:space="0" w:color="000000"/>
              <w:right w:val="nil" w:sz="6" w:space="0" w:color="auto"/>
            </w:tcBorders>
          </w:tcPr>
          <w:p>
            <w:pPr>
              <w:pStyle w:val="TableParagraph"/>
              <w:spacing w:line="182" w:lineRule="exact"/>
              <w:ind w:right="11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0" w:type="dxa"/>
            <w:tcBorders>
              <w:top w:val="nil" w:sz="6" w:space="0" w:color="auto"/>
              <w:left w:val="nil" w:sz="6" w:space="0" w:color="auto"/>
              <w:bottom w:val="single" w:sz="4" w:space="0" w:color="000000"/>
              <w:right w:val="nil" w:sz="6" w:space="0" w:color="auto"/>
            </w:tcBorders>
          </w:tcPr>
          <w:p>
            <w:pPr>
              <w:pStyle w:val="TableParagraph"/>
              <w:spacing w:line="182" w:lineRule="exact"/>
              <w:ind w:left="355"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74" w:type="dxa"/>
            <w:tcBorders>
              <w:top w:val="nil" w:sz="6" w:space="0" w:color="auto"/>
              <w:left w:val="nil" w:sz="6" w:space="0" w:color="auto"/>
              <w:bottom w:val="single" w:sz="4" w:space="0" w:color="000000"/>
              <w:right w:val="nil" w:sz="6" w:space="0" w:color="auto"/>
            </w:tcBorders>
          </w:tcPr>
          <w:p>
            <w:pPr>
              <w:pStyle w:val="TableParagraph"/>
              <w:spacing w:line="182" w:lineRule="exact"/>
              <w:ind w:left="86"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6" w:hRule="exact"/>
        </w:trPr>
        <w:tc>
          <w:tcPr>
            <w:tcW w:w="301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93"/>
              <w:jc w:val="right"/>
              <w:rPr>
                <w:rFonts w:ascii="宋体" w:hAnsi="宋体" w:cs="宋体" w:eastAsia="宋体" w:hint="default"/>
                <w:sz w:val="18"/>
                <w:szCs w:val="18"/>
              </w:rPr>
            </w:pPr>
            <w:r>
              <w:rPr>
                <w:rFonts w:ascii="宋体" w:hAnsi="宋体" w:cs="宋体" w:eastAsia="宋体" w:hint="default"/>
                <w:spacing w:val="-2"/>
                <w:sz w:val="18"/>
                <w:szCs w:val="18"/>
              </w:rPr>
              <w:t>服务费</w:t>
            </w:r>
          </w:p>
        </w:tc>
        <w:tc>
          <w:tcPr>
            <w:tcW w:w="292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55" w:right="0"/>
              <w:jc w:val="center"/>
              <w:rPr>
                <w:rFonts w:ascii="宋体" w:hAnsi="宋体" w:cs="宋体" w:eastAsia="宋体" w:hint="default"/>
                <w:sz w:val="18"/>
                <w:szCs w:val="18"/>
              </w:rPr>
            </w:pPr>
            <w:r>
              <w:rPr>
                <w:rFonts w:ascii="宋体"/>
                <w:sz w:val="18"/>
              </w:rPr>
              <w:t>9,384,700.15</w:t>
            </w:r>
          </w:p>
        </w:tc>
        <w:tc>
          <w:tcPr>
            <w:tcW w:w="25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1" w:right="0"/>
              <w:jc w:val="center"/>
              <w:rPr>
                <w:rFonts w:ascii="宋体" w:hAnsi="宋体" w:cs="宋体" w:eastAsia="宋体" w:hint="default"/>
                <w:sz w:val="18"/>
                <w:szCs w:val="18"/>
              </w:rPr>
            </w:pPr>
            <w:r>
              <w:rPr>
                <w:rFonts w:ascii="宋体"/>
                <w:sz w:val="18"/>
              </w:rPr>
              <w:t>10,188,919.21</w:t>
            </w:r>
          </w:p>
        </w:tc>
      </w:tr>
      <w:tr>
        <w:trPr>
          <w:trHeight w:val="290"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3"/>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5" w:right="0"/>
              <w:jc w:val="center"/>
              <w:rPr>
                <w:rFonts w:ascii="宋体" w:hAnsi="宋体" w:cs="宋体" w:eastAsia="宋体" w:hint="default"/>
                <w:sz w:val="18"/>
                <w:szCs w:val="18"/>
              </w:rPr>
            </w:pPr>
            <w:r>
              <w:rPr>
                <w:rFonts w:ascii="宋体"/>
                <w:w w:val="101"/>
                <w:sz w:val="18"/>
              </w:rPr>
            </w:r>
            <w:r>
              <w:rPr>
                <w:rFonts w:ascii="宋体"/>
                <w:sz w:val="18"/>
                <w:u w:val="thick" w:color="000000"/>
              </w:rPr>
              <w:t>9,384,700.15</w:t>
            </w:r>
            <w:r>
              <w:rPr>
                <w:rFonts w:ascii="宋体"/>
                <w:sz w:val="18"/>
              </w:rPr>
            </w:r>
          </w:p>
        </w:tc>
        <w:tc>
          <w:tcPr>
            <w:tcW w:w="25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1" w:right="0"/>
              <w:jc w:val="center"/>
              <w:rPr>
                <w:rFonts w:ascii="宋体" w:hAnsi="宋体" w:cs="宋体" w:eastAsia="宋体" w:hint="default"/>
                <w:sz w:val="18"/>
                <w:szCs w:val="18"/>
              </w:rPr>
            </w:pPr>
            <w:r>
              <w:rPr>
                <w:rFonts w:ascii="宋体"/>
                <w:w w:val="101"/>
                <w:sz w:val="18"/>
              </w:rPr>
            </w:r>
            <w:r>
              <w:rPr>
                <w:rFonts w:ascii="宋体"/>
                <w:sz w:val="18"/>
                <w:u w:val="thick" w:color="000000"/>
              </w:rPr>
              <w:t>10,188,919.21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75" w:right="0"/>
        <w:jc w:val="left"/>
      </w:pPr>
      <w:r>
        <w:rPr>
          <w:rFonts w:ascii="宋体" w:hAnsi="宋体" w:cs="宋体" w:eastAsia="宋体" w:hint="default"/>
        </w:rPr>
        <w:t>2.</w:t>
      </w:r>
      <w:r>
        <w:rPr/>
        <w:t>账龄超过</w:t>
      </w:r>
      <w:r>
        <w:rPr>
          <w:rFonts w:ascii="宋体" w:hAnsi="宋体" w:cs="宋体" w:eastAsia="宋体" w:hint="default"/>
        </w:rPr>
        <w:t>1</w:t>
      </w:r>
      <w:r>
        <w:rPr/>
        <w:t>年的重要应付账款</w:t>
      </w:r>
    </w:p>
    <w:p>
      <w:pPr>
        <w:spacing w:line="240" w:lineRule="auto" w:before="11"/>
        <w:rPr>
          <w:rFonts w:ascii="宋体" w:hAnsi="宋体" w:cs="宋体" w:eastAsia="宋体" w:hint="default"/>
          <w:sz w:val="26"/>
          <w:szCs w:val="26"/>
        </w:rPr>
      </w:pPr>
    </w:p>
    <w:tbl>
      <w:tblPr>
        <w:tblW w:w="0" w:type="auto"/>
        <w:jc w:val="left"/>
        <w:tblInd w:w="719" w:type="dxa"/>
        <w:tblLayout w:type="fixed"/>
        <w:tblCellMar>
          <w:top w:w="0" w:type="dxa"/>
          <w:left w:w="0" w:type="dxa"/>
          <w:bottom w:w="0" w:type="dxa"/>
          <w:right w:w="0" w:type="dxa"/>
        </w:tblCellMar>
        <w:tblLook w:val="01E0"/>
      </w:tblPr>
      <w:tblGrid>
        <w:gridCol w:w="2780"/>
        <w:gridCol w:w="2624"/>
        <w:gridCol w:w="3105"/>
      </w:tblGrid>
      <w:tr>
        <w:trPr>
          <w:trHeight w:val="253"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2" w:lineRule="exact"/>
              <w:ind w:right="39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24" w:type="dxa"/>
            <w:tcBorders>
              <w:top w:val="nil" w:sz="6" w:space="0" w:color="auto"/>
              <w:left w:val="nil" w:sz="6" w:space="0" w:color="auto"/>
              <w:bottom w:val="single" w:sz="4" w:space="0" w:color="000000"/>
              <w:right w:val="nil" w:sz="6" w:space="0" w:color="auto"/>
            </w:tcBorders>
          </w:tcPr>
          <w:p>
            <w:pPr>
              <w:pStyle w:val="TableParagraph"/>
              <w:spacing w:line="182" w:lineRule="exact"/>
              <w:ind w:right="16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05" w:type="dxa"/>
            <w:tcBorders>
              <w:top w:val="nil" w:sz="6" w:space="0" w:color="auto"/>
              <w:left w:val="nil" w:sz="6" w:space="0" w:color="auto"/>
              <w:bottom w:val="single" w:sz="4" w:space="0" w:color="000000"/>
              <w:right w:val="nil" w:sz="6" w:space="0" w:color="auto"/>
            </w:tcBorders>
          </w:tcPr>
          <w:p>
            <w:pPr>
              <w:pStyle w:val="TableParagraph"/>
              <w:spacing w:line="182" w:lineRule="exact"/>
              <w:ind w:left="232"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446"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96"/>
              <w:jc w:val="center"/>
              <w:rPr>
                <w:rFonts w:ascii="宋体" w:hAnsi="宋体" w:cs="宋体" w:eastAsia="宋体" w:hint="default"/>
                <w:sz w:val="18"/>
                <w:szCs w:val="18"/>
              </w:rPr>
            </w:pPr>
            <w:r>
              <w:rPr>
                <w:rFonts w:ascii="宋体" w:hAnsi="宋体" w:cs="宋体" w:eastAsia="宋体" w:hint="default"/>
                <w:sz w:val="18"/>
                <w:szCs w:val="18"/>
              </w:rPr>
              <w:t>成都菁蓉投资有限公司</w:t>
            </w:r>
          </w:p>
        </w:tc>
        <w:tc>
          <w:tcPr>
            <w:tcW w:w="262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63"/>
              <w:jc w:val="center"/>
              <w:rPr>
                <w:rFonts w:ascii="宋体" w:hAnsi="宋体" w:cs="宋体" w:eastAsia="宋体" w:hint="default"/>
                <w:sz w:val="18"/>
                <w:szCs w:val="18"/>
              </w:rPr>
            </w:pPr>
            <w:r>
              <w:rPr>
                <w:rFonts w:ascii="宋体"/>
                <w:sz w:val="18"/>
              </w:rPr>
              <w:t>1,371,434.40</w:t>
            </w:r>
          </w:p>
        </w:tc>
        <w:tc>
          <w:tcPr>
            <w:tcW w:w="31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28"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29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6"/>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3"/>
              <w:jc w:val="center"/>
              <w:rPr>
                <w:rFonts w:ascii="宋体" w:hAnsi="宋体" w:cs="宋体" w:eastAsia="宋体" w:hint="default"/>
                <w:sz w:val="18"/>
                <w:szCs w:val="18"/>
              </w:rPr>
            </w:pPr>
            <w:r>
              <w:rPr>
                <w:rFonts w:ascii="宋体"/>
                <w:w w:val="101"/>
                <w:sz w:val="18"/>
              </w:rPr>
            </w:r>
            <w:r>
              <w:rPr>
                <w:rFonts w:ascii="宋体"/>
                <w:sz w:val="18"/>
                <w:u w:val="thick" w:color="000000"/>
              </w:rPr>
              <w:t>1,371,434.40</w:t>
            </w:r>
            <w:r>
              <w:rPr>
                <w:rFonts w:ascii="宋体"/>
                <w:sz w:val="18"/>
              </w:rPr>
            </w:r>
          </w:p>
        </w:tc>
        <w:tc>
          <w:tcPr>
            <w:tcW w:w="3105"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pStyle w:val="BodyText"/>
        <w:spacing w:line="453" w:lineRule="auto" w:before="36"/>
        <w:ind w:left="575" w:right="8649"/>
        <w:jc w:val="left"/>
      </w:pPr>
      <w:bookmarkStart w:name="（十五）预收款项" w:id="213"/>
      <w:bookmarkEnd w:id="213"/>
      <w:r>
        <w:rPr/>
      </w:r>
      <w:r>
        <w:rPr/>
        <w:t>（十五）预收款项</w:t>
      </w:r>
      <w:r>
        <w:rPr>
          <w:spacing w:val="-101"/>
        </w:rPr>
        <w:t> </w:t>
      </w:r>
      <w:r>
        <w:rPr>
          <w:spacing w:val="-101"/>
        </w:rPr>
      </w:r>
      <w:r>
        <w:rPr>
          <w:rFonts w:ascii="宋体" w:hAnsi="宋体" w:cs="宋体" w:eastAsia="宋体" w:hint="default"/>
        </w:rPr>
        <w:t>1.</w:t>
      </w:r>
      <w:r>
        <w:rPr/>
        <w:t>预收款项列示</w:t>
      </w:r>
    </w:p>
    <w:p>
      <w:pPr>
        <w:spacing w:line="240" w:lineRule="auto" w:before="8"/>
        <w:rPr>
          <w:rFonts w:ascii="宋体" w:hAnsi="宋体" w:cs="宋体" w:eastAsia="宋体" w:hint="default"/>
          <w:sz w:val="12"/>
          <w:szCs w:val="12"/>
        </w:rPr>
      </w:pPr>
    </w:p>
    <w:tbl>
      <w:tblPr>
        <w:tblW w:w="0" w:type="auto"/>
        <w:jc w:val="left"/>
        <w:tblInd w:w="719" w:type="dxa"/>
        <w:tblLayout w:type="fixed"/>
        <w:tblCellMar>
          <w:top w:w="0" w:type="dxa"/>
          <w:left w:w="0" w:type="dxa"/>
          <w:bottom w:w="0" w:type="dxa"/>
          <w:right w:w="0" w:type="dxa"/>
        </w:tblCellMar>
        <w:tblLook w:val="01E0"/>
      </w:tblPr>
      <w:tblGrid>
        <w:gridCol w:w="2655"/>
        <w:gridCol w:w="3287"/>
        <w:gridCol w:w="2566"/>
      </w:tblGrid>
      <w:tr>
        <w:trPr>
          <w:trHeight w:val="253" w:hRule="exact"/>
        </w:trPr>
        <w:tc>
          <w:tcPr>
            <w:tcW w:w="2655" w:type="dxa"/>
            <w:tcBorders>
              <w:top w:val="nil" w:sz="6" w:space="0" w:color="auto"/>
              <w:left w:val="nil" w:sz="6" w:space="0" w:color="auto"/>
              <w:bottom w:val="single" w:sz="4" w:space="0" w:color="000000"/>
              <w:right w:val="nil" w:sz="6" w:space="0" w:color="auto"/>
            </w:tcBorders>
          </w:tcPr>
          <w:p>
            <w:pPr>
              <w:pStyle w:val="TableParagraph"/>
              <w:spacing w:line="182" w:lineRule="exact"/>
              <w:ind w:right="16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7" w:type="dxa"/>
            <w:tcBorders>
              <w:top w:val="nil" w:sz="6" w:space="0" w:color="auto"/>
              <w:left w:val="nil" w:sz="6" w:space="0" w:color="auto"/>
              <w:bottom w:val="single" w:sz="4" w:space="0" w:color="000000"/>
              <w:right w:val="nil" w:sz="6" w:space="0" w:color="auto"/>
            </w:tcBorders>
          </w:tcPr>
          <w:p>
            <w:pPr>
              <w:pStyle w:val="TableParagraph"/>
              <w:spacing w:line="182" w:lineRule="exact"/>
              <w:ind w:left="92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566" w:type="dxa"/>
            <w:tcBorders>
              <w:top w:val="nil" w:sz="6" w:space="0" w:color="auto"/>
              <w:left w:val="nil" w:sz="6" w:space="0" w:color="auto"/>
              <w:bottom w:val="single" w:sz="4" w:space="0" w:color="000000"/>
              <w:right w:val="nil" w:sz="6" w:space="0" w:color="auto"/>
            </w:tcBorders>
          </w:tcPr>
          <w:p>
            <w:pPr>
              <w:pStyle w:val="TableParagraph"/>
              <w:spacing w:line="182"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3" w:hRule="exact"/>
        </w:trPr>
        <w:tc>
          <w:tcPr>
            <w:tcW w:w="265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创业辅导培训费</w:t>
            </w:r>
          </w:p>
        </w:tc>
        <w:tc>
          <w:tcPr>
            <w:tcW w:w="328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44"/>
              <w:jc w:val="right"/>
              <w:rPr>
                <w:rFonts w:ascii="宋体" w:hAnsi="宋体" w:cs="宋体" w:eastAsia="宋体" w:hint="default"/>
                <w:sz w:val="18"/>
                <w:szCs w:val="18"/>
              </w:rPr>
            </w:pPr>
            <w:r>
              <w:rPr>
                <w:rFonts w:ascii="宋体"/>
                <w:spacing w:val="-1"/>
                <w:sz w:val="18"/>
              </w:rPr>
              <w:t>50,217,582.75</w:t>
            </w:r>
          </w:p>
        </w:tc>
        <w:tc>
          <w:tcPr>
            <w:tcW w:w="256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3"/>
              <w:jc w:val="right"/>
              <w:rPr>
                <w:rFonts w:ascii="宋体" w:hAnsi="宋体" w:cs="宋体" w:eastAsia="宋体" w:hint="default"/>
                <w:sz w:val="18"/>
                <w:szCs w:val="18"/>
              </w:rPr>
            </w:pPr>
            <w:r>
              <w:rPr>
                <w:rFonts w:ascii="宋体"/>
                <w:spacing w:val="-1"/>
                <w:sz w:val="18"/>
              </w:rPr>
              <w:t>44,626,637.61</w:t>
            </w:r>
          </w:p>
        </w:tc>
      </w:tr>
      <w:tr>
        <w:trPr>
          <w:trHeight w:val="396"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会员服务费</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1,038,799.77</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291,666.69</w:t>
            </w:r>
          </w:p>
        </w:tc>
      </w:tr>
      <w:tr>
        <w:trPr>
          <w:trHeight w:val="399"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广告投放业务充值费</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4"/>
              <w:jc w:val="right"/>
              <w:rPr>
                <w:rFonts w:ascii="宋体" w:hAnsi="宋体" w:cs="宋体" w:eastAsia="宋体" w:hint="default"/>
                <w:sz w:val="18"/>
                <w:szCs w:val="18"/>
              </w:rPr>
            </w:pPr>
            <w:r>
              <w:rPr>
                <w:rFonts w:ascii="宋体"/>
                <w:spacing w:val="-1"/>
                <w:sz w:val="18"/>
              </w:rPr>
              <w:t>918,242.43</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3,464,086.19</w:t>
            </w:r>
          </w:p>
        </w:tc>
      </w:tr>
      <w:tr>
        <w:trPr>
          <w:trHeight w:val="399"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公关服务费</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4"/>
              <w:jc w:val="right"/>
              <w:rPr>
                <w:rFonts w:ascii="宋体" w:hAnsi="宋体" w:cs="宋体" w:eastAsia="宋体" w:hint="default"/>
                <w:sz w:val="18"/>
                <w:szCs w:val="18"/>
              </w:rPr>
            </w:pPr>
            <w:r>
              <w:rPr>
                <w:rFonts w:ascii="宋体"/>
                <w:spacing w:val="-1"/>
                <w:sz w:val="18"/>
              </w:rPr>
              <w:t>6,681,884.12</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4,554,846.05</w:t>
            </w:r>
          </w:p>
        </w:tc>
      </w:tr>
      <w:tr>
        <w:trPr>
          <w:trHeight w:val="396"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工位租赁</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4"/>
              <w:jc w:val="right"/>
              <w:rPr>
                <w:rFonts w:ascii="宋体" w:hAnsi="宋体" w:cs="宋体" w:eastAsia="宋体" w:hint="default"/>
                <w:sz w:val="18"/>
                <w:szCs w:val="18"/>
              </w:rPr>
            </w:pPr>
            <w:r>
              <w:rPr>
                <w:rFonts w:ascii="宋体"/>
                <w:spacing w:val="-1"/>
                <w:sz w:val="18"/>
              </w:rPr>
              <w:t>353,032.50</w:t>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137,284.74</w:t>
            </w:r>
          </w:p>
        </w:tc>
      </w:tr>
      <w:tr>
        <w:trPr>
          <w:trHeight w:val="288"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5"/>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w w:val="101"/>
                <w:sz w:val="18"/>
              </w:rPr>
            </w:r>
            <w:r>
              <w:rPr>
                <w:rFonts w:ascii="宋体"/>
                <w:spacing w:val="-1"/>
                <w:sz w:val="18"/>
                <w:u w:val="thick" w:color="000000"/>
              </w:rPr>
              <w:t>59,209,541.57</w:t>
            </w:r>
            <w:r>
              <w:rPr>
                <w:rFonts w:ascii="宋体"/>
                <w:spacing w:val="-1"/>
                <w:sz w:val="18"/>
              </w:rPr>
            </w: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w w:val="101"/>
                <w:sz w:val="18"/>
              </w:rPr>
            </w:r>
            <w:r>
              <w:rPr>
                <w:rFonts w:ascii="宋体"/>
                <w:spacing w:val="-1"/>
                <w:sz w:val="18"/>
                <w:u w:val="thick" w:color="000000"/>
              </w:rPr>
              <w:t>53,074,521.28</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75" w:right="0"/>
        <w:jc w:val="left"/>
      </w:pPr>
      <w:r>
        <w:rPr/>
        <w:t>注：期末不存在账龄超过</w:t>
      </w:r>
      <w:r>
        <w:rPr>
          <w:rFonts w:ascii="宋体" w:hAnsi="宋体" w:cs="宋体" w:eastAsia="宋体" w:hint="default"/>
        </w:rPr>
        <w:t>1</w:t>
      </w:r>
      <w:r>
        <w:rPr/>
        <w:t>年的重要预收账款。</w:t>
      </w:r>
    </w:p>
    <w:p>
      <w:pPr>
        <w:spacing w:line="240" w:lineRule="auto" w:before="9"/>
        <w:rPr>
          <w:rFonts w:ascii="宋体" w:hAnsi="宋体" w:cs="宋体" w:eastAsia="宋体" w:hint="default"/>
          <w:sz w:val="18"/>
          <w:szCs w:val="18"/>
        </w:rPr>
      </w:pPr>
    </w:p>
    <w:p>
      <w:pPr>
        <w:pStyle w:val="BodyText"/>
        <w:spacing w:line="448" w:lineRule="auto"/>
        <w:ind w:left="575" w:right="8239"/>
        <w:jc w:val="left"/>
      </w:pPr>
      <w:bookmarkStart w:name="（十六）应付职工薪酬" w:id="214"/>
      <w:bookmarkEnd w:id="214"/>
      <w:r>
        <w:rPr/>
      </w:r>
      <w:r>
        <w:rPr>
          <w:spacing w:val="-1"/>
        </w:rPr>
        <w:t>（十六）应付职工薪酬</w:t>
      </w:r>
      <w:r>
        <w:rPr>
          <w:spacing w:val="-93"/>
        </w:rPr>
        <w:t> </w:t>
      </w:r>
      <w:r>
        <w:rPr>
          <w:spacing w:val="-93"/>
        </w:rPr>
      </w:r>
      <w:r>
        <w:rPr>
          <w:rFonts w:ascii="宋体" w:hAnsi="宋体" w:cs="宋体" w:eastAsia="宋体" w:hint="default"/>
        </w:rPr>
        <w:t>1.</w:t>
      </w:r>
      <w:r>
        <w:rPr/>
        <w:t>应付职工薪酬列示</w:t>
      </w:r>
    </w:p>
    <w:p>
      <w:pPr>
        <w:spacing w:after="0" w:line="44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799" w:type="dxa"/>
        <w:tblLayout w:type="fixed"/>
        <w:tblCellMar>
          <w:top w:w="0" w:type="dxa"/>
          <w:left w:w="0" w:type="dxa"/>
          <w:bottom w:w="0" w:type="dxa"/>
          <w:right w:w="0" w:type="dxa"/>
        </w:tblCellMar>
        <w:tblLook w:val="01E0"/>
      </w:tblPr>
      <w:tblGrid>
        <w:gridCol w:w="3270"/>
        <w:gridCol w:w="1176"/>
        <w:gridCol w:w="231"/>
        <w:gridCol w:w="1215"/>
        <w:gridCol w:w="1215"/>
        <w:gridCol w:w="322"/>
        <w:gridCol w:w="1085"/>
      </w:tblGrid>
      <w:tr>
        <w:trPr>
          <w:trHeight w:val="253" w:hRule="exact"/>
        </w:trPr>
        <w:tc>
          <w:tcPr>
            <w:tcW w:w="3270"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182" w:lineRule="exact"/>
              <w:ind w:right="242"/>
              <w:jc w:val="center"/>
              <w:rPr>
                <w:rFonts w:ascii="宋体" w:hAnsi="宋体" w:cs="宋体" w:eastAsia="宋体" w:hint="default"/>
                <w:sz w:val="18"/>
                <w:szCs w:val="18"/>
              </w:rPr>
            </w:pPr>
            <w:r>
              <w:rPr>
                <w:rFonts w:ascii="宋体" w:hAnsi="宋体" w:cs="宋体" w:eastAsia="宋体" w:hint="default"/>
                <w:b/>
                <w:bCs/>
                <w:sz w:val="18"/>
                <w:szCs w:val="18"/>
              </w:rPr>
              <w:t>项</w:t>
              <w:tab/>
              <w:t>目</w:t>
            </w:r>
            <w:r>
              <w:rPr>
                <w:rFonts w:ascii="宋体" w:hAnsi="宋体" w:cs="宋体" w:eastAsia="宋体" w:hint="default"/>
                <w:sz w:val="18"/>
                <w:szCs w:val="18"/>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182"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31" w:type="dxa"/>
            <w:tcBorders>
              <w:top w:val="nil" w:sz="6" w:space="0" w:color="auto"/>
              <w:left w:val="nil" w:sz="6" w:space="0" w:color="auto"/>
              <w:bottom w:val="single" w:sz="4" w:space="0" w:color="000000"/>
              <w:right w:val="nil" w:sz="6" w:space="0" w:color="auto"/>
            </w:tcBorders>
          </w:tcPr>
          <w:p>
            <w:pPr/>
          </w:p>
        </w:tc>
        <w:tc>
          <w:tcPr>
            <w:tcW w:w="1215" w:type="dxa"/>
            <w:tcBorders>
              <w:top w:val="nil" w:sz="6" w:space="0" w:color="auto"/>
              <w:left w:val="nil" w:sz="6" w:space="0" w:color="auto"/>
              <w:bottom w:val="single" w:sz="4" w:space="0" w:color="000000"/>
              <w:right w:val="nil" w:sz="6" w:space="0" w:color="auto"/>
            </w:tcBorders>
          </w:tcPr>
          <w:p>
            <w:pPr>
              <w:pStyle w:val="TableParagraph"/>
              <w:spacing w:line="182"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15" w:type="dxa"/>
            <w:tcBorders>
              <w:top w:val="nil" w:sz="6" w:space="0" w:color="auto"/>
              <w:left w:val="nil" w:sz="6" w:space="0" w:color="auto"/>
              <w:bottom w:val="single" w:sz="4" w:space="0" w:color="000000"/>
              <w:right w:val="nil" w:sz="6" w:space="0" w:color="auto"/>
            </w:tcBorders>
          </w:tcPr>
          <w:p>
            <w:pPr>
              <w:pStyle w:val="TableParagraph"/>
              <w:spacing w:line="182" w:lineRule="exact"/>
              <w:ind w:left="22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322" w:type="dxa"/>
            <w:tcBorders>
              <w:top w:val="nil" w:sz="6" w:space="0" w:color="auto"/>
              <w:left w:val="nil" w:sz="6" w:space="0" w:color="auto"/>
              <w:bottom w:val="single" w:sz="4" w:space="0" w:color="000000"/>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182"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32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9,955,160.70</w:t>
            </w:r>
          </w:p>
        </w:tc>
        <w:tc>
          <w:tcPr>
            <w:tcW w:w="231" w:type="dxa"/>
            <w:tcBorders>
              <w:top w:val="single" w:sz="4" w:space="0" w:color="000000"/>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sz w:val="18"/>
              </w:rPr>
              <w:t>76,912,566.32</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77,898,169.17</w:t>
            </w:r>
          </w:p>
        </w:tc>
        <w:tc>
          <w:tcPr>
            <w:tcW w:w="322" w:type="dxa"/>
            <w:tcBorders>
              <w:top w:val="single" w:sz="4" w:space="0" w:color="000000"/>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spacing w:val="-1"/>
                <w:sz w:val="18"/>
              </w:rPr>
              <w:t>8,969,557.85</w:t>
            </w:r>
          </w:p>
        </w:tc>
      </w:tr>
      <w:tr>
        <w:trPr>
          <w:trHeight w:val="394"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3"/>
                <w:sz w:val="18"/>
                <w:szCs w:val="18"/>
              </w:rPr>
              <w:t>二、离职后福利中</w:t>
            </w:r>
            <w:r>
              <w:rPr>
                <w:rFonts w:ascii="宋体" w:hAnsi="宋体" w:cs="宋体" w:eastAsia="宋体" w:hint="default"/>
                <w:spacing w:val="-3"/>
                <w:sz w:val="18"/>
                <w:szCs w:val="18"/>
              </w:rPr>
              <w:t>-</w:t>
            </w:r>
            <w:r>
              <w:rPr>
                <w:rFonts w:ascii="宋体" w:hAnsi="宋体" w:cs="宋体" w:eastAsia="宋体" w:hint="default"/>
                <w:spacing w:val="-3"/>
                <w:sz w:val="18"/>
                <w:szCs w:val="18"/>
              </w:rPr>
              <w:t>设定提存计划负债</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pacing w:val="-1"/>
                <w:sz w:val="18"/>
              </w:rPr>
              <w:t>238,868.15</w:t>
            </w:r>
          </w:p>
        </w:tc>
        <w:tc>
          <w:tcPr>
            <w:tcW w:w="231"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1" w:right="0"/>
              <w:jc w:val="left"/>
              <w:rPr>
                <w:rFonts w:ascii="宋体" w:hAnsi="宋体" w:cs="宋体" w:eastAsia="宋体" w:hint="default"/>
                <w:sz w:val="18"/>
                <w:szCs w:val="18"/>
              </w:rPr>
            </w:pPr>
            <w:r>
              <w:rPr>
                <w:rFonts w:ascii="宋体"/>
                <w:sz w:val="18"/>
              </w:rPr>
              <w:t>3,071,632.87</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pacing w:val="-1"/>
                <w:sz w:val="18"/>
              </w:rPr>
              <w:t>3,087,121.12</w:t>
            </w:r>
          </w:p>
        </w:tc>
        <w:tc>
          <w:tcPr>
            <w:tcW w:w="322"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82" w:right="0"/>
              <w:jc w:val="left"/>
              <w:rPr>
                <w:rFonts w:ascii="宋体" w:hAnsi="宋体" w:cs="宋体" w:eastAsia="宋体" w:hint="default"/>
                <w:sz w:val="18"/>
                <w:szCs w:val="18"/>
              </w:rPr>
            </w:pPr>
            <w:r>
              <w:rPr>
                <w:rFonts w:ascii="宋体"/>
                <w:spacing w:val="-1"/>
                <w:sz w:val="18"/>
              </w:rPr>
              <w:t>223,379.90</w:t>
            </w:r>
          </w:p>
        </w:tc>
      </w:tr>
      <w:tr>
        <w:trPr>
          <w:trHeight w:val="389"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176"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r>
      <w:tr>
        <w:trPr>
          <w:trHeight w:val="398"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四、一年内到期的其他福利</w:t>
            </w:r>
          </w:p>
        </w:tc>
        <w:tc>
          <w:tcPr>
            <w:tcW w:w="1176"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r>
      <w:tr>
        <w:trPr>
          <w:trHeight w:val="318" w:hRule="exact"/>
        </w:trPr>
        <w:tc>
          <w:tcPr>
            <w:tcW w:w="327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54"/>
              <w:ind w:right="242"/>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10,194,028.85</w:t>
            </w:r>
            <w:r>
              <w:rPr>
                <w:rFonts w:ascii="宋体"/>
                <w:spacing w:val="-1"/>
                <w:sz w:val="18"/>
              </w:rPr>
            </w:r>
          </w:p>
        </w:tc>
        <w:tc>
          <w:tcPr>
            <w:tcW w:w="231"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w w:val="101"/>
                <w:sz w:val="18"/>
              </w:rPr>
            </w:r>
            <w:r>
              <w:rPr>
                <w:rFonts w:ascii="宋体"/>
                <w:sz w:val="18"/>
                <w:u w:val="single" w:color="000000"/>
              </w:rPr>
              <w:t>79,984,199.19</w:t>
            </w:r>
            <w:r>
              <w:rPr>
                <w:rFonts w:ascii="宋体"/>
                <w:sz w:val="18"/>
              </w:rPr>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80,985,290.29</w:t>
            </w:r>
            <w:r>
              <w:rPr>
                <w:rFonts w:ascii="宋体"/>
                <w:spacing w:val="-1"/>
                <w:sz w:val="18"/>
              </w:rPr>
            </w:r>
          </w:p>
        </w:tc>
        <w:tc>
          <w:tcPr>
            <w:tcW w:w="322"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w w:val="101"/>
                <w:sz w:val="18"/>
              </w:rPr>
            </w:r>
            <w:r>
              <w:rPr>
                <w:rFonts w:ascii="宋体"/>
                <w:spacing w:val="-1"/>
                <w:sz w:val="18"/>
                <w:u w:val="single" w:color="000000"/>
              </w:rPr>
              <w:t>9,192,937.75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6"/>
        <w:ind w:left="655" w:right="1115"/>
        <w:jc w:val="left"/>
      </w:pPr>
      <w:r>
        <w:rPr>
          <w:rFonts w:ascii="宋体" w:hAnsi="宋体" w:cs="宋体" w:eastAsia="宋体" w:hint="default"/>
        </w:rPr>
        <w:t>2.</w:t>
      </w:r>
      <w:r>
        <w:rPr/>
        <w:t>短期薪酬列示</w:t>
      </w:r>
    </w:p>
    <w:p>
      <w:pPr>
        <w:spacing w:line="240" w:lineRule="auto" w:before="11"/>
        <w:rPr>
          <w:rFonts w:ascii="宋体" w:hAnsi="宋体" w:cs="宋体" w:eastAsia="宋体" w:hint="default"/>
          <w:sz w:val="26"/>
          <w:szCs w:val="26"/>
        </w:rPr>
      </w:pPr>
    </w:p>
    <w:tbl>
      <w:tblPr>
        <w:tblW w:w="0" w:type="auto"/>
        <w:jc w:val="left"/>
        <w:tblInd w:w="799" w:type="dxa"/>
        <w:tblLayout w:type="fixed"/>
        <w:tblCellMar>
          <w:top w:w="0" w:type="dxa"/>
          <w:left w:w="0" w:type="dxa"/>
          <w:bottom w:w="0" w:type="dxa"/>
          <w:right w:w="0" w:type="dxa"/>
        </w:tblCellMar>
        <w:tblLook w:val="01E0"/>
      </w:tblPr>
      <w:tblGrid>
        <w:gridCol w:w="2852"/>
        <w:gridCol w:w="1710"/>
        <w:gridCol w:w="1330"/>
        <w:gridCol w:w="1376"/>
        <w:gridCol w:w="1246"/>
      </w:tblGrid>
      <w:tr>
        <w:trPr>
          <w:trHeight w:val="253" w:hRule="exact"/>
        </w:trPr>
        <w:tc>
          <w:tcPr>
            <w:tcW w:w="2852" w:type="dxa"/>
            <w:tcBorders>
              <w:top w:val="nil" w:sz="6" w:space="0" w:color="auto"/>
              <w:left w:val="nil" w:sz="6" w:space="0" w:color="auto"/>
              <w:bottom w:val="single" w:sz="4" w:space="0" w:color="000000"/>
              <w:right w:val="nil" w:sz="6" w:space="0" w:color="auto"/>
            </w:tcBorders>
          </w:tcPr>
          <w:p>
            <w:pPr>
              <w:pStyle w:val="TableParagraph"/>
              <w:tabs>
                <w:tab w:pos="596" w:val="left" w:leader="none"/>
              </w:tabs>
              <w:spacing w:line="182" w:lineRule="exact"/>
              <w:ind w:left="173" w:right="0"/>
              <w:jc w:val="center"/>
              <w:rPr>
                <w:rFonts w:ascii="宋体" w:hAnsi="宋体" w:cs="宋体" w:eastAsia="宋体" w:hint="default"/>
                <w:sz w:val="18"/>
                <w:szCs w:val="18"/>
              </w:rPr>
            </w:pPr>
            <w:r>
              <w:rPr>
                <w:rFonts w:ascii="宋体" w:hAnsi="宋体" w:cs="宋体" w:eastAsia="宋体" w:hint="default"/>
                <w:b/>
                <w:bCs/>
                <w:sz w:val="18"/>
                <w:szCs w:val="18"/>
              </w:rPr>
              <w:t>项</w:t>
              <w:tab/>
              <w:t>目</w:t>
            </w:r>
            <w:r>
              <w:rPr>
                <w:rFonts w:ascii="宋体" w:hAnsi="宋体" w:cs="宋体" w:eastAsia="宋体" w:hint="default"/>
                <w:sz w:val="18"/>
                <w:szCs w:val="18"/>
              </w:rPr>
            </w:r>
          </w:p>
        </w:tc>
        <w:tc>
          <w:tcPr>
            <w:tcW w:w="1710" w:type="dxa"/>
            <w:tcBorders>
              <w:top w:val="nil" w:sz="6" w:space="0" w:color="auto"/>
              <w:left w:val="nil" w:sz="6" w:space="0" w:color="auto"/>
              <w:bottom w:val="single" w:sz="4" w:space="0" w:color="000000"/>
              <w:right w:val="nil" w:sz="6" w:space="0" w:color="auto"/>
            </w:tcBorders>
          </w:tcPr>
          <w:p>
            <w:pPr>
              <w:pStyle w:val="TableParagraph"/>
              <w:spacing w:line="182"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182" w:lineRule="exact"/>
              <w:ind w:left="21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76" w:type="dxa"/>
            <w:tcBorders>
              <w:top w:val="nil" w:sz="6" w:space="0" w:color="auto"/>
              <w:left w:val="nil" w:sz="6" w:space="0" w:color="auto"/>
              <w:bottom w:val="single" w:sz="4" w:space="0" w:color="000000"/>
              <w:right w:val="nil" w:sz="6" w:space="0" w:color="auto"/>
            </w:tcBorders>
          </w:tcPr>
          <w:p>
            <w:pPr>
              <w:pStyle w:val="TableParagraph"/>
              <w:spacing w:line="182" w:lineRule="exact"/>
              <w:ind w:left="22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246" w:type="dxa"/>
            <w:tcBorders>
              <w:top w:val="nil" w:sz="6" w:space="0" w:color="auto"/>
              <w:left w:val="nil" w:sz="6" w:space="0" w:color="auto"/>
              <w:bottom w:val="single" w:sz="4" w:space="0" w:color="000000"/>
              <w:right w:val="nil" w:sz="6" w:space="0" w:color="auto"/>
            </w:tcBorders>
          </w:tcPr>
          <w:p>
            <w:pPr>
              <w:pStyle w:val="TableParagraph"/>
              <w:spacing w:line="182"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7" w:hRule="exact"/>
        </w:trPr>
        <w:tc>
          <w:tcPr>
            <w:tcW w:w="285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pacing w:val="-3"/>
                <w:sz w:val="18"/>
                <w:szCs w:val="18"/>
              </w:rPr>
              <w:t>一、工资、奖金、津贴和补贴</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13"/>
              <w:jc w:val="right"/>
              <w:rPr>
                <w:rFonts w:ascii="宋体" w:hAnsi="宋体" w:cs="宋体" w:eastAsia="宋体" w:hint="default"/>
                <w:sz w:val="18"/>
                <w:szCs w:val="18"/>
              </w:rPr>
            </w:pPr>
            <w:r>
              <w:rPr>
                <w:rFonts w:ascii="宋体"/>
                <w:spacing w:val="-1"/>
                <w:sz w:val="18"/>
              </w:rPr>
              <w:t>8,911,291.64</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6"/>
              <w:jc w:val="right"/>
              <w:rPr>
                <w:rFonts w:ascii="宋体" w:hAnsi="宋体" w:cs="宋体" w:eastAsia="宋体" w:hint="default"/>
                <w:sz w:val="18"/>
                <w:szCs w:val="18"/>
              </w:rPr>
            </w:pPr>
            <w:r>
              <w:rPr>
                <w:rFonts w:ascii="宋体"/>
                <w:spacing w:val="-1"/>
                <w:sz w:val="18"/>
              </w:rPr>
              <w:t>68,702,403.31</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59"/>
              <w:jc w:val="right"/>
              <w:rPr>
                <w:rFonts w:ascii="宋体" w:hAnsi="宋体" w:cs="宋体" w:eastAsia="宋体" w:hint="default"/>
                <w:sz w:val="18"/>
                <w:szCs w:val="18"/>
              </w:rPr>
            </w:pPr>
            <w:r>
              <w:rPr>
                <w:rFonts w:ascii="宋体"/>
                <w:spacing w:val="-1"/>
                <w:sz w:val="18"/>
              </w:rPr>
              <w:t>69,700,149.01</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7,913,545.94</w:t>
            </w:r>
          </w:p>
        </w:tc>
      </w:tr>
      <w:tr>
        <w:trPr>
          <w:trHeight w:val="399"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pacing w:val="-3"/>
                <w:sz w:val="18"/>
                <w:szCs w:val="18"/>
              </w:rPr>
              <w:t>二、职工福利费</w:t>
            </w:r>
          </w:p>
        </w:tc>
        <w:tc>
          <w:tcPr>
            <w:tcW w:w="171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6"/>
              <w:jc w:val="right"/>
              <w:rPr>
                <w:rFonts w:ascii="宋体" w:hAnsi="宋体" w:cs="宋体" w:eastAsia="宋体" w:hint="default"/>
                <w:sz w:val="18"/>
                <w:szCs w:val="18"/>
              </w:rPr>
            </w:pPr>
            <w:r>
              <w:rPr>
                <w:rFonts w:ascii="宋体"/>
                <w:spacing w:val="-1"/>
                <w:sz w:val="18"/>
              </w:rPr>
              <w:t>2,024,132.34</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9"/>
              <w:jc w:val="right"/>
              <w:rPr>
                <w:rFonts w:ascii="宋体" w:hAnsi="宋体" w:cs="宋体" w:eastAsia="宋体" w:hint="default"/>
                <w:sz w:val="18"/>
                <w:szCs w:val="18"/>
              </w:rPr>
            </w:pPr>
            <w:r>
              <w:rPr>
                <w:rFonts w:ascii="宋体"/>
                <w:spacing w:val="-1"/>
                <w:sz w:val="18"/>
              </w:rPr>
              <w:t>2,024,132.34</w:t>
            </w:r>
          </w:p>
        </w:tc>
        <w:tc>
          <w:tcPr>
            <w:tcW w:w="1246" w:type="dxa"/>
            <w:tcBorders>
              <w:top w:val="nil" w:sz="6" w:space="0" w:color="auto"/>
              <w:left w:val="nil" w:sz="6" w:space="0" w:color="auto"/>
              <w:bottom w:val="nil" w:sz="6" w:space="0" w:color="auto"/>
              <w:right w:val="nil" w:sz="6" w:space="0" w:color="auto"/>
            </w:tcBorders>
          </w:tcPr>
          <w:p>
            <w:pPr/>
          </w:p>
        </w:tc>
      </w:tr>
      <w:tr>
        <w:trPr>
          <w:trHeight w:val="396"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三、社会保险费</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宋体" w:hAnsi="宋体" w:cs="宋体" w:eastAsia="宋体" w:hint="default"/>
                <w:sz w:val="18"/>
                <w:szCs w:val="18"/>
              </w:rPr>
            </w:pPr>
            <w:r>
              <w:rPr>
                <w:rFonts w:ascii="宋体"/>
                <w:spacing w:val="-1"/>
                <w:sz w:val="18"/>
              </w:rPr>
              <w:t>164,401.61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
              <w:jc w:val="right"/>
              <w:rPr>
                <w:rFonts w:ascii="宋体" w:hAnsi="宋体" w:cs="宋体" w:eastAsia="宋体" w:hint="default"/>
                <w:sz w:val="18"/>
                <w:szCs w:val="18"/>
              </w:rPr>
            </w:pPr>
            <w:r>
              <w:rPr>
                <w:rFonts w:ascii="宋体"/>
                <w:spacing w:val="-1"/>
                <w:sz w:val="18"/>
              </w:rPr>
              <w:t>2,546,614.16</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spacing w:val="-1"/>
                <w:sz w:val="18"/>
              </w:rPr>
              <w:t>2,541,276.91</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169,738.86</w:t>
            </w:r>
          </w:p>
        </w:tc>
      </w:tr>
      <w:tr>
        <w:trPr>
          <w:trHeight w:val="406"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宋体" w:hAnsi="宋体" w:cs="宋体" w:eastAsia="宋体" w:hint="default"/>
                <w:sz w:val="18"/>
                <w:szCs w:val="18"/>
              </w:rPr>
            </w:pPr>
            <w:r>
              <w:rPr>
                <w:rFonts w:ascii="宋体"/>
                <w:spacing w:val="-1"/>
                <w:sz w:val="18"/>
              </w:rPr>
              <w:t>149,049.52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6"/>
              <w:jc w:val="right"/>
              <w:rPr>
                <w:rFonts w:ascii="宋体" w:hAnsi="宋体" w:cs="宋体" w:eastAsia="宋体" w:hint="default"/>
                <w:sz w:val="18"/>
                <w:szCs w:val="18"/>
              </w:rPr>
            </w:pPr>
            <w:r>
              <w:rPr>
                <w:rFonts w:ascii="宋体"/>
                <w:spacing w:val="-1"/>
                <w:sz w:val="18"/>
              </w:rPr>
              <w:t>2,025,928.32</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9"/>
              <w:jc w:val="right"/>
              <w:rPr>
                <w:rFonts w:ascii="宋体" w:hAnsi="宋体" w:cs="宋体" w:eastAsia="宋体" w:hint="default"/>
                <w:sz w:val="18"/>
                <w:szCs w:val="18"/>
              </w:rPr>
            </w:pPr>
            <w:r>
              <w:rPr>
                <w:rFonts w:ascii="宋体"/>
                <w:spacing w:val="-1"/>
                <w:sz w:val="18"/>
              </w:rPr>
              <w:t>2,020,856.29</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宋体" w:hAnsi="宋体" w:cs="宋体" w:eastAsia="宋体" w:hint="default"/>
                <w:sz w:val="18"/>
                <w:szCs w:val="18"/>
              </w:rPr>
            </w:pPr>
            <w:r>
              <w:rPr>
                <w:rFonts w:ascii="宋体"/>
                <w:spacing w:val="-1"/>
                <w:sz w:val="18"/>
              </w:rPr>
              <w:t>154,121.55</w:t>
            </w:r>
          </w:p>
        </w:tc>
      </w:tr>
      <w:tr>
        <w:trPr>
          <w:trHeight w:val="398"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4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3,567.84</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pacing w:val="-1"/>
                <w:sz w:val="18"/>
              </w:rPr>
              <w:t>46,542.66</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9"/>
              <w:jc w:val="right"/>
              <w:rPr>
                <w:rFonts w:ascii="宋体" w:hAnsi="宋体" w:cs="宋体" w:eastAsia="宋体" w:hint="default"/>
                <w:sz w:val="18"/>
                <w:szCs w:val="18"/>
              </w:rPr>
            </w:pPr>
            <w:r>
              <w:rPr>
                <w:rFonts w:ascii="宋体"/>
                <w:spacing w:val="-1"/>
                <w:sz w:val="18"/>
              </w:rPr>
              <w:t>46,770.14</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3,340.36</w:t>
            </w:r>
          </w:p>
        </w:tc>
      </w:tr>
      <w:tr>
        <w:trPr>
          <w:trHeight w:val="396"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4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11,784.25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18"/>
                <w:szCs w:val="18"/>
              </w:rPr>
            </w:pPr>
            <w:r>
              <w:rPr>
                <w:rFonts w:ascii="宋体"/>
                <w:spacing w:val="-1"/>
                <w:sz w:val="18"/>
              </w:rPr>
              <w:t>164,068.59</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9"/>
              <w:jc w:val="right"/>
              <w:rPr>
                <w:rFonts w:ascii="宋体" w:hAnsi="宋体" w:cs="宋体" w:eastAsia="宋体" w:hint="default"/>
                <w:sz w:val="18"/>
                <w:szCs w:val="18"/>
              </w:rPr>
            </w:pPr>
            <w:r>
              <w:rPr>
                <w:rFonts w:ascii="宋体"/>
                <w:spacing w:val="-1"/>
                <w:sz w:val="18"/>
              </w:rPr>
              <w:t>163,575.89</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12,276.95</w:t>
            </w:r>
          </w:p>
        </w:tc>
      </w:tr>
      <w:tr>
        <w:trPr>
          <w:trHeight w:val="387"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6"/>
              <w:jc w:val="right"/>
              <w:rPr>
                <w:rFonts w:ascii="宋体" w:hAnsi="宋体" w:cs="宋体" w:eastAsia="宋体" w:hint="default"/>
                <w:sz w:val="18"/>
                <w:szCs w:val="18"/>
              </w:rPr>
            </w:pPr>
            <w:r>
              <w:rPr>
                <w:rFonts w:ascii="宋体"/>
                <w:spacing w:val="-1"/>
                <w:sz w:val="18"/>
              </w:rPr>
              <w:t>310,074.59</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9"/>
              <w:jc w:val="right"/>
              <w:rPr>
                <w:rFonts w:ascii="宋体" w:hAnsi="宋体" w:cs="宋体" w:eastAsia="宋体" w:hint="default"/>
                <w:sz w:val="18"/>
                <w:szCs w:val="18"/>
              </w:rPr>
            </w:pPr>
            <w:r>
              <w:rPr>
                <w:rFonts w:ascii="宋体"/>
                <w:spacing w:val="-1"/>
                <w:sz w:val="18"/>
              </w:rPr>
              <w:t>310,074.59</w:t>
            </w:r>
          </w:p>
        </w:tc>
        <w:tc>
          <w:tcPr>
            <w:tcW w:w="1246" w:type="dxa"/>
            <w:tcBorders>
              <w:top w:val="nil" w:sz="6" w:space="0" w:color="auto"/>
              <w:left w:val="nil" w:sz="6" w:space="0" w:color="auto"/>
              <w:bottom w:val="nil" w:sz="6" w:space="0" w:color="auto"/>
              <w:right w:val="nil" w:sz="6" w:space="0" w:color="auto"/>
            </w:tcBorders>
          </w:tcPr>
          <w:p>
            <w:pPr/>
          </w:p>
        </w:tc>
      </w:tr>
      <w:tr>
        <w:trPr>
          <w:trHeight w:val="398"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四、住房公积金</w:t>
            </w:r>
          </w:p>
        </w:tc>
        <w:tc>
          <w:tcPr>
            <w:tcW w:w="171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
              <w:jc w:val="right"/>
              <w:rPr>
                <w:rFonts w:ascii="宋体" w:hAnsi="宋体" w:cs="宋体" w:eastAsia="宋体" w:hint="default"/>
                <w:sz w:val="18"/>
                <w:szCs w:val="18"/>
              </w:rPr>
            </w:pPr>
            <w:r>
              <w:rPr>
                <w:rFonts w:ascii="宋体"/>
                <w:spacing w:val="-1"/>
                <w:sz w:val="18"/>
              </w:rPr>
              <w:t>1,512,488.00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spacing w:val="-1"/>
                <w:sz w:val="18"/>
              </w:rPr>
              <w:t>1,511,882.80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605.20</w:t>
            </w:r>
          </w:p>
        </w:tc>
      </w:tr>
      <w:tr>
        <w:trPr>
          <w:trHeight w:val="398"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五、工会经费和职工教育经费</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宋体" w:hAnsi="宋体" w:cs="宋体" w:eastAsia="宋体" w:hint="default"/>
                <w:sz w:val="18"/>
                <w:szCs w:val="18"/>
              </w:rPr>
            </w:pPr>
            <w:r>
              <w:rPr>
                <w:rFonts w:ascii="宋体"/>
                <w:spacing w:val="-1"/>
                <w:sz w:val="18"/>
              </w:rPr>
              <w:t>879,467.45</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
              <w:jc w:val="right"/>
              <w:rPr>
                <w:rFonts w:ascii="宋体" w:hAnsi="宋体" w:cs="宋体" w:eastAsia="宋体" w:hint="default"/>
                <w:sz w:val="18"/>
                <w:szCs w:val="18"/>
              </w:rPr>
            </w:pPr>
            <w:r>
              <w:rPr>
                <w:rFonts w:ascii="宋体"/>
                <w:spacing w:val="-1"/>
                <w:sz w:val="18"/>
              </w:rPr>
              <w:t>2,126,928.51</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spacing w:val="-1"/>
                <w:sz w:val="18"/>
              </w:rPr>
              <w:t>2,120,728.11</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885,667.85</w:t>
            </w:r>
          </w:p>
        </w:tc>
      </w:tr>
      <w:tr>
        <w:trPr>
          <w:trHeight w:val="396"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71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396"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71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398"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1710"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r>
      <w:tr>
        <w:trPr>
          <w:trHeight w:val="290" w:hRule="exact"/>
        </w:trPr>
        <w:tc>
          <w:tcPr>
            <w:tcW w:w="2852" w:type="dxa"/>
            <w:tcBorders>
              <w:top w:val="nil" w:sz="6" w:space="0" w:color="auto"/>
              <w:left w:val="nil" w:sz="6" w:space="0" w:color="auto"/>
              <w:bottom w:val="nil" w:sz="6" w:space="0" w:color="auto"/>
              <w:right w:val="nil" w:sz="6" w:space="0" w:color="auto"/>
            </w:tcBorders>
          </w:tcPr>
          <w:p>
            <w:pPr>
              <w:pStyle w:val="TableParagraph"/>
              <w:tabs>
                <w:tab w:pos="596" w:val="left" w:leader="none"/>
              </w:tabs>
              <w:spacing w:line="240" w:lineRule="auto" w:before="54"/>
              <w:ind w:left="173"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right"/>
              <w:rPr>
                <w:rFonts w:ascii="宋体" w:hAnsi="宋体" w:cs="宋体" w:eastAsia="宋体" w:hint="default"/>
                <w:sz w:val="18"/>
                <w:szCs w:val="18"/>
              </w:rPr>
            </w:pPr>
            <w:r>
              <w:rPr>
                <w:rFonts w:ascii="宋体"/>
                <w:w w:val="101"/>
                <w:sz w:val="18"/>
              </w:rPr>
            </w:r>
            <w:r>
              <w:rPr>
                <w:rFonts w:ascii="宋体"/>
                <w:spacing w:val="-1"/>
                <w:sz w:val="18"/>
                <w:u w:val="thick" w:color="000000"/>
              </w:rPr>
              <w:t>9,955,160.70</w:t>
            </w:r>
            <w:r>
              <w:rPr>
                <w:rFonts w:ascii="宋体"/>
                <w:spacing w:val="-1"/>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
              <w:jc w:val="right"/>
              <w:rPr>
                <w:rFonts w:ascii="宋体" w:hAnsi="宋体" w:cs="宋体" w:eastAsia="宋体" w:hint="default"/>
                <w:sz w:val="18"/>
                <w:szCs w:val="18"/>
              </w:rPr>
            </w:pPr>
            <w:r>
              <w:rPr>
                <w:rFonts w:ascii="宋体"/>
                <w:w w:val="101"/>
                <w:sz w:val="18"/>
              </w:rPr>
            </w:r>
            <w:r>
              <w:rPr>
                <w:rFonts w:ascii="宋体"/>
                <w:spacing w:val="-1"/>
                <w:sz w:val="18"/>
                <w:u w:val="thick" w:color="000000"/>
              </w:rPr>
              <w:t>76,912,566.32</w:t>
            </w:r>
            <w:r>
              <w:rPr>
                <w:rFonts w:ascii="宋体"/>
                <w:spacing w:val="-1"/>
                <w:sz w:val="18"/>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w w:val="101"/>
                <w:sz w:val="18"/>
              </w:rPr>
            </w:r>
            <w:r>
              <w:rPr>
                <w:rFonts w:ascii="宋体"/>
                <w:spacing w:val="-1"/>
                <w:sz w:val="18"/>
                <w:u w:val="thick" w:color="000000"/>
              </w:rPr>
              <w:t>77,898,169.17</w:t>
            </w:r>
            <w:r>
              <w:rPr>
                <w:rFonts w:ascii="宋体"/>
                <w:spacing w:val="-1"/>
                <w:sz w:val="18"/>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8,969,557.85</w:t>
            </w:r>
            <w:r>
              <w:rPr>
                <w:rFonts w:ascii="宋体"/>
                <w:spacing w:val="-1"/>
                <w:sz w:val="18"/>
              </w:rPr>
            </w:r>
          </w:p>
        </w:tc>
      </w:tr>
    </w:tbl>
    <w:p>
      <w:pPr>
        <w:spacing w:line="240" w:lineRule="auto" w:before="8"/>
        <w:rPr>
          <w:rFonts w:ascii="宋体" w:hAnsi="宋体" w:cs="宋体" w:eastAsia="宋体" w:hint="default"/>
          <w:sz w:val="21"/>
          <w:szCs w:val="21"/>
        </w:rPr>
      </w:pPr>
    </w:p>
    <w:p>
      <w:pPr>
        <w:pStyle w:val="BodyText"/>
        <w:spacing w:line="240" w:lineRule="auto" w:before="36"/>
        <w:ind w:left="655" w:right="1115"/>
        <w:jc w:val="left"/>
      </w:pPr>
      <w:r>
        <w:rPr>
          <w:rFonts w:ascii="宋体" w:hAnsi="宋体" w:cs="宋体" w:eastAsia="宋体" w:hint="default"/>
        </w:rPr>
        <w:t>3.</w:t>
      </w:r>
      <w:r>
        <w:rPr/>
        <w:t>设定提存计划列示</w:t>
      </w:r>
    </w:p>
    <w:p>
      <w:pPr>
        <w:spacing w:line="240" w:lineRule="auto" w:before="12"/>
        <w:rPr>
          <w:rFonts w:ascii="宋体" w:hAnsi="宋体" w:cs="宋体" w:eastAsia="宋体" w:hint="default"/>
          <w:sz w:val="26"/>
          <w:szCs w:val="26"/>
        </w:rPr>
      </w:pPr>
    </w:p>
    <w:tbl>
      <w:tblPr>
        <w:tblW w:w="0" w:type="auto"/>
        <w:jc w:val="left"/>
        <w:tblInd w:w="516" w:type="dxa"/>
        <w:tblLayout w:type="fixed"/>
        <w:tblCellMar>
          <w:top w:w="0" w:type="dxa"/>
          <w:left w:w="0" w:type="dxa"/>
          <w:bottom w:w="0" w:type="dxa"/>
          <w:right w:w="0" w:type="dxa"/>
        </w:tblCellMar>
        <w:tblLook w:val="01E0"/>
      </w:tblPr>
      <w:tblGrid>
        <w:gridCol w:w="1368"/>
        <w:gridCol w:w="2497"/>
        <w:gridCol w:w="668"/>
        <w:gridCol w:w="1181"/>
        <w:gridCol w:w="591"/>
        <w:gridCol w:w="1109"/>
        <w:gridCol w:w="1662"/>
      </w:tblGrid>
      <w:tr>
        <w:trPr>
          <w:trHeight w:val="253"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182" w:lineRule="exact"/>
              <w:ind w:right="5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7" w:type="dxa"/>
            <w:tcBorders>
              <w:top w:val="nil" w:sz="6" w:space="0" w:color="auto"/>
              <w:left w:val="nil" w:sz="6" w:space="0" w:color="auto"/>
              <w:bottom w:val="single" w:sz="4" w:space="0" w:color="000000"/>
              <w:right w:val="nil" w:sz="6" w:space="0" w:color="auto"/>
            </w:tcBorders>
          </w:tcPr>
          <w:p>
            <w:pPr>
              <w:pStyle w:val="TableParagraph"/>
              <w:spacing w:line="182" w:lineRule="exact"/>
              <w:ind w:left="138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68" w:type="dxa"/>
            <w:tcBorders>
              <w:top w:val="nil" w:sz="6" w:space="0" w:color="auto"/>
              <w:left w:val="nil" w:sz="6" w:space="0" w:color="auto"/>
              <w:bottom w:val="single" w:sz="4" w:space="0" w:color="000000"/>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591" w:type="dxa"/>
            <w:tcBorders>
              <w:top w:val="nil" w:sz="6" w:space="0" w:color="auto"/>
              <w:left w:val="nil" w:sz="6" w:space="0" w:color="auto"/>
              <w:bottom w:val="single" w:sz="4" w:space="0" w:color="000000"/>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182"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基本养老保险</w:t>
            </w:r>
          </w:p>
        </w:tc>
        <w:tc>
          <w:tcPr>
            <w:tcW w:w="249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229,394.37</w:t>
            </w:r>
          </w:p>
        </w:tc>
        <w:tc>
          <w:tcPr>
            <w:tcW w:w="668" w:type="dxa"/>
            <w:tcBorders>
              <w:top w:val="single" w:sz="4" w:space="0" w:color="000000"/>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2,938,235.08</w:t>
            </w:r>
          </w:p>
        </w:tc>
        <w:tc>
          <w:tcPr>
            <w:tcW w:w="591"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3" w:right="0"/>
              <w:jc w:val="left"/>
              <w:rPr>
                <w:rFonts w:ascii="宋体" w:hAnsi="宋体" w:cs="宋体" w:eastAsia="宋体" w:hint="default"/>
                <w:sz w:val="18"/>
                <w:szCs w:val="18"/>
              </w:rPr>
            </w:pPr>
            <w:r>
              <w:rPr>
                <w:rFonts w:ascii="宋体"/>
                <w:spacing w:val="-1"/>
                <w:sz w:val="18"/>
              </w:rPr>
              <w:t>2,954,870.22</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8"/>
              <w:jc w:val="right"/>
              <w:rPr>
                <w:rFonts w:ascii="宋体" w:hAnsi="宋体" w:cs="宋体" w:eastAsia="宋体" w:hint="default"/>
                <w:sz w:val="18"/>
                <w:szCs w:val="18"/>
              </w:rPr>
            </w:pPr>
            <w:r>
              <w:rPr>
                <w:rFonts w:ascii="宋体"/>
                <w:spacing w:val="-1"/>
                <w:sz w:val="18"/>
              </w:rPr>
              <w:t>212,759.23</w:t>
            </w:r>
          </w:p>
        </w:tc>
      </w:tr>
      <w:tr>
        <w:trPr>
          <w:trHeight w:val="408"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249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pacing w:val="-1"/>
                <w:sz w:val="18"/>
              </w:rPr>
              <w:t>9,473.78</w:t>
            </w:r>
          </w:p>
        </w:tc>
        <w:tc>
          <w:tcPr>
            <w:tcW w:w="66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133,397.79</w:t>
            </w:r>
          </w:p>
        </w:tc>
        <w:tc>
          <w:tcPr>
            <w:tcW w:w="59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6" w:right="0"/>
              <w:jc w:val="left"/>
              <w:rPr>
                <w:rFonts w:ascii="宋体" w:hAnsi="宋体" w:cs="宋体" w:eastAsia="宋体" w:hint="default"/>
                <w:sz w:val="18"/>
                <w:szCs w:val="18"/>
              </w:rPr>
            </w:pPr>
            <w:r>
              <w:rPr>
                <w:rFonts w:ascii="宋体"/>
                <w:spacing w:val="-1"/>
                <w:sz w:val="18"/>
              </w:rPr>
              <w:t>132,250.90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8"/>
              <w:jc w:val="right"/>
              <w:rPr>
                <w:rFonts w:ascii="宋体" w:hAnsi="宋体" w:cs="宋体" w:eastAsia="宋体" w:hint="default"/>
                <w:sz w:val="18"/>
                <w:szCs w:val="18"/>
              </w:rPr>
            </w:pPr>
            <w:r>
              <w:rPr>
                <w:rFonts w:ascii="宋体"/>
                <w:spacing w:val="-1"/>
                <w:sz w:val="18"/>
              </w:rPr>
              <w:t>10,620.67</w:t>
            </w:r>
          </w:p>
        </w:tc>
      </w:tr>
      <w:tr>
        <w:trPr>
          <w:trHeight w:val="387"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企业年金缴费</w:t>
            </w:r>
          </w:p>
        </w:tc>
        <w:tc>
          <w:tcPr>
            <w:tcW w:w="2497"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59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r>
      <w:tr>
        <w:trPr>
          <w:trHeight w:val="313"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5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49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238,868.15</w:t>
            </w:r>
            <w:r>
              <w:rPr>
                <w:rFonts w:ascii="宋体"/>
                <w:spacing w:val="-1"/>
                <w:sz w:val="18"/>
              </w:rPr>
            </w:r>
          </w:p>
        </w:tc>
        <w:tc>
          <w:tcPr>
            <w:tcW w:w="66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13" w:space="0" w:color="000000"/>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3,071,632.87</w:t>
            </w:r>
          </w:p>
        </w:tc>
        <w:tc>
          <w:tcPr>
            <w:tcW w:w="591"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13" w:space="0" w:color="000000"/>
              <w:right w:val="nil" w:sz="6" w:space="0" w:color="auto"/>
            </w:tcBorders>
          </w:tcPr>
          <w:p>
            <w:pPr>
              <w:pStyle w:val="TableParagraph"/>
              <w:spacing w:line="240" w:lineRule="auto" w:before="61"/>
              <w:ind w:left="23" w:right="0"/>
              <w:jc w:val="left"/>
              <w:rPr>
                <w:rFonts w:ascii="宋体" w:hAnsi="宋体" w:cs="宋体" w:eastAsia="宋体" w:hint="default"/>
                <w:sz w:val="18"/>
                <w:szCs w:val="18"/>
              </w:rPr>
            </w:pPr>
            <w:r>
              <w:rPr>
                <w:rFonts w:ascii="宋体"/>
                <w:spacing w:val="-1"/>
                <w:sz w:val="18"/>
              </w:rPr>
              <w:t>3,087,121.12</w:t>
            </w:r>
          </w:p>
        </w:tc>
        <w:tc>
          <w:tcPr>
            <w:tcW w:w="1662" w:type="dxa"/>
            <w:tcBorders>
              <w:top w:val="nil" w:sz="6" w:space="0" w:color="auto"/>
              <w:left w:val="nil" w:sz="6" w:space="0" w:color="auto"/>
              <w:bottom w:val="single" w:sz="13" w:space="0" w:color="000000"/>
              <w:right w:val="nil" w:sz="6" w:space="0" w:color="auto"/>
            </w:tcBorders>
          </w:tcPr>
          <w:p>
            <w:pPr>
              <w:pStyle w:val="TableParagraph"/>
              <w:spacing w:line="240" w:lineRule="auto" w:before="61"/>
              <w:ind w:right="98"/>
              <w:jc w:val="right"/>
              <w:rPr>
                <w:rFonts w:ascii="宋体" w:hAnsi="宋体" w:cs="宋体" w:eastAsia="宋体" w:hint="default"/>
                <w:sz w:val="18"/>
                <w:szCs w:val="18"/>
              </w:rPr>
            </w:pPr>
            <w:r>
              <w:rPr>
                <w:rFonts w:ascii="宋体"/>
                <w:spacing w:val="-1"/>
                <w:sz w:val="18"/>
              </w:rPr>
              <w:t>223,379.90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6"/>
        <w:ind w:left="655" w:right="1115"/>
        <w:jc w:val="left"/>
      </w:pPr>
      <w:r>
        <w:rPr/>
        <w:pict>
          <v:group style="position:absolute;margin-left:50.18401pt;margin-top:45.499691pt;width:494.15pt;height:.5pt;mso-position-horizontal-relative:page;mso-position-vertical-relative:paragraph;z-index:-924304" coordorigin="1004,910" coordsize="9883,10">
            <v:group style="position:absolute;left:1008;top:915;width:3304;height:2" coordorigin="1008,915" coordsize="3304,2">
              <v:shape style="position:absolute;left:1008;top:915;width:3304;height:2" coordorigin="1008,915" coordsize="3304,0" path="m1008,915l4312,915e" filled="false" stroked="true" strokeweight=".47998pt" strokecolor="#000000">
                <v:path arrowok="t"/>
              </v:shape>
            </v:group>
            <v:group style="position:absolute;left:4297;top:915;width:10;height:2" coordorigin="4297,915" coordsize="10,2">
              <v:shape style="position:absolute;left:4297;top:915;width:10;height:2" coordorigin="4297,915" coordsize="10,0" path="m4297,915l4307,915e" filled="false" stroked="true" strokeweight=".47998pt" strokecolor="#000000">
                <v:path arrowok="t"/>
              </v:shape>
            </v:group>
            <v:group style="position:absolute;left:4307;top:915;width:3290;height:2" coordorigin="4307,915" coordsize="3290,2">
              <v:shape style="position:absolute;left:4307;top:915;width:3290;height:2" coordorigin="4307,915" coordsize="3290,0" path="m4307,915l7596,915e" filled="false" stroked="true" strokeweight=".47998pt" strokecolor="#000000">
                <v:path arrowok="t"/>
              </v:shape>
            </v:group>
            <v:group style="position:absolute;left:7582;top:915;width:10;height:2" coordorigin="7582,915" coordsize="10,2">
              <v:shape style="position:absolute;left:7582;top:915;width:10;height:2" coordorigin="7582,915" coordsize="10,0" path="m7582,915l7592,915e" filled="false" stroked="true" strokeweight=".47998pt" strokecolor="#000000">
                <v:path arrowok="t"/>
              </v:shape>
            </v:group>
            <v:group style="position:absolute;left:7592;top:915;width:3290;height:2" coordorigin="7592,915" coordsize="3290,2">
              <v:shape style="position:absolute;left:7592;top:915;width:3290;height:2" coordorigin="7592,915" coordsize="3290,0" path="m7592,915l10881,915e" filled="false" stroked="true" strokeweight=".47998pt" strokecolor="#000000">
                <v:path arrowok="t"/>
              </v:shape>
            </v:group>
            <w10:wrap type="none"/>
          </v:group>
        </w:pict>
      </w:r>
      <w:bookmarkStart w:name="（十七）应交税费" w:id="215"/>
      <w:bookmarkEnd w:id="215"/>
      <w:r>
        <w:rPr/>
      </w:r>
      <w:r>
        <w:rPr/>
        <w:t>（十七）应交税费</w:t>
      </w:r>
    </w:p>
    <w:p>
      <w:pPr>
        <w:spacing w:line="240" w:lineRule="auto" w:before="11"/>
        <w:rPr>
          <w:rFonts w:ascii="宋体" w:hAnsi="宋体" w:cs="宋体" w:eastAsia="宋体" w:hint="default"/>
          <w:sz w:val="26"/>
          <w:szCs w:val="26"/>
        </w:rPr>
      </w:pPr>
    </w:p>
    <w:tbl>
      <w:tblPr>
        <w:tblW w:w="0" w:type="auto"/>
        <w:jc w:val="left"/>
        <w:tblInd w:w="1205" w:type="dxa"/>
        <w:tblLayout w:type="fixed"/>
        <w:tblCellMar>
          <w:top w:w="0" w:type="dxa"/>
          <w:left w:w="0" w:type="dxa"/>
          <w:bottom w:w="0" w:type="dxa"/>
          <w:right w:w="0" w:type="dxa"/>
        </w:tblCellMar>
        <w:tblLook w:val="01E0"/>
      </w:tblPr>
      <w:tblGrid>
        <w:gridCol w:w="2207"/>
        <w:gridCol w:w="3287"/>
        <w:gridCol w:w="2210"/>
      </w:tblGrid>
      <w:tr>
        <w:trPr>
          <w:trHeight w:val="253"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3287" w:type="dxa"/>
            <w:tcBorders>
              <w:top w:val="nil" w:sz="6" w:space="0" w:color="auto"/>
              <w:left w:val="nil" w:sz="6" w:space="0" w:color="auto"/>
              <w:bottom w:val="nil" w:sz="6" w:space="0" w:color="auto"/>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10" w:type="dxa"/>
            <w:tcBorders>
              <w:top w:val="nil" w:sz="6" w:space="0" w:color="auto"/>
              <w:left w:val="nil" w:sz="6" w:space="0" w:color="auto"/>
              <w:bottom w:val="nil" w:sz="6" w:space="0" w:color="auto"/>
              <w:right w:val="nil" w:sz="6" w:space="0" w:color="auto"/>
            </w:tcBorders>
          </w:tcPr>
          <w:p>
            <w:pPr>
              <w:pStyle w:val="TableParagraph"/>
              <w:spacing w:line="182" w:lineRule="exact"/>
              <w:ind w:left="127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bl>
    <w:p>
      <w:pPr>
        <w:spacing w:after="0" w:line="182" w:lineRule="exact"/>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3289"/>
        <w:gridCol w:w="3873"/>
        <w:gridCol w:w="2696"/>
      </w:tblGrid>
      <w:tr>
        <w:trPr>
          <w:trHeight w:val="253" w:hRule="exact"/>
        </w:trPr>
        <w:tc>
          <w:tcPr>
            <w:tcW w:w="3289" w:type="dxa"/>
            <w:tcBorders>
              <w:top w:val="nil" w:sz="6" w:space="0" w:color="auto"/>
              <w:left w:val="nil" w:sz="6" w:space="0" w:color="auto"/>
              <w:bottom w:val="single" w:sz="4" w:space="0" w:color="000000"/>
              <w:right w:val="nil" w:sz="6" w:space="0" w:color="auto"/>
            </w:tcBorders>
          </w:tcPr>
          <w:p>
            <w:pPr>
              <w:pStyle w:val="TableParagraph"/>
              <w:spacing w:line="182"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3873" w:type="dxa"/>
            <w:tcBorders>
              <w:top w:val="nil" w:sz="6" w:space="0" w:color="auto"/>
              <w:left w:val="nil" w:sz="6" w:space="0" w:color="auto"/>
              <w:bottom w:val="single" w:sz="4" w:space="0" w:color="000000"/>
              <w:right w:val="nil" w:sz="6" w:space="0" w:color="auto"/>
            </w:tcBorders>
          </w:tcPr>
          <w:p>
            <w:pPr>
              <w:pStyle w:val="TableParagraph"/>
              <w:spacing w:line="182" w:lineRule="exact"/>
              <w:ind w:left="12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6" w:type="dxa"/>
            <w:tcBorders>
              <w:top w:val="nil" w:sz="6" w:space="0" w:color="auto"/>
              <w:left w:val="nil" w:sz="6" w:space="0" w:color="auto"/>
              <w:bottom w:val="single" w:sz="4" w:space="0" w:color="000000"/>
              <w:right w:val="nil" w:sz="6" w:space="0" w:color="auto"/>
            </w:tcBorders>
          </w:tcPr>
          <w:p>
            <w:pPr>
              <w:pStyle w:val="TableParagraph"/>
              <w:spacing w:line="182" w:lineRule="exact"/>
              <w:ind w:left="69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328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．企业所得税</w:t>
            </w:r>
          </w:p>
        </w:tc>
        <w:tc>
          <w:tcPr>
            <w:tcW w:w="387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692"/>
              <w:jc w:val="right"/>
              <w:rPr>
                <w:rFonts w:ascii="宋体" w:hAnsi="宋体" w:cs="宋体" w:eastAsia="宋体" w:hint="default"/>
                <w:sz w:val="18"/>
                <w:szCs w:val="18"/>
              </w:rPr>
            </w:pPr>
            <w:r>
              <w:rPr>
                <w:rFonts w:ascii="宋体"/>
                <w:spacing w:val="-1"/>
                <w:sz w:val="18"/>
              </w:rPr>
              <w:t>1,400,546.41</w:t>
            </w:r>
          </w:p>
        </w:tc>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9"/>
              <w:jc w:val="right"/>
              <w:rPr>
                <w:rFonts w:ascii="宋体" w:hAnsi="宋体" w:cs="宋体" w:eastAsia="宋体" w:hint="default"/>
                <w:sz w:val="18"/>
                <w:szCs w:val="18"/>
              </w:rPr>
            </w:pPr>
            <w:r>
              <w:rPr>
                <w:rFonts w:ascii="宋体"/>
                <w:spacing w:val="-1"/>
                <w:sz w:val="18"/>
              </w:rPr>
              <w:t>1,626,747.61</w:t>
            </w:r>
          </w:p>
        </w:tc>
      </w:tr>
      <w:tr>
        <w:trPr>
          <w:trHeight w:val="396"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．增值税</w:t>
            </w:r>
          </w:p>
        </w:tc>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92"/>
              <w:jc w:val="right"/>
              <w:rPr>
                <w:rFonts w:ascii="宋体" w:hAnsi="宋体" w:cs="宋体" w:eastAsia="宋体" w:hint="default"/>
                <w:sz w:val="18"/>
                <w:szCs w:val="18"/>
              </w:rPr>
            </w:pPr>
            <w:r>
              <w:rPr>
                <w:rFonts w:ascii="宋体"/>
                <w:spacing w:val="-1"/>
                <w:sz w:val="18"/>
              </w:rPr>
              <w:t>5,413,761.93</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7,741,373.46</w:t>
            </w:r>
          </w:p>
        </w:tc>
      </w:tr>
      <w:tr>
        <w:trPr>
          <w:trHeight w:val="396"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．城市维护建设税</w:t>
            </w:r>
          </w:p>
        </w:tc>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2"/>
              <w:jc w:val="right"/>
              <w:rPr>
                <w:rFonts w:ascii="宋体" w:hAnsi="宋体" w:cs="宋体" w:eastAsia="宋体" w:hint="default"/>
                <w:sz w:val="18"/>
                <w:szCs w:val="18"/>
              </w:rPr>
            </w:pPr>
            <w:r>
              <w:rPr>
                <w:rFonts w:ascii="宋体"/>
                <w:spacing w:val="-1"/>
                <w:sz w:val="18"/>
              </w:rPr>
              <w:t>53,122.83</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12,720.73</w:t>
            </w:r>
          </w:p>
        </w:tc>
      </w:tr>
      <w:tr>
        <w:trPr>
          <w:trHeight w:val="398"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．教育费附加</w:t>
            </w:r>
          </w:p>
        </w:tc>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92"/>
              <w:jc w:val="right"/>
              <w:rPr>
                <w:rFonts w:ascii="宋体" w:hAnsi="宋体" w:cs="宋体" w:eastAsia="宋体" w:hint="default"/>
                <w:sz w:val="18"/>
                <w:szCs w:val="18"/>
              </w:rPr>
            </w:pPr>
            <w:r>
              <w:rPr>
                <w:rFonts w:ascii="宋体"/>
                <w:spacing w:val="-1"/>
                <w:sz w:val="18"/>
              </w:rPr>
              <w:t>39,268.04</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9,203.09</w:t>
            </w:r>
          </w:p>
        </w:tc>
      </w:tr>
      <w:tr>
        <w:trPr>
          <w:trHeight w:val="396"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．代扣代缴个人所得税</w:t>
            </w:r>
          </w:p>
        </w:tc>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92"/>
              <w:jc w:val="right"/>
              <w:rPr>
                <w:rFonts w:ascii="宋体" w:hAnsi="宋体" w:cs="宋体" w:eastAsia="宋体" w:hint="default"/>
                <w:sz w:val="18"/>
                <w:szCs w:val="18"/>
              </w:rPr>
            </w:pPr>
            <w:r>
              <w:rPr>
                <w:rFonts w:ascii="宋体"/>
                <w:spacing w:val="-1"/>
                <w:sz w:val="18"/>
              </w:rPr>
              <w:t>1,352,621.14</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879,756.72</w:t>
            </w:r>
          </w:p>
        </w:tc>
      </w:tr>
      <w:tr>
        <w:trPr>
          <w:trHeight w:val="396"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2"/>
              <w:jc w:val="right"/>
              <w:rPr>
                <w:rFonts w:ascii="宋体" w:hAnsi="宋体" w:cs="宋体" w:eastAsia="宋体" w:hint="default"/>
                <w:sz w:val="18"/>
                <w:szCs w:val="18"/>
              </w:rPr>
            </w:pPr>
            <w:r>
              <w:rPr>
                <w:rFonts w:ascii="宋体"/>
                <w:spacing w:val="-1"/>
                <w:sz w:val="18"/>
              </w:rPr>
              <w:t>11,628.31</w:t>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8,544.68</w:t>
            </w:r>
          </w:p>
        </w:tc>
      </w:tr>
      <w:tr>
        <w:trPr>
          <w:trHeight w:val="291"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8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92"/>
              <w:jc w:val="right"/>
              <w:rPr>
                <w:rFonts w:ascii="宋体" w:hAnsi="宋体" w:cs="宋体" w:eastAsia="宋体" w:hint="default"/>
                <w:sz w:val="18"/>
                <w:szCs w:val="18"/>
              </w:rPr>
            </w:pPr>
            <w:r>
              <w:rPr>
                <w:rFonts w:ascii="宋体"/>
                <w:w w:val="101"/>
                <w:sz w:val="18"/>
              </w:rPr>
            </w:r>
            <w:r>
              <w:rPr>
                <w:rFonts w:ascii="宋体"/>
                <w:spacing w:val="-1"/>
                <w:sz w:val="18"/>
                <w:u w:val="thick" w:color="000000"/>
              </w:rPr>
              <w:t>8,270,948.66</w:t>
            </w:r>
            <w:r>
              <w:rPr>
                <w:rFonts w:ascii="宋体"/>
                <w:spacing w:val="-1"/>
                <w:sz w:val="18"/>
              </w:rPr>
            </w:r>
          </w:p>
        </w:tc>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10,278,346.29</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453" w:lineRule="auto" w:before="36"/>
        <w:ind w:left="635" w:right="8439"/>
        <w:jc w:val="left"/>
      </w:pPr>
      <w:bookmarkStart w:name="（十八）其他应付款" w:id="216"/>
      <w:bookmarkEnd w:id="216"/>
      <w:r>
        <w:rPr/>
      </w:r>
      <w:r>
        <w:rPr/>
        <w:t>（十八）其他应付款</w:t>
      </w:r>
      <w:r>
        <w:rPr>
          <w:spacing w:val="-100"/>
        </w:rPr>
        <w:t> </w:t>
      </w:r>
      <w:r>
        <w:rPr>
          <w:spacing w:val="-100"/>
        </w:rPr>
      </w:r>
      <w:r>
        <w:rPr>
          <w:rFonts w:ascii="宋体" w:hAnsi="宋体" w:cs="宋体" w:eastAsia="宋体" w:hint="default"/>
        </w:rPr>
        <w:t>1.</w:t>
      </w:r>
      <w:r>
        <w:rPr/>
        <w:t>总表情况</w:t>
      </w:r>
    </w:p>
    <w:p>
      <w:pPr>
        <w:pStyle w:val="BodyText"/>
        <w:spacing w:line="240" w:lineRule="auto" w:before="52"/>
        <w:ind w:left="635" w:right="1118"/>
        <w:jc w:val="left"/>
      </w:pPr>
      <w:r>
        <w:rPr/>
        <w:t>（</w:t>
      </w:r>
      <w:r>
        <w:rPr>
          <w:rFonts w:ascii="宋体" w:hAnsi="宋体" w:cs="宋体" w:eastAsia="宋体" w:hint="default"/>
        </w:rPr>
        <w:t>1</w:t>
      </w:r>
      <w:r>
        <w:rPr/>
        <w:t>）分类列示</w:t>
      </w:r>
    </w:p>
    <w:p>
      <w:pPr>
        <w:spacing w:line="240" w:lineRule="auto" w:before="10"/>
        <w:rPr>
          <w:rFonts w:ascii="宋体" w:hAnsi="宋体" w:cs="宋体" w:eastAsia="宋体" w:hint="default"/>
          <w:sz w:val="25"/>
          <w:szCs w:val="25"/>
        </w:rPr>
      </w:pPr>
    </w:p>
    <w:tbl>
      <w:tblPr>
        <w:tblW w:w="0" w:type="auto"/>
        <w:jc w:val="left"/>
        <w:tblInd w:w="779" w:type="dxa"/>
        <w:tblLayout w:type="fixed"/>
        <w:tblCellMar>
          <w:top w:w="0" w:type="dxa"/>
          <w:left w:w="0" w:type="dxa"/>
          <w:bottom w:w="0" w:type="dxa"/>
          <w:right w:w="0" w:type="dxa"/>
        </w:tblCellMar>
        <w:tblLook w:val="01E0"/>
      </w:tblPr>
      <w:tblGrid>
        <w:gridCol w:w="2792"/>
        <w:gridCol w:w="2881"/>
        <w:gridCol w:w="2835"/>
      </w:tblGrid>
      <w:tr>
        <w:trPr>
          <w:trHeight w:val="267" w:hRule="exact"/>
        </w:trPr>
        <w:tc>
          <w:tcPr>
            <w:tcW w:w="2792" w:type="dxa"/>
            <w:tcBorders>
              <w:top w:val="nil" w:sz="6" w:space="0" w:color="auto"/>
              <w:left w:val="nil" w:sz="6" w:space="0" w:color="auto"/>
              <w:bottom w:val="single" w:sz="4" w:space="0" w:color="000000"/>
              <w:right w:val="nil" w:sz="6" w:space="0" w:color="auto"/>
            </w:tcBorders>
          </w:tcPr>
          <w:p>
            <w:pPr>
              <w:pStyle w:val="TableParagraph"/>
              <w:spacing w:line="182" w:lineRule="exact"/>
              <w:ind w:left="5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1" w:type="dxa"/>
            <w:tcBorders>
              <w:top w:val="nil" w:sz="6" w:space="0" w:color="auto"/>
              <w:left w:val="nil" w:sz="6" w:space="0" w:color="auto"/>
              <w:bottom w:val="single" w:sz="4" w:space="0" w:color="000000"/>
              <w:right w:val="nil" w:sz="6" w:space="0" w:color="auto"/>
            </w:tcBorders>
          </w:tcPr>
          <w:p>
            <w:pPr>
              <w:pStyle w:val="TableParagraph"/>
              <w:spacing w:line="201" w:lineRule="exact"/>
              <w:ind w:left="4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35" w:type="dxa"/>
            <w:tcBorders>
              <w:top w:val="nil" w:sz="6" w:space="0" w:color="auto"/>
              <w:left w:val="nil" w:sz="6" w:space="0" w:color="auto"/>
              <w:bottom w:val="single" w:sz="4" w:space="0" w:color="000000"/>
              <w:right w:val="nil" w:sz="6" w:space="0" w:color="auto"/>
            </w:tcBorders>
          </w:tcPr>
          <w:p>
            <w:pPr>
              <w:pStyle w:val="TableParagraph"/>
              <w:spacing w:line="201"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9" w:hRule="exact"/>
        </w:trPr>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45"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881" w:type="dxa"/>
            <w:tcBorders>
              <w:top w:val="single" w:sz="4" w:space="0" w:color="000000"/>
              <w:left w:val="nil" w:sz="6" w:space="0" w:color="auto"/>
              <w:bottom w:val="nil" w:sz="6" w:space="0" w:color="auto"/>
              <w:right w:val="nil" w:sz="6" w:space="0" w:color="auto"/>
            </w:tcBorders>
          </w:tcPr>
          <w:p>
            <w:pPr/>
          </w:p>
        </w:tc>
        <w:tc>
          <w:tcPr>
            <w:tcW w:w="2835"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881"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r>
      <w:tr>
        <w:trPr>
          <w:trHeight w:val="408"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 w:right="0"/>
              <w:jc w:val="center"/>
              <w:rPr>
                <w:rFonts w:ascii="宋体" w:hAnsi="宋体" w:cs="宋体" w:eastAsia="宋体" w:hint="default"/>
                <w:sz w:val="18"/>
                <w:szCs w:val="18"/>
              </w:rPr>
            </w:pPr>
            <w:r>
              <w:rPr>
                <w:rFonts w:ascii="宋体"/>
                <w:sz w:val="18"/>
              </w:rPr>
              <w:t>4,064,627.16</w:t>
            </w: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 w:right="0"/>
              <w:jc w:val="center"/>
              <w:rPr>
                <w:rFonts w:ascii="宋体" w:hAnsi="宋体" w:cs="宋体" w:eastAsia="宋体" w:hint="default"/>
                <w:sz w:val="18"/>
                <w:szCs w:val="18"/>
              </w:rPr>
            </w:pPr>
            <w:r>
              <w:rPr>
                <w:rFonts w:ascii="宋体"/>
                <w:sz w:val="18"/>
              </w:rPr>
              <w:t>5,656,070.96</w:t>
            </w:r>
          </w:p>
        </w:tc>
      </w:tr>
      <w:tr>
        <w:trPr>
          <w:trHeight w:val="300"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0"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3" w:right="0"/>
              <w:jc w:val="center"/>
              <w:rPr>
                <w:rFonts w:ascii="宋体" w:hAnsi="宋体" w:cs="宋体" w:eastAsia="宋体" w:hint="default"/>
                <w:sz w:val="18"/>
                <w:szCs w:val="18"/>
              </w:rPr>
            </w:pPr>
            <w:r>
              <w:rPr>
                <w:rFonts w:ascii="宋体"/>
                <w:w w:val="101"/>
                <w:sz w:val="18"/>
              </w:rPr>
            </w:r>
            <w:r>
              <w:rPr>
                <w:rFonts w:ascii="宋体"/>
                <w:sz w:val="18"/>
                <w:u w:val="thick" w:color="000000"/>
              </w:rPr>
              <w:t>4,064,627.16</w:t>
            </w:r>
            <w:r>
              <w:rPr>
                <w:rFonts w:ascii="宋体"/>
                <w:sz w:val="18"/>
              </w:rPr>
            </w: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 w:right="0"/>
              <w:jc w:val="center"/>
              <w:rPr>
                <w:rFonts w:ascii="宋体" w:hAnsi="宋体" w:cs="宋体" w:eastAsia="宋体" w:hint="default"/>
                <w:sz w:val="18"/>
                <w:szCs w:val="18"/>
              </w:rPr>
            </w:pPr>
            <w:r>
              <w:rPr>
                <w:rFonts w:ascii="宋体"/>
                <w:w w:val="101"/>
                <w:sz w:val="18"/>
              </w:rPr>
            </w:r>
            <w:r>
              <w:rPr>
                <w:rFonts w:ascii="宋体"/>
                <w:sz w:val="18"/>
                <w:u w:val="thick" w:color="000000"/>
              </w:rPr>
              <w:t>5,656,070.96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451" w:lineRule="auto" w:before="36"/>
        <w:ind w:left="635" w:right="9069"/>
        <w:jc w:val="left"/>
      </w:pPr>
      <w:r>
        <w:rPr>
          <w:rFonts w:ascii="宋体" w:hAnsi="宋体" w:cs="宋体" w:eastAsia="宋体" w:hint="default"/>
        </w:rPr>
        <w:t>2.</w:t>
      </w:r>
      <w:r>
        <w:rPr/>
        <w:t>应付利息</w:t>
      </w:r>
      <w:r>
        <w:rPr>
          <w:spacing w:val="-99"/>
        </w:rPr>
        <w:t> </w:t>
      </w:r>
      <w:r>
        <w:rPr/>
        <w:t>无。</w:t>
      </w:r>
      <w:r>
        <w:rPr>
          <w:spacing w:val="-103"/>
        </w:rPr>
        <w:t> </w:t>
      </w:r>
      <w:r>
        <w:rPr>
          <w:rFonts w:ascii="宋体" w:hAnsi="宋体" w:cs="宋体" w:eastAsia="宋体" w:hint="default"/>
        </w:rPr>
        <w:t>3.</w:t>
      </w:r>
      <w:r>
        <w:rPr/>
        <w:t>应付股利</w:t>
      </w:r>
      <w:r>
        <w:rPr>
          <w:spacing w:val="-99"/>
        </w:rPr>
        <w:t> </w:t>
      </w:r>
      <w:r>
        <w:rPr/>
        <w:t>无。</w:t>
      </w:r>
      <w:r>
        <w:rPr>
          <w:spacing w:val="-103"/>
        </w:rPr>
        <w:t> </w:t>
      </w:r>
      <w:r>
        <w:rPr>
          <w:rFonts w:ascii="宋体" w:hAnsi="宋体" w:cs="宋体" w:eastAsia="宋体" w:hint="default"/>
        </w:rPr>
        <w:t>4.</w:t>
      </w:r>
      <w:r>
        <w:rPr/>
        <w:t>其他应付款</w:t>
      </w:r>
    </w:p>
    <w:p>
      <w:pPr>
        <w:pStyle w:val="BodyText"/>
        <w:spacing w:line="240" w:lineRule="auto" w:before="54"/>
        <w:ind w:left="635" w:right="1118"/>
        <w:jc w:val="left"/>
      </w:pPr>
      <w:r>
        <w:rPr/>
        <w:t>（</w:t>
      </w:r>
      <w:r>
        <w:rPr>
          <w:rFonts w:ascii="宋体" w:hAnsi="宋体" w:cs="宋体" w:eastAsia="宋体" w:hint="default"/>
        </w:rPr>
        <w:t>1</w:t>
      </w:r>
      <w:r>
        <w:rPr/>
        <w:t>）按款项性质列示其他应付款</w:t>
      </w:r>
    </w:p>
    <w:p>
      <w:pPr>
        <w:spacing w:line="240" w:lineRule="auto" w:before="3"/>
        <w:rPr>
          <w:rFonts w:ascii="宋体" w:hAnsi="宋体" w:cs="宋体" w:eastAsia="宋体" w:hint="default"/>
          <w:sz w:val="27"/>
          <w:szCs w:val="27"/>
        </w:rPr>
      </w:pPr>
    </w:p>
    <w:tbl>
      <w:tblPr>
        <w:tblW w:w="0" w:type="auto"/>
        <w:jc w:val="left"/>
        <w:tblInd w:w="779" w:type="dxa"/>
        <w:tblLayout w:type="fixed"/>
        <w:tblCellMar>
          <w:top w:w="0" w:type="dxa"/>
          <w:left w:w="0" w:type="dxa"/>
          <w:bottom w:w="0" w:type="dxa"/>
          <w:right w:w="0" w:type="dxa"/>
        </w:tblCellMar>
        <w:tblLook w:val="01E0"/>
      </w:tblPr>
      <w:tblGrid>
        <w:gridCol w:w="2593"/>
        <w:gridCol w:w="2703"/>
        <w:gridCol w:w="3107"/>
        <w:gridCol w:w="106"/>
      </w:tblGrid>
      <w:tr>
        <w:trPr>
          <w:trHeight w:val="253" w:hRule="exact"/>
        </w:trPr>
        <w:tc>
          <w:tcPr>
            <w:tcW w:w="2593" w:type="dxa"/>
            <w:tcBorders>
              <w:top w:val="nil" w:sz="6" w:space="0" w:color="auto"/>
              <w:left w:val="nil" w:sz="6" w:space="0" w:color="auto"/>
              <w:bottom w:val="single" w:sz="4" w:space="0" w:color="000000"/>
              <w:right w:val="nil" w:sz="6" w:space="0" w:color="auto"/>
            </w:tcBorders>
          </w:tcPr>
          <w:p>
            <w:pPr>
              <w:pStyle w:val="TableParagraph"/>
              <w:spacing w:line="182" w:lineRule="exact"/>
              <w:ind w:right="103"/>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703" w:type="dxa"/>
            <w:tcBorders>
              <w:top w:val="nil" w:sz="6" w:space="0" w:color="auto"/>
              <w:left w:val="nil" w:sz="6" w:space="0" w:color="auto"/>
              <w:bottom w:val="single" w:sz="4" w:space="0" w:color="000000"/>
              <w:right w:val="nil" w:sz="6" w:space="0" w:color="auto"/>
            </w:tcBorders>
          </w:tcPr>
          <w:p>
            <w:pPr>
              <w:pStyle w:val="TableParagraph"/>
              <w:spacing w:line="182" w:lineRule="exact"/>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07" w:type="dxa"/>
            <w:tcBorders>
              <w:top w:val="nil" w:sz="6" w:space="0" w:color="auto"/>
              <w:left w:val="nil" w:sz="6" w:space="0" w:color="auto"/>
              <w:bottom w:val="single" w:sz="4" w:space="0" w:color="000000"/>
              <w:right w:val="nil" w:sz="6" w:space="0" w:color="auto"/>
            </w:tcBorders>
          </w:tcPr>
          <w:p>
            <w:pPr>
              <w:pStyle w:val="TableParagraph"/>
              <w:spacing w:line="182" w:lineRule="exact"/>
              <w:ind w:left="207"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06" w:type="dxa"/>
            <w:tcBorders>
              <w:top w:val="nil" w:sz="6" w:space="0" w:color="auto"/>
              <w:left w:val="nil" w:sz="6" w:space="0" w:color="auto"/>
              <w:bottom w:val="single" w:sz="4" w:space="0" w:color="000000"/>
              <w:right w:val="nil" w:sz="6" w:space="0" w:color="auto"/>
            </w:tcBorders>
          </w:tcPr>
          <w:p>
            <w:pPr/>
          </w:p>
        </w:tc>
      </w:tr>
      <w:tr>
        <w:trPr>
          <w:trHeight w:val="434" w:hRule="exact"/>
        </w:trPr>
        <w:tc>
          <w:tcPr>
            <w:tcW w:w="259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3,757,902.31</w:t>
            </w:r>
          </w:p>
        </w:tc>
        <w:tc>
          <w:tcPr>
            <w:tcW w:w="310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5,092,669.48</w:t>
            </w:r>
          </w:p>
        </w:tc>
        <w:tc>
          <w:tcPr>
            <w:tcW w:w="106"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z w:val="18"/>
                <w:szCs w:val="18"/>
              </w:rPr>
              <w:t>员工垫付款</w:t>
            </w: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295,211.87</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pacing w:val="-1"/>
                <w:sz w:val="18"/>
              </w:rPr>
              <w:t>375,516.87</w:t>
            </w:r>
          </w:p>
        </w:tc>
        <w:tc>
          <w:tcPr>
            <w:tcW w:w="106" w:type="dxa"/>
            <w:tcBorders>
              <w:top w:val="nil" w:sz="6" w:space="0" w:color="auto"/>
              <w:left w:val="nil" w:sz="6" w:space="0" w:color="auto"/>
              <w:bottom w:val="nil" w:sz="6" w:space="0" w:color="auto"/>
              <w:right w:val="nil" w:sz="6" w:space="0" w:color="auto"/>
            </w:tcBorders>
          </w:tcPr>
          <w:p>
            <w:pPr/>
          </w:p>
        </w:tc>
      </w:tr>
      <w:tr>
        <w:trPr>
          <w:trHeight w:val="398"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11,512.98</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spacing w:val="-1"/>
                <w:sz w:val="18"/>
              </w:rPr>
              <w:t>187,884.61</w:t>
            </w:r>
          </w:p>
        </w:tc>
        <w:tc>
          <w:tcPr>
            <w:tcW w:w="106" w:type="dxa"/>
            <w:tcBorders>
              <w:top w:val="nil" w:sz="6" w:space="0" w:color="auto"/>
              <w:left w:val="nil" w:sz="6" w:space="0" w:color="auto"/>
              <w:bottom w:val="nil" w:sz="6" w:space="0" w:color="auto"/>
              <w:right w:val="nil" w:sz="6" w:space="0" w:color="auto"/>
            </w:tcBorders>
          </w:tcPr>
          <w:p>
            <w:pPr/>
          </w:p>
        </w:tc>
      </w:tr>
      <w:tr>
        <w:trPr>
          <w:trHeight w:val="308" w:hRule="exact"/>
        </w:trPr>
        <w:tc>
          <w:tcPr>
            <w:tcW w:w="2593"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03"/>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703" w:type="dxa"/>
            <w:tcBorders>
              <w:top w:val="nil" w:sz="6" w:space="0" w:color="auto"/>
              <w:left w:val="nil" w:sz="6" w:space="0" w:color="auto"/>
              <w:bottom w:val="single" w:sz="13"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4,064,627.16</w:t>
            </w:r>
          </w:p>
        </w:tc>
        <w:tc>
          <w:tcPr>
            <w:tcW w:w="3107"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5,656,070.96</w:t>
            </w:r>
            <w:r>
              <w:rPr>
                <w:rFonts w:ascii="宋体"/>
                <w:spacing w:val="-1"/>
                <w:sz w:val="18"/>
              </w:rPr>
            </w:r>
          </w:p>
        </w:tc>
        <w:tc>
          <w:tcPr>
            <w:tcW w:w="1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6"/>
        <w:ind w:left="635" w:right="1118"/>
        <w:jc w:val="left"/>
      </w:pPr>
      <w:bookmarkStart w:name="（十九）递延收益" w:id="217"/>
      <w:bookmarkEnd w:id="217"/>
      <w:r>
        <w:rPr/>
      </w:r>
      <w:r>
        <w:rPr/>
        <w:t>（十九）递延收益</w:t>
      </w:r>
    </w:p>
    <w:p>
      <w:pPr>
        <w:spacing w:after="0" w:line="240" w:lineRule="auto"/>
        <w:jc w:val="left"/>
        <w:sectPr>
          <w:pgSz w:w="11910" w:h="16840"/>
          <w:pgMar w:header="741" w:footer="979" w:top="1060" w:bottom="1160" w:left="920" w:right="0"/>
        </w:sectPr>
      </w:pPr>
    </w:p>
    <w:p>
      <w:pPr>
        <w:spacing w:line="240" w:lineRule="auto" w:before="12"/>
        <w:rPr>
          <w:rFonts w:ascii="宋体" w:hAnsi="宋体" w:cs="宋体" w:eastAsia="宋体" w:hint="default"/>
          <w:sz w:val="28"/>
          <w:szCs w:val="28"/>
        </w:rPr>
      </w:pPr>
    </w:p>
    <w:p>
      <w:pPr>
        <w:pStyle w:val="BodyText"/>
        <w:spacing w:line="240" w:lineRule="auto" w:before="36"/>
        <w:ind w:left="715" w:right="0"/>
        <w:jc w:val="left"/>
      </w:pPr>
      <w:r>
        <w:rPr/>
        <w:t>递延收益情况</w:t>
      </w:r>
    </w:p>
    <w:p>
      <w:pPr>
        <w:spacing w:line="240" w:lineRule="auto" w:before="11"/>
        <w:rPr>
          <w:rFonts w:ascii="宋体" w:hAnsi="宋体" w:cs="宋体" w:eastAsia="宋体" w:hint="default"/>
          <w:sz w:val="26"/>
          <w:szCs w:val="26"/>
        </w:rPr>
      </w:pPr>
    </w:p>
    <w:tbl>
      <w:tblPr>
        <w:tblW w:w="0" w:type="auto"/>
        <w:jc w:val="left"/>
        <w:tblInd w:w="859" w:type="dxa"/>
        <w:tblLayout w:type="fixed"/>
        <w:tblCellMar>
          <w:top w:w="0" w:type="dxa"/>
          <w:left w:w="0" w:type="dxa"/>
          <w:bottom w:w="0" w:type="dxa"/>
          <w:right w:w="0" w:type="dxa"/>
        </w:tblCellMar>
        <w:tblLook w:val="01E0"/>
      </w:tblPr>
      <w:tblGrid>
        <w:gridCol w:w="1434"/>
        <w:gridCol w:w="1537"/>
        <w:gridCol w:w="1493"/>
        <w:gridCol w:w="1474"/>
        <w:gridCol w:w="1424"/>
        <w:gridCol w:w="1148"/>
      </w:tblGrid>
      <w:tr>
        <w:trPr>
          <w:trHeight w:val="253" w:hRule="exact"/>
        </w:trPr>
        <w:tc>
          <w:tcPr>
            <w:tcW w:w="1434" w:type="dxa"/>
            <w:tcBorders>
              <w:top w:val="nil" w:sz="6" w:space="0" w:color="auto"/>
              <w:left w:val="nil" w:sz="6" w:space="0" w:color="auto"/>
              <w:bottom w:val="single" w:sz="4" w:space="0" w:color="000000"/>
              <w:right w:val="nil" w:sz="6" w:space="0" w:color="auto"/>
            </w:tcBorders>
          </w:tcPr>
          <w:p>
            <w:pPr>
              <w:pStyle w:val="TableParagraph"/>
              <w:spacing w:line="182" w:lineRule="exact"/>
              <w:ind w:right="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7" w:type="dxa"/>
            <w:tcBorders>
              <w:top w:val="nil" w:sz="6" w:space="0" w:color="auto"/>
              <w:left w:val="nil" w:sz="6" w:space="0" w:color="auto"/>
              <w:bottom w:val="single" w:sz="4" w:space="0" w:color="000000"/>
              <w:right w:val="nil" w:sz="6" w:space="0" w:color="auto"/>
            </w:tcBorders>
          </w:tcPr>
          <w:p>
            <w:pPr>
              <w:pStyle w:val="TableParagraph"/>
              <w:spacing w:line="182" w:lineRule="exact"/>
              <w:ind w:left="9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93" w:type="dxa"/>
            <w:tcBorders>
              <w:top w:val="nil" w:sz="6" w:space="0" w:color="auto"/>
              <w:left w:val="nil" w:sz="6" w:space="0" w:color="auto"/>
              <w:bottom w:val="single" w:sz="4" w:space="0" w:color="000000"/>
              <w:right w:val="nil" w:sz="6" w:space="0" w:color="auto"/>
            </w:tcBorders>
          </w:tcPr>
          <w:p>
            <w:pPr>
              <w:pStyle w:val="TableParagraph"/>
              <w:spacing w:line="182" w:lineRule="exact"/>
              <w:ind w:left="134"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74" w:type="dxa"/>
            <w:tcBorders>
              <w:top w:val="nil" w:sz="6" w:space="0" w:color="auto"/>
              <w:left w:val="nil" w:sz="6" w:space="0" w:color="auto"/>
              <w:bottom w:val="single" w:sz="4" w:space="0" w:color="000000"/>
              <w:right w:val="nil" w:sz="6" w:space="0" w:color="auto"/>
            </w:tcBorders>
          </w:tcPr>
          <w:p>
            <w:pPr>
              <w:pStyle w:val="TableParagraph"/>
              <w:spacing w:line="182" w:lineRule="exact"/>
              <w:ind w:right="113"/>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24" w:type="dxa"/>
            <w:tcBorders>
              <w:top w:val="nil" w:sz="6" w:space="0" w:color="auto"/>
              <w:left w:val="nil" w:sz="6" w:space="0" w:color="auto"/>
              <w:bottom w:val="single" w:sz="4" w:space="0" w:color="000000"/>
              <w:right w:val="nil" w:sz="6" w:space="0" w:color="auto"/>
            </w:tcBorders>
          </w:tcPr>
          <w:p>
            <w:pPr>
              <w:pStyle w:val="TableParagraph"/>
              <w:spacing w:line="182" w:lineRule="exact"/>
              <w:ind w:right="15"/>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48" w:type="dxa"/>
            <w:tcBorders>
              <w:top w:val="nil" w:sz="6" w:space="0" w:color="auto"/>
              <w:left w:val="nil" w:sz="6" w:space="0" w:color="auto"/>
              <w:bottom w:val="single" w:sz="4" w:space="0" w:color="000000"/>
              <w:right w:val="nil" w:sz="6" w:space="0" w:color="auto"/>
            </w:tcBorders>
          </w:tcPr>
          <w:p>
            <w:pPr>
              <w:pStyle w:val="TableParagraph"/>
              <w:spacing w:line="182" w:lineRule="exact"/>
              <w:ind w:right="147"/>
              <w:jc w:val="righ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446" w:hRule="exact"/>
        </w:trPr>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91" w:right="0"/>
              <w:jc w:val="center"/>
              <w:rPr>
                <w:rFonts w:ascii="宋体" w:hAnsi="宋体" w:cs="宋体" w:eastAsia="宋体" w:hint="default"/>
                <w:sz w:val="18"/>
                <w:szCs w:val="18"/>
              </w:rPr>
            </w:pPr>
            <w:r>
              <w:rPr>
                <w:rFonts w:ascii="宋体"/>
                <w:sz w:val="18"/>
              </w:rPr>
              <w:t>992,690.91</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34" w:right="0"/>
              <w:jc w:val="center"/>
              <w:rPr>
                <w:rFonts w:ascii="宋体" w:hAnsi="宋体" w:cs="宋体" w:eastAsia="宋体" w:hint="default"/>
                <w:sz w:val="18"/>
                <w:szCs w:val="18"/>
              </w:rPr>
            </w:pPr>
            <w:r>
              <w:rPr>
                <w:rFonts w:ascii="宋体"/>
                <w:sz w:val="18"/>
              </w:rPr>
              <w:t>1,100,000.00</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13"/>
              <w:jc w:val="center"/>
              <w:rPr>
                <w:rFonts w:ascii="宋体" w:hAnsi="宋体" w:cs="宋体" w:eastAsia="宋体" w:hint="default"/>
                <w:sz w:val="18"/>
                <w:szCs w:val="18"/>
              </w:rPr>
            </w:pPr>
            <w:r>
              <w:rPr>
                <w:rFonts w:ascii="宋体"/>
                <w:sz w:val="18"/>
              </w:rPr>
              <w:t>1,592,679.55</w:t>
            </w: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
              <w:jc w:val="center"/>
              <w:rPr>
                <w:rFonts w:ascii="宋体" w:hAnsi="宋体" w:cs="宋体" w:eastAsia="宋体" w:hint="default"/>
                <w:sz w:val="18"/>
                <w:szCs w:val="18"/>
              </w:rPr>
            </w:pPr>
            <w:r>
              <w:rPr>
                <w:rFonts w:ascii="宋体"/>
                <w:sz w:val="18"/>
              </w:rPr>
              <w:t>500,011.36</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47"/>
              <w:jc w:val="right"/>
              <w:rPr>
                <w:rFonts w:ascii="宋体" w:hAnsi="宋体" w:cs="宋体" w:eastAsia="宋体" w:hint="default"/>
                <w:sz w:val="18"/>
                <w:szCs w:val="18"/>
              </w:rPr>
            </w:pPr>
            <w:r>
              <w:rPr>
                <w:rFonts w:ascii="宋体" w:hAnsi="宋体" w:cs="宋体" w:eastAsia="宋体" w:hint="default"/>
                <w:spacing w:val="-2"/>
                <w:sz w:val="18"/>
                <w:szCs w:val="18"/>
              </w:rPr>
              <w:t>政府补助</w:t>
            </w:r>
          </w:p>
        </w:tc>
      </w:tr>
      <w:tr>
        <w:trPr>
          <w:trHeight w:val="29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1" w:right="0"/>
              <w:jc w:val="center"/>
              <w:rPr>
                <w:rFonts w:ascii="宋体" w:hAnsi="宋体" w:cs="宋体" w:eastAsia="宋体" w:hint="default"/>
                <w:sz w:val="18"/>
                <w:szCs w:val="18"/>
              </w:rPr>
            </w:pPr>
            <w:r>
              <w:rPr>
                <w:rFonts w:ascii="宋体"/>
                <w:w w:val="101"/>
                <w:sz w:val="18"/>
              </w:rPr>
            </w:r>
            <w:r>
              <w:rPr>
                <w:rFonts w:ascii="宋体"/>
                <w:sz w:val="18"/>
                <w:u w:val="thick" w:color="000000"/>
              </w:rPr>
              <w:t>992,690.91</w:t>
            </w:r>
            <w:r>
              <w:rPr>
                <w:rFonts w:ascii="宋体"/>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4" w:right="0"/>
              <w:jc w:val="center"/>
              <w:rPr>
                <w:rFonts w:ascii="宋体" w:hAnsi="宋体" w:cs="宋体" w:eastAsia="宋体" w:hint="default"/>
                <w:sz w:val="18"/>
                <w:szCs w:val="18"/>
              </w:rPr>
            </w:pPr>
            <w:r>
              <w:rPr>
                <w:rFonts w:ascii="宋体"/>
                <w:w w:val="101"/>
                <w:sz w:val="18"/>
              </w:rPr>
            </w:r>
            <w:r>
              <w:rPr>
                <w:rFonts w:ascii="宋体"/>
                <w:sz w:val="18"/>
                <w:u w:val="thick" w:color="000000"/>
              </w:rPr>
              <w:t>1,100,000.00</w:t>
            </w:r>
            <w:r>
              <w:rPr>
                <w:rFonts w:ascii="宋体"/>
                <w:sz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center"/>
              <w:rPr>
                <w:rFonts w:ascii="宋体" w:hAnsi="宋体" w:cs="宋体" w:eastAsia="宋体" w:hint="default"/>
                <w:sz w:val="18"/>
                <w:szCs w:val="18"/>
              </w:rPr>
            </w:pPr>
            <w:r>
              <w:rPr>
                <w:rFonts w:ascii="宋体"/>
                <w:w w:val="101"/>
                <w:sz w:val="18"/>
              </w:rPr>
            </w:r>
            <w:r>
              <w:rPr>
                <w:rFonts w:ascii="宋体"/>
                <w:sz w:val="18"/>
                <w:u w:val="thick" w:color="000000"/>
              </w:rPr>
              <w:t>1,592,679.55</w:t>
            </w:r>
            <w:r>
              <w:rPr>
                <w:rFonts w:ascii="宋体"/>
                <w:sz w:val="18"/>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w w:val="101"/>
                <w:sz w:val="18"/>
              </w:rPr>
            </w:r>
            <w:r>
              <w:rPr>
                <w:rFonts w:ascii="宋体"/>
                <w:sz w:val="18"/>
                <w:u w:val="thick" w:color="000000"/>
              </w:rPr>
              <w:t>500,011.36</w:t>
            </w:r>
            <w:r>
              <w:rPr>
                <w:rFonts w:ascii="宋体"/>
                <w:sz w:val="18"/>
              </w:rPr>
            </w:r>
          </w:p>
        </w:tc>
        <w:tc>
          <w:tcPr>
            <w:tcW w:w="114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715" w:right="0"/>
        <w:jc w:val="left"/>
      </w:pPr>
      <w:r>
        <w:rPr/>
        <w:t>涉及政府补助的项目：</w:t>
      </w:r>
    </w:p>
    <w:p>
      <w:pPr>
        <w:spacing w:line="240" w:lineRule="auto" w:before="10"/>
        <w:rPr>
          <w:rFonts w:ascii="宋体" w:hAnsi="宋体" w:cs="宋体" w:eastAsia="宋体" w:hint="default"/>
          <w:sz w:val="25"/>
          <w:szCs w:val="25"/>
        </w:rPr>
      </w:pPr>
    </w:p>
    <w:tbl>
      <w:tblPr>
        <w:tblW w:w="0" w:type="auto"/>
        <w:jc w:val="left"/>
        <w:tblInd w:w="451" w:type="dxa"/>
        <w:tblLayout w:type="fixed"/>
        <w:tblCellMar>
          <w:top w:w="0" w:type="dxa"/>
          <w:left w:w="0" w:type="dxa"/>
          <w:bottom w:w="0" w:type="dxa"/>
          <w:right w:w="0" w:type="dxa"/>
        </w:tblCellMar>
        <w:tblLook w:val="01E0"/>
      </w:tblPr>
      <w:tblGrid>
        <w:gridCol w:w="2609"/>
        <w:gridCol w:w="1229"/>
        <w:gridCol w:w="1385"/>
        <w:gridCol w:w="1472"/>
        <w:gridCol w:w="1208"/>
        <w:gridCol w:w="1422"/>
      </w:tblGrid>
      <w:tr>
        <w:trPr>
          <w:trHeight w:val="594" w:hRule="exact"/>
        </w:trPr>
        <w:tc>
          <w:tcPr>
            <w:tcW w:w="260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182" w:lineRule="exact"/>
              <w:ind w:left="281"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p>
            <w:pPr>
              <w:pStyle w:val="TableParagraph"/>
              <w:spacing w:line="240" w:lineRule="auto" w:before="124"/>
              <w:ind w:left="281" w:right="0"/>
              <w:jc w:val="left"/>
              <w:rPr>
                <w:rFonts w:ascii="宋体" w:hAnsi="宋体" w:cs="宋体" w:eastAsia="宋体" w:hint="default"/>
                <w:sz w:val="18"/>
                <w:szCs w:val="18"/>
              </w:rPr>
            </w:pPr>
            <w:r>
              <w:rPr>
                <w:rFonts w:ascii="宋体" w:hAnsi="宋体" w:cs="宋体" w:eastAsia="宋体" w:hint="default"/>
                <w:b/>
                <w:bCs/>
                <w:sz w:val="18"/>
                <w:szCs w:val="18"/>
              </w:rPr>
              <w:t>补助金额</w:t>
            </w:r>
            <w:r>
              <w:rPr>
                <w:rFonts w:ascii="宋体" w:hAnsi="宋体" w:cs="宋体" w:eastAsia="宋体" w:hint="default"/>
                <w:sz w:val="18"/>
                <w:szCs w:val="18"/>
              </w:rPr>
            </w:r>
          </w:p>
        </w:tc>
        <w:tc>
          <w:tcPr>
            <w:tcW w:w="1472" w:type="dxa"/>
            <w:tcBorders>
              <w:top w:val="nil" w:sz="6" w:space="0" w:color="auto"/>
              <w:left w:val="nil" w:sz="6" w:space="0" w:color="auto"/>
              <w:bottom w:val="single" w:sz="4" w:space="0" w:color="000000"/>
              <w:right w:val="nil" w:sz="6" w:space="0" w:color="auto"/>
            </w:tcBorders>
          </w:tcPr>
          <w:p>
            <w:pPr>
              <w:pStyle w:val="TableParagraph"/>
              <w:spacing w:line="182" w:lineRule="exact"/>
              <w:ind w:right="111"/>
              <w:jc w:val="center"/>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sz w:val="18"/>
                <w:szCs w:val="18"/>
              </w:rPr>
            </w:r>
          </w:p>
          <w:p>
            <w:pPr>
              <w:pStyle w:val="TableParagraph"/>
              <w:spacing w:line="240" w:lineRule="auto" w:before="124"/>
              <w:ind w:right="115"/>
              <w:jc w:val="center"/>
              <w:rPr>
                <w:rFonts w:ascii="宋体" w:hAnsi="宋体" w:cs="宋体" w:eastAsia="宋体" w:hint="default"/>
                <w:sz w:val="18"/>
                <w:szCs w:val="18"/>
              </w:rPr>
            </w:pPr>
            <w:r>
              <w:rPr>
                <w:rFonts w:ascii="宋体" w:hAnsi="宋体" w:cs="宋体" w:eastAsia="宋体" w:hint="default"/>
                <w:b/>
                <w:bCs/>
                <w:sz w:val="18"/>
                <w:szCs w:val="18"/>
              </w:rPr>
              <w:t>收益金额</w:t>
            </w:r>
            <w:r>
              <w:rPr>
                <w:rFonts w:ascii="宋体" w:hAnsi="宋体" w:cs="宋体" w:eastAsia="宋体" w:hint="default"/>
                <w:sz w:val="18"/>
                <w:szCs w:val="18"/>
              </w:rPr>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9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22" w:type="dxa"/>
            <w:tcBorders>
              <w:top w:val="nil" w:sz="6" w:space="0" w:color="auto"/>
              <w:left w:val="nil" w:sz="6" w:space="0" w:color="auto"/>
              <w:bottom w:val="single" w:sz="4" w:space="0" w:color="000000"/>
              <w:right w:val="nil" w:sz="6" w:space="0" w:color="auto"/>
            </w:tcBorders>
          </w:tcPr>
          <w:p>
            <w:pPr>
              <w:pStyle w:val="TableParagraph"/>
              <w:spacing w:line="182" w:lineRule="exact"/>
              <w:ind w:right="7"/>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w:t>
            </w:r>
            <w:r>
              <w:rPr>
                <w:rFonts w:ascii="宋体" w:hAnsi="宋体" w:cs="宋体" w:eastAsia="宋体" w:hint="default"/>
                <w:sz w:val="18"/>
                <w:szCs w:val="18"/>
              </w:rPr>
            </w:r>
          </w:p>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436" w:hRule="exact"/>
        </w:trPr>
        <w:tc>
          <w:tcPr>
            <w:tcW w:w="260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z w:val="18"/>
                <w:szCs w:val="18"/>
              </w:rPr>
              <w:t>成都路演中心装修补贴</w:t>
            </w: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1" w:right="0"/>
              <w:jc w:val="center"/>
              <w:rPr>
                <w:rFonts w:ascii="宋体" w:hAnsi="宋体" w:cs="宋体" w:eastAsia="宋体" w:hint="default"/>
                <w:sz w:val="18"/>
                <w:szCs w:val="18"/>
              </w:rPr>
            </w:pPr>
            <w:r>
              <w:rPr>
                <w:rFonts w:ascii="宋体"/>
                <w:sz w:val="18"/>
              </w:rPr>
              <w:t>30,778.59</w:t>
            </w:r>
          </w:p>
        </w:tc>
        <w:tc>
          <w:tcPr>
            <w:tcW w:w="1385" w:type="dxa"/>
            <w:tcBorders>
              <w:top w:val="single" w:sz="4" w:space="0" w:color="000000"/>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87"/>
              <w:jc w:val="right"/>
              <w:rPr>
                <w:rFonts w:ascii="宋体" w:hAnsi="宋体" w:cs="宋体" w:eastAsia="宋体" w:hint="default"/>
                <w:sz w:val="18"/>
                <w:szCs w:val="18"/>
              </w:rPr>
            </w:pPr>
            <w:r>
              <w:rPr>
                <w:rFonts w:ascii="宋体"/>
                <w:spacing w:val="-1"/>
                <w:sz w:val="18"/>
              </w:rPr>
              <w:t>30,778.59</w:t>
            </w:r>
          </w:p>
        </w:tc>
        <w:tc>
          <w:tcPr>
            <w:tcW w:w="1208" w:type="dxa"/>
            <w:tcBorders>
              <w:top w:val="single" w:sz="4" w:space="0" w:color="000000"/>
              <w:left w:val="nil" w:sz="6" w:space="0" w:color="auto"/>
              <w:bottom w:val="nil" w:sz="6" w:space="0" w:color="auto"/>
              <w:right w:val="nil" w:sz="6" w:space="0" w:color="auto"/>
            </w:tcBorders>
          </w:tcPr>
          <w:p>
            <w:pP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5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成都路演中心设备采购款补贴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center"/>
              <w:rPr>
                <w:rFonts w:ascii="宋体" w:hAnsi="宋体" w:cs="宋体" w:eastAsia="宋体" w:hint="default"/>
                <w:sz w:val="18"/>
                <w:szCs w:val="18"/>
              </w:rPr>
            </w:pPr>
            <w:r>
              <w:rPr>
                <w:rFonts w:ascii="宋体"/>
                <w:sz w:val="18"/>
              </w:rPr>
              <w:t>216,666.68</w:t>
            </w:r>
          </w:p>
        </w:tc>
        <w:tc>
          <w:tcPr>
            <w:tcW w:w="138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7"/>
              <w:jc w:val="right"/>
              <w:rPr>
                <w:rFonts w:ascii="宋体" w:hAnsi="宋体" w:cs="宋体" w:eastAsia="宋体" w:hint="default"/>
                <w:sz w:val="18"/>
                <w:szCs w:val="18"/>
              </w:rPr>
            </w:pPr>
            <w:r>
              <w:rPr>
                <w:rFonts w:ascii="宋体"/>
                <w:spacing w:val="-1"/>
                <w:sz w:val="18"/>
              </w:rPr>
              <w:t>99,999.95</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9" w:right="0"/>
              <w:jc w:val="left"/>
              <w:rPr>
                <w:rFonts w:ascii="宋体" w:hAnsi="宋体" w:cs="宋体" w:eastAsia="宋体" w:hint="default"/>
                <w:sz w:val="18"/>
                <w:szCs w:val="18"/>
              </w:rPr>
            </w:pPr>
            <w:r>
              <w:rPr>
                <w:rFonts w:ascii="宋体"/>
                <w:sz w:val="18"/>
              </w:rPr>
              <w:t>116,666.73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9"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z w:val="18"/>
                <w:szCs w:val="18"/>
              </w:rPr>
              <w:t>南京路演中心装修补贴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center"/>
              <w:rPr>
                <w:rFonts w:ascii="宋体" w:hAnsi="宋体" w:cs="宋体" w:eastAsia="宋体" w:hint="default"/>
                <w:sz w:val="18"/>
                <w:szCs w:val="18"/>
              </w:rPr>
            </w:pPr>
            <w:r>
              <w:rPr>
                <w:rFonts w:ascii="宋体"/>
                <w:sz w:val="18"/>
              </w:rPr>
              <w:t>624,102.69</w:t>
            </w:r>
          </w:p>
        </w:tc>
        <w:tc>
          <w:tcPr>
            <w:tcW w:w="138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7"/>
              <w:jc w:val="right"/>
              <w:rPr>
                <w:rFonts w:ascii="宋体" w:hAnsi="宋体" w:cs="宋体" w:eastAsia="宋体" w:hint="default"/>
                <w:sz w:val="18"/>
                <w:szCs w:val="18"/>
              </w:rPr>
            </w:pPr>
            <w:r>
              <w:rPr>
                <w:rFonts w:ascii="宋体"/>
                <w:spacing w:val="-1"/>
                <w:sz w:val="18"/>
              </w:rPr>
              <w:t>440,543.16</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89" w:right="0"/>
              <w:jc w:val="left"/>
              <w:rPr>
                <w:rFonts w:ascii="宋体" w:hAnsi="宋体" w:cs="宋体" w:eastAsia="宋体" w:hint="default"/>
                <w:sz w:val="18"/>
                <w:szCs w:val="18"/>
              </w:rPr>
            </w:pPr>
            <w:r>
              <w:rPr>
                <w:rFonts w:ascii="宋体"/>
                <w:sz w:val="18"/>
              </w:rPr>
              <w:t>183,559.53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5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89"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武汉路演中心装修补贴</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
              <w:jc w:val="center"/>
              <w:rPr>
                <w:rFonts w:ascii="宋体" w:hAnsi="宋体" w:cs="宋体" w:eastAsia="宋体" w:hint="default"/>
                <w:sz w:val="18"/>
                <w:szCs w:val="18"/>
              </w:rPr>
            </w:pPr>
            <w:r>
              <w:rPr>
                <w:rFonts w:ascii="宋体"/>
                <w:sz w:val="18"/>
              </w:rPr>
              <w:t>121,142.95</w:t>
            </w:r>
          </w:p>
        </w:tc>
        <w:tc>
          <w:tcPr>
            <w:tcW w:w="1385"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宋体" w:hAnsi="宋体" w:cs="宋体" w:eastAsia="宋体" w:hint="default"/>
                <w:sz w:val="18"/>
                <w:szCs w:val="18"/>
              </w:rPr>
            </w:pPr>
            <w:r>
              <w:rPr>
                <w:rFonts w:ascii="宋体"/>
                <w:spacing w:val="-1"/>
                <w:sz w:val="18"/>
              </w:rPr>
              <w:t>121,142.95</w:t>
            </w:r>
          </w:p>
        </w:tc>
        <w:tc>
          <w:tcPr>
            <w:tcW w:w="1208"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5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37"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05" w:right="159"/>
              <w:jc w:val="left"/>
              <w:rPr>
                <w:rFonts w:ascii="宋体" w:hAnsi="宋体" w:cs="宋体" w:eastAsia="宋体" w:hint="default"/>
                <w:sz w:val="18"/>
                <w:szCs w:val="18"/>
              </w:rPr>
            </w:pPr>
            <w:r>
              <w:rPr>
                <w:rFonts w:ascii="宋体" w:hAnsi="宋体" w:cs="宋体" w:eastAsia="宋体" w:hint="default"/>
                <w:spacing w:val="-3"/>
                <w:sz w:val="18"/>
                <w:szCs w:val="18"/>
              </w:rPr>
              <w:t>北京市科技成果转化平台建设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专项</w:t>
            </w:r>
          </w:p>
        </w:tc>
        <w:tc>
          <w:tcPr>
            <w:tcW w:w="122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32"/>
              <w:jc w:val="right"/>
              <w:rPr>
                <w:rFonts w:ascii="宋体" w:hAnsi="宋体" w:cs="宋体" w:eastAsia="宋体" w:hint="default"/>
                <w:sz w:val="18"/>
                <w:szCs w:val="18"/>
              </w:rPr>
            </w:pPr>
            <w:r>
              <w:rPr>
                <w:rFonts w:ascii="宋体"/>
                <w:spacing w:val="-1"/>
                <w:sz w:val="18"/>
              </w:rPr>
              <w:t>1,100,000.00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87"/>
              <w:jc w:val="right"/>
              <w:rPr>
                <w:rFonts w:ascii="宋体" w:hAnsi="宋体" w:cs="宋体" w:eastAsia="宋体" w:hint="default"/>
                <w:sz w:val="18"/>
                <w:szCs w:val="18"/>
              </w:rPr>
            </w:pPr>
            <w:r>
              <w:rPr>
                <w:rFonts w:ascii="宋体"/>
                <w:spacing w:val="-1"/>
                <w:sz w:val="18"/>
              </w:rPr>
              <w:t>900,214.90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89" w:right="0"/>
              <w:jc w:val="left"/>
              <w:rPr>
                <w:rFonts w:ascii="宋体" w:hAnsi="宋体" w:cs="宋体" w:eastAsia="宋体" w:hint="default"/>
                <w:sz w:val="18"/>
                <w:szCs w:val="18"/>
              </w:rPr>
            </w:pPr>
            <w:r>
              <w:rPr>
                <w:rFonts w:ascii="宋体"/>
                <w:sz w:val="18"/>
              </w:rPr>
              <w:t>199,785.10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78"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1"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
              <w:jc w:val="center"/>
              <w:rPr>
                <w:rFonts w:ascii="宋体" w:hAnsi="宋体" w:cs="宋体" w:eastAsia="宋体" w:hint="default"/>
                <w:sz w:val="18"/>
                <w:szCs w:val="18"/>
              </w:rPr>
            </w:pPr>
            <w:r>
              <w:rPr>
                <w:rFonts w:ascii="宋体"/>
                <w:w w:val="101"/>
                <w:sz w:val="18"/>
              </w:rPr>
            </w:r>
            <w:r>
              <w:rPr>
                <w:rFonts w:ascii="宋体"/>
                <w:sz w:val="18"/>
                <w:u w:val="thick" w:color="000000"/>
              </w:rPr>
              <w:t>992,690.91</w:t>
            </w:r>
            <w:r>
              <w:rPr>
                <w:rFonts w:ascii="宋体"/>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2"/>
              <w:jc w:val="right"/>
              <w:rPr>
                <w:rFonts w:ascii="宋体" w:hAnsi="宋体" w:cs="宋体" w:eastAsia="宋体" w:hint="default"/>
                <w:sz w:val="18"/>
                <w:szCs w:val="18"/>
              </w:rPr>
            </w:pPr>
            <w:r>
              <w:rPr>
                <w:rFonts w:ascii="宋体"/>
                <w:w w:val="101"/>
                <w:sz w:val="18"/>
              </w:rPr>
            </w:r>
            <w:r>
              <w:rPr>
                <w:rFonts w:ascii="宋体"/>
                <w:spacing w:val="-1"/>
                <w:sz w:val="18"/>
                <w:u w:val="thick" w:color="000000"/>
              </w:rPr>
              <w:t>1,100,000.00</w:t>
            </w:r>
            <w:r>
              <w:rPr>
                <w:rFonts w:ascii="宋体"/>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7"/>
              <w:jc w:val="right"/>
              <w:rPr>
                <w:rFonts w:ascii="宋体" w:hAnsi="宋体" w:cs="宋体" w:eastAsia="宋体" w:hint="default"/>
                <w:sz w:val="18"/>
                <w:szCs w:val="18"/>
              </w:rPr>
            </w:pPr>
            <w:r>
              <w:rPr>
                <w:rFonts w:ascii="宋体"/>
                <w:w w:val="101"/>
                <w:sz w:val="18"/>
              </w:rPr>
            </w:r>
            <w:r>
              <w:rPr>
                <w:rFonts w:ascii="宋体"/>
                <w:spacing w:val="-1"/>
                <w:sz w:val="18"/>
                <w:u w:val="thick" w:color="000000"/>
              </w:rPr>
              <w:t>1,592,679.55</w:t>
            </w:r>
            <w:r>
              <w:rPr>
                <w:rFonts w:ascii="宋体"/>
                <w:spacing w:val="-1"/>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89" w:right="0"/>
              <w:jc w:val="left"/>
              <w:rPr>
                <w:rFonts w:ascii="宋体" w:hAnsi="宋体" w:cs="宋体" w:eastAsia="宋体" w:hint="default"/>
                <w:sz w:val="18"/>
                <w:szCs w:val="18"/>
              </w:rPr>
            </w:pPr>
            <w:r>
              <w:rPr>
                <w:rFonts w:ascii="宋体"/>
                <w:w w:val="101"/>
                <w:sz w:val="18"/>
              </w:rPr>
            </w:r>
            <w:r>
              <w:rPr>
                <w:rFonts w:ascii="宋体"/>
                <w:sz w:val="18"/>
                <w:u w:val="thick" w:color="000000"/>
              </w:rPr>
              <w:t>500,011.36</w:t>
            </w:r>
            <w:r>
              <w:rPr>
                <w:rFonts w:ascii="宋体"/>
                <w:sz w:val="18"/>
              </w:rPr>
            </w:r>
          </w:p>
        </w:tc>
        <w:tc>
          <w:tcPr>
            <w:tcW w:w="142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715" w:right="0"/>
        <w:jc w:val="left"/>
      </w:pPr>
      <w:bookmarkStart w:name="（二十）股本" w:id="218"/>
      <w:bookmarkEnd w:id="218"/>
      <w:r>
        <w:rPr/>
      </w:r>
      <w:r>
        <w:rPr/>
        <w:t>（二十）股本</w:t>
      </w:r>
    </w:p>
    <w:p>
      <w:pPr>
        <w:spacing w:line="240" w:lineRule="auto" w:before="1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163"/>
        <w:gridCol w:w="1443"/>
        <w:gridCol w:w="576"/>
        <w:gridCol w:w="531"/>
        <w:gridCol w:w="1628"/>
        <w:gridCol w:w="987"/>
        <w:gridCol w:w="1297"/>
        <w:gridCol w:w="1383"/>
      </w:tblGrid>
      <w:tr>
        <w:trPr>
          <w:trHeight w:val="274" w:hRule="exact"/>
        </w:trPr>
        <w:tc>
          <w:tcPr>
            <w:tcW w:w="10007" w:type="dxa"/>
            <w:gridSpan w:val="8"/>
            <w:tcBorders>
              <w:top w:val="nil" w:sz="6" w:space="0" w:color="auto"/>
              <w:left w:val="nil" w:sz="6" w:space="0" w:color="auto"/>
              <w:bottom w:val="nil" w:sz="6" w:space="0" w:color="auto"/>
              <w:right w:val="nil" w:sz="6" w:space="0" w:color="auto"/>
            </w:tcBorders>
          </w:tcPr>
          <w:p>
            <w:pPr>
              <w:pStyle w:val="TableParagraph"/>
              <w:spacing w:line="182" w:lineRule="exact"/>
              <w:ind w:left="5205"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8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576" w:type="dxa"/>
            <w:vMerge w:val="restart"/>
            <w:tcBorders>
              <w:top w:val="nil" w:sz="6" w:space="0" w:color="auto"/>
              <w:left w:val="nil" w:sz="6" w:space="0" w:color="auto"/>
              <w:right w:val="nil" w:sz="6" w:space="0" w:color="auto"/>
            </w:tcBorders>
          </w:tcPr>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tc>
        <w:tc>
          <w:tcPr>
            <w:tcW w:w="531" w:type="dxa"/>
            <w:vMerge w:val="restart"/>
            <w:tcBorders>
              <w:top w:val="nil" w:sz="6" w:space="0" w:color="auto"/>
              <w:left w:val="nil" w:sz="6" w:space="0" w:color="auto"/>
              <w:right w:val="nil" w:sz="6" w:space="0" w:color="auto"/>
            </w:tcBorders>
          </w:tcPr>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b/>
                <w:bCs/>
                <w:w w:val="100"/>
                <w:sz w:val="18"/>
                <w:szCs w:val="18"/>
              </w:rPr>
              <w:t>送</w:t>
            </w:r>
            <w:r>
              <w:rPr>
                <w:rFonts w:ascii="宋体" w:hAnsi="宋体" w:cs="宋体" w:eastAsia="宋体" w:hint="default"/>
                <w:w w:val="100"/>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w w:val="100"/>
                <w:sz w:val="18"/>
                <w:szCs w:val="18"/>
              </w:rPr>
              <w:t>股</w:t>
            </w:r>
            <w:r>
              <w:rPr>
                <w:rFonts w:ascii="宋体" w:hAnsi="宋体" w:cs="宋体" w:eastAsia="宋体" w:hint="default"/>
                <w:w w:val="100"/>
                <w:sz w:val="18"/>
                <w:szCs w:val="18"/>
              </w:rPr>
            </w: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3" w:hRule="exact"/>
        </w:trPr>
        <w:tc>
          <w:tcPr>
            <w:tcW w:w="2163" w:type="dxa"/>
            <w:tcBorders>
              <w:top w:val="nil" w:sz="6" w:space="0" w:color="auto"/>
              <w:left w:val="nil" w:sz="6" w:space="0" w:color="auto"/>
              <w:bottom w:val="single" w:sz="4" w:space="0" w:color="000000"/>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
        </w:tc>
        <w:tc>
          <w:tcPr>
            <w:tcW w:w="576" w:type="dxa"/>
            <w:vMerge/>
            <w:tcBorders>
              <w:left w:val="nil" w:sz="6" w:space="0" w:color="auto"/>
              <w:bottom w:val="single" w:sz="4" w:space="0" w:color="000000"/>
              <w:right w:val="nil" w:sz="6" w:space="0" w:color="auto"/>
            </w:tcBorders>
          </w:tcPr>
          <w:p>
            <w:pPr/>
          </w:p>
        </w:tc>
        <w:tc>
          <w:tcPr>
            <w:tcW w:w="531" w:type="dxa"/>
            <w:vMerge/>
            <w:tcBorders>
              <w:left w:val="nil" w:sz="6" w:space="0" w:color="auto"/>
              <w:bottom w:val="single" w:sz="4" w:space="0" w:color="000000"/>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194"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987" w:type="dxa"/>
            <w:tcBorders>
              <w:top w:val="nil" w:sz="6" w:space="0" w:color="auto"/>
              <w:left w:val="nil" w:sz="6" w:space="0" w:color="auto"/>
              <w:bottom w:val="single" w:sz="4" w:space="0" w:color="000000"/>
              <w:right w:val="nil" w:sz="6" w:space="0" w:color="auto"/>
            </w:tcBorders>
          </w:tcPr>
          <w:p>
            <w:pPr>
              <w:pStyle w:val="TableParagraph"/>
              <w:spacing w:line="194"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97" w:type="dxa"/>
            <w:tcBorders>
              <w:top w:val="nil" w:sz="6" w:space="0" w:color="auto"/>
              <w:left w:val="nil" w:sz="6" w:space="0" w:color="auto"/>
              <w:bottom w:val="single" w:sz="4" w:space="0" w:color="000000"/>
              <w:right w:val="nil" w:sz="6" w:space="0" w:color="auto"/>
            </w:tcBorders>
          </w:tcPr>
          <w:p>
            <w:pPr>
              <w:pStyle w:val="TableParagraph"/>
              <w:spacing w:line="194" w:lineRule="exact"/>
              <w:ind w:left="4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
        </w:tc>
      </w:tr>
      <w:tr>
        <w:trPr>
          <w:trHeight w:val="426" w:hRule="exact"/>
        </w:trPr>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443" w:type="dxa"/>
            <w:tcBorders>
              <w:top w:val="single" w:sz="4" w:space="0" w:color="000000"/>
              <w:left w:val="nil" w:sz="6" w:space="0" w:color="auto"/>
              <w:bottom w:val="nil" w:sz="6" w:space="0" w:color="auto"/>
              <w:right w:val="nil" w:sz="6" w:space="0" w:color="auto"/>
            </w:tcBorders>
          </w:tcPr>
          <w:p>
            <w:pPr/>
          </w:p>
        </w:tc>
        <w:tc>
          <w:tcPr>
            <w:tcW w:w="576" w:type="dxa"/>
            <w:tcBorders>
              <w:top w:val="single" w:sz="4" w:space="0" w:color="000000"/>
              <w:left w:val="nil" w:sz="6" w:space="0" w:color="auto"/>
              <w:bottom w:val="nil" w:sz="6" w:space="0" w:color="auto"/>
              <w:right w:val="nil" w:sz="6" w:space="0" w:color="auto"/>
            </w:tcBorders>
          </w:tcPr>
          <w:p>
            <w:pPr/>
          </w:p>
        </w:tc>
        <w:tc>
          <w:tcPr>
            <w:tcW w:w="531" w:type="dxa"/>
            <w:tcBorders>
              <w:top w:val="single" w:sz="4" w:space="0" w:color="000000"/>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
        </w:tc>
        <w:tc>
          <w:tcPr>
            <w:tcW w:w="987" w:type="dxa"/>
            <w:tcBorders>
              <w:top w:val="single" w:sz="4" w:space="0" w:color="000000"/>
              <w:left w:val="nil" w:sz="6" w:space="0" w:color="auto"/>
              <w:bottom w:val="nil" w:sz="6" w:space="0" w:color="auto"/>
              <w:right w:val="nil" w:sz="6" w:space="0" w:color="auto"/>
            </w:tcBorders>
          </w:tcPr>
          <w:p>
            <w:pPr/>
          </w:p>
        </w:tc>
        <w:tc>
          <w:tcPr>
            <w:tcW w:w="1297" w:type="dxa"/>
            <w:tcBorders>
              <w:top w:val="single" w:sz="4" w:space="0" w:color="000000"/>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nil" w:sz="6" w:space="0" w:color="auto"/>
              <w:right w:val="nil" w:sz="6" w:space="0" w:color="auto"/>
            </w:tcBorders>
          </w:tcPr>
          <w:p>
            <w:pPr/>
          </w:p>
        </w:tc>
      </w:tr>
      <w:tr>
        <w:trPr>
          <w:trHeight w:val="39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31,461,335.00</w:t>
            </w: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宋体" w:hAnsi="宋体" w:cs="宋体" w:eastAsia="宋体" w:hint="default"/>
                <w:sz w:val="18"/>
                <w:szCs w:val="18"/>
              </w:rPr>
            </w:pPr>
            <w:r>
              <w:rPr>
                <w:rFonts w:ascii="宋体"/>
                <w:spacing w:val="-1"/>
                <w:sz w:val="18"/>
              </w:rPr>
              <w:t>12,584,534.00</w:t>
            </w: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12,584,534.00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44,045,869.00</w:t>
            </w:r>
          </w:p>
        </w:tc>
      </w:tr>
      <w:tr>
        <w:trPr>
          <w:trHeight w:val="39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7,814,675.00</w:t>
            </w: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6"/>
              <w:jc w:val="right"/>
              <w:rPr>
                <w:rFonts w:ascii="宋体" w:hAnsi="宋体" w:cs="宋体" w:eastAsia="宋体" w:hint="default"/>
                <w:sz w:val="18"/>
                <w:szCs w:val="18"/>
              </w:rPr>
            </w:pPr>
            <w:r>
              <w:rPr>
                <w:rFonts w:ascii="宋体"/>
                <w:spacing w:val="-1"/>
                <w:sz w:val="18"/>
              </w:rPr>
              <w:t>3,125,870.00</w:t>
            </w: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3,125,870.00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sz w:val="18"/>
              </w:rPr>
              <w:t>10,940,545.00</w:t>
            </w: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23,646,660.00</w:t>
            </w: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6"/>
              <w:jc w:val="right"/>
              <w:rPr>
                <w:rFonts w:ascii="宋体" w:hAnsi="宋体" w:cs="宋体" w:eastAsia="宋体" w:hint="default"/>
                <w:sz w:val="18"/>
                <w:szCs w:val="18"/>
              </w:rPr>
            </w:pPr>
            <w:r>
              <w:rPr>
                <w:rFonts w:ascii="宋体"/>
                <w:spacing w:val="-1"/>
                <w:sz w:val="18"/>
              </w:rPr>
              <w:t>9,458,664.00</w:t>
            </w: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9,458,664.00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sz w:val="18"/>
              </w:rPr>
              <w:t>33,105,324.00</w:t>
            </w: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境外持股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36,538,665.00</w:t>
            </w: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6"/>
              <w:jc w:val="right"/>
              <w:rPr>
                <w:rFonts w:ascii="宋体" w:hAnsi="宋体" w:cs="宋体" w:eastAsia="宋体" w:hint="default"/>
                <w:sz w:val="18"/>
                <w:szCs w:val="18"/>
              </w:rPr>
            </w:pPr>
            <w:r>
              <w:rPr>
                <w:rFonts w:ascii="宋体"/>
                <w:spacing w:val="-1"/>
                <w:sz w:val="18"/>
              </w:rPr>
              <w:t>14,615,466.00</w:t>
            </w: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14,615,466.00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51,154,131.00</w:t>
            </w:r>
          </w:p>
        </w:tc>
      </w:tr>
      <w:tr>
        <w:trPr>
          <w:trHeight w:val="39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3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r>
        <w:trPr>
          <w:trHeight w:val="28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1443"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531"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987"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1" w:footer="979" w:top="1060" w:bottom="1160" w:left="8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1478"/>
        <w:gridCol w:w="846"/>
        <w:gridCol w:w="1176"/>
        <w:gridCol w:w="682"/>
        <w:gridCol w:w="773"/>
        <w:gridCol w:w="1176"/>
        <w:gridCol w:w="1210"/>
        <w:gridCol w:w="1176"/>
        <w:gridCol w:w="211"/>
        <w:gridCol w:w="1277"/>
      </w:tblGrid>
      <w:tr>
        <w:trPr>
          <w:trHeight w:val="274" w:hRule="exact"/>
        </w:trPr>
        <w:tc>
          <w:tcPr>
            <w:tcW w:w="10007" w:type="dxa"/>
            <w:gridSpan w:val="10"/>
            <w:tcBorders>
              <w:top w:val="nil" w:sz="6" w:space="0" w:color="auto"/>
              <w:left w:val="nil" w:sz="6" w:space="0" w:color="auto"/>
              <w:bottom w:val="nil" w:sz="6" w:space="0" w:color="auto"/>
              <w:right w:val="nil" w:sz="6" w:space="0" w:color="auto"/>
            </w:tcBorders>
          </w:tcPr>
          <w:p>
            <w:pPr>
              <w:pStyle w:val="TableParagraph"/>
              <w:spacing w:line="182" w:lineRule="exact"/>
              <w:ind w:left="5205"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83"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4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46"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682" w:type="dxa"/>
            <w:vMerge w:val="restart"/>
            <w:tcBorders>
              <w:top w:val="nil" w:sz="6" w:space="0" w:color="auto"/>
              <w:left w:val="nil" w:sz="6" w:space="0" w:color="auto"/>
              <w:right w:val="nil" w:sz="6" w:space="0" w:color="auto"/>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sz w:val="18"/>
                <w:szCs w:val="18"/>
              </w:rPr>
            </w:r>
          </w:p>
          <w:p>
            <w:pPr>
              <w:pStyle w:val="TableParagraph"/>
              <w:spacing w:line="240" w:lineRule="auto" w:before="124"/>
              <w:ind w:left="211" w:right="0"/>
              <w:jc w:val="lef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tc>
        <w:tc>
          <w:tcPr>
            <w:tcW w:w="773" w:type="dxa"/>
            <w:vMerge w:val="restart"/>
            <w:tcBorders>
              <w:top w:val="nil" w:sz="6" w:space="0" w:color="auto"/>
              <w:left w:val="nil" w:sz="6" w:space="0" w:color="auto"/>
              <w:right w:val="nil" w:sz="6" w:space="0" w:color="auto"/>
            </w:tcBorders>
          </w:tcPr>
          <w:p>
            <w:pPr>
              <w:pStyle w:val="TableParagraph"/>
              <w:spacing w:line="240" w:lineRule="auto" w:before="61"/>
              <w:ind w:left="105" w:right="0"/>
              <w:jc w:val="left"/>
              <w:rPr>
                <w:rFonts w:ascii="宋体" w:hAnsi="宋体" w:cs="宋体" w:eastAsia="宋体" w:hint="default"/>
                <w:sz w:val="18"/>
                <w:szCs w:val="18"/>
              </w:rPr>
            </w:pPr>
            <w:r>
              <w:rPr>
                <w:rFonts w:ascii="宋体" w:hAnsi="宋体" w:cs="宋体" w:eastAsia="宋体" w:hint="default"/>
                <w:b/>
                <w:bCs/>
                <w:w w:val="100"/>
                <w:sz w:val="18"/>
                <w:szCs w:val="18"/>
              </w:rPr>
              <w:t>送</w:t>
            </w:r>
            <w:r>
              <w:rPr>
                <w:rFonts w:ascii="宋体" w:hAnsi="宋体" w:cs="宋体" w:eastAsia="宋体" w:hint="default"/>
                <w:w w:val="100"/>
                <w:sz w:val="18"/>
                <w:szCs w:val="18"/>
              </w:rPr>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b/>
                <w:bCs/>
                <w:w w:val="100"/>
                <w:sz w:val="18"/>
                <w:szCs w:val="18"/>
              </w:rPr>
              <w:t>股</w:t>
            </w:r>
            <w:r>
              <w:rPr>
                <w:rFonts w:ascii="宋体" w:hAnsi="宋体" w:cs="宋体" w:eastAsia="宋体" w:hint="default"/>
                <w:w w:val="100"/>
                <w:sz w:val="18"/>
                <w:szCs w:val="18"/>
              </w:rPr>
            </w:r>
          </w:p>
        </w:tc>
        <w:tc>
          <w:tcPr>
            <w:tcW w:w="117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26" w:hRule="exact"/>
        </w:trPr>
        <w:tc>
          <w:tcPr>
            <w:tcW w:w="1478" w:type="dxa"/>
            <w:tcBorders>
              <w:top w:val="nil" w:sz="6" w:space="0" w:color="auto"/>
              <w:left w:val="nil" w:sz="6" w:space="0" w:color="auto"/>
              <w:bottom w:val="single" w:sz="4" w:space="0" w:color="000000"/>
              <w:right w:val="nil" w:sz="6" w:space="0" w:color="auto"/>
            </w:tcBorders>
          </w:tcPr>
          <w:p>
            <w:pPr/>
          </w:p>
        </w:tc>
        <w:tc>
          <w:tcPr>
            <w:tcW w:w="846"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
        </w:tc>
        <w:tc>
          <w:tcPr>
            <w:tcW w:w="682" w:type="dxa"/>
            <w:vMerge/>
            <w:tcBorders>
              <w:left w:val="nil" w:sz="6" w:space="0" w:color="auto"/>
              <w:bottom w:val="single" w:sz="4" w:space="0" w:color="000000"/>
              <w:right w:val="nil" w:sz="6" w:space="0" w:color="auto"/>
            </w:tcBorders>
          </w:tcPr>
          <w:p>
            <w:pPr/>
          </w:p>
        </w:tc>
        <w:tc>
          <w:tcPr>
            <w:tcW w:w="773" w:type="dxa"/>
            <w:vMerge/>
            <w:tcBorders>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192" w:lineRule="exact"/>
              <w:ind w:right="7"/>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192" w:lineRule="exact"/>
              <w:ind w:right="1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r>
      <w:tr>
        <w:trPr>
          <w:trHeight w:val="334" w:hRule="exact"/>
        </w:trPr>
        <w:tc>
          <w:tcPr>
            <w:tcW w:w="1478"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left="748" w:right="0"/>
              <w:jc w:val="center"/>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sz w:val="18"/>
                <w:szCs w:val="18"/>
              </w:rPr>
            </w:r>
          </w:p>
        </w:tc>
        <w:tc>
          <w:tcPr>
            <w:tcW w:w="846"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pacing w:val="-1"/>
                <w:sz w:val="18"/>
              </w:rPr>
              <w:t>68,000,000.00</w:t>
            </w:r>
          </w:p>
        </w:tc>
        <w:tc>
          <w:tcPr>
            <w:tcW w:w="682" w:type="dxa"/>
            <w:tcBorders>
              <w:top w:val="single" w:sz="4" w:space="0" w:color="000000"/>
              <w:left w:val="nil" w:sz="6" w:space="0" w:color="auto"/>
              <w:bottom w:val="nil" w:sz="6" w:space="0" w:color="auto"/>
              <w:right w:val="nil" w:sz="6" w:space="0" w:color="auto"/>
            </w:tcBorders>
          </w:tcPr>
          <w:p>
            <w:pPr/>
          </w:p>
        </w:tc>
        <w:tc>
          <w:tcPr>
            <w:tcW w:w="773"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spacing w:val="-1"/>
                <w:sz w:val="18"/>
              </w:rPr>
              <w:t>27,200,000.00</w:t>
            </w:r>
          </w:p>
        </w:tc>
        <w:tc>
          <w:tcPr>
            <w:tcW w:w="1210" w:type="dxa"/>
            <w:tcBorders>
              <w:top w:val="single" w:sz="4" w:space="0" w:color="000000"/>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spacing w:val="-1"/>
                <w:sz w:val="18"/>
              </w:rPr>
              <w:t>27,200,000.00</w:t>
            </w:r>
          </w:p>
        </w:tc>
        <w:tc>
          <w:tcPr>
            <w:tcW w:w="211"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right="99"/>
              <w:jc w:val="center"/>
              <w:rPr>
                <w:rFonts w:ascii="宋体" w:hAnsi="宋体" w:cs="宋体" w:eastAsia="宋体" w:hint="default"/>
                <w:sz w:val="18"/>
                <w:szCs w:val="18"/>
              </w:rPr>
            </w:pPr>
            <w:r>
              <w:rPr>
                <w:rFonts w:ascii="宋体"/>
                <w:spacing w:val="-1"/>
                <w:sz w:val="18"/>
              </w:rPr>
              <w:t>95,200,000.00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6"/>
        <w:ind w:left="715" w:right="0"/>
        <w:jc w:val="left"/>
      </w:pPr>
      <w:bookmarkStart w:name="（二十一）资本公积" w:id="219"/>
      <w:bookmarkEnd w:id="219"/>
      <w:r>
        <w:rPr/>
      </w:r>
      <w:r>
        <w:rPr/>
        <w:t>（二十一）资本公积</w:t>
      </w:r>
    </w:p>
    <w:p>
      <w:pPr>
        <w:spacing w:line="240" w:lineRule="auto" w:before="11"/>
        <w:rPr>
          <w:rFonts w:ascii="宋体" w:hAnsi="宋体" w:cs="宋体" w:eastAsia="宋体"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2492"/>
        <w:gridCol w:w="2007"/>
        <w:gridCol w:w="1837"/>
        <w:gridCol w:w="1808"/>
        <w:gridCol w:w="1715"/>
      </w:tblGrid>
      <w:tr>
        <w:trPr>
          <w:trHeight w:val="253" w:hRule="exact"/>
        </w:trPr>
        <w:tc>
          <w:tcPr>
            <w:tcW w:w="2492" w:type="dxa"/>
            <w:tcBorders>
              <w:top w:val="nil" w:sz="6" w:space="0" w:color="auto"/>
              <w:left w:val="nil" w:sz="6" w:space="0" w:color="auto"/>
              <w:bottom w:val="single" w:sz="4" w:space="0" w:color="000000"/>
              <w:right w:val="nil" w:sz="6" w:space="0" w:color="auto"/>
            </w:tcBorders>
          </w:tcPr>
          <w:p>
            <w:pPr>
              <w:pStyle w:val="TableParagraph"/>
              <w:spacing w:line="182" w:lineRule="exact"/>
              <w:ind w:right="16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7" w:type="dxa"/>
            <w:tcBorders>
              <w:top w:val="nil" w:sz="6" w:space="0" w:color="auto"/>
              <w:left w:val="nil" w:sz="6" w:space="0" w:color="auto"/>
              <w:bottom w:val="single" w:sz="4" w:space="0" w:color="000000"/>
              <w:right w:val="nil" w:sz="6" w:space="0" w:color="auto"/>
            </w:tcBorders>
          </w:tcPr>
          <w:p>
            <w:pPr>
              <w:pStyle w:val="TableParagraph"/>
              <w:spacing w:line="182" w:lineRule="exact"/>
              <w:ind w:left="4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37" w:type="dxa"/>
            <w:tcBorders>
              <w:top w:val="nil" w:sz="6" w:space="0" w:color="auto"/>
              <w:left w:val="nil" w:sz="6" w:space="0" w:color="auto"/>
              <w:bottom w:val="single" w:sz="4" w:space="0" w:color="000000"/>
              <w:right w:val="nil" w:sz="6" w:space="0" w:color="auto"/>
            </w:tcBorders>
          </w:tcPr>
          <w:p>
            <w:pPr>
              <w:pStyle w:val="TableParagraph"/>
              <w:spacing w:line="182"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182" w:lineRule="exact"/>
              <w:ind w:left="32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182"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6" w:hRule="exact"/>
        </w:trPr>
        <w:tc>
          <w:tcPr>
            <w:tcW w:w="24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资本溢价（或股本溢价）</w:t>
            </w:r>
          </w:p>
        </w:tc>
        <w:tc>
          <w:tcPr>
            <w:tcW w:w="200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44"/>
              <w:jc w:val="right"/>
              <w:rPr>
                <w:rFonts w:ascii="宋体" w:hAnsi="宋体" w:cs="宋体" w:eastAsia="宋体" w:hint="default"/>
                <w:sz w:val="18"/>
                <w:szCs w:val="18"/>
              </w:rPr>
            </w:pPr>
            <w:r>
              <w:rPr>
                <w:rFonts w:ascii="宋体"/>
                <w:spacing w:val="-2"/>
                <w:sz w:val="18"/>
              </w:rPr>
              <w:t>208,792,836.09</w:t>
            </w:r>
          </w:p>
        </w:tc>
        <w:tc>
          <w:tcPr>
            <w:tcW w:w="1837" w:type="dxa"/>
            <w:tcBorders>
              <w:top w:val="single" w:sz="4" w:space="0" w:color="000000"/>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76" w:right="0"/>
              <w:jc w:val="left"/>
              <w:rPr>
                <w:rFonts w:ascii="宋体" w:hAnsi="宋体" w:cs="宋体" w:eastAsia="宋体" w:hint="default"/>
                <w:sz w:val="18"/>
                <w:szCs w:val="18"/>
              </w:rPr>
            </w:pPr>
            <w:r>
              <w:rPr>
                <w:rFonts w:ascii="宋体"/>
                <w:sz w:val="18"/>
              </w:rPr>
              <w:t>43,456,762.49</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165,336,073.60</w:t>
            </w:r>
          </w:p>
        </w:tc>
      </w:tr>
      <w:tr>
        <w:trPr>
          <w:trHeight w:val="398"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4"/>
              <w:jc w:val="right"/>
              <w:rPr>
                <w:rFonts w:ascii="宋体" w:hAnsi="宋体" w:cs="宋体" w:eastAsia="宋体" w:hint="default"/>
                <w:sz w:val="18"/>
                <w:szCs w:val="18"/>
              </w:rPr>
            </w:pPr>
            <w:r>
              <w:rPr>
                <w:rFonts w:ascii="宋体"/>
                <w:spacing w:val="-1"/>
                <w:sz w:val="18"/>
              </w:rPr>
              <w:t>7,516,640.46</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4"/>
              <w:jc w:val="right"/>
              <w:rPr>
                <w:rFonts w:ascii="宋体" w:hAnsi="宋体" w:cs="宋体" w:eastAsia="宋体" w:hint="default"/>
                <w:sz w:val="18"/>
                <w:szCs w:val="18"/>
              </w:rPr>
            </w:pPr>
            <w:r>
              <w:rPr>
                <w:rFonts w:ascii="宋体"/>
                <w:spacing w:val="-1"/>
                <w:sz w:val="18"/>
              </w:rPr>
              <w:t>1,478,317.25</w:t>
            </w:r>
          </w:p>
        </w:tc>
        <w:tc>
          <w:tcPr>
            <w:tcW w:w="1808"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8,994,957.71</w:t>
            </w:r>
          </w:p>
        </w:tc>
      </w:tr>
      <w:tr>
        <w:trPr>
          <w:trHeight w:val="290"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4"/>
              <w:jc w:val="right"/>
              <w:rPr>
                <w:rFonts w:ascii="宋体" w:hAnsi="宋体" w:cs="宋体" w:eastAsia="宋体" w:hint="default"/>
                <w:sz w:val="18"/>
                <w:szCs w:val="18"/>
              </w:rPr>
            </w:pPr>
            <w:r>
              <w:rPr>
                <w:rFonts w:ascii="宋体"/>
                <w:w w:val="101"/>
                <w:sz w:val="18"/>
              </w:rPr>
            </w:r>
            <w:r>
              <w:rPr>
                <w:rFonts w:ascii="宋体"/>
                <w:spacing w:val="-2"/>
                <w:sz w:val="18"/>
                <w:u w:val="thick" w:color="000000"/>
              </w:rPr>
              <w:t>216,309,476.55</w:t>
            </w:r>
            <w:r>
              <w:rPr>
                <w:rFonts w:ascii="宋体"/>
                <w:spacing w:val="-2"/>
                <w:sz w:val="18"/>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4"/>
              <w:jc w:val="right"/>
              <w:rPr>
                <w:rFonts w:ascii="宋体" w:hAnsi="宋体" w:cs="宋体" w:eastAsia="宋体" w:hint="default"/>
                <w:sz w:val="18"/>
                <w:szCs w:val="18"/>
              </w:rPr>
            </w:pPr>
            <w:r>
              <w:rPr>
                <w:rFonts w:ascii="宋体"/>
                <w:w w:val="101"/>
                <w:sz w:val="18"/>
              </w:rPr>
            </w:r>
            <w:r>
              <w:rPr>
                <w:rFonts w:ascii="宋体"/>
                <w:spacing w:val="-1"/>
                <w:sz w:val="18"/>
                <w:u w:val="thick" w:color="000000"/>
              </w:rPr>
              <w:t>1,478,317.25</w:t>
            </w:r>
            <w:r>
              <w:rPr>
                <w:rFonts w:ascii="宋体"/>
                <w:spacing w:val="-1"/>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6" w:right="0"/>
              <w:jc w:val="left"/>
              <w:rPr>
                <w:rFonts w:ascii="宋体" w:hAnsi="宋体" w:cs="宋体" w:eastAsia="宋体" w:hint="default"/>
                <w:sz w:val="18"/>
                <w:szCs w:val="18"/>
              </w:rPr>
            </w:pPr>
            <w:r>
              <w:rPr>
                <w:rFonts w:ascii="宋体"/>
                <w:w w:val="101"/>
                <w:sz w:val="18"/>
              </w:rPr>
            </w:r>
            <w:r>
              <w:rPr>
                <w:rFonts w:ascii="宋体"/>
                <w:sz w:val="18"/>
                <w:u w:val="thick" w:color="000000"/>
              </w:rPr>
              <w:t>43,456,762.49</w:t>
            </w:r>
            <w:r>
              <w:rPr>
                <w:rFonts w:ascii="宋体"/>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w w:val="101"/>
                <w:sz w:val="18"/>
              </w:rPr>
            </w:r>
            <w:r>
              <w:rPr>
                <w:rFonts w:ascii="宋体"/>
                <w:spacing w:val="-2"/>
                <w:sz w:val="18"/>
                <w:u w:val="thick" w:color="000000"/>
              </w:rPr>
              <w:t>174,331,031.31</w:t>
            </w:r>
            <w:r>
              <w:rPr>
                <w:rFonts w:ascii="宋体"/>
                <w:spacing w:val="-2"/>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14" w:lineRule="auto" w:before="36"/>
        <w:ind w:left="293" w:right="1122" w:firstLine="528"/>
        <w:jc w:val="both"/>
      </w:pPr>
      <w:r>
        <w:rPr/>
        <w:t>注：</w:t>
      </w:r>
      <w:r>
        <w:rPr>
          <w:rFonts w:ascii="宋体" w:hAnsi="宋体" w:cs="宋体" w:eastAsia="宋体" w:hint="default"/>
        </w:rPr>
        <w:t>2019 </w:t>
      </w:r>
      <w:r>
        <w:rPr/>
        <w:t>年 </w:t>
      </w:r>
      <w:r>
        <w:rPr>
          <w:rFonts w:ascii="宋体" w:hAnsi="宋体" w:cs="宋体" w:eastAsia="宋体" w:hint="default"/>
        </w:rPr>
        <w:t>5 </w:t>
      </w:r>
      <w:r>
        <w:rPr/>
        <w:t>月 </w:t>
      </w:r>
      <w:r>
        <w:rPr>
          <w:rFonts w:ascii="宋体" w:hAnsi="宋体" w:cs="宋体" w:eastAsia="宋体" w:hint="default"/>
        </w:rPr>
        <w:t>17 </w:t>
      </w:r>
      <w:r>
        <w:rPr/>
        <w:t>日召开的</w:t>
      </w:r>
      <w:r>
        <w:rPr>
          <w:rFonts w:ascii="宋体" w:hAnsi="宋体" w:cs="宋体" w:eastAsia="宋体" w:hint="default"/>
        </w:rPr>
        <w:t>2018 </w:t>
      </w:r>
      <w:r>
        <w:rPr/>
        <w:t>年年度股东大会审议通过了《关于 </w:t>
      </w:r>
      <w:r>
        <w:rPr>
          <w:rFonts w:ascii="宋体" w:hAnsi="宋体" w:cs="宋体" w:eastAsia="宋体" w:hint="default"/>
        </w:rPr>
        <w:t>2018</w:t>
      </w:r>
      <w:r>
        <w:rPr>
          <w:rFonts w:ascii="宋体" w:hAnsi="宋体" w:cs="宋体" w:eastAsia="宋体" w:hint="default"/>
          <w:spacing w:val="-25"/>
        </w:rPr>
        <w:t> </w:t>
      </w:r>
      <w:r>
        <w:rPr/>
        <w:t>年度利润分配预案的</w:t>
      </w:r>
      <w:r>
        <w:rPr>
          <w:w w:val="100"/>
        </w:rPr>
        <w:t> </w:t>
      </w:r>
      <w:r>
        <w:rPr>
          <w:spacing w:val="-2"/>
        </w:rPr>
        <w:t>议案》，该议案以截至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68,000,000</w:t>
      </w:r>
      <w:r>
        <w:rPr>
          <w:spacing w:val="-2"/>
        </w:rPr>
        <w:t>股为基数，以资本公积金向全体股东每</w:t>
      </w:r>
      <w:r>
        <w:rPr>
          <w:rFonts w:ascii="宋体" w:hAnsi="宋体" w:cs="宋体" w:eastAsia="宋体" w:hint="default"/>
          <w:spacing w:val="-2"/>
        </w:rPr>
        <w:t>10</w:t>
      </w:r>
      <w:r>
        <w:rPr>
          <w:spacing w:val="-2"/>
        </w:rPr>
        <w:t>股</w:t>
      </w:r>
      <w:r>
        <w:rPr>
          <w:spacing w:val="-12"/>
        </w:rPr>
        <w:t> </w:t>
      </w:r>
      <w:r>
        <w:rPr>
          <w:spacing w:val="-2"/>
        </w:rPr>
        <w:t>转增</w:t>
      </w:r>
      <w:r>
        <w:rPr>
          <w:rFonts w:ascii="宋体" w:hAnsi="宋体" w:cs="宋体" w:eastAsia="宋体" w:hint="default"/>
          <w:spacing w:val="-2"/>
        </w:rPr>
        <w:t>4</w:t>
      </w:r>
      <w:r>
        <w:rPr>
          <w:spacing w:val="-2"/>
        </w:rPr>
        <w:t>股导致资本公积</w:t>
      </w:r>
      <w:r>
        <w:rPr>
          <w:rFonts w:ascii="宋体" w:hAnsi="宋体" w:cs="宋体" w:eastAsia="宋体" w:hint="default"/>
          <w:spacing w:val="-2"/>
        </w:rPr>
        <w:t>-</w:t>
      </w:r>
      <w:r>
        <w:rPr>
          <w:spacing w:val="-2"/>
        </w:rPr>
        <w:t>资本溢价本期减少</w:t>
      </w:r>
      <w:r>
        <w:rPr>
          <w:rFonts w:ascii="宋体" w:hAnsi="宋体" w:cs="宋体" w:eastAsia="宋体" w:hint="default"/>
          <w:spacing w:val="-2"/>
        </w:rPr>
        <w:t>27,200,000.00</w:t>
      </w:r>
      <w:r>
        <w:rPr>
          <w:spacing w:val="-2"/>
        </w:rPr>
        <w:t>元。（</w:t>
      </w:r>
      <w:r>
        <w:rPr>
          <w:rFonts w:ascii="宋体" w:hAnsi="宋体" w:cs="宋体" w:eastAsia="宋体" w:hint="default"/>
          <w:spacing w:val="-2"/>
        </w:rPr>
        <w:t>2</w:t>
      </w:r>
      <w:r>
        <w:rPr>
          <w:spacing w:val="-2"/>
        </w:rPr>
        <w:t>）本期权益法核算的长期股权投资上海乂</w:t>
      </w:r>
      <w:r>
        <w:rPr>
          <w:spacing w:val="-17"/>
        </w:rPr>
        <w:t> </w:t>
      </w:r>
      <w:r>
        <w:rPr>
          <w:spacing w:val="-17"/>
        </w:rPr>
      </w:r>
      <w:r>
        <w:rPr/>
        <w:t>渠品牌管理有限公司因增资导致其他权益变动，本期增加其他资本公积</w:t>
      </w:r>
      <w:r>
        <w:rPr>
          <w:rFonts w:ascii="宋体" w:hAnsi="宋体" w:cs="宋体" w:eastAsia="宋体" w:hint="default"/>
        </w:rPr>
        <w:t>543,164.76</w:t>
      </w:r>
      <w:r>
        <w:rPr/>
        <w:t>元；（</w:t>
      </w:r>
      <w:r>
        <w:rPr>
          <w:rFonts w:ascii="宋体" w:hAnsi="宋体" w:cs="宋体" w:eastAsia="宋体" w:hint="default"/>
        </w:rPr>
        <w:t>3</w:t>
      </w:r>
      <w:r>
        <w:rPr/>
        <w:t>）其公司本期</w:t>
      </w:r>
      <w:r>
        <w:rPr>
          <w:spacing w:val="-29"/>
        </w:rPr>
        <w:t> </w:t>
      </w:r>
      <w:r>
        <w:rPr>
          <w:spacing w:val="-29"/>
        </w:rPr>
      </w:r>
      <w:r>
        <w:rPr/>
        <w:t>实施了股权激励计划，根据《企业会计准则第</w:t>
      </w:r>
      <w:r>
        <w:rPr>
          <w:rFonts w:ascii="宋体" w:hAnsi="宋体" w:cs="宋体" w:eastAsia="宋体" w:hint="default"/>
        </w:rPr>
        <w:t>11</w:t>
      </w:r>
      <w:r>
        <w:rPr/>
        <w:t>号</w:t>
      </w:r>
      <w:r>
        <w:rPr>
          <w:rFonts w:ascii="宋体" w:hAnsi="宋体" w:cs="宋体" w:eastAsia="宋体" w:hint="default"/>
        </w:rPr>
        <w:t>-</w:t>
      </w:r>
      <w:r>
        <w:rPr/>
        <w:t>股份支付》的规定确认本期的股权激励费用，相应形</w:t>
      </w:r>
      <w:r>
        <w:rPr>
          <w:spacing w:val="-30"/>
        </w:rPr>
        <w:t> </w:t>
      </w:r>
      <w:r>
        <w:rPr>
          <w:spacing w:val="-30"/>
        </w:rPr>
      </w:r>
      <w:r>
        <w:rPr/>
        <w:t>成其他资本公积</w:t>
      </w:r>
      <w:r>
        <w:rPr>
          <w:rFonts w:ascii="宋体" w:hAnsi="宋体" w:cs="宋体" w:eastAsia="宋体" w:hint="default"/>
        </w:rPr>
        <w:t>935,152.49</w:t>
      </w:r>
      <w:r>
        <w:rPr/>
        <w:t>元。（</w:t>
      </w:r>
      <w:r>
        <w:rPr>
          <w:rFonts w:ascii="宋体" w:hAnsi="宋体" w:cs="宋体" w:eastAsia="宋体" w:hint="default"/>
        </w:rPr>
        <w:t>4</w:t>
      </w:r>
      <w:r>
        <w:rPr/>
        <w:t>）本期收购北京创闻天下科技有限公司和黑马天地（北京）科技有限</w:t>
      </w:r>
      <w:r>
        <w:rPr>
          <w:spacing w:val="-29"/>
        </w:rPr>
        <w:t> </w:t>
      </w:r>
      <w:r>
        <w:rPr>
          <w:spacing w:val="-29"/>
        </w:rPr>
      </w:r>
      <w:r>
        <w:rPr/>
        <w:t>公司少数股东股权，减少资本公积</w:t>
      </w:r>
      <w:r>
        <w:rPr>
          <w:rFonts w:ascii="宋体" w:hAnsi="宋体" w:cs="宋体" w:eastAsia="宋体" w:hint="default"/>
        </w:rPr>
        <w:t>-</w:t>
      </w:r>
      <w:r>
        <w:rPr/>
        <w:t>资本溢价</w:t>
      </w:r>
      <w:r>
        <w:rPr>
          <w:rFonts w:ascii="宋体" w:hAnsi="宋体" w:cs="宋体" w:eastAsia="宋体" w:hint="default"/>
        </w:rPr>
        <w:t>16,256,762.49</w:t>
      </w:r>
      <w:r>
        <w:rPr/>
        <w:t>元。</w:t>
      </w:r>
    </w:p>
    <w:p>
      <w:pPr>
        <w:pStyle w:val="BodyText"/>
        <w:spacing w:line="240" w:lineRule="auto" w:before="178"/>
        <w:ind w:left="715" w:right="0"/>
        <w:jc w:val="left"/>
      </w:pPr>
      <w:bookmarkStart w:name="（二十二）盈余公积" w:id="220"/>
      <w:bookmarkEnd w:id="220"/>
      <w:r>
        <w:rPr/>
      </w:r>
      <w:r>
        <w:rPr/>
        <w:t>（二十二）盈余公积</w:t>
      </w:r>
    </w:p>
    <w:p>
      <w:pPr>
        <w:spacing w:line="240" w:lineRule="auto" w:before="11"/>
        <w:rPr>
          <w:rFonts w:ascii="宋体" w:hAnsi="宋体" w:cs="宋体" w:eastAsia="宋体" w:hint="default"/>
          <w:sz w:val="26"/>
          <w:szCs w:val="26"/>
        </w:rPr>
      </w:pPr>
    </w:p>
    <w:tbl>
      <w:tblPr>
        <w:tblW w:w="0" w:type="auto"/>
        <w:jc w:val="left"/>
        <w:tblInd w:w="859" w:type="dxa"/>
        <w:tblLayout w:type="fixed"/>
        <w:tblCellMar>
          <w:top w:w="0" w:type="dxa"/>
          <w:left w:w="0" w:type="dxa"/>
          <w:bottom w:w="0" w:type="dxa"/>
          <w:right w:w="0" w:type="dxa"/>
        </w:tblCellMar>
        <w:tblLook w:val="01E0"/>
      </w:tblPr>
      <w:tblGrid>
        <w:gridCol w:w="1705"/>
        <w:gridCol w:w="1745"/>
        <w:gridCol w:w="1700"/>
        <w:gridCol w:w="1659"/>
        <w:gridCol w:w="1700"/>
      </w:tblGrid>
      <w:tr>
        <w:trPr>
          <w:trHeight w:val="253" w:hRule="exact"/>
        </w:trPr>
        <w:tc>
          <w:tcPr>
            <w:tcW w:w="1705" w:type="dxa"/>
            <w:tcBorders>
              <w:top w:val="nil" w:sz="6" w:space="0" w:color="auto"/>
              <w:left w:val="nil" w:sz="6" w:space="0" w:color="auto"/>
              <w:bottom w:val="single" w:sz="4" w:space="0" w:color="000000"/>
              <w:right w:val="nil" w:sz="6" w:space="0" w:color="auto"/>
            </w:tcBorders>
          </w:tcPr>
          <w:p>
            <w:pPr>
              <w:pStyle w:val="TableParagraph"/>
              <w:spacing w:line="182"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5" w:type="dxa"/>
            <w:tcBorders>
              <w:top w:val="nil" w:sz="6" w:space="0" w:color="auto"/>
              <w:left w:val="nil" w:sz="6" w:space="0" w:color="auto"/>
              <w:bottom w:val="single" w:sz="4" w:space="0" w:color="000000"/>
              <w:right w:val="nil" w:sz="6" w:space="0" w:color="auto"/>
            </w:tcBorders>
          </w:tcPr>
          <w:p>
            <w:pPr>
              <w:pStyle w:val="TableParagraph"/>
              <w:spacing w:line="182" w:lineRule="exact"/>
              <w:ind w:right="4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182" w:lineRule="exact"/>
              <w:ind w:right="89"/>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59" w:type="dxa"/>
            <w:tcBorders>
              <w:top w:val="nil" w:sz="6" w:space="0" w:color="auto"/>
              <w:left w:val="nil" w:sz="6" w:space="0" w:color="auto"/>
              <w:bottom w:val="single" w:sz="4" w:space="0" w:color="000000"/>
              <w:right w:val="nil" w:sz="6" w:space="0" w:color="auto"/>
            </w:tcBorders>
          </w:tcPr>
          <w:p>
            <w:pPr>
              <w:pStyle w:val="TableParagraph"/>
              <w:spacing w:line="182"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3" w:hRule="exact"/>
        </w:trPr>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3"/>
              <w:jc w:val="center"/>
              <w:rPr>
                <w:rFonts w:ascii="宋体" w:hAnsi="宋体" w:cs="宋体" w:eastAsia="宋体" w:hint="default"/>
                <w:sz w:val="18"/>
                <w:szCs w:val="18"/>
              </w:rPr>
            </w:pPr>
            <w:r>
              <w:rPr>
                <w:rFonts w:ascii="宋体"/>
                <w:sz w:val="18"/>
              </w:rPr>
              <w:t>7,013,595.61</w:t>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89"/>
              <w:jc w:val="center"/>
              <w:rPr>
                <w:rFonts w:ascii="宋体" w:hAnsi="宋体" w:cs="宋体" w:eastAsia="宋体" w:hint="default"/>
                <w:sz w:val="18"/>
                <w:szCs w:val="18"/>
              </w:rPr>
            </w:pPr>
            <w:r>
              <w:rPr>
                <w:rFonts w:ascii="宋体"/>
                <w:sz w:val="18"/>
              </w:rPr>
              <w:t>874,558.65</w:t>
            </w:r>
          </w:p>
        </w:tc>
        <w:tc>
          <w:tcPr>
            <w:tcW w:w="1659" w:type="dxa"/>
            <w:tcBorders>
              <w:top w:val="single" w:sz="4" w:space="0" w:color="000000"/>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7,888,154.26</w:t>
            </w:r>
          </w:p>
        </w:tc>
      </w:tr>
      <w:tr>
        <w:trPr>
          <w:trHeight w:val="288" w:hRule="exact"/>
        </w:trPr>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w w:val="101"/>
                <w:sz w:val="18"/>
              </w:rPr>
            </w:r>
            <w:r>
              <w:rPr>
                <w:rFonts w:ascii="宋体"/>
                <w:sz w:val="18"/>
                <w:u w:val="thick" w:color="000000"/>
              </w:rPr>
              <w:t>7,013,595.61</w:t>
            </w:r>
            <w:r>
              <w:rPr>
                <w:rFonts w:ascii="宋体"/>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center"/>
              <w:rPr>
                <w:rFonts w:ascii="宋体" w:hAnsi="宋体" w:cs="宋体" w:eastAsia="宋体" w:hint="default"/>
                <w:sz w:val="18"/>
                <w:szCs w:val="18"/>
              </w:rPr>
            </w:pPr>
            <w:r>
              <w:rPr>
                <w:rFonts w:ascii="宋体"/>
                <w:w w:val="101"/>
                <w:sz w:val="18"/>
              </w:rPr>
            </w:r>
            <w:r>
              <w:rPr>
                <w:rFonts w:ascii="宋体"/>
                <w:sz w:val="18"/>
                <w:u w:val="thick" w:color="000000"/>
              </w:rPr>
              <w:t>874,558.65</w:t>
            </w:r>
            <w:r>
              <w:rPr>
                <w:rFonts w:ascii="宋体"/>
                <w:sz w:val="18"/>
              </w:rPr>
            </w:r>
          </w:p>
        </w:tc>
        <w:tc>
          <w:tcPr>
            <w:tcW w:w="1659"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w w:val="101"/>
                <w:sz w:val="18"/>
              </w:rPr>
            </w:r>
            <w:r>
              <w:rPr>
                <w:rFonts w:ascii="宋体"/>
                <w:sz w:val="18"/>
                <w:u w:val="thick" w:color="000000"/>
              </w:rPr>
              <w:t>7,888,154.26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715" w:right="0"/>
        <w:jc w:val="left"/>
      </w:pPr>
      <w:bookmarkStart w:name="（二十三）未分配利润" w:id="221"/>
      <w:bookmarkEnd w:id="221"/>
      <w:r>
        <w:rPr/>
      </w:r>
      <w:r>
        <w:rPr/>
        <w:t>（二十三）未分配利润</w:t>
      </w:r>
    </w:p>
    <w:p>
      <w:pPr>
        <w:spacing w:line="240" w:lineRule="auto" w:before="5"/>
        <w:rPr>
          <w:rFonts w:ascii="宋体" w:hAnsi="宋体" w:cs="宋体" w:eastAsia="宋体" w:hint="default"/>
          <w:sz w:val="25"/>
          <w:szCs w:val="25"/>
        </w:rPr>
      </w:pPr>
    </w:p>
    <w:tbl>
      <w:tblPr>
        <w:tblW w:w="0" w:type="auto"/>
        <w:jc w:val="left"/>
        <w:tblInd w:w="182" w:type="dxa"/>
        <w:tblLayout w:type="fixed"/>
        <w:tblCellMar>
          <w:top w:w="0" w:type="dxa"/>
          <w:left w:w="0" w:type="dxa"/>
          <w:bottom w:w="0" w:type="dxa"/>
          <w:right w:w="0" w:type="dxa"/>
        </w:tblCellMar>
        <w:tblLook w:val="01E0"/>
      </w:tblPr>
      <w:tblGrid>
        <w:gridCol w:w="4898"/>
        <w:gridCol w:w="2840"/>
        <w:gridCol w:w="2120"/>
      </w:tblGrid>
      <w:tr>
        <w:trPr>
          <w:trHeight w:val="272" w:hRule="exact"/>
        </w:trPr>
        <w:tc>
          <w:tcPr>
            <w:tcW w:w="4898" w:type="dxa"/>
            <w:tcBorders>
              <w:top w:val="nil" w:sz="6" w:space="0" w:color="auto"/>
              <w:left w:val="nil" w:sz="6" w:space="0" w:color="auto"/>
              <w:bottom w:val="single" w:sz="4" w:space="0" w:color="000000"/>
              <w:right w:val="nil" w:sz="6" w:space="0" w:color="auto"/>
            </w:tcBorders>
          </w:tcPr>
          <w:p>
            <w:pPr>
              <w:pStyle w:val="TableParagraph"/>
              <w:spacing w:line="182" w:lineRule="exact"/>
              <w:ind w:right="6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0" w:type="dxa"/>
            <w:tcBorders>
              <w:top w:val="nil" w:sz="6" w:space="0" w:color="auto"/>
              <w:left w:val="nil" w:sz="6" w:space="0" w:color="auto"/>
              <w:bottom w:val="single" w:sz="4" w:space="0" w:color="000000"/>
              <w:right w:val="nil" w:sz="6" w:space="0" w:color="auto"/>
            </w:tcBorders>
          </w:tcPr>
          <w:p>
            <w:pPr>
              <w:pStyle w:val="TableParagraph"/>
              <w:spacing w:line="182" w:lineRule="exact"/>
              <w:ind w:left="82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182"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7" w:hRule="exact"/>
        </w:trPr>
        <w:tc>
          <w:tcPr>
            <w:tcW w:w="489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pacing w:val="-3"/>
                <w:sz w:val="18"/>
                <w:szCs w:val="18"/>
              </w:rPr>
              <w:t>调整前上期期末未分配利润</w:t>
            </w:r>
          </w:p>
        </w:tc>
        <w:tc>
          <w:tcPr>
            <w:tcW w:w="28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99"/>
              <w:jc w:val="right"/>
              <w:rPr>
                <w:rFonts w:ascii="宋体" w:hAnsi="宋体" w:cs="宋体" w:eastAsia="宋体" w:hint="default"/>
                <w:sz w:val="18"/>
                <w:szCs w:val="18"/>
              </w:rPr>
            </w:pPr>
            <w:r>
              <w:rPr>
                <w:rFonts w:ascii="宋体"/>
                <w:spacing w:val="-1"/>
                <w:sz w:val="18"/>
              </w:rPr>
              <w:t>91,673,907.11</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9"/>
              <w:jc w:val="right"/>
              <w:rPr>
                <w:rFonts w:ascii="宋体" w:hAnsi="宋体" w:cs="宋体" w:eastAsia="宋体" w:hint="default"/>
                <w:sz w:val="18"/>
                <w:szCs w:val="18"/>
              </w:rPr>
            </w:pPr>
            <w:r>
              <w:rPr>
                <w:rFonts w:ascii="宋体"/>
                <w:spacing w:val="-1"/>
                <w:sz w:val="18"/>
              </w:rPr>
              <w:t>86,915,593.99</w:t>
            </w:r>
          </w:p>
        </w:tc>
      </w:tr>
      <w:tr>
        <w:trPr>
          <w:trHeight w:val="396"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调整期初未分配利润调整合计数（调增</w:t>
            </w:r>
            <w:r>
              <w:rPr>
                <w:rFonts w:ascii="宋体" w:hAnsi="宋体" w:cs="宋体" w:eastAsia="宋体" w:hint="default"/>
                <w:spacing w:val="-3"/>
                <w:sz w:val="18"/>
                <w:szCs w:val="18"/>
              </w:rPr>
              <w:t>+</w:t>
            </w:r>
            <w:r>
              <w:rPr>
                <w:rFonts w:ascii="宋体" w:hAnsi="宋体" w:cs="宋体" w:eastAsia="宋体" w:hint="default"/>
                <w:spacing w:val="-3"/>
                <w:sz w:val="18"/>
                <w:szCs w:val="18"/>
              </w:rPr>
              <w:t>，调减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宋体" w:hAnsi="宋体" w:cs="宋体" w:eastAsia="宋体" w:hint="default"/>
                <w:sz w:val="18"/>
                <w:szCs w:val="18"/>
              </w:rPr>
            </w:pPr>
            <w:r>
              <w:rPr>
                <w:rFonts w:ascii="宋体"/>
                <w:spacing w:val="-1"/>
                <w:sz w:val="18"/>
              </w:rPr>
              <w:t>-1,537,048.79</w:t>
            </w:r>
          </w:p>
        </w:tc>
        <w:tc>
          <w:tcPr>
            <w:tcW w:w="2120" w:type="dxa"/>
            <w:tcBorders>
              <w:top w:val="nil" w:sz="6" w:space="0" w:color="auto"/>
              <w:left w:val="nil" w:sz="6" w:space="0" w:color="auto"/>
              <w:bottom w:val="nil" w:sz="6" w:space="0" w:color="auto"/>
              <w:right w:val="nil" w:sz="6" w:space="0" w:color="auto"/>
            </w:tcBorders>
          </w:tcPr>
          <w:p>
            <w:pPr/>
          </w:p>
        </w:tc>
      </w:tr>
      <w:tr>
        <w:trPr>
          <w:trHeight w:val="396"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9"/>
              <w:jc w:val="right"/>
              <w:rPr>
                <w:rFonts w:ascii="宋体" w:hAnsi="宋体" w:cs="宋体" w:eastAsia="宋体" w:hint="default"/>
                <w:sz w:val="18"/>
                <w:szCs w:val="18"/>
              </w:rPr>
            </w:pPr>
            <w:r>
              <w:rPr>
                <w:rFonts w:ascii="宋体"/>
                <w:spacing w:val="-1"/>
                <w:sz w:val="18"/>
              </w:rPr>
              <w:t>90,136,858.32</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86,915,593.99</w:t>
            </w:r>
          </w:p>
        </w:tc>
      </w:tr>
      <w:tr>
        <w:trPr>
          <w:trHeight w:val="398"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宋体" w:hAnsi="宋体" w:cs="宋体" w:eastAsia="宋体" w:hint="default"/>
                <w:sz w:val="18"/>
                <w:szCs w:val="18"/>
              </w:rPr>
            </w:pPr>
            <w:r>
              <w:rPr>
                <w:rFonts w:ascii="宋体"/>
                <w:spacing w:val="-1"/>
                <w:sz w:val="18"/>
              </w:rPr>
              <w:t>16,341,562.92</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13,444,772.63</w:t>
            </w:r>
          </w:p>
        </w:tc>
      </w:tr>
      <w:tr>
        <w:trPr>
          <w:trHeight w:val="398"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宋体" w:hAnsi="宋体" w:cs="宋体" w:eastAsia="宋体" w:hint="default"/>
                <w:sz w:val="18"/>
                <w:szCs w:val="18"/>
              </w:rPr>
            </w:pPr>
            <w:r>
              <w:rPr>
                <w:rFonts w:ascii="宋体"/>
                <w:spacing w:val="-1"/>
                <w:sz w:val="18"/>
              </w:rPr>
              <w:t>874,558.65</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1,886,459.51</w:t>
            </w:r>
          </w:p>
        </w:tc>
      </w:tr>
      <w:tr>
        <w:trPr>
          <w:trHeight w:val="396"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84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96"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840"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290" w:hRule="exact"/>
        </w:trPr>
        <w:tc>
          <w:tcPr>
            <w:tcW w:w="48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宋体" w:hAnsi="宋体" w:cs="宋体" w:eastAsia="宋体" w:hint="default"/>
                <w:sz w:val="18"/>
                <w:szCs w:val="18"/>
              </w:rPr>
            </w:pPr>
            <w:r>
              <w:rPr>
                <w:rFonts w:ascii="宋体"/>
                <w:spacing w:val="-1"/>
                <w:sz w:val="18"/>
              </w:rPr>
              <w:t>6,800,000.00</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6,800,000.00</w:t>
            </w:r>
          </w:p>
        </w:tc>
      </w:tr>
    </w:tbl>
    <w:p>
      <w:pPr>
        <w:spacing w:after="0" w:line="240" w:lineRule="auto"/>
        <w:jc w:val="right"/>
        <w:rPr>
          <w:rFonts w:ascii="宋体" w:hAnsi="宋体" w:cs="宋体" w:eastAsia="宋体" w:hint="default"/>
          <w:sz w:val="18"/>
          <w:szCs w:val="18"/>
        </w:rPr>
        <w:sectPr>
          <w:pgSz w:w="11910" w:h="16840"/>
          <w:pgMar w:header="741" w:footer="979" w:top="1060" w:bottom="1160" w:left="84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222" w:type="dxa"/>
        <w:tblLayout w:type="fixed"/>
        <w:tblCellMar>
          <w:top w:w="0" w:type="dxa"/>
          <w:left w:w="0" w:type="dxa"/>
          <w:bottom w:w="0" w:type="dxa"/>
          <w:right w:w="0" w:type="dxa"/>
        </w:tblCellMar>
        <w:tblLook w:val="01E0"/>
      </w:tblPr>
      <w:tblGrid>
        <w:gridCol w:w="4158"/>
        <w:gridCol w:w="3580"/>
        <w:gridCol w:w="2120"/>
      </w:tblGrid>
      <w:tr>
        <w:trPr>
          <w:trHeight w:val="272" w:hRule="exact"/>
        </w:trPr>
        <w:tc>
          <w:tcPr>
            <w:tcW w:w="4158" w:type="dxa"/>
            <w:tcBorders>
              <w:top w:val="nil" w:sz="6" w:space="0" w:color="auto"/>
              <w:left w:val="nil" w:sz="6" w:space="0" w:color="auto"/>
              <w:bottom w:val="single" w:sz="4" w:space="0" w:color="000000"/>
              <w:right w:val="nil" w:sz="6" w:space="0" w:color="auto"/>
            </w:tcBorders>
          </w:tcPr>
          <w:p>
            <w:pPr>
              <w:pStyle w:val="TableParagraph"/>
              <w:spacing w:line="182" w:lineRule="exact"/>
              <w:ind w:left="67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80" w:type="dxa"/>
            <w:tcBorders>
              <w:top w:val="nil" w:sz="6" w:space="0" w:color="auto"/>
              <w:left w:val="nil" w:sz="6" w:space="0" w:color="auto"/>
              <w:bottom w:val="single" w:sz="4" w:space="0" w:color="000000"/>
              <w:right w:val="nil" w:sz="6" w:space="0" w:color="auto"/>
            </w:tcBorders>
          </w:tcPr>
          <w:p>
            <w:pPr>
              <w:pStyle w:val="TableParagraph"/>
              <w:spacing w:line="182" w:lineRule="exact"/>
              <w:ind w:left="270"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182"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27" w:hRule="exact"/>
        </w:trPr>
        <w:tc>
          <w:tcPr>
            <w:tcW w:w="415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470"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580" w:type="dxa"/>
            <w:tcBorders>
              <w:top w:val="single" w:sz="4" w:space="0" w:color="000000"/>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
        </w:tc>
      </w:tr>
      <w:tr>
        <w:trPr>
          <w:trHeight w:val="291"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358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901" w:right="0"/>
              <w:jc w:val="left"/>
              <w:rPr>
                <w:rFonts w:ascii="宋体" w:hAnsi="宋体" w:cs="宋体" w:eastAsia="宋体" w:hint="default"/>
                <w:sz w:val="18"/>
                <w:szCs w:val="18"/>
              </w:rPr>
            </w:pPr>
            <w:r>
              <w:rPr>
                <w:rFonts w:ascii="宋体"/>
                <w:sz w:val="18"/>
              </w:rPr>
              <w:t>98,803,862.59</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43" w:right="0"/>
              <w:jc w:val="left"/>
              <w:rPr>
                <w:rFonts w:ascii="宋体" w:hAnsi="宋体" w:cs="宋体" w:eastAsia="宋体" w:hint="default"/>
                <w:sz w:val="18"/>
                <w:szCs w:val="18"/>
              </w:rPr>
            </w:pPr>
            <w:r>
              <w:rPr>
                <w:rFonts w:ascii="宋体"/>
                <w:sz w:val="18"/>
              </w:rPr>
              <w:t>91,673,907.11</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755" w:right="0"/>
        <w:jc w:val="left"/>
      </w:pPr>
      <w:r>
        <w:rPr/>
        <w:t>调整期初未分配利润明细：</w:t>
      </w:r>
    </w:p>
    <w:p>
      <w:pPr>
        <w:spacing w:line="240" w:lineRule="auto" w:before="8"/>
        <w:rPr>
          <w:rFonts w:ascii="宋体" w:hAnsi="宋体" w:cs="宋体" w:eastAsia="宋体" w:hint="default"/>
          <w:sz w:val="18"/>
          <w:szCs w:val="18"/>
        </w:rPr>
      </w:pPr>
    </w:p>
    <w:p>
      <w:pPr>
        <w:pStyle w:val="BodyText"/>
        <w:spacing w:line="240" w:lineRule="auto"/>
        <w:ind w:left="755" w:right="0"/>
        <w:jc w:val="left"/>
      </w:pPr>
      <w:r>
        <w:rPr/>
        <w:t>（</w:t>
      </w:r>
      <w:r>
        <w:rPr>
          <w:rFonts w:ascii="宋体" w:hAnsi="宋体" w:cs="宋体" w:eastAsia="宋体" w:hint="default"/>
        </w:rPr>
        <w:t>1</w:t>
      </w:r>
      <w:r>
        <w:rPr/>
        <w:t>）由于会计政策变更，影响期初未分配利润</w:t>
      </w:r>
      <w:r>
        <w:rPr>
          <w:rFonts w:ascii="宋体" w:hAnsi="宋体" w:cs="宋体" w:eastAsia="宋体" w:hint="default"/>
        </w:rPr>
        <w:t>-1,537,048.79</w:t>
      </w:r>
      <w:r>
        <w:rPr/>
        <w:t>元。</w:t>
      </w:r>
    </w:p>
    <w:p>
      <w:pPr>
        <w:spacing w:line="240" w:lineRule="auto" w:before="4"/>
        <w:rPr>
          <w:rFonts w:ascii="宋体" w:hAnsi="宋体" w:cs="宋体" w:eastAsia="宋体" w:hint="default"/>
          <w:sz w:val="18"/>
          <w:szCs w:val="18"/>
        </w:rPr>
      </w:pPr>
    </w:p>
    <w:p>
      <w:pPr>
        <w:pStyle w:val="BodyText"/>
        <w:spacing w:line="453" w:lineRule="auto"/>
        <w:ind w:left="755" w:right="4937"/>
        <w:jc w:val="left"/>
      </w:pPr>
      <w:bookmarkStart w:name="（二十四）营业收入、营业成本" w:id="222"/>
      <w:bookmarkEnd w:id="222"/>
      <w:r>
        <w:rPr/>
      </w:r>
      <w:r>
        <w:rPr>
          <w:spacing w:val="-2"/>
        </w:rPr>
        <w:t>（二十四）营业收入、营业成本</w:t>
      </w:r>
      <w:r>
        <w:rPr>
          <w:spacing w:val="-76"/>
        </w:rPr>
        <w:t> </w:t>
      </w:r>
      <w:r>
        <w:rPr>
          <w:spacing w:val="-76"/>
        </w:rPr>
      </w:r>
      <w:r>
        <w:rPr>
          <w:rFonts w:ascii="宋体" w:hAnsi="宋体" w:cs="宋体" w:eastAsia="宋体" w:hint="default"/>
        </w:rPr>
        <w:t>1.</w:t>
      </w:r>
      <w:r>
        <w:rPr/>
        <w:t>营业收入和营业成本情况</w:t>
      </w:r>
    </w:p>
    <w:p>
      <w:pPr>
        <w:tabs>
          <w:tab w:pos="7939" w:val="left" w:leader="none"/>
        </w:tabs>
        <w:spacing w:before="111"/>
        <w:ind w:left="4059" w:right="0" w:firstLine="0"/>
        <w:jc w:val="left"/>
        <w:rPr>
          <w:rFonts w:ascii="宋体" w:hAnsi="宋体" w:cs="宋体" w:eastAsia="宋体" w:hint="default"/>
          <w:sz w:val="18"/>
          <w:szCs w:val="18"/>
        </w:rPr>
      </w:pPr>
      <w:r>
        <w:rPr>
          <w:rFonts w:ascii="宋体" w:hAnsi="宋体" w:cs="宋体" w:eastAsia="宋体" w:hint="default"/>
          <w:b/>
          <w:bCs/>
          <w:spacing w:val="-1"/>
          <w:sz w:val="18"/>
          <w:szCs w:val="18"/>
        </w:rPr>
        <w:t>本期发生额</w:t>
        <w:tab/>
        <w:t>上期发生额</w:t>
      </w:r>
      <w:r>
        <w:rPr>
          <w:rFonts w:ascii="宋体" w:hAnsi="宋体" w:cs="宋体" w:eastAsia="宋体" w:hint="default"/>
          <w:spacing w:val="-1"/>
          <w:sz w:val="18"/>
          <w:szCs w:val="18"/>
        </w:rPr>
      </w:r>
    </w:p>
    <w:tbl>
      <w:tblPr>
        <w:tblW w:w="0" w:type="auto"/>
        <w:jc w:val="left"/>
        <w:tblInd w:w="102" w:type="dxa"/>
        <w:tblLayout w:type="fixed"/>
        <w:tblCellMar>
          <w:top w:w="0" w:type="dxa"/>
          <w:left w:w="0" w:type="dxa"/>
          <w:bottom w:w="0" w:type="dxa"/>
          <w:right w:w="0" w:type="dxa"/>
        </w:tblCellMar>
        <w:tblLook w:val="01E0"/>
      </w:tblPr>
      <w:tblGrid>
        <w:gridCol w:w="2369"/>
        <w:gridCol w:w="2826"/>
        <w:gridCol w:w="1176"/>
        <w:gridCol w:w="802"/>
        <w:gridCol w:w="1263"/>
        <w:gridCol w:w="303"/>
        <w:gridCol w:w="1263"/>
        <w:gridCol w:w="101"/>
      </w:tblGrid>
      <w:tr>
        <w:trPr>
          <w:trHeight w:val="454" w:hRule="exact"/>
        </w:trPr>
        <w:tc>
          <w:tcPr>
            <w:tcW w:w="2369" w:type="dxa"/>
            <w:tcBorders>
              <w:top w:val="nil" w:sz="6" w:space="0" w:color="auto"/>
              <w:left w:val="nil" w:sz="6" w:space="0" w:color="auto"/>
              <w:bottom w:val="single" w:sz="4" w:space="0" w:color="000000"/>
              <w:right w:val="nil" w:sz="6" w:space="0" w:color="auto"/>
            </w:tcBorders>
          </w:tcPr>
          <w:p>
            <w:pPr>
              <w:pStyle w:val="TableParagraph"/>
              <w:spacing w:line="182" w:lineRule="exact"/>
              <w:ind w:right="2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26"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905"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143"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802"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154"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303"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403"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01" w:type="dxa"/>
            <w:tcBorders>
              <w:top w:val="nil" w:sz="6" w:space="0" w:color="auto"/>
              <w:left w:val="nil" w:sz="6" w:space="0" w:color="auto"/>
              <w:bottom w:val="single" w:sz="4" w:space="0" w:color="000000"/>
              <w:right w:val="nil" w:sz="6" w:space="0" w:color="auto"/>
            </w:tcBorders>
          </w:tcPr>
          <w:p>
            <w:pPr/>
          </w:p>
        </w:tc>
      </w:tr>
      <w:tr>
        <w:trPr>
          <w:trHeight w:val="434"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282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28"/>
              <w:jc w:val="right"/>
              <w:rPr>
                <w:rFonts w:ascii="宋体" w:hAnsi="宋体" w:cs="宋体" w:eastAsia="宋体" w:hint="default"/>
                <w:sz w:val="18"/>
                <w:szCs w:val="18"/>
              </w:rPr>
            </w:pPr>
            <w:r>
              <w:rPr>
                <w:rFonts w:ascii="宋体"/>
                <w:spacing w:val="-2"/>
                <w:sz w:val="18"/>
              </w:rPr>
              <w:t>207,612,483.20</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91,003,882.17</w:t>
            </w:r>
          </w:p>
        </w:tc>
        <w:tc>
          <w:tcPr>
            <w:tcW w:w="802"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0"/>
              <w:jc w:val="right"/>
              <w:rPr>
                <w:rFonts w:ascii="宋体" w:hAnsi="宋体" w:cs="宋体" w:eastAsia="宋体" w:hint="default"/>
                <w:sz w:val="18"/>
                <w:szCs w:val="18"/>
              </w:rPr>
            </w:pPr>
            <w:r>
              <w:rPr>
                <w:rFonts w:ascii="宋体"/>
                <w:spacing w:val="-2"/>
                <w:sz w:val="18"/>
              </w:rPr>
              <w:t>332,498,715.38</w:t>
            </w:r>
          </w:p>
        </w:tc>
        <w:tc>
          <w:tcPr>
            <w:tcW w:w="303"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0"/>
              <w:jc w:val="right"/>
              <w:rPr>
                <w:rFonts w:ascii="宋体" w:hAnsi="宋体" w:cs="宋体" w:eastAsia="宋体" w:hint="default"/>
                <w:sz w:val="18"/>
                <w:szCs w:val="18"/>
              </w:rPr>
            </w:pPr>
            <w:r>
              <w:rPr>
                <w:rFonts w:ascii="宋体"/>
                <w:spacing w:val="-2"/>
                <w:sz w:val="18"/>
              </w:rPr>
              <w:t>247,395,666.25</w:t>
            </w:r>
          </w:p>
        </w:tc>
        <w:tc>
          <w:tcPr>
            <w:tcW w:w="101"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28"/>
              <w:jc w:val="right"/>
              <w:rPr>
                <w:rFonts w:ascii="宋体" w:hAnsi="宋体" w:cs="宋体" w:eastAsia="宋体" w:hint="default"/>
                <w:sz w:val="18"/>
                <w:szCs w:val="18"/>
              </w:rPr>
            </w:pPr>
            <w:r>
              <w:rPr>
                <w:rFonts w:ascii="宋体"/>
                <w:spacing w:val="-1"/>
                <w:sz w:val="18"/>
              </w:rPr>
              <w:t>5,148,203.33</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3,632,244.75</w:t>
            </w:r>
          </w:p>
        </w:tc>
        <w:tc>
          <w:tcPr>
            <w:tcW w:w="802"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pacing w:val="-1"/>
                <w:sz w:val="18"/>
              </w:rPr>
              <w:t>2,480,392.62</w:t>
            </w:r>
          </w:p>
        </w:tc>
        <w:tc>
          <w:tcPr>
            <w:tcW w:w="303"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pacing w:val="-1"/>
                <w:sz w:val="18"/>
              </w:rPr>
              <w:t>3,344,049.99</w:t>
            </w:r>
          </w:p>
        </w:tc>
        <w:tc>
          <w:tcPr>
            <w:tcW w:w="101" w:type="dxa"/>
            <w:tcBorders>
              <w:top w:val="nil" w:sz="6" w:space="0" w:color="auto"/>
              <w:left w:val="nil" w:sz="6" w:space="0" w:color="auto"/>
              <w:bottom w:val="nil" w:sz="6" w:space="0" w:color="auto"/>
              <w:right w:val="nil" w:sz="6" w:space="0" w:color="auto"/>
            </w:tcBorders>
          </w:tcPr>
          <w:p>
            <w:pPr/>
          </w:p>
        </w:tc>
      </w:tr>
      <w:tr>
        <w:trPr>
          <w:trHeight w:val="308"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28"/>
              <w:jc w:val="right"/>
              <w:rPr>
                <w:rFonts w:ascii="宋体" w:hAnsi="宋体" w:cs="宋体" w:eastAsia="宋体" w:hint="default"/>
                <w:sz w:val="18"/>
                <w:szCs w:val="18"/>
              </w:rPr>
            </w:pPr>
            <w:r>
              <w:rPr>
                <w:rFonts w:ascii="宋体"/>
                <w:w w:val="101"/>
                <w:sz w:val="18"/>
              </w:rPr>
            </w:r>
            <w:r>
              <w:rPr>
                <w:rFonts w:ascii="宋体"/>
                <w:spacing w:val="-2"/>
                <w:sz w:val="18"/>
                <w:u w:val="thick" w:color="000000"/>
              </w:rPr>
              <w:t>212,760,686.53</w:t>
            </w:r>
            <w:r>
              <w:rPr>
                <w:rFonts w:ascii="宋体"/>
                <w:spacing w:val="-2"/>
                <w:sz w:val="18"/>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94,636,126.92</w:t>
            </w:r>
            <w:r>
              <w:rPr>
                <w:rFonts w:ascii="宋体"/>
                <w:spacing w:val="-1"/>
                <w:sz w:val="18"/>
              </w:rPr>
            </w:r>
          </w:p>
        </w:tc>
        <w:tc>
          <w:tcPr>
            <w:tcW w:w="802"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w w:val="101"/>
                <w:sz w:val="18"/>
              </w:rPr>
            </w:r>
            <w:r>
              <w:rPr>
                <w:rFonts w:ascii="宋体"/>
                <w:spacing w:val="-2"/>
                <w:sz w:val="18"/>
                <w:u w:val="single" w:color="000000"/>
              </w:rPr>
              <w:t>334,979,108.00</w:t>
            </w:r>
            <w:r>
              <w:rPr>
                <w:rFonts w:ascii="宋体"/>
                <w:spacing w:val="-2"/>
                <w:sz w:val="18"/>
              </w:rPr>
            </w:r>
          </w:p>
        </w:tc>
        <w:tc>
          <w:tcPr>
            <w:tcW w:w="303"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w w:val="101"/>
                <w:sz w:val="18"/>
              </w:rPr>
            </w:r>
            <w:r>
              <w:rPr>
                <w:rFonts w:ascii="宋体"/>
                <w:spacing w:val="-2"/>
                <w:sz w:val="18"/>
                <w:u w:val="single" w:color="000000"/>
              </w:rPr>
              <w:t>250,739,716.24</w:t>
            </w:r>
            <w:r>
              <w:rPr>
                <w:rFonts w:ascii="宋体"/>
                <w:spacing w:val="-2"/>
                <w:sz w:val="18"/>
              </w:rPr>
            </w:r>
          </w:p>
        </w:tc>
        <w:tc>
          <w:tcPr>
            <w:tcW w:w="10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240" w:lineRule="auto" w:before="36"/>
        <w:ind w:left="755" w:right="0"/>
        <w:jc w:val="left"/>
      </w:pPr>
      <w:bookmarkStart w:name="（二十五）税金及附加" w:id="223"/>
      <w:bookmarkEnd w:id="223"/>
      <w:r>
        <w:rPr/>
      </w:r>
      <w:r>
        <w:rPr/>
        <w:t>（二十五）税金及附加</w:t>
      </w:r>
    </w:p>
    <w:p>
      <w:pPr>
        <w:spacing w:line="240" w:lineRule="auto" w:before="3"/>
        <w:rPr>
          <w:rFonts w:ascii="宋体" w:hAnsi="宋体" w:cs="宋体" w:eastAsia="宋体" w:hint="default"/>
          <w:sz w:val="27"/>
          <w:szCs w:val="27"/>
        </w:rPr>
      </w:pPr>
    </w:p>
    <w:tbl>
      <w:tblPr>
        <w:tblW w:w="0" w:type="auto"/>
        <w:jc w:val="left"/>
        <w:tblInd w:w="222" w:type="dxa"/>
        <w:tblLayout w:type="fixed"/>
        <w:tblCellMar>
          <w:top w:w="0" w:type="dxa"/>
          <w:left w:w="0" w:type="dxa"/>
          <w:bottom w:w="0" w:type="dxa"/>
          <w:right w:w="0" w:type="dxa"/>
        </w:tblCellMar>
        <w:tblLook w:val="01E0"/>
      </w:tblPr>
      <w:tblGrid>
        <w:gridCol w:w="2331"/>
        <w:gridCol w:w="2936"/>
        <w:gridCol w:w="2509"/>
        <w:gridCol w:w="2082"/>
      </w:tblGrid>
      <w:tr>
        <w:trPr>
          <w:trHeight w:val="253" w:hRule="exact"/>
        </w:trPr>
        <w:tc>
          <w:tcPr>
            <w:tcW w:w="2331" w:type="dxa"/>
            <w:tcBorders>
              <w:top w:val="nil" w:sz="6" w:space="0" w:color="auto"/>
              <w:left w:val="nil" w:sz="6" w:space="0" w:color="auto"/>
              <w:bottom w:val="single" w:sz="4" w:space="0" w:color="000000"/>
              <w:right w:val="nil" w:sz="6" w:space="0" w:color="auto"/>
            </w:tcBorders>
          </w:tcPr>
          <w:p>
            <w:pPr>
              <w:pStyle w:val="TableParagraph"/>
              <w:spacing w:line="182" w:lineRule="exact"/>
              <w:ind w:right="91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6" w:type="dxa"/>
            <w:tcBorders>
              <w:top w:val="nil" w:sz="6" w:space="0" w:color="auto"/>
              <w:left w:val="nil" w:sz="6" w:space="0" w:color="auto"/>
              <w:bottom w:val="single" w:sz="4" w:space="0" w:color="000000"/>
              <w:right w:val="nil" w:sz="6" w:space="0" w:color="auto"/>
            </w:tcBorders>
          </w:tcPr>
          <w:p>
            <w:pPr>
              <w:pStyle w:val="TableParagraph"/>
              <w:spacing w:line="182" w:lineRule="exact"/>
              <w:ind w:left="91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09" w:type="dxa"/>
            <w:tcBorders>
              <w:top w:val="nil" w:sz="6" w:space="0" w:color="auto"/>
              <w:left w:val="nil" w:sz="6" w:space="0" w:color="auto"/>
              <w:bottom w:val="single" w:sz="4" w:space="0" w:color="000000"/>
              <w:right w:val="nil" w:sz="6" w:space="0" w:color="auto"/>
            </w:tcBorders>
          </w:tcPr>
          <w:p>
            <w:pPr>
              <w:pStyle w:val="TableParagraph"/>
              <w:spacing w:line="182"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82" w:type="dxa"/>
            <w:tcBorders>
              <w:top w:val="nil" w:sz="6" w:space="0" w:color="auto"/>
              <w:left w:val="nil" w:sz="6" w:space="0" w:color="auto"/>
              <w:bottom w:val="single" w:sz="4" w:space="0" w:color="000000"/>
              <w:right w:val="nil" w:sz="6" w:space="0" w:color="auto"/>
            </w:tcBorders>
          </w:tcPr>
          <w:p>
            <w:pPr>
              <w:pStyle w:val="TableParagraph"/>
              <w:spacing w:line="182" w:lineRule="exact"/>
              <w:ind w:right="375"/>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431" w:hRule="exact"/>
        </w:trPr>
        <w:tc>
          <w:tcPr>
            <w:tcW w:w="233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10"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293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439"/>
              <w:jc w:val="right"/>
              <w:rPr>
                <w:rFonts w:ascii="宋体" w:hAnsi="宋体" w:cs="宋体" w:eastAsia="宋体" w:hint="default"/>
                <w:sz w:val="18"/>
                <w:szCs w:val="18"/>
              </w:rPr>
            </w:pPr>
            <w:r>
              <w:rPr>
                <w:rFonts w:ascii="宋体"/>
                <w:spacing w:val="-1"/>
                <w:sz w:val="18"/>
              </w:rPr>
              <w:t>373,410.42</w:t>
            </w:r>
          </w:p>
        </w:tc>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485"/>
              <w:jc w:val="right"/>
              <w:rPr>
                <w:rFonts w:ascii="宋体" w:hAnsi="宋体" w:cs="宋体" w:eastAsia="宋体" w:hint="default"/>
                <w:sz w:val="18"/>
                <w:szCs w:val="18"/>
              </w:rPr>
            </w:pPr>
            <w:r>
              <w:rPr>
                <w:rFonts w:ascii="宋体"/>
                <w:spacing w:val="-1"/>
                <w:sz w:val="18"/>
              </w:rPr>
              <w:t>323,953.97</w:t>
            </w:r>
          </w:p>
        </w:tc>
        <w:tc>
          <w:tcPr>
            <w:tcW w:w="208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374"/>
              <w:jc w:val="center"/>
              <w:rPr>
                <w:rFonts w:ascii="宋体" w:hAnsi="宋体" w:cs="宋体" w:eastAsia="宋体" w:hint="default"/>
                <w:sz w:val="18"/>
                <w:szCs w:val="18"/>
              </w:rPr>
            </w:pPr>
            <w:r>
              <w:rPr>
                <w:rFonts w:ascii="宋体"/>
                <w:sz w:val="18"/>
              </w:rPr>
              <w:t>7%</w:t>
            </w:r>
          </w:p>
        </w:tc>
      </w:tr>
      <w:tr>
        <w:trPr>
          <w:trHeight w:val="399"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宋体" w:hAnsi="宋体" w:cs="宋体" w:eastAsia="宋体" w:hint="default"/>
                <w:sz w:val="18"/>
                <w:szCs w:val="18"/>
              </w:rPr>
            </w:pPr>
            <w:r>
              <w:rPr>
                <w:rFonts w:ascii="宋体"/>
                <w:spacing w:val="-1"/>
                <w:sz w:val="18"/>
              </w:rPr>
              <w:t>159,874.08</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5"/>
              <w:jc w:val="right"/>
              <w:rPr>
                <w:rFonts w:ascii="宋体" w:hAnsi="宋体" w:cs="宋体" w:eastAsia="宋体" w:hint="default"/>
                <w:sz w:val="18"/>
                <w:szCs w:val="18"/>
              </w:rPr>
            </w:pPr>
            <w:r>
              <w:rPr>
                <w:rFonts w:ascii="宋体"/>
                <w:spacing w:val="-1"/>
                <w:sz w:val="18"/>
              </w:rPr>
              <w:t>137,478.73</w:t>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center"/>
              <w:rPr>
                <w:rFonts w:ascii="宋体" w:hAnsi="宋体" w:cs="宋体" w:eastAsia="宋体" w:hint="default"/>
                <w:sz w:val="18"/>
                <w:szCs w:val="18"/>
              </w:rPr>
            </w:pPr>
            <w:r>
              <w:rPr>
                <w:rFonts w:ascii="宋体"/>
                <w:sz w:val="18"/>
              </w:rPr>
              <w:t>3%</w:t>
            </w:r>
          </w:p>
        </w:tc>
      </w:tr>
      <w:tr>
        <w:trPr>
          <w:trHeight w:val="399"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宋体" w:hAnsi="宋体" w:cs="宋体" w:eastAsia="宋体" w:hint="default"/>
                <w:sz w:val="18"/>
                <w:szCs w:val="18"/>
              </w:rPr>
            </w:pPr>
            <w:r>
              <w:rPr>
                <w:rFonts w:ascii="宋体"/>
                <w:spacing w:val="-1"/>
                <w:sz w:val="18"/>
              </w:rPr>
              <w:t>106,380.14</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5"/>
              <w:jc w:val="right"/>
              <w:rPr>
                <w:rFonts w:ascii="宋体" w:hAnsi="宋体" w:cs="宋体" w:eastAsia="宋体" w:hint="default"/>
                <w:sz w:val="18"/>
                <w:szCs w:val="18"/>
              </w:rPr>
            </w:pPr>
            <w:r>
              <w:rPr>
                <w:rFonts w:ascii="宋体"/>
                <w:spacing w:val="-1"/>
                <w:sz w:val="18"/>
              </w:rPr>
              <w:t>91,603.90</w:t>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74"/>
              <w:jc w:val="center"/>
              <w:rPr>
                <w:rFonts w:ascii="宋体" w:hAnsi="宋体" w:cs="宋体" w:eastAsia="宋体" w:hint="default"/>
                <w:sz w:val="18"/>
                <w:szCs w:val="18"/>
              </w:rPr>
            </w:pPr>
            <w:r>
              <w:rPr>
                <w:rFonts w:ascii="宋体"/>
                <w:sz w:val="18"/>
              </w:rPr>
              <w:t>2%</w:t>
            </w:r>
          </w:p>
        </w:tc>
      </w:tr>
      <w:tr>
        <w:trPr>
          <w:trHeight w:val="396"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pacing w:val="-3"/>
                <w:sz w:val="18"/>
                <w:szCs w:val="18"/>
              </w:rPr>
              <w:t>文化事业建设费</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宋体" w:hAnsi="宋体" w:cs="宋体" w:eastAsia="宋体" w:hint="default"/>
                <w:sz w:val="18"/>
                <w:szCs w:val="18"/>
              </w:rPr>
            </w:pPr>
            <w:r>
              <w:rPr>
                <w:rFonts w:ascii="宋体"/>
                <w:spacing w:val="-1"/>
                <w:sz w:val="18"/>
              </w:rPr>
              <w:t>39,855.16</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85"/>
              <w:jc w:val="right"/>
              <w:rPr>
                <w:rFonts w:ascii="宋体" w:hAnsi="宋体" w:cs="宋体" w:eastAsia="宋体" w:hint="default"/>
                <w:sz w:val="18"/>
                <w:szCs w:val="18"/>
              </w:rPr>
            </w:pPr>
            <w:r>
              <w:rPr>
                <w:rFonts w:ascii="宋体"/>
                <w:spacing w:val="-1"/>
                <w:sz w:val="18"/>
              </w:rPr>
              <w:t>122,770.05</w:t>
            </w:r>
          </w:p>
        </w:tc>
        <w:tc>
          <w:tcPr>
            <w:tcW w:w="2082" w:type="dxa"/>
            <w:tcBorders>
              <w:top w:val="nil" w:sz="6" w:space="0" w:color="auto"/>
              <w:left w:val="nil" w:sz="6" w:space="0" w:color="auto"/>
              <w:bottom w:val="nil" w:sz="6" w:space="0" w:color="auto"/>
              <w:right w:val="nil" w:sz="6" w:space="0" w:color="auto"/>
            </w:tcBorders>
          </w:tcPr>
          <w:p>
            <w:pPr/>
          </w:p>
        </w:tc>
      </w:tr>
      <w:tr>
        <w:trPr>
          <w:trHeight w:val="396"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印花税及其他</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9"/>
              <w:jc w:val="right"/>
              <w:rPr>
                <w:rFonts w:ascii="宋体" w:hAnsi="宋体" w:cs="宋体" w:eastAsia="宋体" w:hint="default"/>
                <w:sz w:val="18"/>
                <w:szCs w:val="18"/>
              </w:rPr>
            </w:pPr>
            <w:r>
              <w:rPr>
                <w:rFonts w:ascii="宋体"/>
                <w:spacing w:val="-1"/>
                <w:sz w:val="18"/>
              </w:rPr>
              <w:t>53,476.99</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85"/>
              <w:jc w:val="right"/>
              <w:rPr>
                <w:rFonts w:ascii="宋体" w:hAnsi="宋体" w:cs="宋体" w:eastAsia="宋体" w:hint="default"/>
                <w:sz w:val="18"/>
                <w:szCs w:val="18"/>
              </w:rPr>
            </w:pPr>
            <w:r>
              <w:rPr>
                <w:rFonts w:ascii="宋体"/>
                <w:spacing w:val="-1"/>
                <w:sz w:val="18"/>
              </w:rPr>
              <w:t>36,138.44</w:t>
            </w:r>
          </w:p>
        </w:tc>
        <w:tc>
          <w:tcPr>
            <w:tcW w:w="2082" w:type="dxa"/>
            <w:tcBorders>
              <w:top w:val="nil" w:sz="6" w:space="0" w:color="auto"/>
              <w:left w:val="nil" w:sz="6" w:space="0" w:color="auto"/>
              <w:bottom w:val="nil" w:sz="6" w:space="0" w:color="auto"/>
              <w:right w:val="nil" w:sz="6" w:space="0" w:color="auto"/>
            </w:tcBorders>
          </w:tcPr>
          <w:p>
            <w:pPr/>
          </w:p>
        </w:tc>
      </w:tr>
      <w:tr>
        <w:trPr>
          <w:trHeight w:val="300" w:hRule="exact"/>
        </w:trPr>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12"/>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39"/>
              <w:jc w:val="right"/>
              <w:rPr>
                <w:rFonts w:ascii="宋体" w:hAnsi="宋体" w:cs="宋体" w:eastAsia="宋体" w:hint="default"/>
                <w:sz w:val="18"/>
                <w:szCs w:val="18"/>
              </w:rPr>
            </w:pPr>
            <w:r>
              <w:rPr>
                <w:rFonts w:ascii="宋体"/>
                <w:w w:val="101"/>
                <w:sz w:val="18"/>
              </w:rPr>
            </w:r>
            <w:r>
              <w:rPr>
                <w:rFonts w:ascii="宋体"/>
                <w:spacing w:val="-1"/>
                <w:sz w:val="18"/>
                <w:u w:val="thick" w:color="000000"/>
              </w:rPr>
              <w:t>732,996.79</w:t>
            </w:r>
            <w:r>
              <w:rPr>
                <w:rFonts w:ascii="宋体"/>
                <w:spacing w:val="-1"/>
                <w:sz w:val="18"/>
              </w:rPr>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5"/>
              <w:jc w:val="right"/>
              <w:rPr>
                <w:rFonts w:ascii="宋体" w:hAnsi="宋体" w:cs="宋体" w:eastAsia="宋体" w:hint="default"/>
                <w:sz w:val="18"/>
                <w:szCs w:val="18"/>
              </w:rPr>
            </w:pPr>
            <w:r>
              <w:rPr>
                <w:rFonts w:ascii="宋体"/>
                <w:w w:val="101"/>
                <w:sz w:val="18"/>
              </w:rPr>
            </w:r>
            <w:r>
              <w:rPr>
                <w:rFonts w:ascii="宋体"/>
                <w:spacing w:val="-1"/>
                <w:sz w:val="18"/>
                <w:u w:val="thick" w:color="000000"/>
              </w:rPr>
              <w:t>711,945.09</w:t>
            </w:r>
            <w:r>
              <w:rPr>
                <w:rFonts w:ascii="宋体"/>
                <w:spacing w:val="-1"/>
                <w:sz w:val="18"/>
              </w:rPr>
            </w:r>
          </w:p>
        </w:tc>
        <w:tc>
          <w:tcPr>
            <w:tcW w:w="208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755" w:right="0"/>
        <w:jc w:val="left"/>
      </w:pPr>
      <w:bookmarkStart w:name="（二十六）销售费用" w:id="224"/>
      <w:bookmarkEnd w:id="224"/>
      <w:r>
        <w:rPr/>
      </w:r>
      <w:r>
        <w:rPr/>
        <w:t>（二十六）销售费用</w:t>
      </w:r>
    </w:p>
    <w:p>
      <w:pPr>
        <w:spacing w:line="240" w:lineRule="auto" w:before="10"/>
        <w:rPr>
          <w:rFonts w:ascii="宋体" w:hAnsi="宋体" w:cs="宋体" w:eastAsia="宋体" w:hint="default"/>
          <w:sz w:val="25"/>
          <w:szCs w:val="25"/>
        </w:rPr>
      </w:pPr>
    </w:p>
    <w:tbl>
      <w:tblPr>
        <w:tblW w:w="0" w:type="auto"/>
        <w:jc w:val="left"/>
        <w:tblInd w:w="333" w:type="dxa"/>
        <w:tblLayout w:type="fixed"/>
        <w:tblCellMar>
          <w:top w:w="0" w:type="dxa"/>
          <w:left w:w="0" w:type="dxa"/>
          <w:bottom w:w="0" w:type="dxa"/>
          <w:right w:w="0" w:type="dxa"/>
        </w:tblCellMar>
        <w:tblLook w:val="01E0"/>
      </w:tblPr>
      <w:tblGrid>
        <w:gridCol w:w="3140"/>
        <w:gridCol w:w="3865"/>
        <w:gridCol w:w="2641"/>
      </w:tblGrid>
      <w:tr>
        <w:trPr>
          <w:trHeight w:val="272" w:hRule="exact"/>
        </w:trPr>
        <w:tc>
          <w:tcPr>
            <w:tcW w:w="3140" w:type="dxa"/>
            <w:tcBorders>
              <w:top w:val="nil" w:sz="6" w:space="0" w:color="auto"/>
              <w:left w:val="nil" w:sz="6" w:space="0" w:color="auto"/>
              <w:bottom w:val="single" w:sz="4" w:space="0" w:color="000000"/>
              <w:right w:val="nil" w:sz="6" w:space="0" w:color="auto"/>
            </w:tcBorders>
          </w:tcPr>
          <w:p>
            <w:pPr>
              <w:pStyle w:val="TableParagraph"/>
              <w:spacing w:line="182" w:lineRule="exact"/>
              <w:ind w:right="36"/>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865" w:type="dxa"/>
            <w:tcBorders>
              <w:top w:val="nil" w:sz="6" w:space="0" w:color="auto"/>
              <w:left w:val="nil" w:sz="6" w:space="0" w:color="auto"/>
              <w:bottom w:val="single" w:sz="4" w:space="0" w:color="000000"/>
              <w:right w:val="nil" w:sz="6" w:space="0" w:color="auto"/>
            </w:tcBorders>
          </w:tcPr>
          <w:p>
            <w:pPr>
              <w:pStyle w:val="TableParagraph"/>
              <w:spacing w:line="201" w:lineRule="exact"/>
              <w:ind w:left="122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41" w:type="dxa"/>
            <w:tcBorders>
              <w:top w:val="nil" w:sz="6" w:space="0" w:color="auto"/>
              <w:left w:val="nil" w:sz="6" w:space="0" w:color="auto"/>
              <w:bottom w:val="single" w:sz="4" w:space="0" w:color="000000"/>
              <w:right w:val="nil" w:sz="6" w:space="0" w:color="auto"/>
            </w:tcBorders>
          </w:tcPr>
          <w:p>
            <w:pPr>
              <w:pStyle w:val="TableParagraph"/>
              <w:spacing w:line="201"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4" w:hRule="exact"/>
        </w:trPr>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人员成本</w:t>
            </w:r>
          </w:p>
        </w:tc>
        <w:tc>
          <w:tcPr>
            <w:tcW w:w="386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74"/>
              <w:jc w:val="right"/>
              <w:rPr>
                <w:rFonts w:ascii="宋体" w:hAnsi="宋体" w:cs="宋体" w:eastAsia="宋体" w:hint="default"/>
                <w:sz w:val="18"/>
                <w:szCs w:val="18"/>
              </w:rPr>
            </w:pPr>
            <w:r>
              <w:rPr>
                <w:rFonts w:ascii="宋体"/>
                <w:spacing w:val="-1"/>
                <w:sz w:val="18"/>
              </w:rPr>
              <w:t>33,004,382.56</w:t>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21,705,713.50</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4"/>
              <w:jc w:val="right"/>
              <w:rPr>
                <w:rFonts w:ascii="宋体" w:hAnsi="宋体" w:cs="宋体" w:eastAsia="宋体" w:hint="default"/>
                <w:sz w:val="18"/>
                <w:szCs w:val="18"/>
              </w:rPr>
            </w:pPr>
            <w:r>
              <w:rPr>
                <w:rFonts w:ascii="宋体"/>
                <w:spacing w:val="-1"/>
                <w:sz w:val="18"/>
              </w:rPr>
              <w:t>1,266,577.69</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5,319,079.92</w:t>
            </w:r>
          </w:p>
        </w:tc>
      </w:tr>
      <w:tr>
        <w:trPr>
          <w:trHeight w:val="398"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广告宣传制作费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2,804,275.88</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3,431,186.47</w:t>
            </w:r>
          </w:p>
        </w:tc>
      </w:tr>
      <w:tr>
        <w:trPr>
          <w:trHeight w:val="398"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4,762,722.37</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2,743,373.09</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529,336.25</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914,491.01</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4"/>
              <w:jc w:val="right"/>
              <w:rPr>
                <w:rFonts w:ascii="宋体" w:hAnsi="宋体" w:cs="宋体" w:eastAsia="宋体" w:hint="default"/>
                <w:sz w:val="18"/>
                <w:szCs w:val="18"/>
              </w:rPr>
            </w:pPr>
            <w:r>
              <w:rPr>
                <w:rFonts w:ascii="宋体"/>
                <w:spacing w:val="-1"/>
                <w:sz w:val="18"/>
              </w:rPr>
              <w:t>1,213,398.09</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472,833.72</w:t>
            </w:r>
          </w:p>
        </w:tc>
      </w:tr>
      <w:tr>
        <w:trPr>
          <w:trHeight w:val="290"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w w:val="101"/>
                <w:sz w:val="18"/>
              </w:rPr>
            </w:r>
            <w:r>
              <w:rPr>
                <w:rFonts w:ascii="宋体"/>
                <w:spacing w:val="-1"/>
                <w:sz w:val="18"/>
                <w:u w:val="thick" w:color="000000"/>
              </w:rPr>
              <w:t>43,580,692.84</w:t>
            </w:r>
            <w:r>
              <w:rPr>
                <w:rFonts w:ascii="宋体"/>
                <w:spacing w:val="-1"/>
                <w:sz w:val="18"/>
              </w:rPr>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34,586,677.71</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741" w:footer="979" w:top="1060" w:bottom="1160" w:left="8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6"/>
        <w:ind w:left="815" w:right="62"/>
        <w:jc w:val="left"/>
      </w:pPr>
      <w:bookmarkStart w:name="（二十七）管理费用" w:id="225"/>
      <w:bookmarkEnd w:id="225"/>
      <w:r>
        <w:rPr/>
      </w:r>
      <w:r>
        <w:rPr/>
        <w:t>（二十七）管理费用</w:t>
      </w:r>
    </w:p>
    <w:p>
      <w:pPr>
        <w:spacing w:line="240" w:lineRule="auto" w:before="6"/>
        <w:rPr>
          <w:rFonts w:ascii="宋体" w:hAnsi="宋体" w:cs="宋体" w:eastAsia="宋体" w:hint="default"/>
          <w:sz w:val="25"/>
          <w:szCs w:val="25"/>
        </w:rPr>
      </w:pPr>
    </w:p>
    <w:tbl>
      <w:tblPr>
        <w:tblW w:w="0" w:type="auto"/>
        <w:jc w:val="left"/>
        <w:tblInd w:w="393" w:type="dxa"/>
        <w:tblLayout w:type="fixed"/>
        <w:tblCellMar>
          <w:top w:w="0" w:type="dxa"/>
          <w:left w:w="0" w:type="dxa"/>
          <w:bottom w:w="0" w:type="dxa"/>
          <w:right w:w="0" w:type="dxa"/>
        </w:tblCellMar>
        <w:tblLook w:val="01E0"/>
      </w:tblPr>
      <w:tblGrid>
        <w:gridCol w:w="3140"/>
        <w:gridCol w:w="3865"/>
        <w:gridCol w:w="2641"/>
      </w:tblGrid>
      <w:tr>
        <w:trPr>
          <w:trHeight w:val="272" w:hRule="exact"/>
        </w:trPr>
        <w:tc>
          <w:tcPr>
            <w:tcW w:w="3140" w:type="dxa"/>
            <w:tcBorders>
              <w:top w:val="nil" w:sz="6" w:space="0" w:color="auto"/>
              <w:left w:val="nil" w:sz="6" w:space="0" w:color="auto"/>
              <w:bottom w:val="single" w:sz="4" w:space="0" w:color="000000"/>
              <w:right w:val="nil" w:sz="6" w:space="0" w:color="auto"/>
            </w:tcBorders>
          </w:tcPr>
          <w:p>
            <w:pPr>
              <w:pStyle w:val="TableParagraph"/>
              <w:spacing w:line="182" w:lineRule="exact"/>
              <w:ind w:right="36"/>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865" w:type="dxa"/>
            <w:tcBorders>
              <w:top w:val="nil" w:sz="6" w:space="0" w:color="auto"/>
              <w:left w:val="nil" w:sz="6" w:space="0" w:color="auto"/>
              <w:bottom w:val="single" w:sz="4" w:space="0" w:color="000000"/>
              <w:right w:val="nil" w:sz="6" w:space="0" w:color="auto"/>
            </w:tcBorders>
          </w:tcPr>
          <w:p>
            <w:pPr>
              <w:pStyle w:val="TableParagraph"/>
              <w:spacing w:line="201" w:lineRule="exact"/>
              <w:ind w:left="122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41" w:type="dxa"/>
            <w:tcBorders>
              <w:top w:val="nil" w:sz="6" w:space="0" w:color="auto"/>
              <w:left w:val="nil" w:sz="6" w:space="0" w:color="auto"/>
              <w:bottom w:val="single" w:sz="4" w:space="0" w:color="000000"/>
              <w:right w:val="nil" w:sz="6" w:space="0" w:color="auto"/>
            </w:tcBorders>
          </w:tcPr>
          <w:p>
            <w:pPr>
              <w:pStyle w:val="TableParagraph"/>
              <w:spacing w:line="201"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6" w:hRule="exact"/>
        </w:trPr>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人员成本</w:t>
            </w:r>
          </w:p>
        </w:tc>
        <w:tc>
          <w:tcPr>
            <w:tcW w:w="386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74"/>
              <w:jc w:val="right"/>
              <w:rPr>
                <w:rFonts w:ascii="宋体" w:hAnsi="宋体" w:cs="宋体" w:eastAsia="宋体" w:hint="default"/>
                <w:sz w:val="18"/>
                <w:szCs w:val="18"/>
              </w:rPr>
            </w:pPr>
            <w:r>
              <w:rPr>
                <w:rFonts w:ascii="宋体"/>
                <w:spacing w:val="-1"/>
                <w:sz w:val="18"/>
              </w:rPr>
              <w:t>17,446,072.69</w:t>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18,846,450.34</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9,975,707.04</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9,151,190.36</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4"/>
              <w:jc w:val="right"/>
              <w:rPr>
                <w:rFonts w:ascii="宋体" w:hAnsi="宋体" w:cs="宋体" w:eastAsia="宋体" w:hint="default"/>
                <w:sz w:val="18"/>
                <w:szCs w:val="18"/>
              </w:rPr>
            </w:pPr>
            <w:r>
              <w:rPr>
                <w:rFonts w:ascii="宋体"/>
                <w:spacing w:val="-1"/>
                <w:sz w:val="18"/>
              </w:rPr>
              <w:t>10,724,733.09</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8,818,727.34</w:t>
            </w:r>
          </w:p>
        </w:tc>
      </w:tr>
      <w:tr>
        <w:trPr>
          <w:trHeight w:val="399"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5,157,470.01</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5,061,762.66</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2,946,428.52</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2,156,314.35</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4"/>
              <w:jc w:val="right"/>
              <w:rPr>
                <w:rFonts w:ascii="宋体" w:hAnsi="宋体" w:cs="宋体" w:eastAsia="宋体" w:hint="default"/>
                <w:sz w:val="18"/>
                <w:szCs w:val="18"/>
              </w:rPr>
            </w:pPr>
            <w:r>
              <w:rPr>
                <w:rFonts w:ascii="宋体"/>
                <w:spacing w:val="-1"/>
                <w:sz w:val="18"/>
              </w:rPr>
              <w:t>653,658.02</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1,298,411.84</w:t>
            </w:r>
          </w:p>
        </w:tc>
      </w:tr>
      <w:tr>
        <w:trPr>
          <w:trHeight w:val="399"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1,257,697.93</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855,848.43</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4"/>
              <w:jc w:val="right"/>
              <w:rPr>
                <w:rFonts w:ascii="宋体" w:hAnsi="宋体" w:cs="宋体" w:eastAsia="宋体" w:hint="default"/>
                <w:sz w:val="18"/>
                <w:szCs w:val="18"/>
              </w:rPr>
            </w:pPr>
            <w:r>
              <w:rPr>
                <w:rFonts w:ascii="宋体"/>
                <w:spacing w:val="-1"/>
                <w:sz w:val="18"/>
              </w:rPr>
              <w:t>270,976.13</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136,821.61</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4"/>
              <w:jc w:val="right"/>
              <w:rPr>
                <w:rFonts w:ascii="宋体" w:hAnsi="宋体" w:cs="宋体" w:eastAsia="宋体" w:hint="default"/>
                <w:sz w:val="18"/>
                <w:szCs w:val="18"/>
              </w:rPr>
            </w:pPr>
            <w:r>
              <w:rPr>
                <w:rFonts w:ascii="宋体"/>
                <w:spacing w:val="-1"/>
                <w:sz w:val="18"/>
              </w:rPr>
              <w:t>1,374,336.80</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169,103.43</w:t>
            </w:r>
          </w:p>
        </w:tc>
      </w:tr>
      <w:tr>
        <w:trPr>
          <w:trHeight w:val="290"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w w:val="101"/>
                <w:sz w:val="18"/>
              </w:rPr>
            </w:r>
            <w:r>
              <w:rPr>
                <w:rFonts w:ascii="宋体"/>
                <w:spacing w:val="-1"/>
                <w:sz w:val="18"/>
                <w:u w:val="thick" w:color="000000"/>
              </w:rPr>
              <w:t>49,807,080.23</w:t>
            </w:r>
            <w:r>
              <w:rPr>
                <w:rFonts w:ascii="宋体"/>
                <w:spacing w:val="-1"/>
                <w:sz w:val="18"/>
              </w:rPr>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46,494,630.36</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6"/>
        <w:ind w:left="815" w:right="62"/>
        <w:jc w:val="left"/>
      </w:pPr>
      <w:bookmarkStart w:name="（二十八）研发费用" w:id="226"/>
      <w:bookmarkEnd w:id="226"/>
      <w:r>
        <w:rPr/>
      </w:r>
      <w:r>
        <w:rPr/>
        <w:t>（二十八）研发费用</w:t>
      </w:r>
    </w:p>
    <w:p>
      <w:pPr>
        <w:spacing w:line="240" w:lineRule="auto" w:before="10"/>
        <w:rPr>
          <w:rFonts w:ascii="宋体" w:hAnsi="宋体" w:cs="宋体" w:eastAsia="宋体" w:hint="default"/>
          <w:sz w:val="25"/>
          <w:szCs w:val="25"/>
        </w:rPr>
      </w:pPr>
    </w:p>
    <w:tbl>
      <w:tblPr>
        <w:tblW w:w="0" w:type="auto"/>
        <w:jc w:val="left"/>
        <w:tblInd w:w="393" w:type="dxa"/>
        <w:tblLayout w:type="fixed"/>
        <w:tblCellMar>
          <w:top w:w="0" w:type="dxa"/>
          <w:left w:w="0" w:type="dxa"/>
          <w:bottom w:w="0" w:type="dxa"/>
          <w:right w:w="0" w:type="dxa"/>
        </w:tblCellMar>
        <w:tblLook w:val="01E0"/>
      </w:tblPr>
      <w:tblGrid>
        <w:gridCol w:w="3078"/>
        <w:gridCol w:w="3928"/>
        <w:gridCol w:w="2641"/>
      </w:tblGrid>
      <w:tr>
        <w:trPr>
          <w:trHeight w:val="272" w:hRule="exact"/>
        </w:trPr>
        <w:tc>
          <w:tcPr>
            <w:tcW w:w="3078" w:type="dxa"/>
            <w:tcBorders>
              <w:top w:val="nil" w:sz="6" w:space="0" w:color="auto"/>
              <w:left w:val="nil" w:sz="6" w:space="0" w:color="auto"/>
              <w:bottom w:val="single" w:sz="4" w:space="0" w:color="000000"/>
              <w:right w:val="nil" w:sz="6" w:space="0" w:color="auto"/>
            </w:tcBorders>
          </w:tcPr>
          <w:p>
            <w:pPr>
              <w:pStyle w:val="TableParagraph"/>
              <w:spacing w:line="182" w:lineRule="exact"/>
              <w:ind w:right="131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28" w:type="dxa"/>
            <w:tcBorders>
              <w:top w:val="nil" w:sz="6" w:space="0" w:color="auto"/>
              <w:left w:val="nil" w:sz="6" w:space="0" w:color="auto"/>
              <w:bottom w:val="single" w:sz="4" w:space="0" w:color="000000"/>
              <w:right w:val="nil" w:sz="6" w:space="0" w:color="auto"/>
            </w:tcBorders>
          </w:tcPr>
          <w:p>
            <w:pPr>
              <w:pStyle w:val="TableParagraph"/>
              <w:spacing w:line="201" w:lineRule="exact"/>
              <w:ind w:left="128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41" w:type="dxa"/>
            <w:tcBorders>
              <w:top w:val="nil" w:sz="6" w:space="0" w:color="auto"/>
              <w:left w:val="nil" w:sz="6" w:space="0" w:color="auto"/>
              <w:bottom w:val="single" w:sz="4" w:space="0" w:color="000000"/>
              <w:right w:val="nil" w:sz="6" w:space="0" w:color="auto"/>
            </w:tcBorders>
          </w:tcPr>
          <w:p>
            <w:pPr>
              <w:pStyle w:val="TableParagraph"/>
              <w:spacing w:line="201"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4" w:hRule="exact"/>
        </w:trPr>
        <w:tc>
          <w:tcPr>
            <w:tcW w:w="307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91" w:right="0"/>
              <w:jc w:val="left"/>
              <w:rPr>
                <w:rFonts w:ascii="宋体" w:hAnsi="宋体" w:cs="宋体" w:eastAsia="宋体" w:hint="default"/>
                <w:sz w:val="18"/>
                <w:szCs w:val="18"/>
              </w:rPr>
            </w:pPr>
            <w:r>
              <w:rPr>
                <w:rFonts w:ascii="宋体" w:hAnsi="宋体" w:cs="宋体" w:eastAsia="宋体" w:hint="default"/>
                <w:sz w:val="18"/>
                <w:szCs w:val="18"/>
              </w:rPr>
              <w:t>人员成本</w:t>
            </w:r>
          </w:p>
        </w:tc>
        <w:tc>
          <w:tcPr>
            <w:tcW w:w="392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74"/>
              <w:jc w:val="right"/>
              <w:rPr>
                <w:rFonts w:ascii="宋体" w:hAnsi="宋体" w:cs="宋体" w:eastAsia="宋体" w:hint="default"/>
                <w:sz w:val="18"/>
                <w:szCs w:val="18"/>
              </w:rPr>
            </w:pPr>
            <w:r>
              <w:rPr>
                <w:rFonts w:ascii="宋体"/>
                <w:spacing w:val="-1"/>
                <w:sz w:val="18"/>
              </w:rPr>
              <w:t>6,973,839.99</w:t>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7,203,234.23</w:t>
            </w:r>
          </w:p>
        </w:tc>
      </w:tr>
      <w:tr>
        <w:trPr>
          <w:trHeight w:val="396"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4"/>
              <w:jc w:val="right"/>
              <w:rPr>
                <w:rFonts w:ascii="宋体" w:hAnsi="宋体" w:cs="宋体" w:eastAsia="宋体" w:hint="default"/>
                <w:sz w:val="18"/>
                <w:szCs w:val="18"/>
              </w:rPr>
            </w:pPr>
            <w:r>
              <w:rPr>
                <w:rFonts w:ascii="宋体"/>
                <w:spacing w:val="-1"/>
                <w:sz w:val="18"/>
              </w:rPr>
              <w:t>454,411.13</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91,846.60</w:t>
            </w:r>
          </w:p>
        </w:tc>
      </w:tr>
      <w:tr>
        <w:trPr>
          <w:trHeight w:val="399"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1,328,268.81</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25,940.27</w:t>
            </w:r>
          </w:p>
        </w:tc>
      </w:tr>
      <w:tr>
        <w:trPr>
          <w:trHeight w:val="398"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145,693.79</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1,278,114.05</w:t>
            </w:r>
          </w:p>
        </w:tc>
      </w:tr>
      <w:tr>
        <w:trPr>
          <w:trHeight w:val="290" w:hRule="exact"/>
        </w:trPr>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84"/>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w w:val="101"/>
                <w:sz w:val="18"/>
              </w:rPr>
            </w:r>
            <w:r>
              <w:rPr>
                <w:rFonts w:ascii="宋体"/>
                <w:spacing w:val="-1"/>
                <w:sz w:val="18"/>
                <w:u w:val="thick" w:color="000000"/>
              </w:rPr>
              <w:t>8,902,213.72</w:t>
            </w:r>
            <w:r>
              <w:rPr>
                <w:rFonts w:ascii="宋体"/>
                <w:spacing w:val="-1"/>
                <w:sz w:val="18"/>
              </w:rPr>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8,599,135.15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6"/>
        <w:ind w:left="815" w:right="62"/>
        <w:jc w:val="left"/>
      </w:pPr>
      <w:bookmarkStart w:name="（二十九）财务费用" w:id="227"/>
      <w:bookmarkEnd w:id="227"/>
      <w:r>
        <w:rPr/>
      </w:r>
      <w:r>
        <w:rPr/>
        <w:t>（二十九）财务费用</w:t>
      </w:r>
    </w:p>
    <w:p>
      <w:pPr>
        <w:spacing w:line="240" w:lineRule="auto" w:before="5"/>
        <w:rPr>
          <w:rFonts w:ascii="宋体" w:hAnsi="宋体" w:cs="宋体" w:eastAsia="宋体" w:hint="default"/>
          <w:sz w:val="25"/>
          <w:szCs w:val="25"/>
        </w:rPr>
      </w:pPr>
    </w:p>
    <w:tbl>
      <w:tblPr>
        <w:tblW w:w="0" w:type="auto"/>
        <w:jc w:val="left"/>
        <w:tblInd w:w="393" w:type="dxa"/>
        <w:tblLayout w:type="fixed"/>
        <w:tblCellMar>
          <w:top w:w="0" w:type="dxa"/>
          <w:left w:w="0" w:type="dxa"/>
          <w:bottom w:w="0" w:type="dxa"/>
          <w:right w:w="0" w:type="dxa"/>
        </w:tblCellMar>
        <w:tblLook w:val="01E0"/>
      </w:tblPr>
      <w:tblGrid>
        <w:gridCol w:w="3140"/>
        <w:gridCol w:w="3865"/>
        <w:gridCol w:w="2641"/>
      </w:tblGrid>
      <w:tr>
        <w:trPr>
          <w:trHeight w:val="272" w:hRule="exact"/>
        </w:trPr>
        <w:tc>
          <w:tcPr>
            <w:tcW w:w="3140" w:type="dxa"/>
            <w:tcBorders>
              <w:top w:val="nil" w:sz="6" w:space="0" w:color="auto"/>
              <w:left w:val="nil" w:sz="6" w:space="0" w:color="auto"/>
              <w:bottom w:val="single" w:sz="4" w:space="0" w:color="000000"/>
              <w:right w:val="nil" w:sz="6" w:space="0" w:color="auto"/>
            </w:tcBorders>
          </w:tcPr>
          <w:p>
            <w:pPr>
              <w:pStyle w:val="TableParagraph"/>
              <w:spacing w:line="182" w:lineRule="exact"/>
              <w:ind w:right="36"/>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865" w:type="dxa"/>
            <w:tcBorders>
              <w:top w:val="nil" w:sz="6" w:space="0" w:color="auto"/>
              <w:left w:val="nil" w:sz="6" w:space="0" w:color="auto"/>
              <w:bottom w:val="single" w:sz="4" w:space="0" w:color="000000"/>
              <w:right w:val="nil" w:sz="6" w:space="0" w:color="auto"/>
            </w:tcBorders>
          </w:tcPr>
          <w:p>
            <w:pPr>
              <w:pStyle w:val="TableParagraph"/>
              <w:spacing w:line="201" w:lineRule="exact"/>
              <w:ind w:left="122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641" w:type="dxa"/>
            <w:tcBorders>
              <w:top w:val="nil" w:sz="6" w:space="0" w:color="auto"/>
              <w:left w:val="nil" w:sz="6" w:space="0" w:color="auto"/>
              <w:bottom w:val="single" w:sz="4" w:space="0" w:color="000000"/>
              <w:right w:val="nil" w:sz="6" w:space="0" w:color="auto"/>
            </w:tcBorders>
          </w:tcPr>
          <w:p>
            <w:pPr>
              <w:pStyle w:val="TableParagraph"/>
              <w:spacing w:line="201"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6" w:hRule="exact"/>
        </w:trPr>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pacing w:val="-3"/>
                <w:sz w:val="18"/>
                <w:szCs w:val="18"/>
              </w:rPr>
              <w:t>利息支出（扣除票据贴息）</w:t>
            </w:r>
          </w:p>
        </w:tc>
        <w:tc>
          <w:tcPr>
            <w:tcW w:w="3865" w:type="dxa"/>
            <w:tcBorders>
              <w:top w:val="single" w:sz="4" w:space="0" w:color="000000"/>
              <w:left w:val="nil" w:sz="6" w:space="0" w:color="auto"/>
              <w:bottom w:val="nil" w:sz="6" w:space="0" w:color="auto"/>
              <w:right w:val="nil" w:sz="6" w:space="0" w:color="auto"/>
            </w:tcBorders>
          </w:tcPr>
          <w:p>
            <w:pPr/>
          </w:p>
        </w:tc>
        <w:tc>
          <w:tcPr>
            <w:tcW w:w="2641" w:type="dxa"/>
            <w:tcBorders>
              <w:top w:val="single" w:sz="4" w:space="0" w:color="000000"/>
              <w:left w:val="nil" w:sz="6" w:space="0" w:color="auto"/>
              <w:bottom w:val="nil" w:sz="6" w:space="0" w:color="auto"/>
              <w:right w:val="nil" w:sz="6" w:space="0" w:color="auto"/>
            </w:tcBorders>
          </w:tcPr>
          <w:p>
            <w:pPr/>
          </w:p>
        </w:tc>
      </w:tr>
      <w:tr>
        <w:trPr>
          <w:trHeight w:val="40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4"/>
              <w:jc w:val="right"/>
              <w:rPr>
                <w:rFonts w:ascii="宋体" w:hAnsi="宋体" w:cs="宋体" w:eastAsia="宋体" w:hint="default"/>
                <w:sz w:val="18"/>
                <w:szCs w:val="18"/>
              </w:rPr>
            </w:pPr>
            <w:r>
              <w:rPr>
                <w:rFonts w:ascii="宋体"/>
                <w:spacing w:val="-1"/>
                <w:sz w:val="18"/>
              </w:rPr>
              <w:t>3,106,784.55</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3,474,930.42</w:t>
            </w:r>
          </w:p>
        </w:tc>
      </w:tr>
      <w:tr>
        <w:trPr>
          <w:trHeight w:val="396"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4"/>
              <w:jc w:val="right"/>
              <w:rPr>
                <w:rFonts w:ascii="宋体" w:hAnsi="宋体" w:cs="宋体" w:eastAsia="宋体" w:hint="default"/>
                <w:sz w:val="18"/>
                <w:szCs w:val="18"/>
              </w:rPr>
            </w:pPr>
            <w:r>
              <w:rPr>
                <w:rFonts w:ascii="宋体"/>
                <w:spacing w:val="-1"/>
                <w:sz w:val="18"/>
              </w:rPr>
              <w:t>169,554.88</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pacing w:val="-1"/>
                <w:sz w:val="18"/>
              </w:rPr>
              <w:t>64,285.93</w:t>
            </w:r>
          </w:p>
        </w:tc>
      </w:tr>
      <w:tr>
        <w:trPr>
          <w:trHeight w:val="300" w:hRule="exact"/>
        </w:trPr>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8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74"/>
              <w:jc w:val="right"/>
              <w:rPr>
                <w:rFonts w:ascii="宋体" w:hAnsi="宋体" w:cs="宋体" w:eastAsia="宋体" w:hint="default"/>
                <w:sz w:val="18"/>
                <w:szCs w:val="18"/>
              </w:rPr>
            </w:pPr>
            <w:r>
              <w:rPr>
                <w:rFonts w:ascii="宋体"/>
                <w:w w:val="101"/>
                <w:sz w:val="18"/>
              </w:rPr>
            </w:r>
            <w:r>
              <w:rPr>
                <w:rFonts w:ascii="宋体"/>
                <w:spacing w:val="-1"/>
                <w:sz w:val="18"/>
                <w:u w:val="thick" w:color="000000"/>
              </w:rPr>
              <w:t>-2,937,229.67</w:t>
            </w:r>
            <w:r>
              <w:rPr>
                <w:rFonts w:ascii="宋体"/>
                <w:spacing w:val="-1"/>
                <w:sz w:val="18"/>
              </w:rPr>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-3,410,644.49</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815" w:right="62"/>
        <w:jc w:val="left"/>
      </w:pPr>
      <w:bookmarkStart w:name="（三十）其他收益" w:id="228"/>
      <w:bookmarkEnd w:id="228"/>
      <w:r>
        <w:rPr/>
      </w:r>
      <w:r>
        <w:rPr/>
        <w:t>（三十）其他收益</w:t>
      </w:r>
    </w:p>
    <w:p>
      <w:pPr>
        <w:spacing w:line="240" w:lineRule="auto" w:before="13"/>
        <w:rPr>
          <w:rFonts w:ascii="宋体" w:hAnsi="宋体" w:cs="宋体" w:eastAsia="宋体" w:hint="default"/>
          <w:sz w:val="27"/>
          <w:szCs w:val="27"/>
        </w:rPr>
      </w:pPr>
    </w:p>
    <w:tbl>
      <w:tblPr>
        <w:tblW w:w="0" w:type="auto"/>
        <w:jc w:val="left"/>
        <w:tblInd w:w="114" w:type="dxa"/>
        <w:tblLayout w:type="fixed"/>
        <w:tblCellMar>
          <w:top w:w="0" w:type="dxa"/>
          <w:left w:w="0" w:type="dxa"/>
          <w:bottom w:w="0" w:type="dxa"/>
          <w:right w:w="0" w:type="dxa"/>
        </w:tblCellMar>
        <w:tblLook w:val="01E0"/>
      </w:tblPr>
      <w:tblGrid>
        <w:gridCol w:w="4679"/>
        <w:gridCol w:w="3272"/>
        <w:gridCol w:w="2247"/>
      </w:tblGrid>
      <w:tr>
        <w:trPr>
          <w:trHeight w:val="243" w:hRule="exact"/>
        </w:trPr>
        <w:tc>
          <w:tcPr>
            <w:tcW w:w="4679" w:type="dxa"/>
            <w:tcBorders>
              <w:top w:val="nil" w:sz="6" w:space="0" w:color="auto"/>
              <w:left w:val="nil" w:sz="6" w:space="0" w:color="auto"/>
              <w:bottom w:val="single" w:sz="4" w:space="0" w:color="000000"/>
              <w:right w:val="nil" w:sz="6" w:space="0" w:color="auto"/>
            </w:tcBorders>
          </w:tcPr>
          <w:p>
            <w:pPr>
              <w:pStyle w:val="TableParagraph"/>
              <w:spacing w:line="182" w:lineRule="exact"/>
              <w:ind w:left="95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72" w:type="dxa"/>
            <w:tcBorders>
              <w:top w:val="nil" w:sz="6" w:space="0" w:color="auto"/>
              <w:left w:val="nil" w:sz="6" w:space="0" w:color="auto"/>
              <w:bottom w:val="single" w:sz="4" w:space="0" w:color="000000"/>
              <w:right w:val="nil" w:sz="6" w:space="0" w:color="auto"/>
            </w:tcBorders>
          </w:tcPr>
          <w:p>
            <w:pPr>
              <w:pStyle w:val="TableParagraph"/>
              <w:spacing w:line="182" w:lineRule="exact"/>
              <w:ind w:left="167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47" w:type="dxa"/>
            <w:tcBorders>
              <w:top w:val="nil" w:sz="6" w:space="0" w:color="auto"/>
              <w:left w:val="nil" w:sz="6" w:space="0" w:color="auto"/>
              <w:bottom w:val="single" w:sz="4" w:space="0" w:color="000000"/>
              <w:right w:val="nil" w:sz="6" w:space="0" w:color="auto"/>
            </w:tcBorders>
          </w:tcPr>
          <w:p>
            <w:pPr>
              <w:pStyle w:val="TableParagraph"/>
              <w:spacing w:line="182"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3" w:hRule="exact"/>
        </w:trPr>
        <w:tc>
          <w:tcPr>
            <w:tcW w:w="467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0"/>
              <w:jc w:val="left"/>
              <w:rPr>
                <w:rFonts w:ascii="宋体" w:hAnsi="宋体" w:cs="宋体" w:eastAsia="宋体" w:hint="default"/>
                <w:sz w:val="18"/>
                <w:szCs w:val="18"/>
              </w:rPr>
            </w:pPr>
            <w:r>
              <w:rPr>
                <w:rFonts w:ascii="宋体" w:hAnsi="宋体" w:cs="宋体" w:eastAsia="宋体" w:hint="default"/>
                <w:spacing w:val="-3"/>
                <w:sz w:val="18"/>
                <w:szCs w:val="18"/>
              </w:rPr>
              <w:t>北京市科技成果转化平台建设专项</w:t>
            </w:r>
          </w:p>
        </w:tc>
        <w:tc>
          <w:tcPr>
            <w:tcW w:w="3272"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38"/>
              <w:jc w:val="right"/>
              <w:rPr>
                <w:rFonts w:ascii="宋体" w:hAnsi="宋体" w:cs="宋体" w:eastAsia="宋体" w:hint="default"/>
                <w:sz w:val="18"/>
                <w:szCs w:val="18"/>
              </w:rPr>
            </w:pPr>
            <w:r>
              <w:rPr>
                <w:rFonts w:ascii="宋体"/>
                <w:spacing w:val="-1"/>
                <w:sz w:val="18"/>
              </w:rPr>
              <w:t>900,214.90</w:t>
            </w:r>
          </w:p>
        </w:tc>
        <w:tc>
          <w:tcPr>
            <w:tcW w:w="2247"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41" w:footer="979" w:top="1060" w:bottom="1160" w:left="74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5634"/>
        <w:gridCol w:w="2680"/>
        <w:gridCol w:w="1889"/>
      </w:tblGrid>
      <w:tr>
        <w:trPr>
          <w:trHeight w:val="243" w:hRule="exact"/>
        </w:trPr>
        <w:tc>
          <w:tcPr>
            <w:tcW w:w="5634" w:type="dxa"/>
            <w:tcBorders>
              <w:top w:val="nil" w:sz="6" w:space="0" w:color="auto"/>
              <w:left w:val="nil" w:sz="6" w:space="0" w:color="auto"/>
              <w:bottom w:val="single" w:sz="4" w:space="0" w:color="000000"/>
              <w:right w:val="nil" w:sz="6" w:space="0" w:color="auto"/>
            </w:tcBorders>
          </w:tcPr>
          <w:p>
            <w:pPr>
              <w:pStyle w:val="TableParagraph"/>
              <w:spacing w:line="182"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0" w:type="dxa"/>
            <w:tcBorders>
              <w:top w:val="nil" w:sz="6" w:space="0" w:color="auto"/>
              <w:left w:val="nil" w:sz="6" w:space="0" w:color="auto"/>
              <w:bottom w:val="single" w:sz="4" w:space="0" w:color="000000"/>
              <w:right w:val="nil" w:sz="6" w:space="0" w:color="auto"/>
            </w:tcBorders>
          </w:tcPr>
          <w:p>
            <w:pPr>
              <w:pStyle w:val="TableParagraph"/>
              <w:spacing w:line="182" w:lineRule="exact"/>
              <w:ind w:left="72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89" w:type="dxa"/>
            <w:tcBorders>
              <w:top w:val="nil" w:sz="6" w:space="0" w:color="auto"/>
              <w:left w:val="nil" w:sz="6" w:space="0" w:color="auto"/>
              <w:bottom w:val="single" w:sz="4" w:space="0" w:color="000000"/>
              <w:right w:val="nil" w:sz="6" w:space="0" w:color="auto"/>
            </w:tcBorders>
          </w:tcPr>
          <w:p>
            <w:pPr>
              <w:pStyle w:val="TableParagraph"/>
              <w:spacing w:line="182" w:lineRule="exact"/>
              <w:ind w:left="32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4" w:hRule="exact"/>
        </w:trPr>
        <w:tc>
          <w:tcPr>
            <w:tcW w:w="563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2"/>
                <w:sz w:val="18"/>
                <w:szCs w:val="18"/>
              </w:rPr>
              <w:t> </w:t>
            </w:r>
            <w:r>
              <w:rPr>
                <w:rFonts w:ascii="宋体" w:hAnsi="宋体" w:cs="宋体" w:eastAsia="宋体" w:hint="default"/>
                <w:spacing w:val="-3"/>
                <w:sz w:val="18"/>
                <w:szCs w:val="18"/>
              </w:rPr>
              <w:t>年中关村国家自主创新示范区新型创业服务机构支持资金</w:t>
            </w:r>
          </w:p>
        </w:tc>
        <w:tc>
          <w:tcPr>
            <w:tcW w:w="268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22"/>
              <w:jc w:val="right"/>
              <w:rPr>
                <w:rFonts w:ascii="宋体" w:hAnsi="宋体" w:cs="宋体" w:eastAsia="宋体" w:hint="default"/>
                <w:sz w:val="18"/>
                <w:szCs w:val="18"/>
              </w:rPr>
            </w:pPr>
            <w:r>
              <w:rPr>
                <w:rFonts w:ascii="宋体"/>
                <w:spacing w:val="-1"/>
                <w:sz w:val="18"/>
              </w:rPr>
              <w:t>532,900.00</w:t>
            </w:r>
          </w:p>
        </w:tc>
        <w:tc>
          <w:tcPr>
            <w:tcW w:w="1889"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3"/>
                <w:sz w:val="18"/>
                <w:szCs w:val="18"/>
              </w:rPr>
              <w:t>科技服务骨干机构能力提升项目</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2"/>
              <w:jc w:val="right"/>
              <w:rPr>
                <w:rFonts w:ascii="宋体" w:hAnsi="宋体" w:cs="宋体" w:eastAsia="宋体" w:hint="default"/>
                <w:sz w:val="18"/>
                <w:szCs w:val="18"/>
              </w:rPr>
            </w:pPr>
            <w:r>
              <w:rPr>
                <w:rFonts w:ascii="宋体"/>
                <w:spacing w:val="-1"/>
                <w:sz w:val="18"/>
              </w:rPr>
              <w:t>450,000.00</w:t>
            </w:r>
          </w:p>
        </w:tc>
        <w:tc>
          <w:tcPr>
            <w:tcW w:w="1889" w:type="dxa"/>
            <w:tcBorders>
              <w:top w:val="nil" w:sz="6" w:space="0" w:color="auto"/>
              <w:left w:val="nil" w:sz="6" w:space="0" w:color="auto"/>
              <w:bottom w:val="nil" w:sz="6" w:space="0" w:color="auto"/>
              <w:right w:val="nil" w:sz="6" w:space="0" w:color="auto"/>
            </w:tcBorders>
          </w:tcPr>
          <w:p>
            <w:pPr/>
          </w:p>
        </w:tc>
      </w:tr>
      <w:tr>
        <w:trPr>
          <w:trHeight w:val="398"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政府补助南京路演中心装修</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spacing w:val="-1"/>
                <w:sz w:val="18"/>
              </w:rPr>
              <w:t>440,543.16</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440,543.16</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中国（南京）软件谷管理委员会软件产业专项扶持资金</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spacing w:val="-1"/>
                <w:sz w:val="18"/>
              </w:rPr>
              <w:t>300,000.00</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400,000.00</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2"/>
              <w:jc w:val="right"/>
              <w:rPr>
                <w:rFonts w:ascii="宋体" w:hAnsi="宋体" w:cs="宋体" w:eastAsia="宋体" w:hint="default"/>
                <w:sz w:val="18"/>
                <w:szCs w:val="18"/>
              </w:rPr>
            </w:pPr>
            <w:r>
              <w:rPr>
                <w:rFonts w:ascii="宋体"/>
                <w:spacing w:val="-1"/>
                <w:sz w:val="18"/>
              </w:rPr>
              <w:t>281,520.00</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3,740,000.00</w:t>
            </w:r>
          </w:p>
        </w:tc>
      </w:tr>
      <w:tr>
        <w:trPr>
          <w:trHeight w:val="399"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南京雨花台科技局众创空间绩效评价奖金</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spacing w:val="-1"/>
                <w:sz w:val="18"/>
              </w:rPr>
              <w:t>200,000.00</w:t>
            </w:r>
          </w:p>
        </w:tc>
        <w:tc>
          <w:tcPr>
            <w:tcW w:w="1889" w:type="dxa"/>
            <w:tcBorders>
              <w:top w:val="nil" w:sz="6" w:space="0" w:color="auto"/>
              <w:left w:val="nil" w:sz="6" w:space="0" w:color="auto"/>
              <w:bottom w:val="nil" w:sz="6" w:space="0" w:color="auto"/>
              <w:right w:val="nil" w:sz="6" w:space="0" w:color="auto"/>
            </w:tcBorders>
          </w:tcPr>
          <w:p>
            <w:pPr/>
          </w:p>
        </w:tc>
      </w:tr>
      <w:tr>
        <w:trPr>
          <w:trHeight w:val="399"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进项税额加计扣减</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spacing w:val="-1"/>
                <w:sz w:val="18"/>
              </w:rPr>
              <w:t>130,553.19</w:t>
            </w:r>
          </w:p>
        </w:tc>
        <w:tc>
          <w:tcPr>
            <w:tcW w:w="1889" w:type="dxa"/>
            <w:tcBorders>
              <w:top w:val="nil" w:sz="6" w:space="0" w:color="auto"/>
              <w:left w:val="nil" w:sz="6" w:space="0" w:color="auto"/>
              <w:bottom w:val="nil" w:sz="6" w:space="0" w:color="auto"/>
              <w:right w:val="nil" w:sz="6" w:space="0" w:color="auto"/>
            </w:tcBorders>
          </w:tcPr>
          <w:p>
            <w:pP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创业家武汉众创空间装修补助</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spacing w:val="-1"/>
                <w:sz w:val="18"/>
              </w:rPr>
              <w:t>121,142.95</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363,428.52</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3"/>
                <w:sz w:val="18"/>
                <w:szCs w:val="18"/>
              </w:rPr>
              <w:t>创业家成都路演中心设备采购款补贴</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2"/>
              <w:jc w:val="right"/>
              <w:rPr>
                <w:rFonts w:ascii="宋体" w:hAnsi="宋体" w:cs="宋体" w:eastAsia="宋体" w:hint="default"/>
                <w:sz w:val="18"/>
                <w:szCs w:val="18"/>
              </w:rPr>
            </w:pPr>
            <w:r>
              <w:rPr>
                <w:rFonts w:ascii="宋体"/>
                <w:spacing w:val="-1"/>
                <w:sz w:val="18"/>
              </w:rPr>
              <w:t>99,999.95</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99,999.96</w:t>
            </w:r>
          </w:p>
        </w:tc>
      </w:tr>
      <w:tr>
        <w:trPr>
          <w:trHeight w:val="399"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创业家成都黑马全球路演中心建设装修补助</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spacing w:val="-1"/>
                <w:sz w:val="18"/>
              </w:rPr>
              <w:t>30,778.59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675,466.68</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
                <w:sz w:val="18"/>
                <w:szCs w:val="18"/>
              </w:rPr>
              <w:t> </w:t>
            </w:r>
            <w:r>
              <w:rPr>
                <w:rFonts w:ascii="宋体" w:hAnsi="宋体" w:cs="宋体" w:eastAsia="宋体" w:hint="default"/>
                <w:spacing w:val="-3"/>
                <w:sz w:val="18"/>
                <w:szCs w:val="18"/>
              </w:rPr>
              <w:t>年朝阳区企业科协创新工作补助经费</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22"/>
              <w:jc w:val="right"/>
              <w:rPr>
                <w:rFonts w:ascii="宋体" w:hAnsi="宋体" w:cs="宋体" w:eastAsia="宋体" w:hint="default"/>
                <w:sz w:val="18"/>
                <w:szCs w:val="18"/>
              </w:rPr>
            </w:pPr>
            <w:r>
              <w:rPr>
                <w:rFonts w:ascii="宋体"/>
                <w:spacing w:val="-1"/>
                <w:sz w:val="18"/>
              </w:rPr>
              <w:t>10,000.00</w:t>
            </w:r>
          </w:p>
        </w:tc>
        <w:tc>
          <w:tcPr>
            <w:tcW w:w="1889" w:type="dxa"/>
            <w:tcBorders>
              <w:top w:val="nil" w:sz="6" w:space="0" w:color="auto"/>
              <w:left w:val="nil" w:sz="6" w:space="0" w:color="auto"/>
              <w:bottom w:val="nil" w:sz="6" w:space="0" w:color="auto"/>
              <w:right w:val="nil" w:sz="6" w:space="0" w:color="auto"/>
            </w:tcBorders>
          </w:tcPr>
          <w:p>
            <w:pP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小微企业免税</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2"/>
              <w:jc w:val="right"/>
              <w:rPr>
                <w:rFonts w:ascii="宋体" w:hAnsi="宋体" w:cs="宋体" w:eastAsia="宋体" w:hint="default"/>
                <w:sz w:val="18"/>
                <w:szCs w:val="18"/>
              </w:rPr>
            </w:pPr>
            <w:r>
              <w:rPr>
                <w:rFonts w:ascii="宋体"/>
                <w:spacing w:val="-1"/>
                <w:sz w:val="18"/>
              </w:rPr>
              <w:t>6,574.88</w:t>
            </w:r>
          </w:p>
        </w:tc>
        <w:tc>
          <w:tcPr>
            <w:tcW w:w="1889" w:type="dxa"/>
            <w:tcBorders>
              <w:top w:val="nil" w:sz="6" w:space="0" w:color="auto"/>
              <w:left w:val="nil" w:sz="6" w:space="0" w:color="auto"/>
              <w:bottom w:val="nil" w:sz="6" w:space="0" w:color="auto"/>
              <w:right w:val="nil" w:sz="6" w:space="0" w:color="auto"/>
            </w:tcBorders>
          </w:tcPr>
          <w:p>
            <w:pPr/>
          </w:p>
        </w:tc>
      </w:tr>
      <w:tr>
        <w:trPr>
          <w:trHeight w:val="398"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代扣个人所得税费返还</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160,161.00</w:t>
            </w:r>
          </w:p>
        </w:tc>
      </w:tr>
      <w:tr>
        <w:trPr>
          <w:trHeight w:val="399"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南京市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pacing w:val="-3"/>
                <w:sz w:val="18"/>
                <w:szCs w:val="18"/>
              </w:rPr>
              <w:t>科技发展计划及科技经费补助</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500,000.00</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2"/>
                <w:sz w:val="18"/>
                <w:szCs w:val="18"/>
              </w:rPr>
              <w:t> </w:t>
            </w:r>
            <w:r>
              <w:rPr>
                <w:rFonts w:ascii="宋体" w:hAnsi="宋体" w:cs="宋体" w:eastAsia="宋体" w:hint="default"/>
                <w:spacing w:val="-3"/>
                <w:sz w:val="18"/>
                <w:szCs w:val="18"/>
              </w:rPr>
              <w:t>年第一批四川省科学技术厅补助</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500,000.00</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27"/>
                <w:sz w:val="18"/>
                <w:szCs w:val="18"/>
              </w:rPr>
              <w:t> </w:t>
            </w:r>
            <w:r>
              <w:rPr>
                <w:rFonts w:ascii="宋体" w:hAnsi="宋体" w:cs="宋体" w:eastAsia="宋体" w:hint="default"/>
                <w:spacing w:val="-3"/>
                <w:sz w:val="18"/>
                <w:szCs w:val="18"/>
              </w:rPr>
              <w:t>年度中关村国家自主创新示范区新型创业服务支持资金</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321,600.00</w:t>
            </w:r>
          </w:p>
        </w:tc>
      </w:tr>
      <w:tr>
        <w:trPr>
          <w:trHeight w:val="398"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14"/>
                <w:sz w:val="18"/>
                <w:szCs w:val="18"/>
              </w:rPr>
              <w:t> </w:t>
            </w:r>
            <w:r>
              <w:rPr>
                <w:rFonts w:ascii="宋体" w:hAnsi="宋体" w:cs="宋体" w:eastAsia="宋体" w:hint="default"/>
                <w:spacing w:val="-3"/>
                <w:sz w:val="18"/>
                <w:szCs w:val="18"/>
              </w:rPr>
              <w:t>年度众创空间专项资金</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200,000.00</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成都市金牛区财政局 </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pacing w:val="-3"/>
                <w:sz w:val="18"/>
                <w:szCs w:val="18"/>
              </w:rPr>
              <w:t>年第二批科技政府补助</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100,000.00</w:t>
            </w:r>
          </w:p>
        </w:tc>
      </w:tr>
      <w:tr>
        <w:trPr>
          <w:trHeight w:val="396"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3"/>
                <w:sz w:val="18"/>
                <w:szCs w:val="18"/>
              </w:rPr>
              <w:t>海淀区创新创业交流活动专项资金</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70,000.00</w:t>
            </w:r>
          </w:p>
        </w:tc>
      </w:tr>
      <w:tr>
        <w:trPr>
          <w:trHeight w:val="398"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成都市金牛区人民政府九里堤街道办事处扶持金</w:t>
            </w:r>
          </w:p>
        </w:tc>
        <w:tc>
          <w:tcPr>
            <w:tcW w:w="26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50,000.00</w:t>
            </w:r>
          </w:p>
        </w:tc>
      </w:tr>
      <w:tr>
        <w:trPr>
          <w:trHeight w:val="290" w:hRule="exact"/>
        </w:trPr>
        <w:tc>
          <w:tcPr>
            <w:tcW w:w="563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2"/>
              <w:jc w:val="right"/>
              <w:rPr>
                <w:rFonts w:ascii="宋体" w:hAnsi="宋体" w:cs="宋体" w:eastAsia="宋体" w:hint="default"/>
                <w:sz w:val="18"/>
                <w:szCs w:val="18"/>
              </w:rPr>
            </w:pPr>
            <w:r>
              <w:rPr>
                <w:rFonts w:ascii="宋体"/>
                <w:w w:val="101"/>
                <w:sz w:val="18"/>
              </w:rPr>
            </w:r>
            <w:r>
              <w:rPr>
                <w:rFonts w:ascii="宋体"/>
                <w:spacing w:val="-1"/>
                <w:sz w:val="18"/>
                <w:u w:val="thick" w:color="000000"/>
              </w:rPr>
              <w:t>3,504,227.62</w:t>
            </w:r>
            <w:r>
              <w:rPr>
                <w:rFonts w:ascii="宋体"/>
                <w:spacing w:val="-1"/>
                <w:sz w:val="18"/>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7,621,199.32</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815" w:right="62"/>
        <w:jc w:val="left"/>
      </w:pPr>
      <w:bookmarkStart w:name="（三十一）投资收益" w:id="229"/>
      <w:bookmarkEnd w:id="229"/>
      <w:r>
        <w:rPr/>
      </w:r>
      <w:r>
        <w:rPr/>
        <w:t>（三十一）投资收益</w:t>
      </w:r>
    </w:p>
    <w:p>
      <w:pPr>
        <w:spacing w:line="240" w:lineRule="auto" w:before="10"/>
        <w:rPr>
          <w:rFonts w:ascii="宋体" w:hAnsi="宋体" w:cs="宋体" w:eastAsia="宋体" w:hint="default"/>
          <w:sz w:val="25"/>
          <w:szCs w:val="25"/>
        </w:rPr>
      </w:pPr>
    </w:p>
    <w:tbl>
      <w:tblPr>
        <w:tblW w:w="0" w:type="auto"/>
        <w:jc w:val="left"/>
        <w:tblInd w:w="393" w:type="dxa"/>
        <w:tblLayout w:type="fixed"/>
        <w:tblCellMar>
          <w:top w:w="0" w:type="dxa"/>
          <w:left w:w="0" w:type="dxa"/>
          <w:bottom w:w="0" w:type="dxa"/>
          <w:right w:w="0" w:type="dxa"/>
        </w:tblCellMar>
        <w:tblLook w:val="01E0"/>
      </w:tblPr>
      <w:tblGrid>
        <w:gridCol w:w="4259"/>
        <w:gridCol w:w="3316"/>
        <w:gridCol w:w="2072"/>
      </w:tblGrid>
      <w:tr>
        <w:trPr>
          <w:trHeight w:val="267" w:hRule="exact"/>
        </w:trPr>
        <w:tc>
          <w:tcPr>
            <w:tcW w:w="4259" w:type="dxa"/>
            <w:tcBorders>
              <w:top w:val="nil" w:sz="6" w:space="0" w:color="auto"/>
              <w:left w:val="nil" w:sz="6" w:space="0" w:color="auto"/>
              <w:bottom w:val="single" w:sz="4" w:space="0" w:color="000000"/>
              <w:right w:val="nil" w:sz="6" w:space="0" w:color="auto"/>
            </w:tcBorders>
          </w:tcPr>
          <w:p>
            <w:pPr>
              <w:pStyle w:val="TableParagraph"/>
              <w:spacing w:line="182" w:lineRule="exact"/>
              <w:ind w:left="1464"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316" w:type="dxa"/>
            <w:tcBorders>
              <w:top w:val="nil" w:sz="6" w:space="0" w:color="auto"/>
              <w:left w:val="nil" w:sz="6" w:space="0" w:color="auto"/>
              <w:bottom w:val="single" w:sz="4" w:space="0" w:color="000000"/>
              <w:right w:val="nil" w:sz="6" w:space="0" w:color="auto"/>
            </w:tcBorders>
          </w:tcPr>
          <w:p>
            <w:pPr>
              <w:pStyle w:val="TableParagraph"/>
              <w:spacing w:line="201" w:lineRule="exact"/>
              <w:ind w:right="8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72" w:type="dxa"/>
            <w:tcBorders>
              <w:top w:val="nil" w:sz="6" w:space="0" w:color="auto"/>
              <w:left w:val="nil" w:sz="6" w:space="0" w:color="auto"/>
              <w:bottom w:val="single" w:sz="4" w:space="0" w:color="000000"/>
              <w:right w:val="nil" w:sz="6" w:space="0" w:color="auto"/>
            </w:tcBorders>
          </w:tcPr>
          <w:p>
            <w:pPr>
              <w:pStyle w:val="TableParagraph"/>
              <w:spacing w:line="201"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6" w:hRule="exact"/>
        </w:trPr>
        <w:tc>
          <w:tcPr>
            <w:tcW w:w="425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31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84"/>
              <w:jc w:val="right"/>
              <w:rPr>
                <w:rFonts w:ascii="宋体" w:hAnsi="宋体" w:cs="宋体" w:eastAsia="宋体" w:hint="default"/>
                <w:sz w:val="18"/>
                <w:szCs w:val="18"/>
              </w:rPr>
            </w:pPr>
            <w:r>
              <w:rPr>
                <w:rFonts w:ascii="宋体"/>
                <w:spacing w:val="-1"/>
                <w:sz w:val="18"/>
              </w:rPr>
              <w:t>-2,934,983.49</w:t>
            </w: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-691,856.08</w:t>
            </w:r>
          </w:p>
        </w:tc>
      </w:tr>
      <w:tr>
        <w:trPr>
          <w:trHeight w:val="399"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4"/>
              <w:jc w:val="right"/>
              <w:rPr>
                <w:rFonts w:ascii="宋体" w:hAnsi="宋体" w:cs="宋体" w:eastAsia="宋体" w:hint="default"/>
                <w:sz w:val="18"/>
                <w:szCs w:val="18"/>
              </w:rPr>
            </w:pPr>
            <w:r>
              <w:rPr>
                <w:rFonts w:ascii="宋体"/>
                <w:spacing w:val="-1"/>
                <w:sz w:val="18"/>
              </w:rPr>
              <w:t>152,819.09</w:t>
            </w:r>
          </w:p>
        </w:tc>
        <w:tc>
          <w:tcPr>
            <w:tcW w:w="2072" w:type="dxa"/>
            <w:tcBorders>
              <w:top w:val="nil" w:sz="6" w:space="0" w:color="auto"/>
              <w:left w:val="nil" w:sz="6" w:space="0" w:color="auto"/>
              <w:bottom w:val="nil" w:sz="6" w:space="0" w:color="auto"/>
              <w:right w:val="nil" w:sz="6" w:space="0" w:color="auto"/>
            </w:tcBorders>
          </w:tcPr>
          <w:p>
            <w:pPr/>
          </w:p>
        </w:tc>
      </w:tr>
      <w:tr>
        <w:trPr>
          <w:trHeight w:val="399"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债务重组产生的投资收益</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4"/>
              <w:jc w:val="right"/>
              <w:rPr>
                <w:rFonts w:ascii="宋体" w:hAnsi="宋体" w:cs="宋体" w:eastAsia="宋体" w:hint="default"/>
                <w:sz w:val="18"/>
                <w:szCs w:val="18"/>
              </w:rPr>
            </w:pPr>
            <w:r>
              <w:rPr>
                <w:rFonts w:ascii="宋体"/>
                <w:spacing w:val="-1"/>
                <w:sz w:val="18"/>
              </w:rPr>
              <w:t>-879,200.00</w:t>
            </w:r>
          </w:p>
        </w:tc>
        <w:tc>
          <w:tcPr>
            <w:tcW w:w="2072" w:type="dxa"/>
            <w:tcBorders>
              <w:top w:val="nil" w:sz="6" w:space="0" w:color="auto"/>
              <w:left w:val="nil" w:sz="6" w:space="0" w:color="auto"/>
              <w:bottom w:val="nil" w:sz="6" w:space="0" w:color="auto"/>
              <w:right w:val="nil" w:sz="6" w:space="0" w:color="auto"/>
            </w:tcBorders>
          </w:tcPr>
          <w:p>
            <w:pPr/>
          </w:p>
        </w:tc>
      </w:tr>
      <w:tr>
        <w:trPr>
          <w:trHeight w:val="396"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结构性存款收益</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4"/>
              <w:jc w:val="right"/>
              <w:rPr>
                <w:rFonts w:ascii="宋体" w:hAnsi="宋体" w:cs="宋体" w:eastAsia="宋体" w:hint="default"/>
                <w:sz w:val="18"/>
                <w:szCs w:val="18"/>
              </w:rPr>
            </w:pPr>
            <w:r>
              <w:rPr>
                <w:rFonts w:ascii="宋体"/>
                <w:spacing w:val="-1"/>
                <w:sz w:val="18"/>
              </w:rPr>
              <w:t>3,008,398.98</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7,939,588.75</w:t>
            </w:r>
          </w:p>
        </w:tc>
      </w:tr>
      <w:tr>
        <w:trPr>
          <w:trHeight w:val="288"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4"/>
              <w:jc w:val="right"/>
              <w:rPr>
                <w:rFonts w:ascii="宋体" w:hAnsi="宋体" w:cs="宋体" w:eastAsia="宋体" w:hint="default"/>
                <w:sz w:val="18"/>
                <w:szCs w:val="18"/>
              </w:rPr>
            </w:pPr>
            <w:r>
              <w:rPr>
                <w:rFonts w:ascii="宋体"/>
                <w:w w:val="101"/>
                <w:sz w:val="18"/>
              </w:rPr>
            </w:r>
            <w:r>
              <w:rPr>
                <w:rFonts w:ascii="宋体"/>
                <w:spacing w:val="-1"/>
                <w:sz w:val="18"/>
                <w:u w:val="thick" w:color="000000"/>
              </w:rPr>
              <w:t>-652,965.42</w:t>
            </w:r>
            <w:r>
              <w:rPr>
                <w:rFonts w:ascii="宋体"/>
                <w:spacing w:val="-1"/>
                <w:sz w:val="18"/>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7,247,732.67</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36"/>
        <w:ind w:left="815" w:right="62"/>
        <w:jc w:val="left"/>
      </w:pPr>
      <w:bookmarkStart w:name="（三十二）公允价值变动收益" w:id="230"/>
      <w:bookmarkEnd w:id="230"/>
      <w:r>
        <w:rPr/>
      </w:r>
      <w:r>
        <w:rPr/>
        <w:t>（三十二）公允价值变动收益</w:t>
      </w:r>
    </w:p>
    <w:p>
      <w:pPr>
        <w:spacing w:after="0" w:line="240" w:lineRule="auto"/>
        <w:jc w:val="left"/>
        <w:sectPr>
          <w:pgSz w:w="11910" w:h="16840"/>
          <w:pgMar w:header="741" w:footer="979" w:top="1060" w:bottom="1160" w:left="7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53" w:type="dxa"/>
        <w:tblLayout w:type="fixed"/>
        <w:tblCellMar>
          <w:top w:w="0" w:type="dxa"/>
          <w:left w:w="0" w:type="dxa"/>
          <w:bottom w:w="0" w:type="dxa"/>
          <w:right w:w="0" w:type="dxa"/>
        </w:tblCellMar>
        <w:tblLook w:val="01E0"/>
      </w:tblPr>
      <w:tblGrid>
        <w:gridCol w:w="5162"/>
        <w:gridCol w:w="2389"/>
        <w:gridCol w:w="2092"/>
      </w:tblGrid>
      <w:tr>
        <w:trPr>
          <w:trHeight w:val="253" w:hRule="exact"/>
        </w:trPr>
        <w:tc>
          <w:tcPr>
            <w:tcW w:w="5162" w:type="dxa"/>
            <w:tcBorders>
              <w:top w:val="nil" w:sz="6" w:space="0" w:color="auto"/>
              <w:left w:val="nil" w:sz="6" w:space="0" w:color="auto"/>
              <w:bottom w:val="single" w:sz="4" w:space="0" w:color="000000"/>
              <w:right w:val="nil" w:sz="6" w:space="0" w:color="auto"/>
            </w:tcBorders>
          </w:tcPr>
          <w:p>
            <w:pPr>
              <w:pStyle w:val="TableParagraph"/>
              <w:spacing w:line="182" w:lineRule="exact"/>
              <w:ind w:left="1454" w:right="0"/>
              <w:jc w:val="left"/>
              <w:rPr>
                <w:rFonts w:ascii="宋体" w:hAnsi="宋体" w:cs="宋体" w:eastAsia="宋体" w:hint="default"/>
                <w:sz w:val="18"/>
                <w:szCs w:val="18"/>
              </w:rPr>
            </w:pPr>
            <w:r>
              <w:rPr>
                <w:rFonts w:ascii="宋体" w:hAnsi="宋体" w:cs="宋体" w:eastAsia="宋体" w:hint="default"/>
                <w:b/>
                <w:bCs/>
                <w:sz w:val="18"/>
                <w:szCs w:val="18"/>
              </w:rPr>
              <w:t>产生公允价值变动收益的来源</w:t>
            </w:r>
            <w:r>
              <w:rPr>
                <w:rFonts w:ascii="宋体" w:hAnsi="宋体" w:cs="宋体" w:eastAsia="宋体" w:hint="default"/>
                <w:sz w:val="18"/>
                <w:szCs w:val="18"/>
              </w:rPr>
            </w:r>
          </w:p>
        </w:tc>
        <w:tc>
          <w:tcPr>
            <w:tcW w:w="2389" w:type="dxa"/>
            <w:tcBorders>
              <w:top w:val="nil" w:sz="6" w:space="0" w:color="auto"/>
              <w:left w:val="nil" w:sz="6" w:space="0" w:color="auto"/>
              <w:bottom w:val="single" w:sz="4" w:space="0" w:color="000000"/>
              <w:right w:val="nil" w:sz="6" w:space="0" w:color="auto"/>
            </w:tcBorders>
          </w:tcPr>
          <w:p>
            <w:pPr>
              <w:pStyle w:val="TableParagraph"/>
              <w:spacing w:line="182" w:lineRule="exact"/>
              <w:ind w:right="643"/>
              <w:jc w:val="right"/>
              <w:rPr>
                <w:rFonts w:ascii="宋体" w:hAnsi="宋体" w:cs="宋体" w:eastAsia="宋体" w:hint="default"/>
                <w:sz w:val="18"/>
                <w:szCs w:val="18"/>
              </w:rPr>
            </w:pPr>
            <w:r>
              <w:rPr>
                <w:rFonts w:ascii="宋体" w:hAnsi="宋体" w:cs="宋体" w:eastAsia="宋体" w:hint="default"/>
                <w:b/>
                <w:bCs/>
                <w:spacing w:val="-1"/>
                <w:sz w:val="18"/>
                <w:szCs w:val="18"/>
              </w:rPr>
              <w:t>本期发生额</w:t>
            </w:r>
            <w:r>
              <w:rPr>
                <w:rFonts w:ascii="宋体" w:hAnsi="宋体" w:cs="宋体" w:eastAsia="宋体" w:hint="default"/>
                <w:spacing w:val="-1"/>
                <w:sz w:val="18"/>
                <w:szCs w:val="18"/>
              </w:rPr>
            </w:r>
          </w:p>
        </w:tc>
        <w:tc>
          <w:tcPr>
            <w:tcW w:w="2092" w:type="dxa"/>
            <w:tcBorders>
              <w:top w:val="nil" w:sz="6" w:space="0" w:color="auto"/>
              <w:left w:val="nil" w:sz="6" w:space="0" w:color="auto"/>
              <w:bottom w:val="single" w:sz="4" w:space="0" w:color="000000"/>
              <w:right w:val="nil" w:sz="6" w:space="0" w:color="auto"/>
            </w:tcBorders>
          </w:tcPr>
          <w:p>
            <w:pPr>
              <w:pStyle w:val="TableParagraph"/>
              <w:spacing w:line="182" w:lineRule="exact"/>
              <w:ind w:left="64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4" w:hRule="exact"/>
        </w:trPr>
        <w:tc>
          <w:tcPr>
            <w:tcW w:w="516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东莞市达晨创景股权投资合伙企业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r>
              <w:rPr>
                <w:rFonts w:ascii="宋体" w:hAnsi="宋体" w:cs="宋体" w:eastAsia="宋体" w:hint="default"/>
                <w:spacing w:val="-3"/>
                <w:sz w:val="18"/>
                <w:szCs w:val="18"/>
              </w:rPr>
              <w:t>投资款</w:t>
            </w:r>
          </w:p>
        </w:tc>
        <w:tc>
          <w:tcPr>
            <w:tcW w:w="238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43"/>
              <w:jc w:val="right"/>
              <w:rPr>
                <w:rFonts w:ascii="宋体" w:hAnsi="宋体" w:cs="宋体" w:eastAsia="宋体" w:hint="default"/>
                <w:sz w:val="18"/>
                <w:szCs w:val="18"/>
              </w:rPr>
            </w:pPr>
            <w:r>
              <w:rPr>
                <w:rFonts w:ascii="宋体"/>
                <w:spacing w:val="-1"/>
                <w:sz w:val="18"/>
              </w:rPr>
              <w:t>158,309.49</w:t>
            </w:r>
          </w:p>
        </w:tc>
        <w:tc>
          <w:tcPr>
            <w:tcW w:w="2092"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1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广州博鳌纵横网络科技有限公司投资款</w:t>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3"/>
              <w:jc w:val="right"/>
              <w:rPr>
                <w:rFonts w:ascii="宋体" w:hAnsi="宋体" w:cs="宋体" w:eastAsia="宋体" w:hint="default"/>
                <w:sz w:val="18"/>
                <w:szCs w:val="18"/>
              </w:rPr>
            </w:pPr>
            <w:r>
              <w:rPr>
                <w:rFonts w:ascii="宋体"/>
                <w:spacing w:val="-1"/>
                <w:sz w:val="18"/>
              </w:rPr>
              <w:t>249,560.41</w:t>
            </w:r>
          </w:p>
        </w:tc>
        <w:tc>
          <w:tcPr>
            <w:tcW w:w="2092" w:type="dxa"/>
            <w:tcBorders>
              <w:top w:val="nil" w:sz="6" w:space="0" w:color="auto"/>
              <w:left w:val="nil" w:sz="6" w:space="0" w:color="auto"/>
              <w:bottom w:val="nil" w:sz="6" w:space="0" w:color="auto"/>
              <w:right w:val="nil" w:sz="6" w:space="0" w:color="auto"/>
            </w:tcBorders>
          </w:tcPr>
          <w:p>
            <w:pPr/>
          </w:p>
        </w:tc>
      </w:tr>
      <w:tr>
        <w:trPr>
          <w:trHeight w:val="290" w:hRule="exact"/>
        </w:trPr>
        <w:tc>
          <w:tcPr>
            <w:tcW w:w="5162"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54"/>
              <w:ind w:left="100"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3"/>
              <w:jc w:val="right"/>
              <w:rPr>
                <w:rFonts w:ascii="宋体" w:hAnsi="宋体" w:cs="宋体" w:eastAsia="宋体" w:hint="default"/>
                <w:sz w:val="18"/>
                <w:szCs w:val="18"/>
              </w:rPr>
            </w:pPr>
            <w:r>
              <w:rPr>
                <w:rFonts w:ascii="宋体"/>
                <w:w w:val="101"/>
                <w:sz w:val="18"/>
              </w:rPr>
            </w:r>
            <w:r>
              <w:rPr>
                <w:rFonts w:ascii="宋体"/>
                <w:spacing w:val="-1"/>
                <w:sz w:val="18"/>
                <w:u w:val="thick" w:color="000000"/>
              </w:rPr>
              <w:t>407,869.90</w:t>
            </w:r>
            <w:r>
              <w:rPr>
                <w:rFonts w:ascii="宋体"/>
                <w:spacing w:val="-1"/>
                <w:sz w:val="18"/>
              </w:rPr>
            </w:r>
          </w:p>
        </w:tc>
        <w:tc>
          <w:tcPr>
            <w:tcW w:w="209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575" w:right="0"/>
        <w:jc w:val="left"/>
      </w:pPr>
      <w:bookmarkStart w:name="（三十三）信用减值损失" w:id="231"/>
      <w:bookmarkEnd w:id="231"/>
      <w:r>
        <w:rPr/>
      </w:r>
      <w:r>
        <w:rPr/>
        <w:t>（三十三）信用减值损失</w:t>
      </w:r>
    </w:p>
    <w:p>
      <w:pPr>
        <w:spacing w:line="240" w:lineRule="auto" w:before="3"/>
        <w:rPr>
          <w:rFonts w:ascii="宋体" w:hAnsi="宋体" w:cs="宋体" w:eastAsia="宋体" w:hint="default"/>
          <w:sz w:val="27"/>
          <w:szCs w:val="27"/>
        </w:rPr>
      </w:pPr>
    </w:p>
    <w:tbl>
      <w:tblPr>
        <w:tblW w:w="0" w:type="auto"/>
        <w:jc w:val="left"/>
        <w:tblInd w:w="719" w:type="dxa"/>
        <w:tblLayout w:type="fixed"/>
        <w:tblCellMar>
          <w:top w:w="0" w:type="dxa"/>
          <w:left w:w="0" w:type="dxa"/>
          <w:bottom w:w="0" w:type="dxa"/>
          <w:right w:w="0" w:type="dxa"/>
        </w:tblCellMar>
        <w:tblLook w:val="01E0"/>
      </w:tblPr>
      <w:tblGrid>
        <w:gridCol w:w="3700"/>
        <w:gridCol w:w="2828"/>
        <w:gridCol w:w="1981"/>
      </w:tblGrid>
      <w:tr>
        <w:trPr>
          <w:trHeight w:val="253" w:hRule="exact"/>
        </w:trPr>
        <w:tc>
          <w:tcPr>
            <w:tcW w:w="3700" w:type="dxa"/>
            <w:tcBorders>
              <w:top w:val="nil" w:sz="6" w:space="0" w:color="auto"/>
              <w:left w:val="nil" w:sz="6" w:space="0" w:color="auto"/>
              <w:bottom w:val="single" w:sz="4" w:space="0" w:color="000000"/>
              <w:right w:val="nil" w:sz="6" w:space="0" w:color="auto"/>
            </w:tcBorders>
          </w:tcPr>
          <w:p>
            <w:pPr>
              <w:pStyle w:val="TableParagraph"/>
              <w:spacing w:line="182" w:lineRule="exact"/>
              <w:ind w:right="1335"/>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28" w:type="dxa"/>
            <w:tcBorders>
              <w:top w:val="nil" w:sz="6" w:space="0" w:color="auto"/>
              <w:left w:val="nil" w:sz="6" w:space="0" w:color="auto"/>
              <w:bottom w:val="single" w:sz="4" w:space="0" w:color="000000"/>
              <w:right w:val="nil" w:sz="6" w:space="0" w:color="auto"/>
            </w:tcBorders>
          </w:tcPr>
          <w:p>
            <w:pPr>
              <w:pStyle w:val="TableParagraph"/>
              <w:spacing w:line="182" w:lineRule="exact"/>
              <w:ind w:left="13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81" w:type="dxa"/>
            <w:tcBorders>
              <w:top w:val="nil" w:sz="6" w:space="0" w:color="auto"/>
              <w:left w:val="nil" w:sz="6" w:space="0" w:color="auto"/>
              <w:bottom w:val="single" w:sz="4" w:space="0" w:color="000000"/>
              <w:right w:val="nil" w:sz="6" w:space="0" w:color="auto"/>
            </w:tcBorders>
          </w:tcPr>
          <w:p>
            <w:pPr>
              <w:pStyle w:val="TableParagraph"/>
              <w:spacing w:line="182" w:lineRule="exact"/>
              <w:ind w:left="58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3" w:hRule="exact"/>
        </w:trPr>
        <w:tc>
          <w:tcPr>
            <w:tcW w:w="370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282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
              <w:jc w:val="right"/>
              <w:rPr>
                <w:rFonts w:ascii="宋体" w:hAnsi="宋体" w:cs="宋体" w:eastAsia="宋体" w:hint="default"/>
                <w:sz w:val="18"/>
                <w:szCs w:val="18"/>
              </w:rPr>
            </w:pPr>
            <w:r>
              <w:rPr>
                <w:rFonts w:ascii="宋体"/>
                <w:spacing w:val="-1"/>
                <w:sz w:val="18"/>
              </w:rPr>
              <w:t>-3,211,578.41</w:t>
            </w:r>
          </w:p>
        </w:tc>
        <w:tc>
          <w:tcPr>
            <w:tcW w:w="1981"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right"/>
              <w:rPr>
                <w:rFonts w:ascii="宋体" w:hAnsi="宋体" w:cs="宋体" w:eastAsia="宋体" w:hint="default"/>
                <w:sz w:val="18"/>
                <w:szCs w:val="18"/>
              </w:rPr>
            </w:pPr>
            <w:r>
              <w:rPr>
                <w:rFonts w:ascii="宋体"/>
                <w:spacing w:val="-1"/>
                <w:sz w:val="18"/>
              </w:rPr>
              <w:t>-42,560.00</w:t>
            </w:r>
          </w:p>
        </w:tc>
        <w:tc>
          <w:tcPr>
            <w:tcW w:w="1981" w:type="dxa"/>
            <w:tcBorders>
              <w:top w:val="nil" w:sz="6" w:space="0" w:color="auto"/>
              <w:left w:val="nil" w:sz="6" w:space="0" w:color="auto"/>
              <w:bottom w:val="nil" w:sz="6" w:space="0" w:color="auto"/>
              <w:right w:val="nil" w:sz="6" w:space="0" w:color="auto"/>
            </w:tcBorders>
          </w:tcPr>
          <w:p>
            <w:pPr/>
          </w:p>
        </w:tc>
      </w:tr>
      <w:tr>
        <w:trPr>
          <w:trHeight w:val="29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35"/>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
              <w:jc w:val="right"/>
              <w:rPr>
                <w:rFonts w:ascii="宋体" w:hAnsi="宋体" w:cs="宋体" w:eastAsia="宋体" w:hint="default"/>
                <w:sz w:val="18"/>
                <w:szCs w:val="18"/>
              </w:rPr>
            </w:pPr>
            <w:r>
              <w:rPr>
                <w:rFonts w:ascii="宋体"/>
                <w:w w:val="101"/>
                <w:sz w:val="18"/>
              </w:rPr>
            </w:r>
            <w:r>
              <w:rPr>
                <w:rFonts w:ascii="宋体"/>
                <w:spacing w:val="-1"/>
                <w:sz w:val="18"/>
                <w:u w:val="thick" w:color="000000"/>
              </w:rPr>
              <w:t>-3,254,138.41</w:t>
            </w:r>
            <w:r>
              <w:rPr>
                <w:rFonts w:ascii="宋体"/>
                <w:spacing w:val="-1"/>
                <w:sz w:val="18"/>
              </w:rPr>
            </w:r>
          </w:p>
        </w:tc>
        <w:tc>
          <w:tcPr>
            <w:tcW w:w="198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6"/>
        <w:ind w:left="575" w:right="0"/>
        <w:jc w:val="left"/>
      </w:pPr>
      <w:bookmarkStart w:name="（三十四）资产减值损失" w:id="232"/>
      <w:bookmarkEnd w:id="232"/>
      <w:r>
        <w:rPr/>
      </w:r>
      <w:r>
        <w:rPr/>
        <w:t>（三十四）资产减值损失</w:t>
      </w:r>
    </w:p>
    <w:p>
      <w:pPr>
        <w:spacing w:line="240" w:lineRule="auto" w:before="3"/>
        <w:rPr>
          <w:rFonts w:ascii="宋体" w:hAnsi="宋体" w:cs="宋体" w:eastAsia="宋体" w:hint="default"/>
          <w:sz w:val="27"/>
          <w:szCs w:val="27"/>
        </w:rPr>
      </w:pPr>
    </w:p>
    <w:tbl>
      <w:tblPr>
        <w:tblW w:w="0" w:type="auto"/>
        <w:jc w:val="left"/>
        <w:tblInd w:w="719" w:type="dxa"/>
        <w:tblLayout w:type="fixed"/>
        <w:tblCellMar>
          <w:top w:w="0" w:type="dxa"/>
          <w:left w:w="0" w:type="dxa"/>
          <w:bottom w:w="0" w:type="dxa"/>
          <w:right w:w="0" w:type="dxa"/>
        </w:tblCellMar>
        <w:tblLook w:val="01E0"/>
      </w:tblPr>
      <w:tblGrid>
        <w:gridCol w:w="3548"/>
        <w:gridCol w:w="2603"/>
        <w:gridCol w:w="2358"/>
      </w:tblGrid>
      <w:tr>
        <w:trPr>
          <w:trHeight w:val="253" w:hRule="exact"/>
        </w:trPr>
        <w:tc>
          <w:tcPr>
            <w:tcW w:w="3548" w:type="dxa"/>
            <w:tcBorders>
              <w:top w:val="nil" w:sz="6" w:space="0" w:color="auto"/>
              <w:left w:val="nil" w:sz="6" w:space="0" w:color="auto"/>
              <w:bottom w:val="single" w:sz="4" w:space="0" w:color="000000"/>
              <w:right w:val="nil" w:sz="6" w:space="0" w:color="auto"/>
            </w:tcBorders>
          </w:tcPr>
          <w:p>
            <w:pPr>
              <w:pStyle w:val="TableParagraph"/>
              <w:tabs>
                <w:tab w:pos="850" w:val="left" w:leader="none"/>
              </w:tabs>
              <w:spacing w:line="182" w:lineRule="exact"/>
              <w:ind w:left="427" w:right="0"/>
              <w:jc w:val="center"/>
              <w:rPr>
                <w:rFonts w:ascii="宋体" w:hAnsi="宋体" w:cs="宋体" w:eastAsia="宋体" w:hint="default"/>
                <w:sz w:val="18"/>
                <w:szCs w:val="18"/>
              </w:rPr>
            </w:pPr>
            <w:r>
              <w:rPr>
                <w:rFonts w:ascii="宋体" w:hAnsi="宋体" w:cs="宋体" w:eastAsia="宋体" w:hint="default"/>
                <w:b/>
                <w:bCs/>
                <w:sz w:val="18"/>
                <w:szCs w:val="18"/>
              </w:rPr>
              <w:t>项</w:t>
              <w:tab/>
              <w:t>目</w:t>
            </w:r>
            <w:r>
              <w:rPr>
                <w:rFonts w:ascii="宋体" w:hAnsi="宋体" w:cs="宋体" w:eastAsia="宋体" w:hint="default"/>
                <w:sz w:val="18"/>
                <w:szCs w:val="18"/>
              </w:rPr>
            </w:r>
          </w:p>
        </w:tc>
        <w:tc>
          <w:tcPr>
            <w:tcW w:w="2603" w:type="dxa"/>
            <w:tcBorders>
              <w:top w:val="nil" w:sz="6" w:space="0" w:color="auto"/>
              <w:left w:val="nil" w:sz="6" w:space="0" w:color="auto"/>
              <w:bottom w:val="single" w:sz="4" w:space="0" w:color="000000"/>
              <w:right w:val="nil" w:sz="6" w:space="0" w:color="auto"/>
            </w:tcBorders>
          </w:tcPr>
          <w:p>
            <w:pPr>
              <w:pStyle w:val="TableParagraph"/>
              <w:spacing w:line="182" w:lineRule="exact"/>
              <w:ind w:left="101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58" w:type="dxa"/>
            <w:tcBorders>
              <w:top w:val="nil" w:sz="6" w:space="0" w:color="auto"/>
              <w:left w:val="nil" w:sz="6" w:space="0" w:color="auto"/>
              <w:bottom w:val="single" w:sz="4" w:space="0" w:color="000000"/>
              <w:right w:val="nil" w:sz="6" w:space="0" w:color="auto"/>
            </w:tcBorders>
          </w:tcPr>
          <w:p>
            <w:pPr>
              <w:pStyle w:val="TableParagraph"/>
              <w:spacing w:line="182" w:lineRule="exact"/>
              <w:ind w:right="93"/>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1" w:hRule="exact"/>
        </w:trPr>
        <w:tc>
          <w:tcPr>
            <w:tcW w:w="354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427" w:right="0"/>
              <w:jc w:val="center"/>
              <w:rPr>
                <w:rFonts w:ascii="宋体" w:hAnsi="宋体" w:cs="宋体" w:eastAsia="宋体" w:hint="default"/>
                <w:sz w:val="18"/>
                <w:szCs w:val="18"/>
              </w:rPr>
            </w:pPr>
            <w:r>
              <w:rPr>
                <w:rFonts w:ascii="宋体" w:hAnsi="宋体" w:cs="宋体" w:eastAsia="宋体" w:hint="default"/>
                <w:sz w:val="18"/>
                <w:szCs w:val="18"/>
              </w:rPr>
              <w:t>一、坏账损失</w:t>
            </w:r>
          </w:p>
        </w:tc>
        <w:tc>
          <w:tcPr>
            <w:tcW w:w="2603" w:type="dxa"/>
            <w:tcBorders>
              <w:top w:val="single" w:sz="4" w:space="0" w:color="000000"/>
              <w:left w:val="nil" w:sz="6" w:space="0" w:color="auto"/>
              <w:bottom w:val="nil" w:sz="6" w:space="0" w:color="auto"/>
              <w:right w:val="nil" w:sz="6" w:space="0" w:color="auto"/>
            </w:tcBorders>
          </w:tcPr>
          <w:p>
            <w:pPr/>
          </w:p>
        </w:tc>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93"/>
              <w:jc w:val="center"/>
              <w:rPr>
                <w:rFonts w:ascii="宋体" w:hAnsi="宋体" w:cs="宋体" w:eastAsia="宋体" w:hint="default"/>
                <w:sz w:val="18"/>
                <w:szCs w:val="18"/>
              </w:rPr>
            </w:pPr>
            <w:r>
              <w:rPr>
                <w:rFonts w:ascii="宋体"/>
                <w:sz w:val="18"/>
              </w:rPr>
              <w:t>-10,213,257.02</w:t>
            </w:r>
          </w:p>
        </w:tc>
      </w:tr>
      <w:tr>
        <w:trPr>
          <w:trHeight w:val="291"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27"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603" w:type="dxa"/>
            <w:tcBorders>
              <w:top w:val="nil" w:sz="6" w:space="0" w:color="auto"/>
              <w:left w:val="nil" w:sz="6" w:space="0" w:color="auto"/>
              <w:bottom w:val="nil" w:sz="6" w:space="0" w:color="auto"/>
              <w:right w:val="nil" w:sz="6" w:space="0" w:color="auto"/>
            </w:tcBorders>
          </w:tcPr>
          <w:p>
            <w:pP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3"/>
              <w:jc w:val="center"/>
              <w:rPr>
                <w:rFonts w:ascii="宋体" w:hAnsi="宋体" w:cs="宋体" w:eastAsia="宋体" w:hint="default"/>
                <w:sz w:val="18"/>
                <w:szCs w:val="18"/>
              </w:rPr>
            </w:pPr>
            <w:r>
              <w:rPr>
                <w:rFonts w:ascii="宋体"/>
                <w:w w:val="101"/>
                <w:sz w:val="18"/>
              </w:rPr>
            </w:r>
            <w:r>
              <w:rPr>
                <w:rFonts w:ascii="宋体"/>
                <w:sz w:val="18"/>
                <w:u w:val="thick" w:color="000000"/>
              </w:rPr>
              <w:t>-10,213,257.02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575" w:right="0"/>
        <w:jc w:val="left"/>
      </w:pPr>
      <w:bookmarkStart w:name="（三十五）资产处置收益" w:id="233"/>
      <w:bookmarkEnd w:id="233"/>
      <w:r>
        <w:rPr/>
      </w:r>
      <w:r>
        <w:rPr/>
        <w:t>（三十五）资产处置收益</w:t>
      </w:r>
    </w:p>
    <w:p>
      <w:pPr>
        <w:spacing w:line="240" w:lineRule="auto" w:before="8"/>
        <w:rPr>
          <w:rFonts w:ascii="宋体" w:hAnsi="宋体" w:cs="宋体" w:eastAsia="宋体" w:hint="default"/>
          <w:sz w:val="27"/>
          <w:szCs w:val="27"/>
        </w:rPr>
      </w:pPr>
    </w:p>
    <w:tbl>
      <w:tblPr>
        <w:tblW w:w="0" w:type="auto"/>
        <w:jc w:val="left"/>
        <w:tblInd w:w="719" w:type="dxa"/>
        <w:tblLayout w:type="fixed"/>
        <w:tblCellMar>
          <w:top w:w="0" w:type="dxa"/>
          <w:left w:w="0" w:type="dxa"/>
          <w:bottom w:w="0" w:type="dxa"/>
          <w:right w:w="0" w:type="dxa"/>
        </w:tblCellMar>
        <w:tblLook w:val="01E0"/>
      </w:tblPr>
      <w:tblGrid>
        <w:gridCol w:w="3513"/>
        <w:gridCol w:w="2632"/>
        <w:gridCol w:w="2365"/>
      </w:tblGrid>
      <w:tr>
        <w:trPr>
          <w:trHeight w:val="244" w:hRule="exact"/>
        </w:trPr>
        <w:tc>
          <w:tcPr>
            <w:tcW w:w="3513" w:type="dxa"/>
            <w:tcBorders>
              <w:top w:val="nil" w:sz="6" w:space="0" w:color="auto"/>
              <w:left w:val="nil" w:sz="6" w:space="0" w:color="auto"/>
              <w:bottom w:val="single" w:sz="4" w:space="0" w:color="000000"/>
              <w:right w:val="nil" w:sz="6" w:space="0" w:color="auto"/>
            </w:tcBorders>
          </w:tcPr>
          <w:p>
            <w:pPr>
              <w:pStyle w:val="TableParagraph"/>
              <w:spacing w:line="182" w:lineRule="exact"/>
              <w:ind w:left="1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2" w:type="dxa"/>
            <w:tcBorders>
              <w:top w:val="nil" w:sz="6" w:space="0" w:color="auto"/>
              <w:left w:val="nil" w:sz="6" w:space="0" w:color="auto"/>
              <w:bottom w:val="single" w:sz="4" w:space="0" w:color="000000"/>
              <w:right w:val="nil" w:sz="6" w:space="0" w:color="auto"/>
            </w:tcBorders>
          </w:tcPr>
          <w:p>
            <w:pPr>
              <w:pStyle w:val="TableParagraph"/>
              <w:spacing w:line="182" w:lineRule="exact"/>
              <w:ind w:left="96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5" w:type="dxa"/>
            <w:tcBorders>
              <w:top w:val="nil" w:sz="6" w:space="0" w:color="auto"/>
              <w:left w:val="nil" w:sz="6" w:space="0" w:color="auto"/>
              <w:bottom w:val="single" w:sz="4" w:space="0" w:color="000000"/>
              <w:right w:val="nil" w:sz="6" w:space="0" w:color="auto"/>
            </w:tcBorders>
          </w:tcPr>
          <w:p>
            <w:pPr>
              <w:pStyle w:val="TableParagraph"/>
              <w:spacing w:line="182" w:lineRule="exact"/>
              <w:ind w:right="694"/>
              <w:jc w:val="right"/>
              <w:rPr>
                <w:rFonts w:ascii="宋体" w:hAnsi="宋体" w:cs="宋体" w:eastAsia="宋体" w:hint="default"/>
                <w:sz w:val="18"/>
                <w:szCs w:val="18"/>
              </w:rPr>
            </w:pPr>
            <w:r>
              <w:rPr>
                <w:rFonts w:ascii="宋体" w:hAnsi="宋体" w:cs="宋体" w:eastAsia="宋体" w:hint="default"/>
                <w:b/>
                <w:bCs/>
                <w:spacing w:val="-1"/>
                <w:sz w:val="18"/>
                <w:szCs w:val="18"/>
              </w:rPr>
              <w:t>上期发生额</w:t>
            </w:r>
            <w:r>
              <w:rPr>
                <w:rFonts w:ascii="宋体" w:hAnsi="宋体" w:cs="宋体" w:eastAsia="宋体" w:hint="default"/>
                <w:spacing w:val="-1"/>
                <w:sz w:val="18"/>
                <w:szCs w:val="18"/>
              </w:rPr>
            </w:r>
          </w:p>
        </w:tc>
      </w:tr>
      <w:tr>
        <w:trPr>
          <w:trHeight w:val="443" w:hRule="exact"/>
        </w:trPr>
        <w:tc>
          <w:tcPr>
            <w:tcW w:w="351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41" w:right="0"/>
              <w:jc w:val="center"/>
              <w:rPr>
                <w:rFonts w:ascii="宋体" w:hAnsi="宋体" w:cs="宋体" w:eastAsia="宋体" w:hint="default"/>
                <w:sz w:val="18"/>
                <w:szCs w:val="18"/>
              </w:rPr>
            </w:pPr>
            <w:r>
              <w:rPr>
                <w:rFonts w:ascii="宋体" w:hAnsi="宋体" w:cs="宋体" w:eastAsia="宋体" w:hint="default"/>
                <w:sz w:val="18"/>
                <w:szCs w:val="18"/>
              </w:rPr>
              <w:t>固定资产处置利得</w:t>
            </w:r>
          </w:p>
        </w:tc>
        <w:tc>
          <w:tcPr>
            <w:tcW w:w="2632" w:type="dxa"/>
            <w:tcBorders>
              <w:top w:val="single" w:sz="4" w:space="0" w:color="000000"/>
              <w:left w:val="nil" w:sz="6" w:space="0" w:color="auto"/>
              <w:bottom w:val="nil" w:sz="6" w:space="0" w:color="auto"/>
              <w:right w:val="nil" w:sz="6" w:space="0" w:color="auto"/>
            </w:tcBorders>
          </w:tcPr>
          <w:p>
            <w:pPr/>
          </w:p>
        </w:tc>
        <w:tc>
          <w:tcPr>
            <w:tcW w:w="236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99"/>
              <w:jc w:val="right"/>
              <w:rPr>
                <w:rFonts w:ascii="宋体" w:hAnsi="宋体" w:cs="宋体" w:eastAsia="宋体" w:hint="default"/>
                <w:sz w:val="18"/>
                <w:szCs w:val="18"/>
              </w:rPr>
            </w:pPr>
            <w:r>
              <w:rPr>
                <w:rFonts w:ascii="宋体"/>
                <w:spacing w:val="-1"/>
                <w:sz w:val="18"/>
              </w:rPr>
              <w:t>100,358.84</w:t>
            </w:r>
          </w:p>
        </w:tc>
      </w:tr>
      <w:tr>
        <w:trPr>
          <w:trHeight w:val="288"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632" w:type="dxa"/>
            <w:tcBorders>
              <w:top w:val="nil" w:sz="6" w:space="0" w:color="auto"/>
              <w:left w:val="nil" w:sz="6" w:space="0" w:color="auto"/>
              <w:bottom w:val="nil" w:sz="6" w:space="0" w:color="auto"/>
              <w:right w:val="nil" w:sz="6" w:space="0" w:color="auto"/>
            </w:tcBorders>
          </w:tcPr>
          <w:p>
            <w:pP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9"/>
              <w:jc w:val="right"/>
              <w:rPr>
                <w:rFonts w:ascii="宋体" w:hAnsi="宋体" w:cs="宋体" w:eastAsia="宋体" w:hint="default"/>
                <w:sz w:val="18"/>
                <w:szCs w:val="18"/>
              </w:rPr>
            </w:pPr>
            <w:r>
              <w:rPr>
                <w:rFonts w:ascii="宋体"/>
                <w:w w:val="101"/>
                <w:sz w:val="18"/>
              </w:rPr>
            </w:r>
            <w:r>
              <w:rPr>
                <w:rFonts w:ascii="宋体"/>
                <w:spacing w:val="-1"/>
                <w:sz w:val="18"/>
                <w:u w:val="thick" w:color="000000"/>
              </w:rPr>
              <w:t>100,358.84</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448" w:lineRule="auto" w:before="36"/>
        <w:ind w:left="575" w:right="8239"/>
        <w:jc w:val="left"/>
      </w:pPr>
      <w:bookmarkStart w:name="（三十六）营业外收入" w:id="234"/>
      <w:bookmarkEnd w:id="234"/>
      <w:r>
        <w:rPr/>
      </w:r>
      <w:r>
        <w:rPr>
          <w:spacing w:val="-1"/>
        </w:rPr>
        <w:t>（三十六）营业外收入</w:t>
      </w:r>
      <w:r>
        <w:rPr>
          <w:spacing w:val="-93"/>
        </w:rPr>
        <w:t> </w:t>
      </w:r>
      <w:r>
        <w:rPr>
          <w:spacing w:val="-93"/>
        </w:rPr>
      </w:r>
      <w:r>
        <w:rPr>
          <w:rFonts w:ascii="宋体" w:hAnsi="宋体" w:cs="宋体" w:eastAsia="宋体" w:hint="default"/>
        </w:rPr>
        <w:t>1.</w:t>
      </w:r>
      <w:r>
        <w:rPr/>
        <w:t>分类列示</w:t>
      </w:r>
    </w:p>
    <w:p>
      <w:pPr>
        <w:spacing w:line="240" w:lineRule="auto" w:before="10"/>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3407"/>
        <w:gridCol w:w="2730"/>
        <w:gridCol w:w="1738"/>
        <w:gridCol w:w="1772"/>
      </w:tblGrid>
      <w:tr>
        <w:trPr>
          <w:trHeight w:val="594" w:hRule="exact"/>
        </w:trPr>
        <w:tc>
          <w:tcPr>
            <w:tcW w:w="3407"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124"/>
              <w:ind w:right="1095"/>
              <w:jc w:val="right"/>
              <w:rPr>
                <w:rFonts w:ascii="宋体" w:hAnsi="宋体" w:cs="宋体" w:eastAsia="宋体" w:hint="default"/>
                <w:sz w:val="18"/>
                <w:szCs w:val="18"/>
              </w:rPr>
            </w:pPr>
            <w:r>
              <w:rPr>
                <w:rFonts w:ascii="宋体" w:hAnsi="宋体" w:cs="宋体" w:eastAsia="宋体" w:hint="default"/>
                <w:b/>
                <w:bCs/>
                <w:sz w:val="18"/>
                <w:szCs w:val="18"/>
              </w:rPr>
              <w:t>项</w:t>
              <w:tab/>
              <w:t>目</w:t>
            </w:r>
            <w:r>
              <w:rPr>
                <w:rFonts w:ascii="宋体" w:hAnsi="宋体" w:cs="宋体" w:eastAsia="宋体" w:hint="default"/>
                <w:sz w:val="18"/>
                <w:szCs w:val="18"/>
              </w:rPr>
            </w:r>
          </w:p>
        </w:tc>
        <w:tc>
          <w:tcPr>
            <w:tcW w:w="273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09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4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772" w:type="dxa"/>
            <w:tcBorders>
              <w:top w:val="nil" w:sz="6" w:space="0" w:color="auto"/>
              <w:left w:val="nil" w:sz="6" w:space="0" w:color="auto"/>
              <w:bottom w:val="single" w:sz="4" w:space="0" w:color="000000"/>
              <w:right w:val="nil" w:sz="6" w:space="0" w:color="auto"/>
            </w:tcBorders>
          </w:tcPr>
          <w:p>
            <w:pPr>
              <w:pStyle w:val="TableParagraph"/>
              <w:spacing w:line="182" w:lineRule="exact"/>
              <w:ind w:right="108"/>
              <w:jc w:val="center"/>
              <w:rPr>
                <w:rFonts w:ascii="宋体" w:hAnsi="宋体" w:cs="宋体" w:eastAsia="宋体" w:hint="default"/>
                <w:sz w:val="18"/>
                <w:szCs w:val="18"/>
              </w:rPr>
            </w:pPr>
            <w:r>
              <w:rPr>
                <w:rFonts w:ascii="宋体" w:hAnsi="宋体" w:cs="宋体" w:eastAsia="宋体" w:hint="default"/>
                <w:b/>
                <w:bCs/>
                <w:sz w:val="18"/>
                <w:szCs w:val="18"/>
              </w:rPr>
              <w:t>计入当期非经常性</w:t>
            </w:r>
            <w:r>
              <w:rPr>
                <w:rFonts w:ascii="宋体" w:hAnsi="宋体" w:cs="宋体" w:eastAsia="宋体" w:hint="default"/>
                <w:sz w:val="18"/>
                <w:szCs w:val="18"/>
              </w:rPr>
            </w:r>
          </w:p>
          <w:p>
            <w:pPr>
              <w:pStyle w:val="TableParagraph"/>
              <w:spacing w:line="240" w:lineRule="auto" w:before="124"/>
              <w:ind w:right="104"/>
              <w:jc w:val="center"/>
              <w:rPr>
                <w:rFonts w:ascii="宋体" w:hAnsi="宋体" w:cs="宋体" w:eastAsia="宋体" w:hint="default"/>
                <w:sz w:val="18"/>
                <w:szCs w:val="18"/>
              </w:rPr>
            </w:pPr>
            <w:r>
              <w:rPr>
                <w:rFonts w:ascii="宋体" w:hAnsi="宋体" w:cs="宋体" w:eastAsia="宋体" w:hint="default"/>
                <w:b/>
                <w:bCs/>
                <w:sz w:val="18"/>
                <w:szCs w:val="18"/>
              </w:rPr>
              <w:t>损益的金额</w:t>
            </w:r>
            <w:r>
              <w:rPr>
                <w:rFonts w:ascii="宋体" w:hAnsi="宋体" w:cs="宋体" w:eastAsia="宋体" w:hint="default"/>
                <w:sz w:val="18"/>
                <w:szCs w:val="18"/>
              </w:rPr>
            </w:r>
          </w:p>
        </w:tc>
      </w:tr>
      <w:tr>
        <w:trPr>
          <w:trHeight w:val="444" w:hRule="exact"/>
        </w:trPr>
        <w:tc>
          <w:tcPr>
            <w:tcW w:w="340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3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38"/>
              <w:jc w:val="right"/>
              <w:rPr>
                <w:rFonts w:ascii="宋体" w:hAnsi="宋体" w:cs="宋体" w:eastAsia="宋体" w:hint="default"/>
                <w:sz w:val="18"/>
                <w:szCs w:val="18"/>
              </w:rPr>
            </w:pPr>
            <w:r>
              <w:rPr>
                <w:rFonts w:ascii="宋体"/>
                <w:spacing w:val="-1"/>
                <w:sz w:val="18"/>
              </w:rPr>
              <w:t>370,000.00</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4"/>
              <w:jc w:val="right"/>
              <w:rPr>
                <w:rFonts w:ascii="宋体" w:hAnsi="宋体" w:cs="宋体" w:eastAsia="宋体" w:hint="default"/>
                <w:sz w:val="18"/>
                <w:szCs w:val="18"/>
              </w:rPr>
            </w:pPr>
            <w:r>
              <w:rPr>
                <w:rFonts w:ascii="宋体"/>
                <w:spacing w:val="-1"/>
                <w:sz w:val="18"/>
              </w:rPr>
              <w:t>5,501,400.00</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370,000.00</w:t>
            </w:r>
          </w:p>
        </w:tc>
      </w:tr>
      <w:tr>
        <w:trPr>
          <w:trHeight w:val="396"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8"/>
              <w:jc w:val="right"/>
              <w:rPr>
                <w:rFonts w:ascii="宋体" w:hAnsi="宋体" w:cs="宋体" w:eastAsia="宋体" w:hint="default"/>
                <w:sz w:val="18"/>
                <w:szCs w:val="18"/>
              </w:rPr>
            </w:pPr>
            <w:r>
              <w:rPr>
                <w:rFonts w:ascii="宋体"/>
                <w:spacing w:val="-1"/>
                <w:sz w:val="18"/>
              </w:rPr>
              <w:t>17,370.12</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0.05</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17,370.12</w:t>
            </w:r>
          </w:p>
        </w:tc>
      </w:tr>
      <w:tr>
        <w:trPr>
          <w:trHeight w:val="290"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8"/>
              <w:jc w:val="right"/>
              <w:rPr>
                <w:rFonts w:ascii="宋体" w:hAnsi="宋体" w:cs="宋体" w:eastAsia="宋体" w:hint="default"/>
                <w:sz w:val="18"/>
                <w:szCs w:val="18"/>
              </w:rPr>
            </w:pPr>
            <w:r>
              <w:rPr>
                <w:rFonts w:ascii="宋体"/>
                <w:w w:val="101"/>
                <w:sz w:val="18"/>
              </w:rPr>
            </w:r>
            <w:r>
              <w:rPr>
                <w:rFonts w:ascii="宋体"/>
                <w:spacing w:val="-1"/>
                <w:sz w:val="18"/>
                <w:u w:val="thick" w:color="000000"/>
              </w:rPr>
              <w:t>387,370.12</w:t>
            </w:r>
            <w:r>
              <w:rPr>
                <w:rFonts w:ascii="宋体"/>
                <w:spacing w:val="-1"/>
                <w:sz w:val="18"/>
              </w:rPr>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宋体" w:hAnsi="宋体" w:cs="宋体" w:eastAsia="宋体" w:hint="default"/>
                <w:sz w:val="18"/>
                <w:szCs w:val="18"/>
              </w:rPr>
            </w:pPr>
            <w:r>
              <w:rPr>
                <w:rFonts w:ascii="宋体"/>
                <w:w w:val="101"/>
                <w:sz w:val="18"/>
              </w:rPr>
            </w:r>
            <w:r>
              <w:rPr>
                <w:rFonts w:ascii="宋体"/>
                <w:spacing w:val="-1"/>
                <w:sz w:val="18"/>
                <w:u w:val="thick" w:color="000000"/>
              </w:rPr>
              <w:t>5,501,400.05</w:t>
            </w:r>
            <w:r>
              <w:rPr>
                <w:rFonts w:ascii="宋体"/>
                <w:spacing w:val="-1"/>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387,370.12</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6"/>
        <w:ind w:left="575" w:right="0"/>
        <w:jc w:val="left"/>
      </w:pPr>
      <w:r>
        <w:rPr>
          <w:rFonts w:ascii="宋体" w:hAnsi="宋体" w:cs="宋体" w:eastAsia="宋体" w:hint="default"/>
        </w:rPr>
        <w:t>2.</w:t>
      </w:r>
      <w:r>
        <w:rPr/>
        <w:t>计入当期损益的政府补助</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4285"/>
        <w:gridCol w:w="1902"/>
        <w:gridCol w:w="1563"/>
        <w:gridCol w:w="2209"/>
      </w:tblGrid>
      <w:tr>
        <w:trPr>
          <w:trHeight w:val="253" w:hRule="exact"/>
        </w:trPr>
        <w:tc>
          <w:tcPr>
            <w:tcW w:w="4285" w:type="dxa"/>
            <w:tcBorders>
              <w:top w:val="nil" w:sz="6" w:space="0" w:color="auto"/>
              <w:left w:val="nil" w:sz="6" w:space="0" w:color="auto"/>
              <w:bottom w:val="single" w:sz="4" w:space="0" w:color="000000"/>
              <w:right w:val="nil" w:sz="6" w:space="0" w:color="auto"/>
            </w:tcBorders>
          </w:tcPr>
          <w:p>
            <w:pPr>
              <w:pStyle w:val="TableParagraph"/>
              <w:spacing w:line="182" w:lineRule="exact"/>
              <w:ind w:right="134"/>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902" w:type="dxa"/>
            <w:tcBorders>
              <w:top w:val="nil" w:sz="6" w:space="0" w:color="auto"/>
              <w:left w:val="nil" w:sz="6" w:space="0" w:color="auto"/>
              <w:bottom w:val="single" w:sz="4" w:space="0" w:color="000000"/>
              <w:right w:val="nil" w:sz="6" w:space="0" w:color="auto"/>
            </w:tcBorders>
          </w:tcPr>
          <w:p>
            <w:pPr>
              <w:pStyle w:val="TableParagraph"/>
              <w:spacing w:line="182"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563" w:type="dxa"/>
            <w:tcBorders>
              <w:top w:val="nil" w:sz="6" w:space="0" w:color="auto"/>
              <w:left w:val="nil" w:sz="6" w:space="0" w:color="auto"/>
              <w:bottom w:val="single" w:sz="4" w:space="0" w:color="000000"/>
              <w:right w:val="nil" w:sz="6" w:space="0" w:color="auto"/>
            </w:tcBorders>
          </w:tcPr>
          <w:p>
            <w:pPr>
              <w:pStyle w:val="TableParagraph"/>
              <w:spacing w:line="18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sz w:val="18"/>
                <w:szCs w:val="18"/>
              </w:rPr>
            </w:r>
          </w:p>
        </w:tc>
        <w:tc>
          <w:tcPr>
            <w:tcW w:w="2209" w:type="dxa"/>
            <w:tcBorders>
              <w:top w:val="nil" w:sz="6" w:space="0" w:color="auto"/>
              <w:left w:val="nil" w:sz="6" w:space="0" w:color="auto"/>
              <w:bottom w:val="single" w:sz="4" w:space="0" w:color="000000"/>
              <w:right w:val="nil" w:sz="6" w:space="0" w:color="auto"/>
            </w:tcBorders>
          </w:tcPr>
          <w:p>
            <w:pPr>
              <w:pStyle w:val="TableParagraph"/>
              <w:spacing w:line="192" w:lineRule="exact"/>
              <w:ind w:left="101"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41" w:hRule="exact"/>
        </w:trPr>
        <w:tc>
          <w:tcPr>
            <w:tcW w:w="428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北京市朝阳区发展和改革委员会政府补助</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20"/>
              <w:jc w:val="right"/>
              <w:rPr>
                <w:rFonts w:ascii="宋体" w:hAnsi="宋体" w:cs="宋体" w:eastAsia="宋体" w:hint="default"/>
                <w:sz w:val="18"/>
                <w:szCs w:val="18"/>
              </w:rPr>
            </w:pPr>
            <w:r>
              <w:rPr>
                <w:rFonts w:ascii="宋体"/>
                <w:spacing w:val="-1"/>
                <w:sz w:val="18"/>
              </w:rPr>
              <w:t>370,000.00</w:t>
            </w:r>
          </w:p>
        </w:tc>
        <w:tc>
          <w:tcPr>
            <w:tcW w:w="1563" w:type="dxa"/>
            <w:tcBorders>
              <w:top w:val="single" w:sz="4" w:space="0" w:color="000000"/>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60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5" w:hRule="exact"/>
        </w:trPr>
        <w:tc>
          <w:tcPr>
            <w:tcW w:w="4285" w:type="dxa"/>
            <w:tcBorders>
              <w:top w:val="nil" w:sz="6" w:space="0" w:color="auto"/>
              <w:left w:val="nil" w:sz="6" w:space="0" w:color="auto"/>
              <w:bottom w:val="nil" w:sz="6" w:space="0" w:color="auto"/>
              <w:right w:val="nil" w:sz="6" w:space="0" w:color="auto"/>
            </w:tcBorders>
          </w:tcPr>
          <w:p>
            <w:pPr>
              <w:pStyle w:val="TableParagraph"/>
              <w:spacing w:line="367" w:lineRule="auto" w:before="40"/>
              <w:ind w:left="4" w:right="269"/>
              <w:jc w:val="left"/>
              <w:rPr>
                <w:rFonts w:ascii="宋体" w:hAnsi="宋体" w:cs="宋体" w:eastAsia="宋体" w:hint="default"/>
                <w:sz w:val="18"/>
                <w:szCs w:val="18"/>
              </w:rPr>
            </w:pPr>
            <w:r>
              <w:rPr>
                <w:rFonts w:ascii="宋体" w:hAnsi="宋体" w:cs="宋体" w:eastAsia="宋体" w:hint="default"/>
                <w:sz w:val="18"/>
                <w:szCs w:val="18"/>
              </w:rPr>
              <w:t>2018 </w:t>
            </w:r>
            <w:r>
              <w:rPr>
                <w:rFonts w:ascii="宋体" w:hAnsi="宋体" w:cs="宋体" w:eastAsia="宋体" w:hint="default"/>
                <w:spacing w:val="-3"/>
                <w:sz w:val="18"/>
                <w:szCs w:val="18"/>
              </w:rPr>
              <w:t>年度第二批中关村企业改制挂牌上市和并购支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持项目资金</w:t>
            </w:r>
          </w:p>
        </w:tc>
        <w:tc>
          <w:tcPr>
            <w:tcW w:w="190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7" w:hRule="exact"/>
        </w:trPr>
        <w:tc>
          <w:tcPr>
            <w:tcW w:w="4285" w:type="dxa"/>
            <w:tcBorders>
              <w:top w:val="nil" w:sz="6" w:space="0" w:color="auto"/>
              <w:left w:val="nil" w:sz="6" w:space="0" w:color="auto"/>
              <w:bottom w:val="nil" w:sz="6" w:space="0" w:color="auto"/>
              <w:right w:val="nil" w:sz="6" w:space="0" w:color="auto"/>
            </w:tcBorders>
          </w:tcPr>
          <w:p>
            <w:pPr>
              <w:pStyle w:val="TableParagraph"/>
              <w:spacing w:line="367" w:lineRule="auto" w:before="35"/>
              <w:ind w:left="4" w:right="312"/>
              <w:jc w:val="left"/>
              <w:rPr>
                <w:rFonts w:ascii="宋体" w:hAnsi="宋体" w:cs="宋体" w:eastAsia="宋体" w:hint="default"/>
                <w:sz w:val="18"/>
                <w:szCs w:val="18"/>
              </w:rPr>
            </w:pPr>
            <w:r>
              <w:rPr>
                <w:rFonts w:ascii="宋体" w:hAnsi="宋体" w:cs="宋体" w:eastAsia="宋体" w:hint="default"/>
                <w:spacing w:val="-3"/>
                <w:sz w:val="18"/>
                <w:szCs w:val="18"/>
              </w:rPr>
              <w:t>北京市朝阳区发展和改革委员会国内首次公开发行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股票上市奖励</w:t>
            </w:r>
          </w:p>
        </w:tc>
        <w:tc>
          <w:tcPr>
            <w:tcW w:w="190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1" w:hRule="exact"/>
        </w:trPr>
        <w:tc>
          <w:tcPr>
            <w:tcW w:w="428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 w:right="0"/>
              <w:jc w:val="left"/>
              <w:rPr>
                <w:rFonts w:ascii="宋体" w:hAnsi="宋体" w:cs="宋体" w:eastAsia="宋体" w:hint="default"/>
                <w:sz w:val="18"/>
                <w:szCs w:val="18"/>
              </w:rPr>
            </w:pPr>
            <w:r>
              <w:rPr>
                <w:rFonts w:ascii="宋体" w:hAnsi="宋体" w:cs="宋体" w:eastAsia="宋体" w:hint="default"/>
                <w:sz w:val="18"/>
                <w:szCs w:val="18"/>
              </w:rPr>
              <w:t>党建经费补助</w:t>
            </w:r>
          </w:p>
        </w:tc>
        <w:tc>
          <w:tcPr>
            <w:tcW w:w="190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宋体" w:hAnsi="宋体" w:cs="宋体" w:eastAsia="宋体" w:hint="default"/>
                <w:sz w:val="18"/>
                <w:szCs w:val="18"/>
              </w:rPr>
            </w:pPr>
            <w:r>
              <w:rPr>
                <w:rFonts w:ascii="宋体"/>
                <w:spacing w:val="-1"/>
                <w:sz w:val="18"/>
              </w:rPr>
              <w:t>1,400.00</w:t>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6" w:hRule="exact"/>
        </w:trPr>
        <w:tc>
          <w:tcPr>
            <w:tcW w:w="42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4"/>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0"/>
              <w:jc w:val="right"/>
              <w:rPr>
                <w:rFonts w:ascii="宋体" w:hAnsi="宋体" w:cs="宋体" w:eastAsia="宋体" w:hint="default"/>
                <w:sz w:val="18"/>
                <w:szCs w:val="18"/>
              </w:rPr>
            </w:pPr>
            <w:r>
              <w:rPr>
                <w:rFonts w:ascii="宋体"/>
                <w:w w:val="101"/>
                <w:sz w:val="18"/>
              </w:rPr>
            </w:r>
            <w:r>
              <w:rPr>
                <w:rFonts w:ascii="宋体"/>
                <w:spacing w:val="-1"/>
                <w:sz w:val="18"/>
                <w:u w:val="thick" w:color="000000"/>
              </w:rPr>
              <w:t>370,000.00</w:t>
            </w:r>
            <w:r>
              <w:rPr>
                <w:rFonts w:ascii="宋体"/>
                <w:spacing w:val="-1"/>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5,501,400.00</w:t>
            </w:r>
            <w:r>
              <w:rPr>
                <w:rFonts w:ascii="宋体"/>
                <w:spacing w:val="-1"/>
                <w:sz w:val="18"/>
              </w:rPr>
            </w: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w w:val="101"/>
                <w:sz w:val="18"/>
              </w:rPr>
              <w:t>-</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695" w:right="1020"/>
        <w:jc w:val="left"/>
      </w:pPr>
      <w:bookmarkStart w:name="（三十七）营业外支出" w:id="235"/>
      <w:bookmarkEnd w:id="235"/>
      <w:r>
        <w:rPr/>
      </w:r>
      <w:r>
        <w:rPr/>
        <w:t>（三十七）营业外支出</w:t>
      </w:r>
    </w:p>
    <w:p>
      <w:pPr>
        <w:spacing w:line="240" w:lineRule="auto" w:before="10"/>
        <w:rPr>
          <w:rFonts w:ascii="宋体" w:hAnsi="宋体" w:cs="宋体" w:eastAsia="宋体" w:hint="default"/>
          <w:sz w:val="25"/>
          <w:szCs w:val="25"/>
        </w:rPr>
      </w:pPr>
    </w:p>
    <w:tbl>
      <w:tblPr>
        <w:tblW w:w="0" w:type="auto"/>
        <w:jc w:val="left"/>
        <w:tblInd w:w="273" w:type="dxa"/>
        <w:tblLayout w:type="fixed"/>
        <w:tblCellMar>
          <w:top w:w="0" w:type="dxa"/>
          <w:left w:w="0" w:type="dxa"/>
          <w:bottom w:w="0" w:type="dxa"/>
          <w:right w:w="0" w:type="dxa"/>
        </w:tblCellMar>
        <w:tblLook w:val="01E0"/>
      </w:tblPr>
      <w:tblGrid>
        <w:gridCol w:w="3383"/>
        <w:gridCol w:w="2648"/>
        <w:gridCol w:w="1337"/>
        <w:gridCol w:w="2278"/>
      </w:tblGrid>
      <w:tr>
        <w:trPr>
          <w:trHeight w:val="594" w:hRule="exact"/>
        </w:trPr>
        <w:tc>
          <w:tcPr>
            <w:tcW w:w="3383" w:type="dxa"/>
            <w:tcBorders>
              <w:top w:val="nil" w:sz="6" w:space="0" w:color="auto"/>
              <w:left w:val="nil" w:sz="6" w:space="0" w:color="auto"/>
              <w:bottom w:val="single" w:sz="4" w:space="0" w:color="000000"/>
              <w:right w:val="nil" w:sz="6" w:space="0" w:color="auto"/>
            </w:tcBorders>
          </w:tcPr>
          <w:p>
            <w:pPr>
              <w:pStyle w:val="TableParagraph"/>
              <w:tabs>
                <w:tab w:pos="2103" w:val="left" w:leader="none"/>
              </w:tabs>
              <w:spacing w:line="240" w:lineRule="auto" w:before="124"/>
              <w:ind w:left="1680" w:right="0"/>
              <w:jc w:val="left"/>
              <w:rPr>
                <w:rFonts w:ascii="宋体" w:hAnsi="宋体" w:cs="宋体" w:eastAsia="宋体" w:hint="default"/>
                <w:sz w:val="18"/>
                <w:szCs w:val="18"/>
              </w:rPr>
            </w:pPr>
            <w:r>
              <w:rPr>
                <w:rFonts w:ascii="宋体" w:hAnsi="宋体" w:cs="宋体" w:eastAsia="宋体" w:hint="default"/>
                <w:b/>
                <w:bCs/>
                <w:sz w:val="18"/>
                <w:szCs w:val="18"/>
              </w:rPr>
              <w:t>项</w:t>
              <w:tab/>
              <w:t>目</w:t>
            </w:r>
            <w:r>
              <w:rPr>
                <w:rFonts w:ascii="宋体" w:hAnsi="宋体" w:cs="宋体" w:eastAsia="宋体" w:hint="default"/>
                <w:sz w:val="18"/>
                <w:szCs w:val="18"/>
              </w:rPr>
            </w:r>
          </w:p>
        </w:tc>
        <w:tc>
          <w:tcPr>
            <w:tcW w:w="264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09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2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278" w:type="dxa"/>
            <w:tcBorders>
              <w:top w:val="nil" w:sz="6" w:space="0" w:color="auto"/>
              <w:left w:val="nil" w:sz="6" w:space="0" w:color="auto"/>
              <w:bottom w:val="single" w:sz="4" w:space="0" w:color="000000"/>
              <w:right w:val="nil" w:sz="6" w:space="0" w:color="auto"/>
            </w:tcBorders>
          </w:tcPr>
          <w:p>
            <w:pPr>
              <w:pStyle w:val="TableParagraph"/>
              <w:spacing w:line="182" w:lineRule="exact"/>
              <w:ind w:right="38"/>
              <w:jc w:val="center"/>
              <w:rPr>
                <w:rFonts w:ascii="宋体" w:hAnsi="宋体" w:cs="宋体" w:eastAsia="宋体" w:hint="default"/>
                <w:sz w:val="18"/>
                <w:szCs w:val="18"/>
              </w:rPr>
            </w:pPr>
            <w:r>
              <w:rPr>
                <w:rFonts w:ascii="宋体" w:hAnsi="宋体" w:cs="宋体" w:eastAsia="宋体" w:hint="default"/>
                <w:b/>
                <w:bCs/>
                <w:sz w:val="18"/>
                <w:szCs w:val="18"/>
              </w:rPr>
              <w:t>计入当期非经常性损益的金</w:t>
            </w:r>
            <w:r>
              <w:rPr>
                <w:rFonts w:ascii="宋体" w:hAnsi="宋体" w:cs="宋体" w:eastAsia="宋体" w:hint="default"/>
                <w:sz w:val="18"/>
                <w:szCs w:val="18"/>
              </w:rPr>
            </w:r>
          </w:p>
          <w:p>
            <w:pPr>
              <w:pStyle w:val="TableParagraph"/>
              <w:spacing w:line="240" w:lineRule="auto" w:before="125"/>
              <w:ind w:right="43"/>
              <w:jc w:val="center"/>
              <w:rPr>
                <w:rFonts w:ascii="宋体" w:hAnsi="宋体" w:cs="宋体" w:eastAsia="宋体" w:hint="default"/>
                <w:sz w:val="18"/>
                <w:szCs w:val="18"/>
              </w:rPr>
            </w:pPr>
            <w:r>
              <w:rPr>
                <w:rFonts w:ascii="宋体" w:hAnsi="宋体" w:cs="宋体" w:eastAsia="宋体" w:hint="default"/>
                <w:b/>
                <w:bCs/>
                <w:w w:val="100"/>
                <w:sz w:val="18"/>
                <w:szCs w:val="18"/>
              </w:rPr>
              <w:t>额</w:t>
            </w:r>
            <w:r>
              <w:rPr>
                <w:rFonts w:ascii="宋体" w:hAnsi="宋体" w:cs="宋体" w:eastAsia="宋体" w:hint="default"/>
                <w:w w:val="100"/>
                <w:sz w:val="18"/>
                <w:szCs w:val="18"/>
              </w:rPr>
            </w:r>
          </w:p>
        </w:tc>
      </w:tr>
      <w:tr>
        <w:trPr>
          <w:trHeight w:val="446" w:hRule="exact"/>
        </w:trPr>
        <w:tc>
          <w:tcPr>
            <w:tcW w:w="338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648" w:type="dxa"/>
            <w:tcBorders>
              <w:top w:val="single" w:sz="4" w:space="0" w:color="000000"/>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9"/>
              <w:jc w:val="right"/>
              <w:rPr>
                <w:rFonts w:ascii="宋体" w:hAnsi="宋体" w:cs="宋体" w:eastAsia="宋体" w:hint="default"/>
                <w:sz w:val="18"/>
                <w:szCs w:val="18"/>
              </w:rPr>
            </w:pPr>
            <w:r>
              <w:rPr>
                <w:rFonts w:ascii="宋体"/>
                <w:spacing w:val="-1"/>
                <w:sz w:val="18"/>
              </w:rPr>
              <w:t>3,234.84</w:t>
            </w:r>
          </w:p>
        </w:tc>
        <w:tc>
          <w:tcPr>
            <w:tcW w:w="2278"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42,674.16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pacing w:val="-1"/>
                <w:sz w:val="18"/>
              </w:rPr>
              <w:t>2,134.70</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42,674.16</w:t>
            </w:r>
          </w:p>
        </w:tc>
      </w:tr>
      <w:tr>
        <w:trPr>
          <w:trHeight w:val="396"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7"/>
              <w:jc w:val="right"/>
              <w:rPr>
                <w:rFonts w:ascii="宋体" w:hAnsi="宋体" w:cs="宋体" w:eastAsia="宋体" w:hint="default"/>
                <w:sz w:val="18"/>
                <w:szCs w:val="18"/>
              </w:rPr>
            </w:pPr>
            <w:r>
              <w:rPr>
                <w:rFonts w:ascii="宋体"/>
                <w:spacing w:val="-1"/>
                <w:sz w:val="18"/>
              </w:rPr>
              <w:t>2,592,929.72</w:t>
            </w:r>
          </w:p>
        </w:tc>
        <w:tc>
          <w:tcPr>
            <w:tcW w:w="133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2,592,929.72</w:t>
            </w:r>
          </w:p>
        </w:tc>
      </w:tr>
      <w:tr>
        <w:trPr>
          <w:trHeight w:val="399"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94,446.57</w:t>
            </w:r>
          </w:p>
        </w:tc>
        <w:tc>
          <w:tcPr>
            <w:tcW w:w="1337" w:type="dxa"/>
            <w:tcBorders>
              <w:top w:val="nil" w:sz="6" w:space="0" w:color="auto"/>
              <w:left w:val="nil" w:sz="6" w:space="0" w:color="auto"/>
              <w:bottom w:val="nil" w:sz="6" w:space="0" w:color="auto"/>
              <w:right w:val="nil" w:sz="6" w:space="0" w:color="auto"/>
            </w:tcBorders>
          </w:tcPr>
          <w:p>
            <w:pP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94,446.57</w:t>
            </w:r>
          </w:p>
        </w:tc>
      </w:tr>
      <w:tr>
        <w:trPr>
          <w:trHeight w:val="396"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7"/>
              <w:jc w:val="right"/>
              <w:rPr>
                <w:rFonts w:ascii="宋体" w:hAnsi="宋体" w:cs="宋体" w:eastAsia="宋体" w:hint="default"/>
                <w:sz w:val="18"/>
                <w:szCs w:val="18"/>
              </w:rPr>
            </w:pPr>
            <w:r>
              <w:rPr>
                <w:rFonts w:ascii="宋体"/>
                <w:spacing w:val="-1"/>
                <w:sz w:val="18"/>
              </w:rPr>
              <w:t>9,789.46</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pacing w:val="-1"/>
                <w:sz w:val="18"/>
              </w:rPr>
              <w:t>5,514.74</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9,789.46</w:t>
            </w:r>
          </w:p>
        </w:tc>
      </w:tr>
      <w:tr>
        <w:trPr>
          <w:trHeight w:val="288"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83"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7"/>
              <w:jc w:val="right"/>
              <w:rPr>
                <w:rFonts w:ascii="宋体" w:hAnsi="宋体" w:cs="宋体" w:eastAsia="宋体" w:hint="default"/>
                <w:sz w:val="18"/>
                <w:szCs w:val="18"/>
              </w:rPr>
            </w:pPr>
            <w:r>
              <w:rPr>
                <w:rFonts w:ascii="宋体"/>
                <w:w w:val="101"/>
                <w:sz w:val="18"/>
              </w:rPr>
            </w:r>
            <w:r>
              <w:rPr>
                <w:rFonts w:ascii="宋体"/>
                <w:spacing w:val="-1"/>
                <w:sz w:val="18"/>
                <w:u w:val="thick" w:color="000000"/>
              </w:rPr>
              <w:t>2,739,839.91</w:t>
            </w:r>
            <w:r>
              <w:rPr>
                <w:rFonts w:ascii="宋体"/>
                <w:spacing w:val="-1"/>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w w:val="101"/>
                <w:sz w:val="18"/>
              </w:rPr>
            </w:r>
            <w:r>
              <w:rPr>
                <w:rFonts w:ascii="宋体"/>
                <w:spacing w:val="-1"/>
                <w:sz w:val="18"/>
                <w:u w:val="thick" w:color="000000"/>
              </w:rPr>
              <w:t>10,884.28</w:t>
            </w:r>
            <w:r>
              <w:rPr>
                <w:rFonts w:ascii="宋体"/>
                <w:spacing w:val="-1"/>
                <w:sz w:val="18"/>
              </w:rPr>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2,739,839.91</w:t>
            </w:r>
            <w:r>
              <w:rPr>
                <w:rFonts w:ascii="宋体"/>
                <w:spacing w:val="-1"/>
                <w:sz w:val="18"/>
              </w:rPr>
            </w:r>
          </w:p>
        </w:tc>
      </w:tr>
    </w:tbl>
    <w:p>
      <w:pPr>
        <w:spacing w:line="240" w:lineRule="auto" w:before="7"/>
        <w:rPr>
          <w:rFonts w:ascii="宋体" w:hAnsi="宋体" w:cs="宋体" w:eastAsia="宋体" w:hint="default"/>
          <w:sz w:val="20"/>
          <w:szCs w:val="20"/>
        </w:rPr>
      </w:pPr>
    </w:p>
    <w:p>
      <w:pPr>
        <w:pStyle w:val="BodyText"/>
        <w:spacing w:line="448" w:lineRule="auto" w:before="36"/>
        <w:ind w:left="695" w:right="8239"/>
        <w:jc w:val="left"/>
      </w:pPr>
      <w:bookmarkStart w:name="（三十八）所得税费用" w:id="236"/>
      <w:bookmarkEnd w:id="236"/>
      <w:r>
        <w:rPr/>
      </w:r>
      <w:r>
        <w:rPr>
          <w:spacing w:val="-1"/>
        </w:rPr>
        <w:t>（三十八）所得税费用</w:t>
      </w:r>
      <w:r>
        <w:rPr>
          <w:spacing w:val="-93"/>
        </w:rPr>
        <w:t> </w:t>
      </w:r>
      <w:r>
        <w:rPr>
          <w:spacing w:val="-93"/>
        </w:rPr>
      </w:r>
      <w:r>
        <w:rPr>
          <w:rFonts w:ascii="宋体" w:hAnsi="宋体" w:cs="宋体" w:eastAsia="宋体" w:hint="default"/>
        </w:rPr>
        <w:t>1.</w:t>
      </w:r>
      <w:r>
        <w:rPr/>
        <w:t>所得税费用表</w:t>
      </w:r>
    </w:p>
    <w:p>
      <w:pPr>
        <w:spacing w:line="240" w:lineRule="auto" w:before="10"/>
        <w:rPr>
          <w:rFonts w:ascii="宋体" w:hAnsi="宋体" w:cs="宋体" w:eastAsia="宋体" w:hint="default"/>
          <w:sz w:val="11"/>
          <w:szCs w:val="11"/>
        </w:rPr>
      </w:pPr>
    </w:p>
    <w:tbl>
      <w:tblPr>
        <w:tblW w:w="0" w:type="auto"/>
        <w:jc w:val="left"/>
        <w:tblInd w:w="273" w:type="dxa"/>
        <w:tblLayout w:type="fixed"/>
        <w:tblCellMar>
          <w:top w:w="0" w:type="dxa"/>
          <w:left w:w="0" w:type="dxa"/>
          <w:bottom w:w="0" w:type="dxa"/>
          <w:right w:w="0" w:type="dxa"/>
        </w:tblCellMar>
        <w:tblLook w:val="01E0"/>
      </w:tblPr>
      <w:tblGrid>
        <w:gridCol w:w="4199"/>
        <w:gridCol w:w="3404"/>
        <w:gridCol w:w="2043"/>
      </w:tblGrid>
      <w:tr>
        <w:trPr>
          <w:trHeight w:val="272" w:hRule="exact"/>
        </w:trPr>
        <w:tc>
          <w:tcPr>
            <w:tcW w:w="4199" w:type="dxa"/>
            <w:tcBorders>
              <w:top w:val="nil" w:sz="6" w:space="0" w:color="auto"/>
              <w:left w:val="nil" w:sz="6" w:space="0" w:color="auto"/>
              <w:bottom w:val="single" w:sz="4" w:space="0" w:color="000000"/>
              <w:right w:val="nil" w:sz="6" w:space="0" w:color="auto"/>
            </w:tcBorders>
          </w:tcPr>
          <w:p>
            <w:pPr>
              <w:pStyle w:val="TableParagraph"/>
              <w:tabs>
                <w:tab w:pos="1159" w:val="left" w:leader="none"/>
              </w:tabs>
              <w:spacing w:line="182" w:lineRule="exact"/>
              <w:ind w:left="737" w:right="0"/>
              <w:jc w:val="center"/>
              <w:rPr>
                <w:rFonts w:ascii="宋体" w:hAnsi="宋体" w:cs="宋体" w:eastAsia="宋体" w:hint="default"/>
                <w:sz w:val="18"/>
                <w:szCs w:val="18"/>
              </w:rPr>
            </w:pPr>
            <w:r>
              <w:rPr>
                <w:rFonts w:ascii="宋体" w:hAnsi="宋体" w:cs="宋体" w:eastAsia="宋体" w:hint="default"/>
                <w:b/>
                <w:bCs/>
                <w:sz w:val="18"/>
                <w:szCs w:val="18"/>
              </w:rPr>
              <w:t>项</w:t>
              <w:tab/>
              <w:t>目</w:t>
            </w:r>
            <w:r>
              <w:rPr>
                <w:rFonts w:ascii="宋体" w:hAnsi="宋体" w:cs="宋体" w:eastAsia="宋体" w:hint="default"/>
                <w:sz w:val="18"/>
                <w:szCs w:val="18"/>
              </w:rPr>
            </w:r>
          </w:p>
        </w:tc>
        <w:tc>
          <w:tcPr>
            <w:tcW w:w="3404" w:type="dxa"/>
            <w:tcBorders>
              <w:top w:val="nil" w:sz="6" w:space="0" w:color="auto"/>
              <w:left w:val="nil" w:sz="6" w:space="0" w:color="auto"/>
              <w:bottom w:val="single" w:sz="4" w:space="0" w:color="000000"/>
              <w:right w:val="nil" w:sz="6" w:space="0" w:color="auto"/>
            </w:tcBorders>
          </w:tcPr>
          <w:p>
            <w:pPr>
              <w:pStyle w:val="TableParagraph"/>
              <w:spacing w:line="201" w:lineRule="exact"/>
              <w:ind w:left="142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43" w:type="dxa"/>
            <w:tcBorders>
              <w:top w:val="nil" w:sz="6" w:space="0" w:color="auto"/>
              <w:left w:val="nil" w:sz="6" w:space="0" w:color="auto"/>
              <w:bottom w:val="single" w:sz="4" w:space="0" w:color="000000"/>
              <w:right w:val="nil" w:sz="6" w:space="0" w:color="auto"/>
            </w:tcBorders>
          </w:tcPr>
          <w:p>
            <w:pPr>
              <w:pStyle w:val="TableParagraph"/>
              <w:spacing w:line="201"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4" w:hRule="exact"/>
        </w:trPr>
        <w:tc>
          <w:tcPr>
            <w:tcW w:w="41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40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75"/>
              <w:jc w:val="right"/>
              <w:rPr>
                <w:rFonts w:ascii="宋体" w:hAnsi="宋体" w:cs="宋体" w:eastAsia="宋体" w:hint="default"/>
                <w:sz w:val="18"/>
                <w:szCs w:val="18"/>
              </w:rPr>
            </w:pPr>
            <w:r>
              <w:rPr>
                <w:rFonts w:ascii="宋体"/>
                <w:spacing w:val="-1"/>
                <w:sz w:val="18"/>
              </w:rPr>
              <w:t>3,005,668.46</w:t>
            </w:r>
          </w:p>
        </w:tc>
        <w:tc>
          <w:tcPr>
            <w:tcW w:w="204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4,749,156.45</w:t>
            </w:r>
          </w:p>
        </w:tc>
      </w:tr>
      <w:tr>
        <w:trPr>
          <w:trHeight w:val="396"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75"/>
              <w:jc w:val="right"/>
              <w:rPr>
                <w:rFonts w:ascii="宋体" w:hAnsi="宋体" w:cs="宋体" w:eastAsia="宋体" w:hint="default"/>
                <w:sz w:val="18"/>
                <w:szCs w:val="18"/>
              </w:rPr>
            </w:pPr>
            <w:r>
              <w:rPr>
                <w:rFonts w:ascii="宋体"/>
                <w:spacing w:val="-1"/>
                <w:sz w:val="18"/>
              </w:rPr>
              <w:t>-240,387.20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pacing w:val="-1"/>
                <w:sz w:val="18"/>
              </w:rPr>
              <w:t>-1,573,579.30</w:t>
            </w:r>
          </w:p>
        </w:tc>
      </w:tr>
      <w:tr>
        <w:trPr>
          <w:trHeight w:val="281" w:hRule="exact"/>
        </w:trPr>
        <w:tc>
          <w:tcPr>
            <w:tcW w:w="41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74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0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5"/>
              <w:jc w:val="right"/>
              <w:rPr>
                <w:rFonts w:ascii="宋体" w:hAnsi="宋体" w:cs="宋体" w:eastAsia="宋体" w:hint="default"/>
                <w:sz w:val="18"/>
                <w:szCs w:val="18"/>
              </w:rPr>
            </w:pPr>
            <w:r>
              <w:rPr>
                <w:rFonts w:ascii="宋体"/>
                <w:w w:val="101"/>
                <w:sz w:val="18"/>
              </w:rPr>
            </w:r>
            <w:r>
              <w:rPr>
                <w:rFonts w:ascii="宋体"/>
                <w:spacing w:val="-1"/>
                <w:sz w:val="18"/>
                <w:u w:val="thick" w:color="000000"/>
              </w:rPr>
              <w:t>2,765,281.26</w:t>
            </w:r>
            <w:r>
              <w:rPr>
                <w:rFonts w:ascii="宋体"/>
                <w:spacing w:val="-1"/>
                <w:sz w:val="18"/>
              </w:rPr>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
              <w:jc w:val="right"/>
              <w:rPr>
                <w:rFonts w:ascii="宋体" w:hAnsi="宋体" w:cs="宋体" w:eastAsia="宋体" w:hint="default"/>
                <w:sz w:val="18"/>
                <w:szCs w:val="18"/>
              </w:rPr>
            </w:pPr>
            <w:r>
              <w:rPr>
                <w:rFonts w:ascii="宋体"/>
                <w:w w:val="101"/>
                <w:sz w:val="18"/>
              </w:rPr>
            </w:r>
            <w:r>
              <w:rPr>
                <w:rFonts w:ascii="宋体"/>
                <w:spacing w:val="-1"/>
                <w:sz w:val="18"/>
                <w:u w:val="thick" w:color="000000"/>
              </w:rPr>
              <w:t>3,175,577.15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6"/>
        <w:ind w:left="695" w:right="1020"/>
        <w:jc w:val="left"/>
      </w:pPr>
      <w:r>
        <w:rPr>
          <w:rFonts w:ascii="宋体" w:hAnsi="宋体" w:cs="宋体" w:eastAsia="宋体" w:hint="default"/>
        </w:rPr>
        <w:t>2.</w:t>
      </w:r>
      <w:r>
        <w:rPr/>
        <w:t>会计利润与所得税费用调整过程</w:t>
      </w:r>
    </w:p>
    <w:p>
      <w:pPr>
        <w:spacing w:line="240" w:lineRule="auto" w:before="10"/>
        <w:rPr>
          <w:rFonts w:ascii="宋体" w:hAnsi="宋体" w:cs="宋体" w:eastAsia="宋体" w:hint="default"/>
          <w:sz w:val="25"/>
          <w:szCs w:val="25"/>
        </w:rPr>
      </w:pPr>
    </w:p>
    <w:tbl>
      <w:tblPr>
        <w:tblW w:w="0" w:type="auto"/>
        <w:jc w:val="left"/>
        <w:tblInd w:w="162" w:type="dxa"/>
        <w:tblLayout w:type="fixed"/>
        <w:tblCellMar>
          <w:top w:w="0" w:type="dxa"/>
          <w:left w:w="0" w:type="dxa"/>
          <w:bottom w:w="0" w:type="dxa"/>
          <w:right w:w="0" w:type="dxa"/>
        </w:tblCellMar>
        <w:tblLook w:val="01E0"/>
      </w:tblPr>
      <w:tblGrid>
        <w:gridCol w:w="4367"/>
        <w:gridCol w:w="3304"/>
        <w:gridCol w:w="2188"/>
      </w:tblGrid>
      <w:tr>
        <w:trPr>
          <w:trHeight w:val="272" w:hRule="exact"/>
        </w:trPr>
        <w:tc>
          <w:tcPr>
            <w:tcW w:w="4367" w:type="dxa"/>
            <w:tcBorders>
              <w:top w:val="nil" w:sz="6" w:space="0" w:color="auto"/>
              <w:left w:val="nil" w:sz="6" w:space="0" w:color="auto"/>
              <w:bottom w:val="single" w:sz="4" w:space="0" w:color="000000"/>
              <w:right w:val="nil" w:sz="6" w:space="0" w:color="auto"/>
            </w:tcBorders>
          </w:tcPr>
          <w:p>
            <w:pPr>
              <w:pStyle w:val="TableParagraph"/>
              <w:spacing w:line="182" w:lineRule="exact"/>
              <w:ind w:left="70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04" w:type="dxa"/>
            <w:tcBorders>
              <w:top w:val="nil" w:sz="6" w:space="0" w:color="auto"/>
              <w:left w:val="nil" w:sz="6" w:space="0" w:color="auto"/>
              <w:bottom w:val="single" w:sz="4" w:space="0" w:color="000000"/>
              <w:right w:val="nil" w:sz="6" w:space="0" w:color="auto"/>
            </w:tcBorders>
          </w:tcPr>
          <w:p>
            <w:pPr>
              <w:pStyle w:val="TableParagraph"/>
              <w:spacing w:line="201" w:lineRule="exact"/>
              <w:ind w:left="137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88" w:type="dxa"/>
            <w:tcBorders>
              <w:top w:val="nil" w:sz="6" w:space="0" w:color="auto"/>
              <w:left w:val="nil" w:sz="6" w:space="0" w:color="auto"/>
              <w:bottom w:val="single" w:sz="4" w:space="0" w:color="000000"/>
              <w:right w:val="nil" w:sz="6" w:space="0" w:color="auto"/>
            </w:tcBorders>
          </w:tcPr>
          <w:p>
            <w:pPr>
              <w:pStyle w:val="TableParagraph"/>
              <w:spacing w:line="201"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1" w:hRule="exact"/>
        </w:trPr>
        <w:tc>
          <w:tcPr>
            <w:tcW w:w="436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1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304"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461"/>
              <w:jc w:val="right"/>
              <w:rPr>
                <w:rFonts w:ascii="宋体" w:hAnsi="宋体" w:cs="宋体" w:eastAsia="宋体" w:hint="default"/>
                <w:sz w:val="18"/>
                <w:szCs w:val="18"/>
              </w:rPr>
            </w:pPr>
            <w:r>
              <w:rPr>
                <w:rFonts w:ascii="宋体"/>
                <w:spacing w:val="-1"/>
                <w:sz w:val="18"/>
              </w:rPr>
              <w:t>15,691,329.60</w:t>
            </w: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7,504,197.52</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宋体" w:hAnsi="宋体" w:cs="宋体" w:eastAsia="宋体" w:hint="default"/>
                <w:spacing w:val="-3"/>
                <w:sz w:val="18"/>
                <w:szCs w:val="18"/>
              </w:rPr>
              <w:t>/</w:t>
            </w:r>
            <w:r>
              <w:rPr>
                <w:rFonts w:ascii="宋体" w:hAnsi="宋体" w:cs="宋体" w:eastAsia="宋体" w:hint="default"/>
                <w:spacing w:val="-3"/>
                <w:sz w:val="18"/>
                <w:szCs w:val="18"/>
              </w:rPr>
              <w:t>适用税率计算的所得税费用</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61"/>
              <w:jc w:val="right"/>
              <w:rPr>
                <w:rFonts w:ascii="宋体" w:hAnsi="宋体" w:cs="宋体" w:eastAsia="宋体" w:hint="default"/>
                <w:sz w:val="18"/>
                <w:szCs w:val="18"/>
              </w:rPr>
            </w:pPr>
            <w:r>
              <w:rPr>
                <w:rFonts w:ascii="宋体"/>
                <w:spacing w:val="-1"/>
                <w:sz w:val="18"/>
              </w:rPr>
              <w:t>2,353,699.43</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1,125,629.63</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61"/>
              <w:jc w:val="right"/>
              <w:rPr>
                <w:rFonts w:ascii="宋体" w:hAnsi="宋体" w:cs="宋体" w:eastAsia="宋体" w:hint="default"/>
                <w:sz w:val="18"/>
                <w:szCs w:val="18"/>
              </w:rPr>
            </w:pPr>
            <w:r>
              <w:rPr>
                <w:rFonts w:ascii="宋体"/>
                <w:spacing w:val="-1"/>
                <w:sz w:val="18"/>
              </w:rPr>
              <w:t>-45,896.18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-1,852,773.59</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61"/>
              <w:jc w:val="right"/>
              <w:rPr>
                <w:rFonts w:ascii="宋体" w:hAnsi="宋体" w:cs="宋体" w:eastAsia="宋体" w:hint="default"/>
                <w:sz w:val="18"/>
                <w:szCs w:val="18"/>
              </w:rPr>
            </w:pPr>
            <w:r>
              <w:rPr>
                <w:rFonts w:ascii="宋体"/>
                <w:spacing w:val="-1"/>
                <w:sz w:val="18"/>
              </w:rPr>
              <w:t>-29,269.50</w:t>
            </w:r>
          </w:p>
        </w:tc>
        <w:tc>
          <w:tcPr>
            <w:tcW w:w="2188" w:type="dxa"/>
            <w:tcBorders>
              <w:top w:val="nil" w:sz="6" w:space="0" w:color="auto"/>
              <w:left w:val="nil" w:sz="6" w:space="0" w:color="auto"/>
              <w:bottom w:val="nil" w:sz="6" w:space="0" w:color="auto"/>
              <w:right w:val="nil" w:sz="6" w:space="0" w:color="auto"/>
            </w:tcBorders>
          </w:tcPr>
          <w:p>
            <w:pP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1"/>
              <w:jc w:val="right"/>
              <w:rPr>
                <w:rFonts w:ascii="宋体" w:hAnsi="宋体" w:cs="宋体" w:eastAsia="宋体" w:hint="default"/>
                <w:sz w:val="18"/>
                <w:szCs w:val="18"/>
              </w:rPr>
            </w:pPr>
            <w:r>
              <w:rPr>
                <w:rFonts w:ascii="宋体"/>
                <w:spacing w:val="-1"/>
                <w:sz w:val="18"/>
              </w:rPr>
              <w:t>-27,602.53</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-394,859.58</w:t>
            </w:r>
          </w:p>
        </w:tc>
      </w:tr>
      <w:tr>
        <w:trPr>
          <w:trHeight w:val="29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61"/>
              <w:jc w:val="right"/>
              <w:rPr>
                <w:rFonts w:ascii="宋体" w:hAnsi="宋体" w:cs="宋体" w:eastAsia="宋体" w:hint="default"/>
                <w:sz w:val="18"/>
                <w:szCs w:val="18"/>
              </w:rPr>
            </w:pPr>
            <w:r>
              <w:rPr>
                <w:rFonts w:ascii="宋体"/>
                <w:spacing w:val="-1"/>
                <w:sz w:val="18"/>
              </w:rPr>
              <w:t>83,139.31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465,262.61</w:t>
            </w:r>
          </w:p>
        </w:tc>
      </w:tr>
    </w:tbl>
    <w:p>
      <w:pPr>
        <w:spacing w:after="0" w:line="240" w:lineRule="auto"/>
        <w:jc w:val="right"/>
        <w:rPr>
          <w:rFonts w:ascii="宋体" w:hAnsi="宋体" w:cs="宋体" w:eastAsia="宋体" w:hint="default"/>
          <w:sz w:val="18"/>
          <w:szCs w:val="18"/>
        </w:rPr>
        <w:sectPr>
          <w:pgSz w:w="11910" w:h="16840"/>
          <w:pgMar w:header="741" w:footer="979" w:top="1060" w:bottom="1160" w:left="8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5348"/>
        <w:gridCol w:w="2322"/>
        <w:gridCol w:w="2188"/>
      </w:tblGrid>
      <w:tr>
        <w:trPr>
          <w:trHeight w:val="272" w:hRule="exact"/>
        </w:trPr>
        <w:tc>
          <w:tcPr>
            <w:tcW w:w="5348" w:type="dxa"/>
            <w:tcBorders>
              <w:top w:val="nil" w:sz="6" w:space="0" w:color="auto"/>
              <w:left w:val="nil" w:sz="6" w:space="0" w:color="auto"/>
              <w:bottom w:val="single" w:sz="4" w:space="0" w:color="000000"/>
              <w:right w:val="nil" w:sz="6" w:space="0" w:color="auto"/>
            </w:tcBorders>
          </w:tcPr>
          <w:p>
            <w:pPr>
              <w:pStyle w:val="TableParagraph"/>
              <w:spacing w:line="182" w:lineRule="exact"/>
              <w:ind w:right="27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22" w:type="dxa"/>
            <w:tcBorders>
              <w:top w:val="nil" w:sz="6" w:space="0" w:color="auto"/>
              <w:left w:val="nil" w:sz="6" w:space="0" w:color="auto"/>
              <w:bottom w:val="single" w:sz="4" w:space="0" w:color="000000"/>
              <w:right w:val="nil" w:sz="6" w:space="0" w:color="auto"/>
            </w:tcBorders>
          </w:tcPr>
          <w:p>
            <w:pPr>
              <w:pStyle w:val="TableParagraph"/>
              <w:spacing w:line="201" w:lineRule="exact"/>
              <w:ind w:left="3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88" w:type="dxa"/>
            <w:tcBorders>
              <w:top w:val="nil" w:sz="6" w:space="0" w:color="auto"/>
              <w:left w:val="nil" w:sz="6" w:space="0" w:color="auto"/>
              <w:bottom w:val="single" w:sz="4" w:space="0" w:color="000000"/>
              <w:right w:val="nil" w:sz="6" w:space="0" w:color="auto"/>
            </w:tcBorders>
          </w:tcPr>
          <w:p>
            <w:pPr>
              <w:pStyle w:val="TableParagraph"/>
              <w:spacing w:line="201"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534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税率变动对期初递延所得税余额的影响</w:t>
            </w:r>
          </w:p>
        </w:tc>
        <w:tc>
          <w:tcPr>
            <w:tcW w:w="2322" w:type="dxa"/>
            <w:tcBorders>
              <w:top w:val="single" w:sz="4" w:space="0" w:color="000000"/>
              <w:left w:val="nil" w:sz="6" w:space="0" w:color="auto"/>
              <w:bottom w:val="nil" w:sz="6" w:space="0" w:color="auto"/>
              <w:right w:val="nil" w:sz="6" w:space="0" w:color="auto"/>
            </w:tcBorders>
          </w:tcPr>
          <w:p>
            <w:pP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154,840.26</w:t>
            </w:r>
          </w:p>
        </w:tc>
      </w:tr>
      <w:tr>
        <w:trPr>
          <w:trHeight w:val="737" w:hRule="exact"/>
        </w:trPr>
        <w:tc>
          <w:tcPr>
            <w:tcW w:w="5348"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387"/>
              <w:jc w:val="left"/>
              <w:rPr>
                <w:rFonts w:ascii="宋体" w:hAnsi="宋体" w:cs="宋体" w:eastAsia="宋体" w:hint="default"/>
                <w:sz w:val="18"/>
                <w:szCs w:val="18"/>
              </w:rPr>
            </w:pPr>
            <w:r>
              <w:rPr>
                <w:rFonts w:ascii="宋体" w:hAnsi="宋体" w:cs="宋体" w:eastAsia="宋体" w:hint="default"/>
                <w:spacing w:val="2"/>
                <w:sz w:val="18"/>
                <w:szCs w:val="18"/>
              </w:rPr>
              <w:t>以前年度已确认递延所得税的可抵扣暂时性差异和可抵扣亏</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损的影响</w:t>
            </w:r>
          </w:p>
        </w:tc>
        <w:tc>
          <w:tcPr>
            <w:tcW w:w="2322"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12,990.00</w:t>
            </w:r>
          </w:p>
        </w:tc>
      </w:tr>
      <w:tr>
        <w:trPr>
          <w:trHeight w:val="377" w:hRule="exact"/>
        </w:trPr>
        <w:tc>
          <w:tcPr>
            <w:tcW w:w="534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61"/>
              <w:jc w:val="right"/>
              <w:rPr>
                <w:rFonts w:ascii="宋体" w:hAnsi="宋体" w:cs="宋体" w:eastAsia="宋体" w:hint="default"/>
                <w:sz w:val="18"/>
                <w:szCs w:val="18"/>
              </w:rPr>
            </w:pPr>
            <w:r>
              <w:rPr>
                <w:rFonts w:ascii="宋体"/>
                <w:spacing w:val="-1"/>
                <w:sz w:val="18"/>
              </w:rPr>
              <w:t>-52,074.14</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宋体" w:hAnsi="宋体" w:cs="宋体" w:eastAsia="宋体" w:hint="default"/>
                <w:sz w:val="18"/>
                <w:szCs w:val="18"/>
              </w:rPr>
            </w:pPr>
            <w:r>
              <w:rPr>
                <w:rFonts w:ascii="宋体"/>
                <w:spacing w:val="-1"/>
                <w:sz w:val="18"/>
              </w:rPr>
              <w:t>-371,655.22</w:t>
            </w:r>
          </w:p>
        </w:tc>
      </w:tr>
      <w:tr>
        <w:trPr>
          <w:trHeight w:val="739" w:hRule="exact"/>
        </w:trPr>
        <w:tc>
          <w:tcPr>
            <w:tcW w:w="5348"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387"/>
              <w:jc w:val="left"/>
              <w:rPr>
                <w:rFonts w:ascii="宋体" w:hAnsi="宋体" w:cs="宋体" w:eastAsia="宋体" w:hint="default"/>
                <w:sz w:val="18"/>
                <w:szCs w:val="18"/>
              </w:rPr>
            </w:pPr>
            <w:r>
              <w:rPr>
                <w:rFonts w:ascii="宋体" w:hAnsi="宋体" w:cs="宋体" w:eastAsia="宋体" w:hint="default"/>
                <w:spacing w:val="2"/>
                <w:sz w:val="18"/>
                <w:szCs w:val="18"/>
              </w:rPr>
              <w:t>本期未确认递延所得税资产的可抵扣暂时性差异或可抵扣亏</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损的影响</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61"/>
              <w:jc w:val="right"/>
              <w:rPr>
                <w:rFonts w:ascii="宋体" w:hAnsi="宋体" w:cs="宋体" w:eastAsia="宋体" w:hint="default"/>
                <w:sz w:val="18"/>
                <w:szCs w:val="18"/>
              </w:rPr>
            </w:pPr>
            <w:r>
              <w:rPr>
                <w:rFonts w:ascii="宋体"/>
                <w:spacing w:val="-1"/>
                <w:sz w:val="18"/>
              </w:rPr>
              <w:t>1,137,727.54</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5,110,038.70</w:t>
            </w:r>
          </w:p>
        </w:tc>
      </w:tr>
      <w:tr>
        <w:trPr>
          <w:trHeight w:val="379" w:hRule="exact"/>
        </w:trPr>
        <w:tc>
          <w:tcPr>
            <w:tcW w:w="5348"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税法规定的额外可扣除费用</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61"/>
              <w:jc w:val="right"/>
              <w:rPr>
                <w:rFonts w:ascii="宋体" w:hAnsi="宋体" w:cs="宋体" w:eastAsia="宋体" w:hint="default"/>
                <w:sz w:val="18"/>
                <w:szCs w:val="18"/>
              </w:rPr>
            </w:pPr>
            <w:r>
              <w:rPr>
                <w:rFonts w:ascii="宋体"/>
                <w:spacing w:val="-1"/>
                <w:sz w:val="18"/>
              </w:rPr>
              <w:t>-654,442.67</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-1,073,895.66</w:t>
            </w:r>
          </w:p>
        </w:tc>
      </w:tr>
      <w:tr>
        <w:trPr>
          <w:trHeight w:val="300" w:hRule="exact"/>
        </w:trPr>
        <w:tc>
          <w:tcPr>
            <w:tcW w:w="534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1"/>
              <w:jc w:val="center"/>
              <w:rPr>
                <w:rFonts w:ascii="宋体" w:hAnsi="宋体" w:cs="宋体" w:eastAsia="宋体" w:hint="default"/>
                <w:sz w:val="18"/>
                <w:szCs w:val="18"/>
              </w:rPr>
            </w:pPr>
            <w:r>
              <w:rPr>
                <w:rFonts w:ascii="宋体" w:hAnsi="宋体" w:cs="宋体" w:eastAsia="宋体" w:hint="default"/>
                <w:spacing w:val="-3"/>
                <w:sz w:val="18"/>
                <w:szCs w:val="18"/>
              </w:rPr>
              <w:t>所得税费用合计</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61"/>
              <w:jc w:val="right"/>
              <w:rPr>
                <w:rFonts w:ascii="宋体" w:hAnsi="宋体" w:cs="宋体" w:eastAsia="宋体" w:hint="default"/>
                <w:sz w:val="18"/>
                <w:szCs w:val="18"/>
              </w:rPr>
            </w:pPr>
            <w:r>
              <w:rPr>
                <w:rFonts w:ascii="宋体"/>
                <w:w w:val="101"/>
                <w:sz w:val="18"/>
              </w:rPr>
            </w:r>
            <w:r>
              <w:rPr>
                <w:rFonts w:ascii="宋体"/>
                <w:spacing w:val="-1"/>
                <w:sz w:val="18"/>
                <w:u w:val="thick" w:color="000000"/>
              </w:rPr>
              <w:t>2,765,281.26</w:t>
            </w:r>
            <w:r>
              <w:rPr>
                <w:rFonts w:ascii="宋体"/>
                <w:spacing w:val="-1"/>
                <w:sz w:val="18"/>
              </w:rPr>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3,175,577.15</w:t>
            </w:r>
            <w:r>
              <w:rPr>
                <w:rFonts w:ascii="宋体"/>
                <w:spacing w:val="-1"/>
                <w:sz w:val="18"/>
              </w:rPr>
            </w:r>
          </w:p>
        </w:tc>
      </w:tr>
    </w:tbl>
    <w:p>
      <w:pPr>
        <w:spacing w:line="240" w:lineRule="auto" w:before="2"/>
        <w:rPr>
          <w:rFonts w:ascii="宋体" w:hAnsi="宋体" w:cs="宋体" w:eastAsia="宋体" w:hint="default"/>
          <w:sz w:val="20"/>
          <w:szCs w:val="20"/>
        </w:rPr>
      </w:pPr>
    </w:p>
    <w:p>
      <w:pPr>
        <w:pStyle w:val="BodyText"/>
        <w:spacing w:line="453" w:lineRule="auto" w:before="36"/>
        <w:ind w:left="635" w:right="5495"/>
        <w:jc w:val="left"/>
      </w:pPr>
      <w:bookmarkStart w:name="（三十九）现金流量表项目注释" w:id="237"/>
      <w:bookmarkEnd w:id="237"/>
      <w:r>
        <w:rPr/>
      </w:r>
      <w:r>
        <w:rPr/>
        <w:t>（三十九）现金流量表项目注释</w:t>
      </w:r>
      <w:r>
        <w:rPr>
          <w:w w:val="100"/>
        </w:rPr>
        <w:t> </w:t>
      </w:r>
      <w:r>
        <w:rPr>
          <w:rFonts w:ascii="宋体" w:hAnsi="宋体" w:cs="宋体" w:eastAsia="宋体" w:hint="default"/>
          <w:spacing w:val="-1"/>
        </w:rPr>
        <w:t>1.</w:t>
      </w:r>
      <w:r>
        <w:rPr>
          <w:spacing w:val="-1"/>
        </w:rPr>
        <w:t>收到的其他与经营活动有关的现金</w:t>
      </w:r>
    </w:p>
    <w:p>
      <w:pPr>
        <w:spacing w:line="240" w:lineRule="auto" w:before="8"/>
        <w:rPr>
          <w:rFonts w:ascii="宋体" w:hAnsi="宋体" w:cs="宋体" w:eastAsia="宋体" w:hint="default"/>
          <w:sz w:val="12"/>
          <w:szCs w:val="12"/>
        </w:rPr>
      </w:pPr>
    </w:p>
    <w:tbl>
      <w:tblPr>
        <w:tblW w:w="0" w:type="auto"/>
        <w:jc w:val="left"/>
        <w:tblInd w:w="779" w:type="dxa"/>
        <w:tblLayout w:type="fixed"/>
        <w:tblCellMar>
          <w:top w:w="0" w:type="dxa"/>
          <w:left w:w="0" w:type="dxa"/>
          <w:bottom w:w="0" w:type="dxa"/>
          <w:right w:w="0" w:type="dxa"/>
        </w:tblCellMar>
        <w:tblLook w:val="01E0"/>
      </w:tblPr>
      <w:tblGrid>
        <w:gridCol w:w="3234"/>
        <w:gridCol w:w="3277"/>
        <w:gridCol w:w="1998"/>
      </w:tblGrid>
      <w:tr>
        <w:trPr>
          <w:trHeight w:val="253" w:hRule="exact"/>
        </w:trPr>
        <w:tc>
          <w:tcPr>
            <w:tcW w:w="3234" w:type="dxa"/>
            <w:tcBorders>
              <w:top w:val="nil" w:sz="6" w:space="0" w:color="auto"/>
              <w:left w:val="nil" w:sz="6" w:space="0" w:color="auto"/>
              <w:bottom w:val="single" w:sz="4" w:space="0" w:color="000000"/>
              <w:right w:val="nil" w:sz="6" w:space="0" w:color="auto"/>
            </w:tcBorders>
          </w:tcPr>
          <w:p>
            <w:pPr>
              <w:pStyle w:val="TableParagraph"/>
              <w:spacing w:line="182" w:lineRule="exact"/>
              <w:ind w:right="123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77" w:type="dxa"/>
            <w:tcBorders>
              <w:top w:val="nil" w:sz="6" w:space="0" w:color="auto"/>
              <w:left w:val="nil" w:sz="6" w:space="0" w:color="auto"/>
              <w:bottom w:val="single" w:sz="4" w:space="0" w:color="000000"/>
              <w:right w:val="nil" w:sz="6" w:space="0" w:color="auto"/>
            </w:tcBorders>
          </w:tcPr>
          <w:p>
            <w:pPr>
              <w:pStyle w:val="TableParagraph"/>
              <w:spacing w:line="182" w:lineRule="exact"/>
              <w:ind w:left="103"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98" w:type="dxa"/>
            <w:tcBorders>
              <w:top w:val="nil" w:sz="6" w:space="0" w:color="auto"/>
              <w:left w:val="nil" w:sz="6" w:space="0" w:color="auto"/>
              <w:bottom w:val="single" w:sz="4" w:space="0" w:color="000000"/>
              <w:right w:val="nil" w:sz="6" w:space="0" w:color="auto"/>
            </w:tcBorders>
          </w:tcPr>
          <w:p>
            <w:pPr>
              <w:pStyle w:val="TableParagraph"/>
              <w:spacing w:line="182"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6" w:hRule="exact"/>
        </w:trPr>
        <w:tc>
          <w:tcPr>
            <w:tcW w:w="323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27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96"/>
              <w:jc w:val="right"/>
              <w:rPr>
                <w:rFonts w:ascii="宋体" w:hAnsi="宋体" w:cs="宋体" w:eastAsia="宋体" w:hint="default"/>
                <w:sz w:val="18"/>
                <w:szCs w:val="18"/>
              </w:rPr>
            </w:pPr>
            <w:r>
              <w:rPr>
                <w:rFonts w:ascii="宋体"/>
                <w:spacing w:val="-1"/>
                <w:sz w:val="18"/>
              </w:rPr>
              <w:t>3,237,845.12</w:t>
            </w:r>
          </w:p>
        </w:tc>
        <w:tc>
          <w:tcPr>
            <w:tcW w:w="199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3"/>
              <w:jc w:val="right"/>
              <w:rPr>
                <w:rFonts w:ascii="宋体" w:hAnsi="宋体" w:cs="宋体" w:eastAsia="宋体" w:hint="default"/>
                <w:sz w:val="18"/>
                <w:szCs w:val="18"/>
              </w:rPr>
            </w:pPr>
            <w:r>
              <w:rPr>
                <w:rFonts w:ascii="宋体"/>
                <w:spacing w:val="-1"/>
                <w:sz w:val="18"/>
              </w:rPr>
              <w:t>12,962,438.32</w:t>
            </w:r>
          </w:p>
        </w:tc>
      </w:tr>
      <w:tr>
        <w:trPr>
          <w:trHeight w:val="396"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6"/>
              <w:jc w:val="right"/>
              <w:rPr>
                <w:rFonts w:ascii="宋体" w:hAnsi="宋体" w:cs="宋体" w:eastAsia="宋体" w:hint="default"/>
                <w:sz w:val="18"/>
                <w:szCs w:val="18"/>
              </w:rPr>
            </w:pPr>
            <w:r>
              <w:rPr>
                <w:rFonts w:ascii="宋体"/>
                <w:spacing w:val="-1"/>
                <w:sz w:val="18"/>
              </w:rPr>
              <w:t>3,106,784.55</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3,474,930.42</w:t>
            </w:r>
          </w:p>
        </w:tc>
      </w:tr>
      <w:tr>
        <w:trPr>
          <w:trHeight w:val="396"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6"/>
              <w:jc w:val="right"/>
              <w:rPr>
                <w:rFonts w:ascii="宋体" w:hAnsi="宋体" w:cs="宋体" w:eastAsia="宋体" w:hint="default"/>
                <w:sz w:val="18"/>
                <w:szCs w:val="18"/>
              </w:rPr>
            </w:pPr>
            <w:r>
              <w:rPr>
                <w:rFonts w:ascii="宋体"/>
                <w:spacing w:val="-1"/>
                <w:sz w:val="18"/>
              </w:rPr>
              <w:t>7,936,101.25</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2,335,674.00</w:t>
            </w:r>
          </w:p>
        </w:tc>
      </w:tr>
      <w:tr>
        <w:trPr>
          <w:trHeight w:val="398"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6"/>
              <w:jc w:val="right"/>
              <w:rPr>
                <w:rFonts w:ascii="宋体" w:hAnsi="宋体" w:cs="宋体" w:eastAsia="宋体" w:hint="default"/>
                <w:sz w:val="18"/>
                <w:szCs w:val="18"/>
              </w:rPr>
            </w:pPr>
            <w:r>
              <w:rPr>
                <w:rFonts w:ascii="宋体"/>
                <w:spacing w:val="-1"/>
                <w:sz w:val="18"/>
              </w:rPr>
              <w:t>3,369,635.15</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607,286.31</w:t>
            </w:r>
          </w:p>
        </w:tc>
      </w:tr>
      <w:tr>
        <w:trPr>
          <w:trHeight w:val="290"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34"/>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6"/>
              <w:jc w:val="right"/>
              <w:rPr>
                <w:rFonts w:ascii="宋体" w:hAnsi="宋体" w:cs="宋体" w:eastAsia="宋体" w:hint="default"/>
                <w:sz w:val="18"/>
                <w:szCs w:val="18"/>
              </w:rPr>
            </w:pPr>
            <w:r>
              <w:rPr>
                <w:rFonts w:ascii="宋体"/>
                <w:w w:val="101"/>
                <w:sz w:val="18"/>
              </w:rPr>
            </w:r>
            <w:r>
              <w:rPr>
                <w:rFonts w:ascii="宋体"/>
                <w:spacing w:val="-1"/>
                <w:sz w:val="18"/>
                <w:u w:val="thick" w:color="000000"/>
              </w:rPr>
              <w:t>17,650,366.07</w:t>
            </w:r>
            <w:r>
              <w:rPr>
                <w:rFonts w:ascii="宋体"/>
                <w:spacing w:val="-1"/>
                <w:sz w:val="18"/>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宋体" w:hAnsi="宋体" w:cs="宋体" w:eastAsia="宋体" w:hint="default"/>
                <w:sz w:val="18"/>
                <w:szCs w:val="18"/>
              </w:rPr>
            </w:pPr>
            <w:r>
              <w:rPr>
                <w:rFonts w:ascii="宋体"/>
                <w:w w:val="101"/>
                <w:sz w:val="18"/>
              </w:rPr>
            </w:r>
            <w:r>
              <w:rPr>
                <w:rFonts w:ascii="宋体"/>
                <w:spacing w:val="-1"/>
                <w:sz w:val="18"/>
                <w:u w:val="thick" w:color="000000"/>
              </w:rPr>
              <w:t>19,380,329.05</w:t>
            </w:r>
            <w:r>
              <w:rPr>
                <w:rFonts w:ascii="宋体"/>
                <w:spacing w:val="-1"/>
                <w:sz w:val="18"/>
              </w:rPr>
            </w:r>
          </w:p>
        </w:tc>
      </w:tr>
    </w:tbl>
    <w:p>
      <w:pPr>
        <w:spacing w:line="240" w:lineRule="auto" w:before="2"/>
        <w:rPr>
          <w:rFonts w:ascii="宋体" w:hAnsi="宋体" w:cs="宋体" w:eastAsia="宋体" w:hint="default"/>
          <w:sz w:val="20"/>
          <w:szCs w:val="20"/>
        </w:rPr>
      </w:pPr>
    </w:p>
    <w:p>
      <w:pPr>
        <w:pStyle w:val="BodyText"/>
        <w:spacing w:line="240" w:lineRule="auto" w:before="36"/>
        <w:ind w:left="635" w:right="1118"/>
        <w:jc w:val="left"/>
      </w:pPr>
      <w:r>
        <w:rPr>
          <w:rFonts w:ascii="宋体" w:hAnsi="宋体" w:cs="宋体" w:eastAsia="宋体" w:hint="default"/>
        </w:rPr>
        <w:t>2.</w:t>
      </w:r>
      <w:r>
        <w:rPr/>
        <w:t>支付的其他与经营活动有关的现金</w:t>
      </w:r>
    </w:p>
    <w:p>
      <w:pPr>
        <w:spacing w:line="240" w:lineRule="auto" w:before="3"/>
        <w:rPr>
          <w:rFonts w:ascii="宋体" w:hAnsi="宋体" w:cs="宋体" w:eastAsia="宋体" w:hint="default"/>
          <w:sz w:val="27"/>
          <w:szCs w:val="27"/>
        </w:rPr>
      </w:pPr>
    </w:p>
    <w:tbl>
      <w:tblPr>
        <w:tblW w:w="0" w:type="auto"/>
        <w:jc w:val="left"/>
        <w:tblInd w:w="779" w:type="dxa"/>
        <w:tblLayout w:type="fixed"/>
        <w:tblCellMar>
          <w:top w:w="0" w:type="dxa"/>
          <w:left w:w="0" w:type="dxa"/>
          <w:bottom w:w="0" w:type="dxa"/>
          <w:right w:w="0" w:type="dxa"/>
        </w:tblCellMar>
        <w:tblLook w:val="01E0"/>
      </w:tblPr>
      <w:tblGrid>
        <w:gridCol w:w="3251"/>
        <w:gridCol w:w="3248"/>
        <w:gridCol w:w="2009"/>
      </w:tblGrid>
      <w:tr>
        <w:trPr>
          <w:trHeight w:val="253" w:hRule="exact"/>
        </w:trPr>
        <w:tc>
          <w:tcPr>
            <w:tcW w:w="3251" w:type="dxa"/>
            <w:tcBorders>
              <w:top w:val="nil" w:sz="6" w:space="0" w:color="auto"/>
              <w:left w:val="nil" w:sz="6" w:space="0" w:color="auto"/>
              <w:bottom w:val="single" w:sz="4" w:space="0" w:color="000000"/>
              <w:right w:val="nil" w:sz="6" w:space="0" w:color="auto"/>
            </w:tcBorders>
          </w:tcPr>
          <w:p>
            <w:pPr>
              <w:pStyle w:val="TableParagraph"/>
              <w:spacing w:line="182" w:lineRule="exact"/>
              <w:ind w:right="122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8" w:type="dxa"/>
            <w:tcBorders>
              <w:top w:val="nil" w:sz="6" w:space="0" w:color="auto"/>
              <w:left w:val="nil" w:sz="6" w:space="0" w:color="auto"/>
              <w:bottom w:val="single" w:sz="4" w:space="0" w:color="000000"/>
              <w:right w:val="nil" w:sz="6" w:space="0" w:color="auto"/>
            </w:tcBorders>
          </w:tcPr>
          <w:p>
            <w:pPr>
              <w:pStyle w:val="TableParagraph"/>
              <w:spacing w:line="182" w:lineRule="exact"/>
              <w:ind w:left="117"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09" w:type="dxa"/>
            <w:tcBorders>
              <w:top w:val="nil" w:sz="6" w:space="0" w:color="auto"/>
              <w:left w:val="nil" w:sz="6" w:space="0" w:color="auto"/>
              <w:bottom w:val="single" w:sz="4" w:space="0" w:color="000000"/>
              <w:right w:val="nil" w:sz="6" w:space="0" w:color="auto"/>
            </w:tcBorders>
          </w:tcPr>
          <w:p>
            <w:pPr>
              <w:pStyle w:val="TableParagraph"/>
              <w:spacing w:line="182"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1" w:hRule="exact"/>
        </w:trPr>
        <w:tc>
          <w:tcPr>
            <w:tcW w:w="325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10"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24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404"/>
              <w:jc w:val="right"/>
              <w:rPr>
                <w:rFonts w:ascii="宋体" w:hAnsi="宋体" w:cs="宋体" w:eastAsia="宋体" w:hint="default"/>
                <w:sz w:val="18"/>
                <w:szCs w:val="18"/>
              </w:rPr>
            </w:pPr>
            <w:r>
              <w:rPr>
                <w:rFonts w:ascii="宋体"/>
                <w:spacing w:val="-1"/>
                <w:sz w:val="18"/>
              </w:rPr>
              <w:t>11,267,377.38</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99"/>
              <w:jc w:val="right"/>
              <w:rPr>
                <w:rFonts w:ascii="宋体" w:hAnsi="宋体" w:cs="宋体" w:eastAsia="宋体" w:hint="default"/>
                <w:sz w:val="18"/>
                <w:szCs w:val="18"/>
              </w:rPr>
            </w:pPr>
            <w:r>
              <w:rPr>
                <w:rFonts w:ascii="宋体"/>
                <w:spacing w:val="-1"/>
                <w:sz w:val="18"/>
              </w:rPr>
              <w:t>14,794,764.92</w:t>
            </w:r>
          </w:p>
        </w:tc>
      </w:tr>
      <w:tr>
        <w:trPr>
          <w:trHeight w:val="398"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10,818,342.20</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10,924,919.72</w:t>
            </w:r>
          </w:p>
        </w:tc>
      </w:tr>
      <w:tr>
        <w:trPr>
          <w:trHeight w:val="399"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1,653,514.75</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9,065,491.24</w:t>
            </w:r>
          </w:p>
        </w:tc>
      </w:tr>
      <w:tr>
        <w:trPr>
          <w:trHeight w:val="396"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03"/>
              <w:jc w:val="right"/>
              <w:rPr>
                <w:rFonts w:ascii="宋体" w:hAnsi="宋体" w:cs="宋体" w:eastAsia="宋体" w:hint="default"/>
                <w:sz w:val="18"/>
                <w:szCs w:val="18"/>
              </w:rPr>
            </w:pPr>
            <w:r>
              <w:rPr>
                <w:rFonts w:ascii="宋体"/>
                <w:spacing w:val="-1"/>
                <w:sz w:val="18"/>
              </w:rPr>
              <w:t>2,495,491.34</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7,010,921.80</w:t>
            </w:r>
          </w:p>
        </w:tc>
      </w:tr>
      <w:tr>
        <w:trPr>
          <w:trHeight w:val="396"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3"/>
              <w:jc w:val="right"/>
              <w:rPr>
                <w:rFonts w:ascii="宋体" w:hAnsi="宋体" w:cs="宋体" w:eastAsia="宋体" w:hint="default"/>
                <w:sz w:val="18"/>
                <w:szCs w:val="18"/>
              </w:rPr>
            </w:pPr>
            <w:r>
              <w:rPr>
                <w:rFonts w:ascii="宋体"/>
                <w:spacing w:val="-1"/>
                <w:sz w:val="18"/>
              </w:rPr>
              <w:t>682,036.83</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3,104,490.93</w:t>
            </w:r>
          </w:p>
        </w:tc>
      </w:tr>
      <w:tr>
        <w:trPr>
          <w:trHeight w:val="398"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5,820,180.93</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4,085,363.60</w:t>
            </w:r>
          </w:p>
        </w:tc>
      </w:tr>
      <w:tr>
        <w:trPr>
          <w:trHeight w:val="396"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3,399,252.47</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2,710,782.34</w:t>
            </w:r>
          </w:p>
        </w:tc>
      </w:tr>
      <w:tr>
        <w:trPr>
          <w:trHeight w:val="396"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会议招待费</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4"/>
              <w:jc w:val="right"/>
              <w:rPr>
                <w:rFonts w:ascii="宋体" w:hAnsi="宋体" w:cs="宋体" w:eastAsia="宋体" w:hint="default"/>
                <w:sz w:val="18"/>
                <w:szCs w:val="18"/>
              </w:rPr>
            </w:pPr>
            <w:r>
              <w:rPr>
                <w:rFonts w:ascii="宋体"/>
                <w:spacing w:val="-1"/>
                <w:sz w:val="18"/>
              </w:rPr>
              <w:t>1,441,762.84</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2,331,943.43</w:t>
            </w:r>
          </w:p>
        </w:tc>
      </w:tr>
      <w:tr>
        <w:trPr>
          <w:trHeight w:val="398"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1,159,235.82</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1,848,809.70</w:t>
            </w:r>
          </w:p>
        </w:tc>
      </w:tr>
      <w:tr>
        <w:trPr>
          <w:trHeight w:val="398"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1,750,638.87</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583,111.05</w:t>
            </w:r>
          </w:p>
        </w:tc>
      </w:tr>
      <w:tr>
        <w:trPr>
          <w:trHeight w:val="396"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4"/>
              <w:jc w:val="right"/>
              <w:rPr>
                <w:rFonts w:ascii="宋体" w:hAnsi="宋体" w:cs="宋体" w:eastAsia="宋体" w:hint="default"/>
                <w:sz w:val="18"/>
                <w:szCs w:val="18"/>
              </w:rPr>
            </w:pPr>
            <w:r>
              <w:rPr>
                <w:rFonts w:ascii="宋体"/>
                <w:spacing w:val="-1"/>
                <w:sz w:val="18"/>
              </w:rPr>
              <w:t>2,116,249.72</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3,141,241.10</w:t>
            </w:r>
          </w:p>
        </w:tc>
      </w:tr>
      <w:tr>
        <w:trPr>
          <w:trHeight w:val="288" w:hRule="exact"/>
        </w:trPr>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7"/>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4"/>
              <w:jc w:val="right"/>
              <w:rPr>
                <w:rFonts w:ascii="宋体" w:hAnsi="宋体" w:cs="宋体" w:eastAsia="宋体" w:hint="default"/>
                <w:sz w:val="18"/>
                <w:szCs w:val="18"/>
              </w:rPr>
            </w:pPr>
            <w:r>
              <w:rPr>
                <w:rFonts w:ascii="宋体"/>
                <w:w w:val="101"/>
                <w:sz w:val="18"/>
              </w:rPr>
            </w:r>
            <w:r>
              <w:rPr>
                <w:rFonts w:ascii="宋体"/>
                <w:spacing w:val="-1"/>
                <w:sz w:val="18"/>
                <w:u w:val="thick" w:color="000000"/>
              </w:rPr>
              <w:t>42,604,083.15</w:t>
            </w:r>
            <w:r>
              <w:rPr>
                <w:rFonts w:ascii="宋体"/>
                <w:spacing w:val="-1"/>
                <w:sz w:val="18"/>
              </w:rPr>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59,601,839.83</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635" w:right="1118"/>
        <w:jc w:val="left"/>
      </w:pPr>
      <w:r>
        <w:rPr>
          <w:rFonts w:ascii="宋体" w:hAnsi="宋体" w:cs="宋体" w:eastAsia="宋体" w:hint="default"/>
        </w:rPr>
        <w:t>3.</w:t>
      </w:r>
      <w:r>
        <w:rPr/>
        <w:t>收到的其他与投资活动有关的现金</w:t>
      </w:r>
    </w:p>
    <w:p>
      <w:pPr>
        <w:spacing w:after="0" w:line="240" w:lineRule="auto"/>
        <w:jc w:val="left"/>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779" w:type="dxa"/>
        <w:tblLayout w:type="fixed"/>
        <w:tblCellMar>
          <w:top w:w="0" w:type="dxa"/>
          <w:left w:w="0" w:type="dxa"/>
          <w:bottom w:w="0" w:type="dxa"/>
          <w:right w:w="0" w:type="dxa"/>
        </w:tblCellMar>
        <w:tblLook w:val="01E0"/>
      </w:tblPr>
      <w:tblGrid>
        <w:gridCol w:w="3157"/>
        <w:gridCol w:w="2845"/>
        <w:gridCol w:w="2506"/>
      </w:tblGrid>
      <w:tr>
        <w:trPr>
          <w:trHeight w:val="253" w:hRule="exact"/>
        </w:trPr>
        <w:tc>
          <w:tcPr>
            <w:tcW w:w="3157" w:type="dxa"/>
            <w:tcBorders>
              <w:top w:val="nil" w:sz="6" w:space="0" w:color="auto"/>
              <w:left w:val="nil" w:sz="6" w:space="0" w:color="auto"/>
              <w:bottom w:val="single" w:sz="4" w:space="0" w:color="000000"/>
              <w:right w:val="nil" w:sz="6" w:space="0" w:color="auto"/>
            </w:tcBorders>
          </w:tcPr>
          <w:p>
            <w:pPr>
              <w:pStyle w:val="TableParagraph"/>
              <w:spacing w:line="182"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5" w:type="dxa"/>
            <w:tcBorders>
              <w:top w:val="nil" w:sz="6" w:space="0" w:color="auto"/>
              <w:left w:val="nil" w:sz="6" w:space="0" w:color="auto"/>
              <w:bottom w:val="single" w:sz="4" w:space="0" w:color="000000"/>
              <w:right w:val="nil" w:sz="6" w:space="0" w:color="auto"/>
            </w:tcBorders>
          </w:tcPr>
          <w:p>
            <w:pPr>
              <w:pStyle w:val="TableParagraph"/>
              <w:spacing w:line="182" w:lineRule="exact"/>
              <w:ind w:left="218"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06" w:type="dxa"/>
            <w:tcBorders>
              <w:top w:val="nil" w:sz="6" w:space="0" w:color="auto"/>
              <w:left w:val="nil" w:sz="6" w:space="0" w:color="auto"/>
              <w:bottom w:val="single" w:sz="4" w:space="0" w:color="000000"/>
              <w:right w:val="nil" w:sz="6" w:space="0" w:color="auto"/>
            </w:tcBorders>
          </w:tcPr>
          <w:p>
            <w:pPr>
              <w:pStyle w:val="TableParagraph"/>
              <w:spacing w:line="182" w:lineRule="exact"/>
              <w:ind w:left="120"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4" w:hRule="exact"/>
        </w:trPr>
        <w:tc>
          <w:tcPr>
            <w:tcW w:w="315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93" w:right="0"/>
              <w:jc w:val="center"/>
              <w:rPr>
                <w:rFonts w:ascii="宋体" w:hAnsi="宋体" w:cs="宋体" w:eastAsia="宋体" w:hint="default"/>
                <w:sz w:val="18"/>
                <w:szCs w:val="18"/>
              </w:rPr>
            </w:pPr>
            <w:r>
              <w:rPr>
                <w:rFonts w:ascii="宋体" w:hAnsi="宋体" w:cs="宋体" w:eastAsia="宋体" w:hint="default"/>
                <w:spacing w:val="-3"/>
                <w:sz w:val="18"/>
                <w:szCs w:val="18"/>
              </w:rPr>
              <w:t>赎回结构性存款</w:t>
            </w:r>
          </w:p>
        </w:tc>
        <w:tc>
          <w:tcPr>
            <w:tcW w:w="284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18" w:right="0"/>
              <w:jc w:val="center"/>
              <w:rPr>
                <w:rFonts w:ascii="宋体" w:hAnsi="宋体" w:cs="宋体" w:eastAsia="宋体" w:hint="default"/>
                <w:sz w:val="18"/>
                <w:szCs w:val="18"/>
              </w:rPr>
            </w:pPr>
            <w:r>
              <w:rPr>
                <w:rFonts w:ascii="宋体"/>
                <w:sz w:val="18"/>
              </w:rPr>
              <w:t>581,000,000.00</w:t>
            </w: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20" w:right="0"/>
              <w:jc w:val="center"/>
              <w:rPr>
                <w:rFonts w:ascii="宋体" w:hAnsi="宋体" w:cs="宋体" w:eastAsia="宋体" w:hint="default"/>
                <w:sz w:val="18"/>
                <w:szCs w:val="18"/>
              </w:rPr>
            </w:pPr>
            <w:r>
              <w:rPr>
                <w:rFonts w:ascii="宋体"/>
                <w:sz w:val="18"/>
              </w:rPr>
              <w:t>556,000,000.00</w:t>
            </w:r>
          </w:p>
        </w:tc>
      </w:tr>
      <w:tr>
        <w:trPr>
          <w:trHeight w:val="288" w:hRule="exact"/>
        </w:trPr>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8"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8" w:right="0"/>
              <w:jc w:val="center"/>
              <w:rPr>
                <w:rFonts w:ascii="宋体" w:hAnsi="宋体" w:cs="宋体" w:eastAsia="宋体" w:hint="default"/>
                <w:sz w:val="18"/>
                <w:szCs w:val="18"/>
              </w:rPr>
            </w:pPr>
            <w:r>
              <w:rPr>
                <w:rFonts w:ascii="宋体"/>
                <w:w w:val="101"/>
                <w:sz w:val="18"/>
              </w:rPr>
            </w:r>
            <w:r>
              <w:rPr>
                <w:rFonts w:ascii="宋体"/>
                <w:sz w:val="18"/>
                <w:u w:val="thick" w:color="000000"/>
              </w:rPr>
              <w:t>581,000,000.00</w:t>
            </w:r>
            <w:r>
              <w:rPr>
                <w:rFonts w:ascii="宋体"/>
                <w:sz w:val="18"/>
              </w:rPr>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0" w:right="0"/>
              <w:jc w:val="center"/>
              <w:rPr>
                <w:rFonts w:ascii="宋体" w:hAnsi="宋体" w:cs="宋体" w:eastAsia="宋体" w:hint="default"/>
                <w:sz w:val="18"/>
                <w:szCs w:val="18"/>
              </w:rPr>
            </w:pPr>
            <w:r>
              <w:rPr>
                <w:rFonts w:ascii="宋体"/>
                <w:w w:val="101"/>
                <w:sz w:val="18"/>
              </w:rPr>
            </w:r>
            <w:r>
              <w:rPr>
                <w:rFonts w:ascii="宋体"/>
                <w:sz w:val="18"/>
                <w:u w:val="thick" w:color="000000"/>
              </w:rPr>
              <w:t>556,000,000.00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6"/>
        <w:ind w:left="635" w:right="1118"/>
        <w:jc w:val="left"/>
      </w:pPr>
      <w:r>
        <w:rPr>
          <w:rFonts w:ascii="宋体" w:hAnsi="宋体" w:cs="宋体" w:eastAsia="宋体" w:hint="default"/>
        </w:rPr>
        <w:t>4.</w:t>
      </w:r>
      <w:r>
        <w:rPr/>
        <w:t>支付的其他与投资活动有关的现金</w:t>
      </w:r>
    </w:p>
    <w:p>
      <w:pPr>
        <w:spacing w:line="240" w:lineRule="auto" w:before="11"/>
        <w:rPr>
          <w:rFonts w:ascii="宋体" w:hAnsi="宋体" w:cs="宋体" w:eastAsia="宋体" w:hint="default"/>
          <w:sz w:val="26"/>
          <w:szCs w:val="26"/>
        </w:rPr>
      </w:pPr>
    </w:p>
    <w:tbl>
      <w:tblPr>
        <w:tblW w:w="0" w:type="auto"/>
        <w:jc w:val="left"/>
        <w:tblInd w:w="779" w:type="dxa"/>
        <w:tblLayout w:type="fixed"/>
        <w:tblCellMar>
          <w:top w:w="0" w:type="dxa"/>
          <w:left w:w="0" w:type="dxa"/>
          <w:bottom w:w="0" w:type="dxa"/>
          <w:right w:w="0" w:type="dxa"/>
        </w:tblCellMar>
        <w:tblLook w:val="01E0"/>
      </w:tblPr>
      <w:tblGrid>
        <w:gridCol w:w="3020"/>
        <w:gridCol w:w="3424"/>
        <w:gridCol w:w="2065"/>
      </w:tblGrid>
      <w:tr>
        <w:trPr>
          <w:trHeight w:val="253" w:hRule="exact"/>
        </w:trPr>
        <w:tc>
          <w:tcPr>
            <w:tcW w:w="3020" w:type="dxa"/>
            <w:tcBorders>
              <w:top w:val="nil" w:sz="6" w:space="0" w:color="auto"/>
              <w:left w:val="nil" w:sz="6" w:space="0" w:color="auto"/>
              <w:bottom w:val="single" w:sz="4" w:space="0" w:color="000000"/>
              <w:right w:val="nil" w:sz="6" w:space="0" w:color="auto"/>
            </w:tcBorders>
          </w:tcPr>
          <w:p>
            <w:pPr>
              <w:pStyle w:val="TableParagraph"/>
              <w:spacing w:line="182" w:lineRule="exact"/>
              <w:ind w:right="121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24" w:type="dxa"/>
            <w:tcBorders>
              <w:top w:val="nil" w:sz="6" w:space="0" w:color="auto"/>
              <w:left w:val="nil" w:sz="6" w:space="0" w:color="auto"/>
              <w:bottom w:val="single" w:sz="4" w:space="0" w:color="000000"/>
              <w:right w:val="nil" w:sz="6" w:space="0" w:color="auto"/>
            </w:tcBorders>
          </w:tcPr>
          <w:p>
            <w:pPr>
              <w:pStyle w:val="TableParagraph"/>
              <w:spacing w:line="182" w:lineRule="exact"/>
              <w:ind w:right="84"/>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65" w:type="dxa"/>
            <w:tcBorders>
              <w:top w:val="nil" w:sz="6" w:space="0" w:color="auto"/>
              <w:left w:val="nil" w:sz="6" w:space="0" w:color="auto"/>
              <w:bottom w:val="single" w:sz="4" w:space="0" w:color="000000"/>
              <w:right w:val="nil" w:sz="6" w:space="0" w:color="auto"/>
            </w:tcBorders>
          </w:tcPr>
          <w:p>
            <w:pPr>
              <w:pStyle w:val="TableParagraph"/>
              <w:spacing w:line="182"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6" w:hRule="exact"/>
        </w:trPr>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购买结构性存款</w:t>
            </w:r>
          </w:p>
        </w:tc>
        <w:tc>
          <w:tcPr>
            <w:tcW w:w="342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16"/>
              <w:jc w:val="right"/>
              <w:rPr>
                <w:rFonts w:ascii="宋体" w:hAnsi="宋体" w:cs="宋体" w:eastAsia="宋体" w:hint="default"/>
                <w:sz w:val="18"/>
                <w:szCs w:val="18"/>
              </w:rPr>
            </w:pPr>
            <w:r>
              <w:rPr>
                <w:rFonts w:ascii="宋体"/>
                <w:spacing w:val="-2"/>
                <w:sz w:val="18"/>
              </w:rPr>
              <w:t>463,000,000.00</w:t>
            </w:r>
          </w:p>
        </w:tc>
        <w:tc>
          <w:tcPr>
            <w:tcW w:w="206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3"/>
              <w:jc w:val="right"/>
              <w:rPr>
                <w:rFonts w:ascii="宋体" w:hAnsi="宋体" w:cs="宋体" w:eastAsia="宋体" w:hint="default"/>
                <w:sz w:val="18"/>
                <w:szCs w:val="18"/>
              </w:rPr>
            </w:pPr>
            <w:r>
              <w:rPr>
                <w:rFonts w:ascii="宋体"/>
                <w:spacing w:val="-2"/>
                <w:sz w:val="18"/>
              </w:rPr>
              <w:t>617,000,000.00</w:t>
            </w:r>
          </w:p>
        </w:tc>
      </w:tr>
      <w:tr>
        <w:trPr>
          <w:trHeight w:val="396"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6"/>
              <w:jc w:val="right"/>
              <w:rPr>
                <w:rFonts w:ascii="宋体" w:hAnsi="宋体" w:cs="宋体" w:eastAsia="宋体" w:hint="default"/>
                <w:sz w:val="18"/>
                <w:szCs w:val="18"/>
              </w:rPr>
            </w:pPr>
            <w:r>
              <w:rPr>
                <w:rFonts w:ascii="宋体"/>
                <w:spacing w:val="-1"/>
                <w:sz w:val="18"/>
              </w:rPr>
              <w:t>37,219.57</w:t>
            </w:r>
          </w:p>
        </w:tc>
        <w:tc>
          <w:tcPr>
            <w:tcW w:w="2065" w:type="dxa"/>
            <w:tcBorders>
              <w:top w:val="nil" w:sz="6" w:space="0" w:color="auto"/>
              <w:left w:val="nil" w:sz="6" w:space="0" w:color="auto"/>
              <w:bottom w:val="nil" w:sz="6" w:space="0" w:color="auto"/>
              <w:right w:val="nil" w:sz="6" w:space="0" w:color="auto"/>
            </w:tcBorders>
          </w:tcPr>
          <w:p>
            <w:pPr/>
          </w:p>
        </w:tc>
      </w:tr>
      <w:tr>
        <w:trPr>
          <w:trHeight w:val="288"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3"/>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4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6"/>
              <w:jc w:val="right"/>
              <w:rPr>
                <w:rFonts w:ascii="宋体" w:hAnsi="宋体" w:cs="宋体" w:eastAsia="宋体" w:hint="default"/>
                <w:sz w:val="18"/>
                <w:szCs w:val="18"/>
              </w:rPr>
            </w:pPr>
            <w:r>
              <w:rPr>
                <w:rFonts w:ascii="宋体"/>
                <w:w w:val="101"/>
                <w:sz w:val="18"/>
              </w:rPr>
            </w:r>
            <w:r>
              <w:rPr>
                <w:rFonts w:ascii="宋体"/>
                <w:spacing w:val="-2"/>
                <w:sz w:val="18"/>
                <w:u w:val="thick" w:color="000000"/>
              </w:rPr>
              <w:t>463,037,219.57</w:t>
            </w:r>
            <w:r>
              <w:rPr>
                <w:rFonts w:ascii="宋体"/>
                <w:spacing w:val="-2"/>
                <w:sz w:val="18"/>
              </w:rPr>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w w:val="101"/>
                <w:sz w:val="18"/>
              </w:rPr>
            </w:r>
            <w:r>
              <w:rPr>
                <w:rFonts w:ascii="宋体"/>
                <w:spacing w:val="-2"/>
                <w:sz w:val="18"/>
                <w:u w:val="thick" w:color="000000"/>
              </w:rPr>
              <w:t>617,000,000.00</w:t>
            </w:r>
            <w:r>
              <w:rPr>
                <w:rFonts w:ascii="宋体"/>
                <w:spacing w:val="-2"/>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451" w:lineRule="auto" w:before="36"/>
        <w:ind w:left="635" w:right="6606"/>
        <w:jc w:val="left"/>
      </w:pPr>
      <w:r>
        <w:rPr>
          <w:rFonts w:ascii="宋体" w:hAnsi="宋体" w:cs="宋体" w:eastAsia="宋体" w:hint="default"/>
          <w:spacing w:val="-1"/>
        </w:rPr>
        <w:t>5.</w:t>
      </w:r>
      <w:r>
        <w:rPr>
          <w:spacing w:val="-1"/>
        </w:rPr>
        <w:t>收到的其他与筹资活动有关的现金</w:t>
      </w:r>
      <w:r>
        <w:rPr>
          <w:spacing w:val="-84"/>
        </w:rPr>
        <w:t> </w:t>
      </w:r>
      <w:r>
        <w:rPr>
          <w:spacing w:val="-84"/>
        </w:rPr>
      </w:r>
      <w:r>
        <w:rPr/>
        <w:t>无。</w:t>
      </w:r>
      <w:r>
        <w:rPr>
          <w:spacing w:val="-103"/>
        </w:rPr>
        <w:t> </w:t>
      </w:r>
      <w:r>
        <w:rPr>
          <w:rFonts w:ascii="宋体" w:hAnsi="宋体" w:cs="宋体" w:eastAsia="宋体" w:hint="default"/>
          <w:spacing w:val="-1"/>
        </w:rPr>
        <w:t>6.</w:t>
      </w:r>
      <w:r>
        <w:rPr>
          <w:spacing w:val="-1"/>
        </w:rPr>
        <w:t>支付的其他与筹资活动有关的现金</w:t>
      </w:r>
    </w:p>
    <w:p>
      <w:pPr>
        <w:spacing w:line="240" w:lineRule="auto" w:before="10"/>
        <w:rPr>
          <w:rFonts w:ascii="宋体" w:hAnsi="宋体" w:cs="宋体" w:eastAsia="宋体" w:hint="default"/>
          <w:sz w:val="12"/>
          <w:szCs w:val="12"/>
        </w:rPr>
      </w:pPr>
    </w:p>
    <w:tbl>
      <w:tblPr>
        <w:tblW w:w="0" w:type="auto"/>
        <w:jc w:val="left"/>
        <w:tblInd w:w="779" w:type="dxa"/>
        <w:tblLayout w:type="fixed"/>
        <w:tblCellMar>
          <w:top w:w="0" w:type="dxa"/>
          <w:left w:w="0" w:type="dxa"/>
          <w:bottom w:w="0" w:type="dxa"/>
          <w:right w:w="0" w:type="dxa"/>
        </w:tblCellMar>
        <w:tblLook w:val="01E0"/>
      </w:tblPr>
      <w:tblGrid>
        <w:gridCol w:w="3023"/>
        <w:gridCol w:w="2982"/>
        <w:gridCol w:w="2504"/>
      </w:tblGrid>
      <w:tr>
        <w:trPr>
          <w:trHeight w:val="253" w:hRule="exact"/>
        </w:trPr>
        <w:tc>
          <w:tcPr>
            <w:tcW w:w="3023" w:type="dxa"/>
            <w:tcBorders>
              <w:top w:val="nil" w:sz="6" w:space="0" w:color="auto"/>
              <w:left w:val="nil" w:sz="6" w:space="0" w:color="auto"/>
              <w:bottom w:val="single" w:sz="4" w:space="0" w:color="000000"/>
              <w:right w:val="nil" w:sz="6" w:space="0" w:color="auto"/>
            </w:tcBorders>
          </w:tcPr>
          <w:p>
            <w:pPr>
              <w:pStyle w:val="TableParagraph"/>
              <w:spacing w:line="182" w:lineRule="exact"/>
              <w:ind w:right="121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82" w:type="dxa"/>
            <w:tcBorders>
              <w:top w:val="nil" w:sz="6" w:space="0" w:color="auto"/>
              <w:left w:val="nil" w:sz="6" w:space="0" w:color="auto"/>
              <w:bottom w:val="single" w:sz="4" w:space="0" w:color="000000"/>
              <w:right w:val="nil" w:sz="6" w:space="0" w:color="auto"/>
            </w:tcBorders>
          </w:tcPr>
          <w:p>
            <w:pPr>
              <w:pStyle w:val="TableParagraph"/>
              <w:spacing w:line="182" w:lineRule="exact"/>
              <w:ind w:left="121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04" w:type="dxa"/>
            <w:tcBorders>
              <w:top w:val="nil" w:sz="6" w:space="0" w:color="auto"/>
              <w:left w:val="nil" w:sz="6" w:space="0" w:color="auto"/>
              <w:bottom w:val="single" w:sz="4" w:space="0" w:color="000000"/>
              <w:right w:val="nil" w:sz="6" w:space="0" w:color="auto"/>
            </w:tcBorders>
          </w:tcPr>
          <w:p>
            <w:pPr>
              <w:pStyle w:val="TableParagraph"/>
              <w:spacing w:line="182" w:lineRule="exact"/>
              <w:ind w:left="8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3" w:hRule="exact"/>
        </w:trPr>
        <w:tc>
          <w:tcPr>
            <w:tcW w:w="302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298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2"/>
              <w:jc w:val="right"/>
              <w:rPr>
                <w:rFonts w:ascii="宋体" w:hAnsi="宋体" w:cs="宋体" w:eastAsia="宋体" w:hint="default"/>
                <w:sz w:val="18"/>
                <w:szCs w:val="18"/>
              </w:rPr>
            </w:pPr>
            <w:r>
              <w:rPr>
                <w:rFonts w:ascii="宋体"/>
                <w:spacing w:val="-1"/>
                <w:sz w:val="18"/>
              </w:rPr>
              <w:t>12,500,000.00</w:t>
            </w:r>
          </w:p>
        </w:tc>
        <w:tc>
          <w:tcPr>
            <w:tcW w:w="2504"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股权登记费</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pacing w:val="-1"/>
                <w:sz w:val="18"/>
              </w:rPr>
              <w:t>34,000.00</w:t>
            </w:r>
          </w:p>
        </w:tc>
        <w:tc>
          <w:tcPr>
            <w:tcW w:w="2504" w:type="dxa"/>
            <w:tcBorders>
              <w:top w:val="nil" w:sz="6" w:space="0" w:color="auto"/>
              <w:left w:val="nil" w:sz="6" w:space="0" w:color="auto"/>
              <w:bottom w:val="nil" w:sz="6" w:space="0" w:color="auto"/>
              <w:right w:val="nil" w:sz="6" w:space="0" w:color="auto"/>
            </w:tcBorders>
          </w:tcPr>
          <w:p>
            <w:pPr/>
          </w:p>
        </w:tc>
      </w:tr>
      <w:tr>
        <w:trPr>
          <w:trHeight w:val="398"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募集资金审验费</w:t>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宋体" w:hAnsi="宋体" w:cs="宋体" w:eastAsia="宋体" w:hint="default"/>
                <w:sz w:val="18"/>
                <w:szCs w:val="18"/>
              </w:rPr>
            </w:pPr>
            <w:r>
              <w:rPr>
                <w:rFonts w:ascii="宋体"/>
                <w:spacing w:val="-1"/>
                <w:sz w:val="18"/>
              </w:rPr>
              <w:t>140,000.00</w:t>
            </w:r>
          </w:p>
        </w:tc>
        <w:tc>
          <w:tcPr>
            <w:tcW w:w="2504" w:type="dxa"/>
            <w:tcBorders>
              <w:top w:val="nil" w:sz="6" w:space="0" w:color="auto"/>
              <w:left w:val="nil" w:sz="6" w:space="0" w:color="auto"/>
              <w:bottom w:val="nil" w:sz="6" w:space="0" w:color="auto"/>
              <w:right w:val="nil" w:sz="6" w:space="0" w:color="auto"/>
            </w:tcBorders>
          </w:tcPr>
          <w:p>
            <w:pPr/>
          </w:p>
        </w:tc>
      </w:tr>
      <w:tr>
        <w:trPr>
          <w:trHeight w:val="290" w:hRule="exact"/>
        </w:trPr>
        <w:tc>
          <w:tcPr>
            <w:tcW w:w="30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right"/>
              <w:rPr>
                <w:rFonts w:ascii="宋体" w:hAnsi="宋体" w:cs="宋体" w:eastAsia="宋体" w:hint="default"/>
                <w:sz w:val="18"/>
                <w:szCs w:val="18"/>
              </w:rPr>
            </w:pPr>
            <w:r>
              <w:rPr>
                <w:rFonts w:ascii="宋体"/>
                <w:w w:val="101"/>
                <w:sz w:val="18"/>
              </w:rPr>
            </w:r>
            <w:r>
              <w:rPr>
                <w:rFonts w:ascii="宋体"/>
                <w:spacing w:val="-1"/>
                <w:sz w:val="18"/>
                <w:u w:val="thick" w:color="000000"/>
              </w:rPr>
              <w:t>12,674,000.00</w:t>
            </w:r>
            <w:r>
              <w:rPr>
                <w:rFonts w:ascii="宋体"/>
                <w:spacing w:val="-1"/>
                <w:sz w:val="18"/>
              </w:rPr>
            </w:r>
          </w:p>
        </w:tc>
        <w:tc>
          <w:tcPr>
            <w:tcW w:w="250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453" w:lineRule="auto" w:before="36"/>
        <w:ind w:left="635" w:right="7442"/>
        <w:jc w:val="left"/>
      </w:pPr>
      <w:bookmarkStart w:name="（四十）现金流量表补充资料" w:id="238"/>
      <w:bookmarkEnd w:id="238"/>
      <w:r>
        <w:rPr/>
      </w:r>
      <w:r>
        <w:rPr>
          <w:spacing w:val="-1"/>
        </w:rPr>
        <w:t>（四十）现金流量表补充资料</w:t>
      </w:r>
      <w:r>
        <w:rPr>
          <w:spacing w:val="-87"/>
        </w:rPr>
        <w:t> </w:t>
      </w:r>
      <w:r>
        <w:rPr>
          <w:spacing w:val="-87"/>
        </w:rPr>
      </w:r>
      <w:r>
        <w:rPr>
          <w:rFonts w:ascii="宋体" w:hAnsi="宋体" w:cs="宋体" w:eastAsia="宋体" w:hint="default"/>
        </w:rPr>
        <w:t>1.</w:t>
      </w:r>
      <w:r>
        <w:rPr/>
        <w:t>现金流量表补充资料</w:t>
      </w:r>
    </w:p>
    <w:p>
      <w:pPr>
        <w:spacing w:line="240" w:lineRule="auto" w:before="8"/>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5373"/>
        <w:gridCol w:w="2588"/>
        <w:gridCol w:w="1897"/>
      </w:tblGrid>
      <w:tr>
        <w:trPr>
          <w:trHeight w:val="253" w:hRule="exact"/>
        </w:trPr>
        <w:tc>
          <w:tcPr>
            <w:tcW w:w="5373" w:type="dxa"/>
            <w:tcBorders>
              <w:top w:val="nil" w:sz="6" w:space="0" w:color="auto"/>
              <w:left w:val="nil" w:sz="6" w:space="0" w:color="auto"/>
              <w:bottom w:val="single" w:sz="4" w:space="0" w:color="000000"/>
              <w:right w:val="nil" w:sz="6" w:space="0" w:color="auto"/>
            </w:tcBorders>
          </w:tcPr>
          <w:p>
            <w:pPr>
              <w:pStyle w:val="TableParagraph"/>
              <w:spacing w:line="182" w:lineRule="exact"/>
              <w:ind w:left="10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182" w:lineRule="exact"/>
              <w:ind w:left="75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7" w:type="dxa"/>
            <w:tcBorders>
              <w:top w:val="nil" w:sz="6" w:space="0" w:color="auto"/>
              <w:left w:val="nil" w:sz="6" w:space="0" w:color="auto"/>
              <w:bottom w:val="single" w:sz="4" w:space="0" w:color="000000"/>
              <w:right w:val="nil" w:sz="6" w:space="0" w:color="auto"/>
            </w:tcBorders>
          </w:tcPr>
          <w:p>
            <w:pPr>
              <w:pStyle w:val="TableParagraph"/>
              <w:spacing w:line="182" w:lineRule="exact"/>
              <w:ind w:left="36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6" w:hRule="exact"/>
        </w:trPr>
        <w:tc>
          <w:tcPr>
            <w:tcW w:w="537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588" w:type="dxa"/>
            <w:tcBorders>
              <w:top w:val="single" w:sz="4" w:space="0" w:color="000000"/>
              <w:left w:val="nil" w:sz="6" w:space="0" w:color="auto"/>
              <w:bottom w:val="nil" w:sz="6" w:space="0" w:color="auto"/>
              <w:right w:val="nil" w:sz="6" w:space="0" w:color="auto"/>
            </w:tcBorders>
          </w:tcPr>
          <w:p>
            <w:pPr/>
          </w:p>
        </w:tc>
        <w:tc>
          <w:tcPr>
            <w:tcW w:w="1897"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12,926,048.34</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4,328,620.37</w:t>
            </w:r>
          </w:p>
        </w:tc>
      </w:tr>
      <w:tr>
        <w:trPr>
          <w:trHeight w:val="396"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3,254,138.41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10,213,257.02</w:t>
            </w:r>
          </w:p>
        </w:tc>
      </w:tr>
      <w:tr>
        <w:trPr>
          <w:trHeight w:val="399"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1,970,339.77</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1,679,637.61</w:t>
            </w:r>
          </w:p>
        </w:tc>
      </w:tr>
      <w:tr>
        <w:trPr>
          <w:trHeight w:val="396"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使用权资产折旧</w:t>
            </w:r>
          </w:p>
        </w:tc>
        <w:tc>
          <w:tcPr>
            <w:tcW w:w="258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6"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3,205,947.68</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1,723,813.12</w:t>
            </w:r>
          </w:p>
        </w:tc>
      </w:tr>
      <w:tr>
        <w:trPr>
          <w:trHeight w:val="389"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9,660,660.49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3,564,013.65</w:t>
            </w:r>
          </w:p>
        </w:tc>
      </w:tr>
      <w:tr>
        <w:trPr>
          <w:trHeight w:val="739"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70"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p>
            <w:pPr>
              <w:pStyle w:val="TableParagraph"/>
              <w:spacing w:line="240" w:lineRule="auto" w:before="124"/>
              <w:ind w:left="470" w:right="0"/>
              <w:jc w:val="left"/>
              <w:rPr>
                <w:rFonts w:ascii="宋体" w:hAnsi="宋体" w:cs="宋体" w:eastAsia="宋体" w:hint="default"/>
                <w:sz w:val="18"/>
                <w:szCs w:val="18"/>
              </w:rPr>
            </w:pPr>
            <w:r>
              <w:rPr>
                <w:rFonts w:ascii="宋体" w:hAnsi="宋体" w:cs="宋体" w:eastAsia="宋体" w:hint="default"/>
                <w:spacing w:val="-3"/>
                <w:sz w:val="18"/>
                <w:szCs w:val="18"/>
              </w:rPr>
              <w:t>（收益以“－”号填列）</w:t>
            </w:r>
          </w:p>
        </w:tc>
        <w:tc>
          <w:tcPr>
            <w:tcW w:w="258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-100,358.84</w:t>
            </w:r>
          </w:p>
        </w:tc>
      </w:tr>
      <w:tr>
        <w:trPr>
          <w:trHeight w:val="281" w:hRule="exact"/>
        </w:trPr>
        <w:tc>
          <w:tcPr>
            <w:tcW w:w="53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70"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固定资产报废损失（收益以“－”号填列）</w:t>
            </w:r>
          </w:p>
        </w:tc>
        <w:tc>
          <w:tcPr>
            <w:tcW w:w="25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63"/>
              <w:jc w:val="right"/>
              <w:rPr>
                <w:rFonts w:ascii="宋体" w:hAnsi="宋体" w:cs="宋体" w:eastAsia="宋体" w:hint="default"/>
                <w:sz w:val="18"/>
                <w:szCs w:val="18"/>
              </w:rPr>
            </w:pPr>
            <w:r>
              <w:rPr>
                <w:rFonts w:ascii="宋体"/>
                <w:spacing w:val="-1"/>
                <w:sz w:val="18"/>
              </w:rPr>
              <w:t>27,674.16</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2,134.70</w:t>
            </w:r>
          </w:p>
        </w:tc>
      </w:tr>
    </w:tbl>
    <w:p>
      <w:pPr>
        <w:spacing w:after="0" w:line="240" w:lineRule="auto"/>
        <w:jc w:val="right"/>
        <w:rPr>
          <w:rFonts w:ascii="宋体" w:hAnsi="宋体" w:cs="宋体" w:eastAsia="宋体" w:hint="default"/>
          <w:sz w:val="18"/>
          <w:szCs w:val="18"/>
        </w:rPr>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5193"/>
        <w:gridCol w:w="2768"/>
        <w:gridCol w:w="1897"/>
      </w:tblGrid>
      <w:tr>
        <w:trPr>
          <w:trHeight w:val="253" w:hRule="exact"/>
        </w:trPr>
        <w:tc>
          <w:tcPr>
            <w:tcW w:w="5193" w:type="dxa"/>
            <w:tcBorders>
              <w:top w:val="nil" w:sz="6" w:space="0" w:color="auto"/>
              <w:left w:val="nil" w:sz="6" w:space="0" w:color="auto"/>
              <w:bottom w:val="single" w:sz="4" w:space="0" w:color="000000"/>
              <w:right w:val="nil" w:sz="6" w:space="0" w:color="auto"/>
            </w:tcBorders>
          </w:tcPr>
          <w:p>
            <w:pPr>
              <w:pStyle w:val="TableParagraph"/>
              <w:spacing w:line="182" w:lineRule="exact"/>
              <w:ind w:left="28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768" w:type="dxa"/>
            <w:tcBorders>
              <w:top w:val="nil" w:sz="6" w:space="0" w:color="auto"/>
              <w:left w:val="nil" w:sz="6" w:space="0" w:color="auto"/>
              <w:bottom w:val="single" w:sz="4" w:space="0" w:color="000000"/>
              <w:right w:val="nil" w:sz="6" w:space="0" w:color="auto"/>
            </w:tcBorders>
          </w:tcPr>
          <w:p>
            <w:pPr>
              <w:pStyle w:val="TableParagraph"/>
              <w:spacing w:line="182" w:lineRule="exact"/>
              <w:ind w:left="93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97" w:type="dxa"/>
            <w:tcBorders>
              <w:top w:val="nil" w:sz="6" w:space="0" w:color="auto"/>
              <w:left w:val="nil" w:sz="6" w:space="0" w:color="auto"/>
              <w:bottom w:val="single" w:sz="4" w:space="0" w:color="000000"/>
              <w:right w:val="nil" w:sz="6" w:space="0" w:color="auto"/>
            </w:tcBorders>
          </w:tcPr>
          <w:p>
            <w:pPr>
              <w:pStyle w:val="TableParagraph"/>
              <w:spacing w:line="182" w:lineRule="exact"/>
              <w:ind w:left="36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44" w:hRule="exact"/>
        </w:trPr>
        <w:tc>
          <w:tcPr>
            <w:tcW w:w="519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70"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公允价值变动损失（收益以“－”号填列）</w:t>
            </w:r>
          </w:p>
        </w:tc>
        <w:tc>
          <w:tcPr>
            <w:tcW w:w="276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63"/>
              <w:jc w:val="right"/>
              <w:rPr>
                <w:rFonts w:ascii="宋体" w:hAnsi="宋体" w:cs="宋体" w:eastAsia="宋体" w:hint="default"/>
                <w:sz w:val="18"/>
                <w:szCs w:val="18"/>
              </w:rPr>
            </w:pPr>
            <w:r>
              <w:rPr>
                <w:rFonts w:ascii="宋体"/>
                <w:spacing w:val="-1"/>
                <w:sz w:val="18"/>
              </w:rPr>
              <w:t>-407,869.90</w:t>
            </w:r>
          </w:p>
        </w:tc>
        <w:tc>
          <w:tcPr>
            <w:tcW w:w="1897"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财务费用（收益以“－”号填列）</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8"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投资损失（收益以“－”号填列）</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652,965.42</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-7,247,732.67</w:t>
            </w: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递延所得税资产减少（增加以“－”号填列）</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-240,387.20</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-1,573,579.30</w:t>
            </w: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递延所得税负债增加（减少以“－”号填列）</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9"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存货的减少（增加以“－”号填列）</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9"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37"/>
              <w:jc w:val="righ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3,365,034.99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-49,324,232.76</w:t>
            </w: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37"/>
              <w:jc w:val="righ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1,663,857.34</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6,119,185.23</w:t>
            </w: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-1,592,679.55</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-1,579,438.32</w:t>
            </w:r>
          </w:p>
        </w:tc>
      </w:tr>
      <w:tr>
        <w:trPr>
          <w:trHeight w:val="399"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60"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3"/>
              <w:jc w:val="right"/>
              <w:rPr>
                <w:rFonts w:ascii="宋体" w:hAnsi="宋体" w:cs="宋体" w:eastAsia="宋体" w:hint="default"/>
                <w:sz w:val="18"/>
                <w:szCs w:val="18"/>
              </w:rPr>
            </w:pPr>
            <w:r>
              <w:rPr>
                <w:rFonts w:ascii="宋体"/>
                <w:spacing w:val="-1"/>
                <w:sz w:val="18"/>
              </w:rPr>
              <w:t>34,485,729.95</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-32,194,680.19</w:t>
            </w: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二、不涉及现金收支的重大投资和筹资活动：</w:t>
            </w:r>
            <w:r>
              <w:rPr>
                <w:rFonts w:ascii="宋体" w:hAnsi="宋体" w:cs="宋体" w:eastAsia="宋体" w:hint="default"/>
                <w:sz w:val="18"/>
                <w:szCs w:val="18"/>
              </w:rPr>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8"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一年内到期的可转换公司债券</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9"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87"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三、现金及现金等价物净变动情况：</w:t>
            </w:r>
            <w:r>
              <w:rPr>
                <w:rFonts w:ascii="宋体" w:hAnsi="宋体" w:cs="宋体" w:eastAsia="宋体" w:hint="default"/>
                <w:sz w:val="18"/>
                <w:szCs w:val="18"/>
              </w:rPr>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64"/>
              <w:jc w:val="right"/>
              <w:rPr>
                <w:rFonts w:ascii="宋体" w:hAnsi="宋体" w:cs="宋体" w:eastAsia="宋体" w:hint="default"/>
                <w:sz w:val="18"/>
                <w:szCs w:val="18"/>
              </w:rPr>
            </w:pPr>
            <w:r>
              <w:rPr>
                <w:rFonts w:ascii="宋体"/>
                <w:spacing w:val="-2"/>
                <w:sz w:val="18"/>
              </w:rPr>
              <w:t>235,710,956.39</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宋体" w:hAnsi="宋体" w:cs="宋体" w:eastAsia="宋体" w:hint="default"/>
                <w:sz w:val="18"/>
                <w:szCs w:val="18"/>
              </w:rPr>
            </w:pPr>
            <w:r>
              <w:rPr>
                <w:rFonts w:ascii="宋体"/>
                <w:spacing w:val="-2"/>
                <w:sz w:val="18"/>
              </w:rPr>
              <w:t>148,135,507.81</w:t>
            </w:r>
          </w:p>
        </w:tc>
      </w:tr>
      <w:tr>
        <w:trPr>
          <w:trHeight w:val="408"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2"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64"/>
              <w:jc w:val="right"/>
              <w:rPr>
                <w:rFonts w:ascii="宋体" w:hAnsi="宋体" w:cs="宋体" w:eastAsia="宋体" w:hint="default"/>
                <w:sz w:val="18"/>
                <w:szCs w:val="18"/>
              </w:rPr>
            </w:pPr>
            <w:r>
              <w:rPr>
                <w:rFonts w:ascii="宋体"/>
                <w:spacing w:val="-2"/>
                <w:sz w:val="18"/>
              </w:rPr>
              <w:t>148,135,507.81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2"/>
                <w:sz w:val="18"/>
              </w:rPr>
              <w:t>267,067,107.24</w:t>
            </w:r>
          </w:p>
        </w:tc>
      </w:tr>
      <w:tr>
        <w:trPr>
          <w:trHeight w:val="396"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pacing w:val="-3"/>
                <w:sz w:val="18"/>
                <w:szCs w:val="18"/>
              </w:rPr>
              <w:t>加：现金等价物的期末余额</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87"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pacing w:val="-3"/>
                <w:sz w:val="18"/>
                <w:szCs w:val="18"/>
              </w:rPr>
              <w:t>减：现金等价物的期初余额</w:t>
            </w:r>
          </w:p>
        </w:tc>
        <w:tc>
          <w:tcPr>
            <w:tcW w:w="2768"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300" w:hRule="exact"/>
        </w:trPr>
        <w:tc>
          <w:tcPr>
            <w:tcW w:w="51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63"/>
              <w:jc w:val="right"/>
              <w:rPr>
                <w:rFonts w:ascii="宋体" w:hAnsi="宋体" w:cs="宋体" w:eastAsia="宋体" w:hint="default"/>
                <w:sz w:val="18"/>
                <w:szCs w:val="18"/>
              </w:rPr>
            </w:pPr>
            <w:r>
              <w:rPr>
                <w:rFonts w:ascii="宋体"/>
                <w:spacing w:val="-1"/>
                <w:sz w:val="18"/>
              </w:rPr>
              <w:t>87,575,448.58</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-118,931,599.43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635" w:right="1118"/>
        <w:jc w:val="left"/>
      </w:pPr>
      <w:r>
        <w:rPr>
          <w:rFonts w:ascii="宋体" w:hAnsi="宋体" w:cs="宋体" w:eastAsia="宋体" w:hint="default"/>
        </w:rPr>
        <w:t>2.</w:t>
      </w:r>
      <w:r>
        <w:rPr/>
        <w:t>本期收到的处置子公司的现金净额</w:t>
      </w:r>
    </w:p>
    <w:p>
      <w:pPr>
        <w:spacing w:line="240" w:lineRule="auto" w:before="3"/>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6110"/>
        <w:gridCol w:w="3748"/>
      </w:tblGrid>
      <w:tr>
        <w:trPr>
          <w:trHeight w:val="253" w:hRule="exact"/>
        </w:trPr>
        <w:tc>
          <w:tcPr>
            <w:tcW w:w="6110" w:type="dxa"/>
            <w:tcBorders>
              <w:top w:val="nil" w:sz="6" w:space="0" w:color="auto"/>
              <w:left w:val="nil" w:sz="6" w:space="0" w:color="auto"/>
              <w:bottom w:val="single" w:sz="4" w:space="0" w:color="000000"/>
              <w:right w:val="nil" w:sz="6" w:space="0" w:color="auto"/>
            </w:tcBorders>
          </w:tcPr>
          <w:p>
            <w:pPr>
              <w:pStyle w:val="TableParagraph"/>
              <w:spacing w:line="182" w:lineRule="exact"/>
              <w:ind w:left="11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8" w:type="dxa"/>
            <w:tcBorders>
              <w:top w:val="nil" w:sz="6" w:space="0" w:color="auto"/>
              <w:left w:val="nil" w:sz="6" w:space="0" w:color="auto"/>
              <w:bottom w:val="single" w:sz="4" w:space="0" w:color="000000"/>
              <w:right w:val="nil" w:sz="6" w:space="0" w:color="auto"/>
            </w:tcBorders>
          </w:tcPr>
          <w:p>
            <w:pPr>
              <w:pStyle w:val="TableParagraph"/>
              <w:spacing w:line="182" w:lineRule="exact"/>
              <w:ind w:left="228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43" w:hRule="exact"/>
        </w:trPr>
        <w:tc>
          <w:tcPr>
            <w:tcW w:w="611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3748" w:type="dxa"/>
            <w:tcBorders>
              <w:top w:val="single" w:sz="4" w:space="0" w:color="000000"/>
              <w:left w:val="nil" w:sz="6" w:space="0" w:color="auto"/>
              <w:bottom w:val="nil" w:sz="6" w:space="0" w:color="auto"/>
              <w:right w:val="nil" w:sz="6" w:space="0" w:color="auto"/>
            </w:tcBorders>
          </w:tcPr>
          <w:p>
            <w:pPr/>
          </w:p>
        </w:tc>
      </w:tr>
      <w:tr>
        <w:trPr>
          <w:trHeight w:val="396"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其中：广州创润信息科技有限公司</w:t>
            </w:r>
          </w:p>
        </w:tc>
        <w:tc>
          <w:tcPr>
            <w:tcW w:w="3748" w:type="dxa"/>
            <w:tcBorders>
              <w:top w:val="nil" w:sz="6" w:space="0" w:color="auto"/>
              <w:left w:val="nil" w:sz="6" w:space="0" w:color="auto"/>
              <w:bottom w:val="nil" w:sz="6" w:space="0" w:color="auto"/>
              <w:right w:val="nil" w:sz="6" w:space="0" w:color="auto"/>
            </w:tcBorders>
          </w:tcPr>
          <w:p>
            <w:pPr/>
          </w:p>
        </w:tc>
      </w:tr>
      <w:tr>
        <w:trPr>
          <w:trHeight w:val="399"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pacing w:val="-3"/>
                <w:sz w:val="18"/>
                <w:szCs w:val="18"/>
              </w:rPr>
              <w:t>北京爱代言科技有限公司</w:t>
            </w:r>
          </w:p>
        </w:tc>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38,077.37</w:t>
            </w:r>
          </w:p>
        </w:tc>
      </w:tr>
      <w:tr>
        <w:trPr>
          <w:trHeight w:val="396"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pacing w:val="-3"/>
                <w:sz w:val="18"/>
                <w:szCs w:val="18"/>
              </w:rPr>
              <w:t>福州黑马海峡创业服务有限公司</w:t>
            </w:r>
          </w:p>
        </w:tc>
        <w:tc>
          <w:tcPr>
            <w:tcW w:w="3748" w:type="dxa"/>
            <w:tcBorders>
              <w:top w:val="nil" w:sz="6" w:space="0" w:color="auto"/>
              <w:left w:val="nil" w:sz="6" w:space="0" w:color="auto"/>
              <w:bottom w:val="nil" w:sz="6" w:space="0" w:color="auto"/>
              <w:right w:val="nil" w:sz="6" w:space="0" w:color="auto"/>
            </w:tcBorders>
          </w:tcPr>
          <w:p>
            <w:pPr/>
          </w:p>
        </w:tc>
      </w:tr>
      <w:tr>
        <w:trPr>
          <w:trHeight w:val="396"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pacing w:val="-3"/>
                <w:sz w:val="18"/>
                <w:szCs w:val="18"/>
              </w:rPr>
              <w:t>厦门黑马蓝图联创企业管理有限合伙企业（有限合伙）</w:t>
            </w:r>
          </w:p>
        </w:tc>
        <w:tc>
          <w:tcPr>
            <w:tcW w:w="3748" w:type="dxa"/>
            <w:tcBorders>
              <w:top w:val="nil" w:sz="6" w:space="0" w:color="auto"/>
              <w:left w:val="nil" w:sz="6" w:space="0" w:color="auto"/>
              <w:bottom w:val="nil" w:sz="6" w:space="0" w:color="auto"/>
              <w:right w:val="nil" w:sz="6" w:space="0" w:color="auto"/>
            </w:tcBorders>
          </w:tcPr>
          <w:p>
            <w:pPr/>
          </w:p>
        </w:tc>
      </w:tr>
      <w:tr>
        <w:trPr>
          <w:trHeight w:val="398"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pacing w:val="-3"/>
                <w:sz w:val="18"/>
                <w:szCs w:val="18"/>
              </w:rPr>
              <w:t>天津致科正禾企业管理有限公司</w:t>
            </w:r>
          </w:p>
        </w:tc>
        <w:tc>
          <w:tcPr>
            <w:tcW w:w="3748" w:type="dxa"/>
            <w:tcBorders>
              <w:top w:val="nil" w:sz="6" w:space="0" w:color="auto"/>
              <w:left w:val="nil" w:sz="6" w:space="0" w:color="auto"/>
              <w:bottom w:val="nil" w:sz="6" w:space="0" w:color="auto"/>
              <w:right w:val="nil" w:sz="6" w:space="0" w:color="auto"/>
            </w:tcBorders>
          </w:tcPr>
          <w:p>
            <w:pPr/>
          </w:p>
        </w:tc>
      </w:tr>
      <w:tr>
        <w:trPr>
          <w:trHeight w:val="399"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3748" w:type="dxa"/>
            <w:tcBorders>
              <w:top w:val="nil" w:sz="6" w:space="0" w:color="auto"/>
              <w:left w:val="nil" w:sz="6" w:space="0" w:color="auto"/>
              <w:bottom w:val="nil" w:sz="6" w:space="0" w:color="auto"/>
              <w:right w:val="nil" w:sz="6" w:space="0" w:color="auto"/>
            </w:tcBorders>
          </w:tcPr>
          <w:p>
            <w:pPr/>
          </w:p>
        </w:tc>
      </w:tr>
      <w:tr>
        <w:trPr>
          <w:trHeight w:val="396"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其中：广州创润信息科技有限公司</w:t>
            </w:r>
          </w:p>
        </w:tc>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75,272.82</w:t>
            </w:r>
          </w:p>
        </w:tc>
      </w:tr>
      <w:tr>
        <w:trPr>
          <w:trHeight w:val="396"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pacing w:val="-3"/>
                <w:sz w:val="18"/>
                <w:szCs w:val="18"/>
              </w:rPr>
              <w:t>北京爱代言科技有限公司</w:t>
            </w:r>
          </w:p>
        </w:tc>
        <w:tc>
          <w:tcPr>
            <w:tcW w:w="3748" w:type="dxa"/>
            <w:tcBorders>
              <w:top w:val="nil" w:sz="6" w:space="0" w:color="auto"/>
              <w:left w:val="nil" w:sz="6" w:space="0" w:color="auto"/>
              <w:bottom w:val="nil" w:sz="6" w:space="0" w:color="auto"/>
              <w:right w:val="nil" w:sz="6" w:space="0" w:color="auto"/>
            </w:tcBorders>
          </w:tcPr>
          <w:p>
            <w:pPr/>
          </w:p>
        </w:tc>
      </w:tr>
      <w:tr>
        <w:trPr>
          <w:trHeight w:val="290"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pacing w:val="-3"/>
                <w:sz w:val="18"/>
                <w:szCs w:val="18"/>
              </w:rPr>
              <w:t>福州黑马海峡创业服务有限公司</w:t>
            </w:r>
          </w:p>
        </w:tc>
        <w:tc>
          <w:tcPr>
            <w:tcW w:w="374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562" w:type="dxa"/>
        <w:tblLayout w:type="fixed"/>
        <w:tblCellMar>
          <w:top w:w="0" w:type="dxa"/>
          <w:left w:w="0" w:type="dxa"/>
          <w:bottom w:w="0" w:type="dxa"/>
          <w:right w:w="0" w:type="dxa"/>
        </w:tblCellMar>
        <w:tblLook w:val="01E0"/>
      </w:tblPr>
      <w:tblGrid>
        <w:gridCol w:w="6110"/>
        <w:gridCol w:w="3748"/>
      </w:tblGrid>
      <w:tr>
        <w:trPr>
          <w:trHeight w:val="253" w:hRule="exact"/>
        </w:trPr>
        <w:tc>
          <w:tcPr>
            <w:tcW w:w="6110" w:type="dxa"/>
            <w:tcBorders>
              <w:top w:val="nil" w:sz="6" w:space="0" w:color="auto"/>
              <w:left w:val="nil" w:sz="6" w:space="0" w:color="auto"/>
              <w:bottom w:val="single" w:sz="4" w:space="0" w:color="000000"/>
              <w:right w:val="nil" w:sz="6" w:space="0" w:color="auto"/>
            </w:tcBorders>
          </w:tcPr>
          <w:p>
            <w:pPr>
              <w:pStyle w:val="TableParagraph"/>
              <w:spacing w:line="182" w:lineRule="exact"/>
              <w:ind w:left="11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48" w:type="dxa"/>
            <w:tcBorders>
              <w:top w:val="nil" w:sz="6" w:space="0" w:color="auto"/>
              <w:left w:val="nil" w:sz="6" w:space="0" w:color="auto"/>
              <w:bottom w:val="single" w:sz="4" w:space="0" w:color="000000"/>
              <w:right w:val="nil" w:sz="6" w:space="0" w:color="auto"/>
            </w:tcBorders>
          </w:tcPr>
          <w:p>
            <w:pPr>
              <w:pStyle w:val="TableParagraph"/>
              <w:spacing w:line="182" w:lineRule="exact"/>
              <w:ind w:left="228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44" w:hRule="exact"/>
        </w:trPr>
        <w:tc>
          <w:tcPr>
            <w:tcW w:w="611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652" w:right="0"/>
              <w:jc w:val="left"/>
              <w:rPr>
                <w:rFonts w:ascii="宋体" w:hAnsi="宋体" w:cs="宋体" w:eastAsia="宋体" w:hint="default"/>
                <w:sz w:val="18"/>
                <w:szCs w:val="18"/>
              </w:rPr>
            </w:pPr>
            <w:r>
              <w:rPr>
                <w:rFonts w:ascii="宋体" w:hAnsi="宋体" w:cs="宋体" w:eastAsia="宋体" w:hint="default"/>
                <w:spacing w:val="-3"/>
                <w:sz w:val="18"/>
                <w:szCs w:val="18"/>
              </w:rPr>
              <w:t>厦门黑马蓝图联创企业管理有限合伙企业（有限合伙）</w:t>
            </w:r>
          </w:p>
        </w:tc>
        <w:tc>
          <w:tcPr>
            <w:tcW w:w="3748" w:type="dxa"/>
            <w:tcBorders>
              <w:top w:val="single" w:sz="4" w:space="0" w:color="000000"/>
              <w:left w:val="nil" w:sz="6" w:space="0" w:color="auto"/>
              <w:bottom w:val="nil" w:sz="6" w:space="0" w:color="auto"/>
              <w:right w:val="nil" w:sz="6" w:space="0" w:color="auto"/>
            </w:tcBorders>
          </w:tcPr>
          <w:p>
            <w:pPr/>
          </w:p>
        </w:tc>
      </w:tr>
      <w:tr>
        <w:trPr>
          <w:trHeight w:val="396"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pacing w:val="-3"/>
                <w:sz w:val="18"/>
                <w:szCs w:val="18"/>
              </w:rPr>
              <w:t>天津致科正禾企业管理有限公司</w:t>
            </w:r>
          </w:p>
        </w:tc>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24.12</w:t>
            </w:r>
          </w:p>
        </w:tc>
      </w:tr>
      <w:tr>
        <w:trPr>
          <w:trHeight w:val="290" w:hRule="exact"/>
        </w:trPr>
        <w:tc>
          <w:tcPr>
            <w:tcW w:w="61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-37,219.57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1095" w:right="0"/>
        <w:jc w:val="left"/>
      </w:pPr>
      <w:r>
        <w:rPr>
          <w:rFonts w:ascii="宋体" w:hAnsi="宋体" w:cs="宋体" w:eastAsia="宋体" w:hint="default"/>
        </w:rPr>
        <w:t>3.</w:t>
      </w:r>
      <w:r>
        <w:rPr/>
        <w:t>现金和现金等价物的构成</w:t>
      </w:r>
    </w:p>
    <w:p>
      <w:pPr>
        <w:spacing w:line="240" w:lineRule="auto" w:before="3"/>
        <w:rPr>
          <w:rFonts w:ascii="宋体" w:hAnsi="宋体" w:cs="宋体" w:eastAsia="宋体" w:hint="default"/>
          <w:sz w:val="27"/>
          <w:szCs w:val="27"/>
        </w:rPr>
      </w:pPr>
    </w:p>
    <w:tbl>
      <w:tblPr>
        <w:tblW w:w="0" w:type="auto"/>
        <w:jc w:val="left"/>
        <w:tblInd w:w="562" w:type="dxa"/>
        <w:tblLayout w:type="fixed"/>
        <w:tblCellMar>
          <w:top w:w="0" w:type="dxa"/>
          <w:left w:w="0" w:type="dxa"/>
          <w:bottom w:w="0" w:type="dxa"/>
          <w:right w:w="0" w:type="dxa"/>
        </w:tblCellMar>
        <w:tblLook w:val="01E0"/>
      </w:tblPr>
      <w:tblGrid>
        <w:gridCol w:w="5128"/>
        <w:gridCol w:w="3172"/>
        <w:gridCol w:w="1558"/>
      </w:tblGrid>
      <w:tr>
        <w:trPr>
          <w:trHeight w:val="253" w:hRule="exact"/>
        </w:trPr>
        <w:tc>
          <w:tcPr>
            <w:tcW w:w="5128" w:type="dxa"/>
            <w:tcBorders>
              <w:top w:val="nil" w:sz="6" w:space="0" w:color="auto"/>
              <w:left w:val="nil" w:sz="6" w:space="0" w:color="auto"/>
              <w:bottom w:val="single" w:sz="4" w:space="0" w:color="000000"/>
              <w:right w:val="nil" w:sz="6" w:space="0" w:color="auto"/>
            </w:tcBorders>
          </w:tcPr>
          <w:p>
            <w:pPr>
              <w:pStyle w:val="TableParagraph"/>
              <w:spacing w:line="182" w:lineRule="exact"/>
              <w:ind w:left="134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72" w:type="dxa"/>
            <w:tcBorders>
              <w:top w:val="nil" w:sz="6" w:space="0" w:color="auto"/>
              <w:left w:val="nil" w:sz="6" w:space="0" w:color="auto"/>
              <w:bottom w:val="single" w:sz="4" w:space="0" w:color="000000"/>
              <w:right w:val="nil" w:sz="6" w:space="0" w:color="auto"/>
            </w:tcBorders>
          </w:tcPr>
          <w:p>
            <w:pPr>
              <w:pStyle w:val="TableParagraph"/>
              <w:spacing w:line="182" w:lineRule="exact"/>
              <w:ind w:left="184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58" w:type="dxa"/>
            <w:tcBorders>
              <w:top w:val="nil" w:sz="6" w:space="0" w:color="auto"/>
              <w:left w:val="nil" w:sz="6" w:space="0" w:color="auto"/>
              <w:bottom w:val="single" w:sz="4" w:space="0" w:color="000000"/>
              <w:right w:val="nil" w:sz="6" w:space="0" w:color="auto"/>
            </w:tcBorders>
          </w:tcPr>
          <w:p>
            <w:pPr>
              <w:pStyle w:val="TableParagraph"/>
              <w:spacing w:line="182" w:lineRule="exact"/>
              <w:ind w:left="37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3" w:hRule="exact"/>
        </w:trPr>
        <w:tc>
          <w:tcPr>
            <w:tcW w:w="512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97"/>
              <w:jc w:val="right"/>
              <w:rPr>
                <w:rFonts w:ascii="宋体" w:hAnsi="宋体" w:cs="宋体" w:eastAsia="宋体" w:hint="default"/>
                <w:sz w:val="18"/>
                <w:szCs w:val="18"/>
              </w:rPr>
            </w:pPr>
            <w:r>
              <w:rPr>
                <w:rFonts w:ascii="宋体"/>
                <w:spacing w:val="-2"/>
                <w:sz w:val="18"/>
              </w:rPr>
              <w:t>235,710,956.39</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4"/>
              <w:jc w:val="right"/>
              <w:rPr>
                <w:rFonts w:ascii="宋体" w:hAnsi="宋体" w:cs="宋体" w:eastAsia="宋体" w:hint="default"/>
                <w:sz w:val="18"/>
                <w:szCs w:val="18"/>
              </w:rPr>
            </w:pPr>
            <w:r>
              <w:rPr>
                <w:rFonts w:ascii="宋体"/>
                <w:spacing w:val="-2"/>
                <w:sz w:val="18"/>
              </w:rPr>
              <w:t>148,135,507.81</w:t>
            </w:r>
          </w:p>
        </w:tc>
      </w:tr>
      <w:tr>
        <w:trPr>
          <w:trHeight w:val="396"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7"/>
              <w:jc w:val="right"/>
              <w:rPr>
                <w:rFonts w:ascii="宋体" w:hAnsi="宋体" w:cs="宋体" w:eastAsia="宋体" w:hint="default"/>
                <w:sz w:val="18"/>
                <w:szCs w:val="18"/>
              </w:rPr>
            </w:pPr>
            <w:r>
              <w:rPr>
                <w:rFonts w:ascii="宋体"/>
                <w:spacing w:val="-1"/>
                <w:sz w:val="18"/>
              </w:rPr>
              <w:t>562.00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pacing w:val="-1"/>
                <w:sz w:val="18"/>
              </w:rPr>
              <w:t>5,543.00</w:t>
            </w:r>
          </w:p>
        </w:tc>
      </w:tr>
      <w:tr>
        <w:trPr>
          <w:trHeight w:val="399"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7"/>
              <w:jc w:val="right"/>
              <w:rPr>
                <w:rFonts w:ascii="宋体" w:hAnsi="宋体" w:cs="宋体" w:eastAsia="宋体" w:hint="default"/>
                <w:sz w:val="18"/>
                <w:szCs w:val="18"/>
              </w:rPr>
            </w:pPr>
            <w:r>
              <w:rPr>
                <w:rFonts w:ascii="宋体"/>
                <w:spacing w:val="-2"/>
                <w:sz w:val="18"/>
              </w:rPr>
              <w:t>235,681,826.53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147,142,429.16</w:t>
            </w:r>
          </w:p>
        </w:tc>
      </w:tr>
      <w:tr>
        <w:trPr>
          <w:trHeight w:val="396"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52"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7"/>
              <w:jc w:val="right"/>
              <w:rPr>
                <w:rFonts w:ascii="宋体" w:hAnsi="宋体" w:cs="宋体" w:eastAsia="宋体" w:hint="default"/>
                <w:sz w:val="18"/>
                <w:szCs w:val="18"/>
              </w:rPr>
            </w:pPr>
            <w:r>
              <w:rPr>
                <w:rFonts w:ascii="宋体"/>
                <w:spacing w:val="-1"/>
                <w:sz w:val="18"/>
              </w:rPr>
              <w:t>28,567.86</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4"/>
              <w:jc w:val="right"/>
              <w:rPr>
                <w:rFonts w:ascii="宋体" w:hAnsi="宋体" w:cs="宋体" w:eastAsia="宋体" w:hint="default"/>
                <w:sz w:val="18"/>
                <w:szCs w:val="18"/>
              </w:rPr>
            </w:pPr>
            <w:r>
              <w:rPr>
                <w:rFonts w:ascii="宋体"/>
                <w:spacing w:val="-1"/>
                <w:sz w:val="18"/>
              </w:rPr>
              <w:t>987,535.65</w:t>
            </w:r>
          </w:p>
        </w:tc>
      </w:tr>
      <w:tr>
        <w:trPr>
          <w:trHeight w:val="396"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2" w:right="0"/>
              <w:jc w:val="left"/>
              <w:rPr>
                <w:rFonts w:ascii="宋体" w:hAnsi="宋体" w:cs="宋体" w:eastAsia="宋体" w:hint="default"/>
                <w:sz w:val="18"/>
                <w:szCs w:val="18"/>
              </w:rPr>
            </w:pPr>
            <w:r>
              <w:rPr>
                <w:rFonts w:ascii="宋体" w:hAnsi="宋体" w:cs="宋体" w:eastAsia="宋体" w:hint="default"/>
                <w:spacing w:val="-3"/>
                <w:sz w:val="18"/>
                <w:szCs w:val="18"/>
              </w:rPr>
              <w:t>可用于支付的存放中央银行款项</w:t>
            </w:r>
          </w:p>
        </w:tc>
        <w:tc>
          <w:tcPr>
            <w:tcW w:w="317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98"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17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98"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17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96"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二、现金等价物</w:t>
            </w:r>
          </w:p>
        </w:tc>
        <w:tc>
          <w:tcPr>
            <w:tcW w:w="317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96"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其中：三个月内到期的债券投资</w:t>
            </w:r>
          </w:p>
        </w:tc>
        <w:tc>
          <w:tcPr>
            <w:tcW w:w="317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398"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7"/>
              <w:jc w:val="right"/>
              <w:rPr>
                <w:rFonts w:ascii="宋体" w:hAnsi="宋体" w:cs="宋体" w:eastAsia="宋体" w:hint="default"/>
                <w:sz w:val="18"/>
                <w:szCs w:val="18"/>
              </w:rPr>
            </w:pPr>
            <w:r>
              <w:rPr>
                <w:rFonts w:ascii="宋体"/>
                <w:spacing w:val="-2"/>
                <w:sz w:val="18"/>
              </w:rPr>
              <w:t>235,710,956.39</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148,135,507.81</w:t>
            </w:r>
          </w:p>
        </w:tc>
      </w:tr>
      <w:tr>
        <w:trPr>
          <w:trHeight w:val="290" w:hRule="exact"/>
        </w:trPr>
        <w:tc>
          <w:tcPr>
            <w:tcW w:w="51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其中：母公司或集团内子公司使用受限制的现金和现金等价物</w:t>
            </w:r>
          </w:p>
        </w:tc>
        <w:tc>
          <w:tcPr>
            <w:tcW w:w="317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453" w:lineRule="auto" w:before="36"/>
        <w:ind w:left="1095" w:right="8285"/>
        <w:jc w:val="left"/>
      </w:pPr>
      <w:bookmarkStart w:name="（四十一）政府补助" w:id="239"/>
      <w:bookmarkEnd w:id="239"/>
      <w:r>
        <w:rPr/>
      </w:r>
      <w:r>
        <w:rPr/>
        <w:t>（四十一）政府补助</w:t>
      </w:r>
      <w:r>
        <w:rPr>
          <w:spacing w:val="-100"/>
        </w:rPr>
        <w:t> </w:t>
      </w:r>
      <w:r>
        <w:rPr>
          <w:spacing w:val="-100"/>
        </w:rPr>
      </w:r>
      <w:r>
        <w:rPr>
          <w:rFonts w:ascii="宋体" w:hAnsi="宋体" w:cs="宋体" w:eastAsia="宋体" w:hint="default"/>
        </w:rPr>
        <w:t>1.</w:t>
      </w:r>
      <w:r>
        <w:rPr>
          <w:rFonts w:ascii="宋体" w:hAnsi="宋体" w:cs="宋体" w:eastAsia="宋体" w:hint="default"/>
          <w:spacing w:val="49"/>
        </w:rPr>
        <w:t> </w:t>
      </w:r>
      <w:r>
        <w:rPr/>
        <w:t>政府补助基本情况</w:t>
      </w:r>
    </w:p>
    <w:p>
      <w:pPr>
        <w:spacing w:line="240" w:lineRule="auto" w:before="7"/>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543"/>
        <w:gridCol w:w="1789"/>
        <w:gridCol w:w="1357"/>
        <w:gridCol w:w="2005"/>
      </w:tblGrid>
      <w:tr>
        <w:trPr>
          <w:trHeight w:val="258" w:hRule="exact"/>
        </w:trPr>
        <w:tc>
          <w:tcPr>
            <w:tcW w:w="5543" w:type="dxa"/>
            <w:tcBorders>
              <w:top w:val="nil" w:sz="6" w:space="0" w:color="auto"/>
              <w:left w:val="nil" w:sz="6" w:space="0" w:color="auto"/>
              <w:bottom w:val="single" w:sz="8" w:space="0" w:color="000000"/>
              <w:right w:val="nil" w:sz="6" w:space="0" w:color="auto"/>
            </w:tcBorders>
          </w:tcPr>
          <w:p>
            <w:pPr>
              <w:pStyle w:val="TableParagraph"/>
              <w:spacing w:line="182" w:lineRule="exact"/>
              <w:ind w:left="20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9" w:type="dxa"/>
            <w:tcBorders>
              <w:top w:val="nil" w:sz="6" w:space="0" w:color="auto"/>
              <w:left w:val="nil" w:sz="6" w:space="0" w:color="auto"/>
              <w:bottom w:val="single" w:sz="8" w:space="0" w:color="000000"/>
              <w:right w:val="nil" w:sz="6" w:space="0" w:color="auto"/>
            </w:tcBorders>
          </w:tcPr>
          <w:p>
            <w:pPr>
              <w:pStyle w:val="TableParagraph"/>
              <w:spacing w:line="182" w:lineRule="exact"/>
              <w:ind w:left="11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57" w:type="dxa"/>
            <w:tcBorders>
              <w:top w:val="nil" w:sz="6" w:space="0" w:color="auto"/>
              <w:left w:val="nil" w:sz="6" w:space="0" w:color="auto"/>
              <w:bottom w:val="single" w:sz="8" w:space="0" w:color="000000"/>
              <w:right w:val="nil" w:sz="6" w:space="0" w:color="auto"/>
            </w:tcBorders>
          </w:tcPr>
          <w:p>
            <w:pPr>
              <w:pStyle w:val="TableParagraph"/>
              <w:spacing w:line="182" w:lineRule="exact"/>
              <w:ind w:right="87"/>
              <w:jc w:val="center"/>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sz w:val="18"/>
                <w:szCs w:val="18"/>
              </w:rPr>
            </w:r>
          </w:p>
        </w:tc>
        <w:tc>
          <w:tcPr>
            <w:tcW w:w="2005" w:type="dxa"/>
            <w:tcBorders>
              <w:top w:val="nil" w:sz="6" w:space="0" w:color="auto"/>
              <w:left w:val="nil" w:sz="6" w:space="0" w:color="auto"/>
              <w:bottom w:val="single" w:sz="8" w:space="0" w:color="000000"/>
              <w:right w:val="nil" w:sz="6" w:space="0" w:color="auto"/>
            </w:tcBorders>
          </w:tcPr>
          <w:p>
            <w:pPr>
              <w:pStyle w:val="TableParagraph"/>
              <w:spacing w:line="182"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计入当期损益金额</w:t>
            </w:r>
            <w:r>
              <w:rPr>
                <w:rFonts w:ascii="宋体" w:hAnsi="宋体" w:cs="宋体" w:eastAsia="宋体" w:hint="default"/>
                <w:sz w:val="18"/>
                <w:szCs w:val="18"/>
              </w:rPr>
            </w:r>
          </w:p>
        </w:tc>
      </w:tr>
      <w:tr>
        <w:trPr>
          <w:trHeight w:val="782" w:hRule="exact"/>
        </w:trPr>
        <w:tc>
          <w:tcPr>
            <w:tcW w:w="5543"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北京市科技成果转化平台建设专项</w:t>
            </w:r>
          </w:p>
        </w:tc>
        <w:tc>
          <w:tcPr>
            <w:tcW w:w="1789"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0"/>
              <w:jc w:val="right"/>
              <w:rPr>
                <w:rFonts w:ascii="宋体" w:hAnsi="宋体" w:cs="宋体" w:eastAsia="宋体" w:hint="default"/>
                <w:sz w:val="18"/>
                <w:szCs w:val="18"/>
              </w:rPr>
            </w:pPr>
            <w:r>
              <w:rPr>
                <w:rFonts w:ascii="宋体"/>
                <w:spacing w:val="-1"/>
                <w:sz w:val="18"/>
              </w:rPr>
              <w:t>1,100,000.00</w:t>
            </w:r>
          </w:p>
        </w:tc>
        <w:tc>
          <w:tcPr>
            <w:tcW w:w="1357" w:type="dxa"/>
            <w:tcBorders>
              <w:top w:val="single" w:sz="8" w:space="0" w:color="000000"/>
              <w:left w:val="nil" w:sz="6" w:space="0" w:color="auto"/>
              <w:bottom w:val="nil" w:sz="6" w:space="0" w:color="auto"/>
              <w:right w:val="nil" w:sz="6" w:space="0" w:color="auto"/>
            </w:tcBorders>
          </w:tcPr>
          <w:p>
            <w:pPr>
              <w:pStyle w:val="TableParagraph"/>
              <w:spacing w:line="367" w:lineRule="auto" w:before="78"/>
              <w:ind w:left="268" w:right="360"/>
              <w:jc w:val="left"/>
              <w:rPr>
                <w:rFonts w:ascii="宋体" w:hAnsi="宋体" w:cs="宋体" w:eastAsia="宋体" w:hint="default"/>
                <w:sz w:val="18"/>
                <w:szCs w:val="18"/>
              </w:rPr>
            </w:pPr>
            <w:r>
              <w:rPr>
                <w:rFonts w:ascii="宋体" w:hAnsi="宋体" w:cs="宋体" w:eastAsia="宋体" w:hint="default"/>
                <w:spacing w:val="-2"/>
                <w:sz w:val="18"/>
                <w:szCs w:val="18"/>
              </w:rPr>
              <w:t>其他收益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递延收益</w:t>
            </w:r>
          </w:p>
        </w:tc>
        <w:tc>
          <w:tcPr>
            <w:tcW w:w="2005"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900,214.90</w:t>
            </w:r>
          </w:p>
        </w:tc>
      </w:tr>
      <w:tr>
        <w:trPr>
          <w:trHeight w:val="386"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2"/>
                <w:sz w:val="18"/>
                <w:szCs w:val="18"/>
              </w:rPr>
              <w:t> </w:t>
            </w:r>
            <w:r>
              <w:rPr>
                <w:rFonts w:ascii="宋体" w:hAnsi="宋体" w:cs="宋体" w:eastAsia="宋体" w:hint="default"/>
                <w:spacing w:val="-3"/>
                <w:sz w:val="18"/>
                <w:szCs w:val="18"/>
              </w:rPr>
              <w:t>年中关村国家自主创新示范区新型创业服务机构支持资金</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80"/>
              <w:jc w:val="right"/>
              <w:rPr>
                <w:rFonts w:ascii="宋体" w:hAnsi="宋体" w:cs="宋体" w:eastAsia="宋体" w:hint="default"/>
                <w:sz w:val="18"/>
                <w:szCs w:val="18"/>
              </w:rPr>
            </w:pPr>
            <w:r>
              <w:rPr>
                <w:rFonts w:ascii="宋体"/>
                <w:spacing w:val="-1"/>
                <w:sz w:val="18"/>
              </w:rPr>
              <w:t>532,900.00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532,900.00</w:t>
            </w:r>
          </w:p>
        </w:tc>
      </w:tr>
      <w:tr>
        <w:trPr>
          <w:trHeight w:val="396"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科技服务骨干机构能力提升项目</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0"/>
              <w:jc w:val="right"/>
              <w:rPr>
                <w:rFonts w:ascii="宋体" w:hAnsi="宋体" w:cs="宋体" w:eastAsia="宋体" w:hint="default"/>
                <w:sz w:val="18"/>
                <w:szCs w:val="18"/>
              </w:rPr>
            </w:pPr>
            <w:r>
              <w:rPr>
                <w:rFonts w:ascii="宋体"/>
                <w:spacing w:val="-1"/>
                <w:sz w:val="18"/>
              </w:rPr>
              <w:t>450,000.00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450,000.00</w:t>
            </w:r>
          </w:p>
        </w:tc>
      </w:tr>
      <w:tr>
        <w:trPr>
          <w:trHeight w:val="399"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北京市朝阳区发展和改革委员会政府补助</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0"/>
              <w:jc w:val="right"/>
              <w:rPr>
                <w:rFonts w:ascii="宋体" w:hAnsi="宋体" w:cs="宋体" w:eastAsia="宋体" w:hint="default"/>
                <w:sz w:val="18"/>
                <w:szCs w:val="18"/>
              </w:rPr>
            </w:pPr>
            <w:r>
              <w:rPr>
                <w:rFonts w:ascii="宋体"/>
                <w:spacing w:val="-1"/>
                <w:sz w:val="18"/>
              </w:rPr>
              <w:t>370,000.00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7"/>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370,000.00</w:t>
            </w:r>
          </w:p>
        </w:tc>
      </w:tr>
      <w:tr>
        <w:trPr>
          <w:trHeight w:val="398"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中国（南京）软件谷管理委员会软件产业专项扶持资金</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0"/>
              <w:jc w:val="right"/>
              <w:rPr>
                <w:rFonts w:ascii="宋体" w:hAnsi="宋体" w:cs="宋体" w:eastAsia="宋体" w:hint="default"/>
                <w:sz w:val="18"/>
                <w:szCs w:val="18"/>
              </w:rPr>
            </w:pPr>
            <w:r>
              <w:rPr>
                <w:rFonts w:ascii="宋体"/>
                <w:spacing w:val="-1"/>
                <w:sz w:val="18"/>
              </w:rPr>
              <w:t>300,000.00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300,000.00</w:t>
            </w:r>
          </w:p>
        </w:tc>
      </w:tr>
      <w:tr>
        <w:trPr>
          <w:trHeight w:val="396"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0"/>
              <w:jc w:val="right"/>
              <w:rPr>
                <w:rFonts w:ascii="宋体" w:hAnsi="宋体" w:cs="宋体" w:eastAsia="宋体" w:hint="default"/>
                <w:sz w:val="18"/>
                <w:szCs w:val="18"/>
              </w:rPr>
            </w:pPr>
            <w:r>
              <w:rPr>
                <w:rFonts w:ascii="宋体"/>
                <w:spacing w:val="-1"/>
                <w:sz w:val="18"/>
              </w:rPr>
              <w:t>281,520.00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pacing w:val="-1"/>
                <w:sz w:val="18"/>
              </w:rPr>
              <w:t>281,520.00</w:t>
            </w:r>
          </w:p>
        </w:tc>
      </w:tr>
      <w:tr>
        <w:trPr>
          <w:trHeight w:val="396"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南京雨花台科技局众创空间绩效评价奖金</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0"/>
              <w:jc w:val="right"/>
              <w:rPr>
                <w:rFonts w:ascii="宋体" w:hAnsi="宋体" w:cs="宋体" w:eastAsia="宋体" w:hint="default"/>
                <w:sz w:val="18"/>
                <w:szCs w:val="18"/>
              </w:rPr>
            </w:pPr>
            <w:r>
              <w:rPr>
                <w:rFonts w:ascii="宋体"/>
                <w:spacing w:val="-1"/>
                <w:sz w:val="18"/>
              </w:rPr>
              <w:t>200,000.00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200,000.00</w:t>
            </w:r>
          </w:p>
        </w:tc>
      </w:tr>
      <w:tr>
        <w:trPr>
          <w:trHeight w:val="399"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
                <w:sz w:val="18"/>
                <w:szCs w:val="18"/>
              </w:rPr>
              <w:t> </w:t>
            </w:r>
            <w:r>
              <w:rPr>
                <w:rFonts w:ascii="宋体" w:hAnsi="宋体" w:cs="宋体" w:eastAsia="宋体" w:hint="default"/>
                <w:spacing w:val="-3"/>
                <w:sz w:val="18"/>
                <w:szCs w:val="18"/>
              </w:rPr>
              <w:t>年朝阳区企业科协创新工作补助经费</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0"/>
              <w:jc w:val="right"/>
              <w:rPr>
                <w:rFonts w:ascii="宋体" w:hAnsi="宋体" w:cs="宋体" w:eastAsia="宋体" w:hint="default"/>
                <w:sz w:val="18"/>
                <w:szCs w:val="18"/>
              </w:rPr>
            </w:pPr>
            <w:r>
              <w:rPr>
                <w:rFonts w:ascii="宋体"/>
                <w:spacing w:val="-1"/>
                <w:sz w:val="18"/>
              </w:rPr>
              <w:t>10,000.00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2"/>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10,000.00</w:t>
            </w:r>
          </w:p>
        </w:tc>
      </w:tr>
      <w:tr>
        <w:trPr>
          <w:trHeight w:val="291" w:hRule="exact"/>
        </w:trPr>
        <w:tc>
          <w:tcPr>
            <w:tcW w:w="554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9"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0"/>
              <w:jc w:val="right"/>
              <w:rPr>
                <w:rFonts w:ascii="宋体" w:hAnsi="宋体" w:cs="宋体" w:eastAsia="宋体" w:hint="default"/>
                <w:sz w:val="18"/>
                <w:szCs w:val="18"/>
              </w:rPr>
            </w:pPr>
            <w:r>
              <w:rPr>
                <w:rFonts w:ascii="宋体"/>
                <w:w w:val="101"/>
                <w:sz w:val="18"/>
              </w:rPr>
            </w:r>
            <w:r>
              <w:rPr>
                <w:rFonts w:ascii="宋体"/>
                <w:spacing w:val="-1"/>
                <w:sz w:val="18"/>
                <w:u w:val="thick" w:color="000000"/>
              </w:rPr>
              <w:t>3,244,420.00</w:t>
            </w:r>
            <w:r>
              <w:rPr>
                <w:rFonts w:ascii="宋体"/>
                <w:spacing w:val="-1"/>
                <w:sz w:val="18"/>
              </w:rPr>
            </w:r>
          </w:p>
        </w:tc>
        <w:tc>
          <w:tcPr>
            <w:tcW w:w="1357" w:type="dxa"/>
            <w:tcBorders>
              <w:top w:val="nil" w:sz="6" w:space="0" w:color="auto"/>
              <w:left w:val="nil" w:sz="6" w:space="0" w:color="auto"/>
              <w:bottom w:val="nil" w:sz="6" w:space="0" w:color="auto"/>
              <w:right w:val="nil" w:sz="6" w:space="0" w:color="auto"/>
            </w:tcBorders>
          </w:tcPr>
          <w:p>
            <w:pP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w w:val="101"/>
                <w:sz w:val="18"/>
              </w:rPr>
            </w:r>
            <w:r>
              <w:rPr>
                <w:rFonts w:ascii="宋体"/>
                <w:spacing w:val="-1"/>
                <w:sz w:val="18"/>
                <w:u w:val="thick" w:color="000000"/>
              </w:rPr>
              <w:t>3,044,634.90</w:t>
            </w:r>
            <w:r>
              <w:rPr>
                <w:rFonts w:ascii="宋体"/>
                <w:spacing w:val="-1"/>
                <w:sz w:val="18"/>
              </w:rPr>
            </w:r>
          </w:p>
        </w:tc>
      </w:tr>
    </w:tbl>
    <w:p>
      <w:pPr>
        <w:spacing w:line="240" w:lineRule="auto" w:before="6"/>
        <w:rPr>
          <w:rFonts w:ascii="宋体" w:hAnsi="宋体" w:cs="宋体" w:eastAsia="宋体" w:hint="default"/>
          <w:sz w:val="27"/>
          <w:szCs w:val="27"/>
        </w:rPr>
      </w:pPr>
    </w:p>
    <w:p>
      <w:pPr>
        <w:pStyle w:val="Heading2"/>
        <w:spacing w:line="240" w:lineRule="auto" w:before="26"/>
        <w:ind w:left="1153" w:right="0"/>
        <w:jc w:val="left"/>
        <w:rPr>
          <w:rFonts w:ascii="黑体" w:hAnsi="黑体" w:cs="黑体" w:eastAsia="黑体" w:hint="default"/>
          <w:b w:val="0"/>
          <w:bCs w:val="0"/>
        </w:rPr>
      </w:pPr>
      <w:bookmarkStart w:name="七、合并范围的变更" w:id="240"/>
      <w:bookmarkEnd w:id="240"/>
      <w:r>
        <w:rPr>
          <w:b w:val="0"/>
          <w:bCs w:val="0"/>
        </w:rPr>
      </w:r>
      <w:r>
        <w:rPr>
          <w:rFonts w:ascii="黑体" w:hAnsi="黑体" w:cs="黑体" w:eastAsia="黑体" w:hint="default"/>
        </w:rPr>
        <w:t>七、合并范围的变更</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741" w:footer="979" w:top="1060" w:bottom="1160" w:left="460" w:right="0"/>
        </w:sectPr>
      </w:pPr>
    </w:p>
    <w:p>
      <w:pPr>
        <w:spacing w:line="240" w:lineRule="auto" w:before="12"/>
        <w:rPr>
          <w:rFonts w:ascii="黑体" w:hAnsi="黑体" w:cs="黑体" w:eastAsia="黑体" w:hint="default"/>
          <w:b/>
          <w:bCs/>
          <w:sz w:val="28"/>
          <w:szCs w:val="28"/>
        </w:rPr>
      </w:pPr>
    </w:p>
    <w:p>
      <w:pPr>
        <w:pStyle w:val="BodyText"/>
        <w:spacing w:line="453" w:lineRule="auto" w:before="36"/>
        <w:ind w:left="635" w:right="5495"/>
        <w:jc w:val="left"/>
      </w:pPr>
      <w:bookmarkStart w:name="（一）处置子公司" w:id="241"/>
      <w:bookmarkEnd w:id="241"/>
      <w:r>
        <w:rPr/>
      </w:r>
      <w:r>
        <w:rPr/>
        <w:t>（一）处置子公司</w:t>
      </w:r>
      <w:r>
        <w:rPr>
          <w:spacing w:val="-101"/>
        </w:rPr>
        <w:t> </w:t>
      </w:r>
      <w:r>
        <w:rPr>
          <w:spacing w:val="-101"/>
        </w:rPr>
      </w:r>
      <w:r>
        <w:rPr>
          <w:rFonts w:ascii="宋体" w:hAnsi="宋体" w:cs="宋体" w:eastAsia="宋体" w:hint="default"/>
          <w:spacing w:val="-1"/>
        </w:rPr>
        <w:t>1.</w:t>
      </w:r>
      <w:r>
        <w:rPr>
          <w:spacing w:val="-1"/>
        </w:rPr>
        <w:t>单次处置对子公司投资即丧失控制权的情形</w:t>
      </w:r>
    </w:p>
    <w:p>
      <w:pPr>
        <w:spacing w:line="240" w:lineRule="auto" w:before="2"/>
        <w:rPr>
          <w:rFonts w:ascii="宋体" w:hAnsi="宋体" w:cs="宋体" w:eastAsia="宋体" w:hint="default"/>
          <w:sz w:val="11"/>
          <w:szCs w:val="11"/>
        </w:rPr>
      </w:pPr>
    </w:p>
    <w:tbl>
      <w:tblPr>
        <w:tblW w:w="0" w:type="auto"/>
        <w:jc w:val="left"/>
        <w:tblInd w:w="626" w:type="dxa"/>
        <w:tblLayout w:type="fixed"/>
        <w:tblCellMar>
          <w:top w:w="0" w:type="dxa"/>
          <w:left w:w="0" w:type="dxa"/>
          <w:bottom w:w="0" w:type="dxa"/>
          <w:right w:w="0" w:type="dxa"/>
        </w:tblCellMar>
        <w:tblLook w:val="01E0"/>
      </w:tblPr>
      <w:tblGrid>
        <w:gridCol w:w="1366"/>
        <w:gridCol w:w="848"/>
        <w:gridCol w:w="1062"/>
        <w:gridCol w:w="948"/>
        <w:gridCol w:w="1148"/>
        <w:gridCol w:w="987"/>
        <w:gridCol w:w="2454"/>
      </w:tblGrid>
      <w:tr>
        <w:trPr>
          <w:trHeight w:val="954" w:hRule="exact"/>
        </w:trPr>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848" w:type="dxa"/>
            <w:tcBorders>
              <w:top w:val="nil" w:sz="6" w:space="0" w:color="auto"/>
              <w:left w:val="nil" w:sz="6" w:space="0" w:color="auto"/>
              <w:bottom w:val="single" w:sz="4" w:space="0" w:color="000000"/>
              <w:right w:val="nil" w:sz="6" w:space="0" w:color="auto"/>
            </w:tcBorders>
          </w:tcPr>
          <w:p>
            <w:pPr>
              <w:pStyle w:val="TableParagraph"/>
              <w:spacing w:line="367" w:lineRule="auto" w:before="129"/>
              <w:ind w:left="170" w:right="127"/>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86"/>
                <w:sz w:val="18"/>
                <w:szCs w:val="18"/>
              </w:rPr>
              <w:t> </w:t>
            </w:r>
            <w:r>
              <w:rPr>
                <w:rFonts w:ascii="宋体" w:hAnsi="宋体" w:cs="宋体" w:eastAsia="宋体" w:hint="default"/>
                <w:b/>
                <w:bCs/>
                <w:sz w:val="18"/>
                <w:szCs w:val="18"/>
              </w:rPr>
              <w:t>置价款</w:t>
            </w:r>
            <w:r>
              <w:rPr>
                <w:rFonts w:ascii="宋体" w:hAnsi="宋体" w:cs="宋体" w:eastAsia="宋体" w:hint="default"/>
                <w:sz w:val="18"/>
                <w:szCs w:val="18"/>
              </w:rPr>
            </w:r>
          </w:p>
        </w:tc>
        <w:tc>
          <w:tcPr>
            <w:tcW w:w="1062" w:type="dxa"/>
            <w:tcBorders>
              <w:top w:val="nil" w:sz="6" w:space="0" w:color="auto"/>
              <w:left w:val="nil" w:sz="6" w:space="0" w:color="auto"/>
              <w:bottom w:val="single" w:sz="4" w:space="0" w:color="000000"/>
              <w:right w:val="nil" w:sz="6" w:space="0" w:color="auto"/>
            </w:tcBorders>
          </w:tcPr>
          <w:p>
            <w:pPr>
              <w:pStyle w:val="TableParagraph"/>
              <w:spacing w:line="367" w:lineRule="auto" w:before="129"/>
              <w:ind w:left="129" w:right="113" w:firstLine="43"/>
              <w:jc w:val="left"/>
              <w:rPr>
                <w:rFonts w:ascii="宋体" w:hAnsi="宋体" w:cs="宋体" w:eastAsia="宋体" w:hint="default"/>
                <w:sz w:val="18"/>
                <w:szCs w:val="18"/>
              </w:rPr>
            </w:pPr>
            <w:r>
              <w:rPr>
                <w:rFonts w:ascii="宋体" w:hAnsi="宋体" w:cs="宋体" w:eastAsia="宋体" w:hint="default"/>
                <w:b/>
                <w:bCs/>
                <w:sz w:val="18"/>
                <w:szCs w:val="18"/>
              </w:rPr>
              <w:t>股权处置</w:t>
            </w:r>
            <w:r>
              <w:rPr>
                <w:rFonts w:ascii="宋体" w:hAnsi="宋体" w:cs="宋体" w:eastAsia="宋体" w:hint="default"/>
                <w:b/>
                <w:bCs/>
                <w:w w:val="100"/>
                <w:sz w:val="18"/>
                <w:szCs w:val="18"/>
              </w:rPr>
              <w:t> </w:t>
            </w: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948" w:type="dxa"/>
            <w:tcBorders>
              <w:top w:val="nil" w:sz="6" w:space="0" w:color="auto"/>
              <w:left w:val="nil" w:sz="6" w:space="0" w:color="auto"/>
              <w:bottom w:val="single" w:sz="4" w:space="0" w:color="000000"/>
              <w:right w:val="nil" w:sz="6" w:space="0" w:color="auto"/>
            </w:tcBorders>
          </w:tcPr>
          <w:p>
            <w:pPr>
              <w:pStyle w:val="TableParagraph"/>
              <w:spacing w:line="367" w:lineRule="auto" w:before="129"/>
              <w:ind w:left="206" w:right="192"/>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86"/>
                <w:sz w:val="18"/>
                <w:szCs w:val="18"/>
              </w:rPr>
              <w:t> </w:t>
            </w:r>
            <w:r>
              <w:rPr>
                <w:rFonts w:ascii="宋体" w:hAnsi="宋体" w:cs="宋体" w:eastAsia="宋体" w:hint="default"/>
                <w:b/>
                <w:bCs/>
                <w:sz w:val="18"/>
                <w:szCs w:val="18"/>
              </w:rPr>
              <w:t>置方式</w:t>
            </w:r>
            <w:r>
              <w:rPr>
                <w:rFonts w:ascii="宋体" w:hAnsi="宋体" w:cs="宋体" w:eastAsia="宋体" w:hint="default"/>
                <w:sz w:val="18"/>
                <w:szCs w:val="18"/>
              </w:rPr>
            </w:r>
          </w:p>
        </w:tc>
        <w:tc>
          <w:tcPr>
            <w:tcW w:w="1148" w:type="dxa"/>
            <w:tcBorders>
              <w:top w:val="nil" w:sz="6" w:space="0" w:color="auto"/>
              <w:left w:val="nil" w:sz="6" w:space="0" w:color="auto"/>
              <w:bottom w:val="single" w:sz="4" w:space="0" w:color="000000"/>
              <w:right w:val="nil" w:sz="6" w:space="0" w:color="auto"/>
            </w:tcBorders>
          </w:tcPr>
          <w:p>
            <w:pPr>
              <w:pStyle w:val="TableParagraph"/>
              <w:spacing w:line="367" w:lineRule="auto" w:before="129"/>
              <w:ind w:left="204" w:right="211"/>
              <w:jc w:val="left"/>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spacing w:val="-84"/>
                <w:sz w:val="18"/>
                <w:szCs w:val="18"/>
              </w:rPr>
              <w:t> </w:t>
            </w:r>
            <w:r>
              <w:rPr>
                <w:rFonts w:ascii="宋体" w:hAnsi="宋体" w:cs="宋体" w:eastAsia="宋体" w:hint="default"/>
                <w:b/>
                <w:bCs/>
                <w:sz w:val="18"/>
                <w:szCs w:val="18"/>
              </w:rPr>
              <w:t>权的时点</w:t>
            </w:r>
            <w:r>
              <w:rPr>
                <w:rFonts w:ascii="宋体" w:hAnsi="宋体" w:cs="宋体" w:eastAsia="宋体" w:hint="default"/>
                <w:sz w:val="18"/>
                <w:szCs w:val="18"/>
              </w:rPr>
            </w:r>
          </w:p>
        </w:tc>
        <w:tc>
          <w:tcPr>
            <w:tcW w:w="987" w:type="dxa"/>
            <w:tcBorders>
              <w:top w:val="nil" w:sz="6" w:space="0" w:color="auto"/>
              <w:left w:val="nil" w:sz="6" w:space="0" w:color="auto"/>
              <w:bottom w:val="single" w:sz="4" w:space="0" w:color="000000"/>
              <w:right w:val="nil" w:sz="6" w:space="0" w:color="auto"/>
            </w:tcBorders>
          </w:tcPr>
          <w:p>
            <w:pPr>
              <w:pStyle w:val="TableParagraph"/>
              <w:spacing w:line="182"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sz w:val="18"/>
                <w:szCs w:val="18"/>
              </w:rPr>
            </w:r>
          </w:p>
          <w:p>
            <w:pPr>
              <w:pStyle w:val="TableParagraph"/>
              <w:spacing w:line="360" w:lineRule="atLeast"/>
              <w:ind w:left="117" w:right="137"/>
              <w:jc w:val="left"/>
              <w:rPr>
                <w:rFonts w:ascii="宋体" w:hAnsi="宋体" w:cs="宋体" w:eastAsia="宋体" w:hint="default"/>
                <w:sz w:val="18"/>
                <w:szCs w:val="18"/>
              </w:rPr>
            </w:pPr>
            <w:r>
              <w:rPr>
                <w:rFonts w:ascii="宋体" w:hAnsi="宋体" w:cs="宋体" w:eastAsia="宋体" w:hint="default"/>
                <w:b/>
                <w:bCs/>
                <w:sz w:val="18"/>
                <w:szCs w:val="18"/>
              </w:rPr>
              <w:t>权时点的</w:t>
            </w:r>
            <w:r>
              <w:rPr>
                <w:rFonts w:ascii="宋体" w:hAnsi="宋体" w:cs="宋体" w:eastAsia="宋体" w:hint="default"/>
                <w:b/>
                <w:bCs/>
                <w:spacing w:val="-84"/>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c>
          <w:tcPr>
            <w:tcW w:w="2454" w:type="dxa"/>
            <w:tcBorders>
              <w:top w:val="nil" w:sz="6" w:space="0" w:color="auto"/>
              <w:left w:val="nil" w:sz="6" w:space="0" w:color="auto"/>
              <w:bottom w:val="single" w:sz="4" w:space="0" w:color="000000"/>
              <w:right w:val="nil" w:sz="6" w:space="0" w:color="auto"/>
            </w:tcBorders>
          </w:tcPr>
          <w:p>
            <w:pPr>
              <w:pStyle w:val="TableParagraph"/>
              <w:spacing w:line="182"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处置价款与处置投资对应的</w:t>
            </w:r>
            <w:r>
              <w:rPr>
                <w:rFonts w:ascii="宋体" w:hAnsi="宋体" w:cs="宋体" w:eastAsia="宋体" w:hint="default"/>
                <w:sz w:val="18"/>
                <w:szCs w:val="18"/>
              </w:rPr>
            </w:r>
          </w:p>
          <w:p>
            <w:pPr>
              <w:pStyle w:val="TableParagraph"/>
              <w:spacing w:line="360" w:lineRule="atLeast"/>
              <w:ind w:left="322" w:right="138" w:hanging="183"/>
              <w:jc w:val="left"/>
              <w:rPr>
                <w:rFonts w:ascii="宋体" w:hAnsi="宋体" w:cs="宋体" w:eastAsia="宋体" w:hint="default"/>
                <w:sz w:val="18"/>
                <w:szCs w:val="18"/>
              </w:rPr>
            </w:pPr>
            <w:r>
              <w:rPr>
                <w:rFonts w:ascii="宋体" w:hAnsi="宋体" w:cs="宋体" w:eastAsia="宋体" w:hint="default"/>
                <w:b/>
                <w:bCs/>
                <w:spacing w:val="-2"/>
                <w:sz w:val="18"/>
                <w:szCs w:val="18"/>
              </w:rPr>
              <w:t>合并财务报表层面享有该子</w:t>
            </w:r>
            <w:r>
              <w:rPr>
                <w:rFonts w:ascii="宋体" w:hAnsi="宋体" w:cs="宋体" w:eastAsia="宋体" w:hint="default"/>
                <w:b/>
                <w:bCs/>
                <w:spacing w:val="-62"/>
                <w:sz w:val="18"/>
                <w:szCs w:val="18"/>
              </w:rPr>
              <w:t> </w:t>
            </w:r>
            <w:r>
              <w:rPr>
                <w:rFonts w:ascii="宋体" w:hAnsi="宋体" w:cs="宋体" w:eastAsia="宋体" w:hint="default"/>
                <w:b/>
                <w:bCs/>
                <w:spacing w:val="-62"/>
                <w:sz w:val="18"/>
                <w:szCs w:val="18"/>
              </w:rPr>
            </w:r>
            <w:r>
              <w:rPr>
                <w:rFonts w:ascii="宋体" w:hAnsi="宋体" w:cs="宋体" w:eastAsia="宋体" w:hint="default"/>
                <w:b/>
                <w:bCs/>
                <w:sz w:val="18"/>
                <w:szCs w:val="18"/>
              </w:rPr>
              <w:t>公司净资产份额的差额</w:t>
            </w:r>
            <w:r>
              <w:rPr>
                <w:rFonts w:ascii="宋体" w:hAnsi="宋体" w:cs="宋体" w:eastAsia="宋体" w:hint="default"/>
                <w:sz w:val="18"/>
                <w:szCs w:val="18"/>
              </w:rPr>
            </w:r>
          </w:p>
        </w:tc>
      </w:tr>
      <w:tr>
        <w:trPr>
          <w:trHeight w:val="679" w:hRule="exact"/>
        </w:trPr>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广州创润信息</w:t>
            </w:r>
          </w:p>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848" w:type="dxa"/>
            <w:tcBorders>
              <w:top w:val="single" w:sz="4" w:space="0" w:color="000000"/>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sz w:val="18"/>
              </w:rPr>
              <w:t>67.00</w:t>
            </w: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7</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9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w w:val="101"/>
                <w:sz w:val="18"/>
                <w:szCs w:val="18"/>
              </w:rPr>
              <w:t>注</w:t>
            </w:r>
            <w:r>
              <w:rPr>
                <w:rFonts w:ascii="宋体" w:hAnsi="宋体" w:cs="宋体" w:eastAsia="宋体" w:hint="default"/>
                <w:sz w:val="18"/>
                <w:szCs w:val="18"/>
              </w:rPr>
            </w:r>
          </w:p>
        </w:tc>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73" w:right="0"/>
              <w:jc w:val="left"/>
              <w:rPr>
                <w:rFonts w:ascii="宋体" w:hAnsi="宋体" w:cs="宋体" w:eastAsia="宋体" w:hint="default"/>
                <w:sz w:val="18"/>
                <w:szCs w:val="18"/>
              </w:rPr>
            </w:pPr>
            <w:r>
              <w:rPr>
                <w:rFonts w:ascii="宋体"/>
                <w:sz w:val="18"/>
              </w:rPr>
              <w:t>136,345.26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2" w:lineRule="auto"/>
        <w:ind w:left="213" w:right="1127" w:firstLine="422"/>
        <w:jc w:val="both"/>
      </w:pPr>
      <w:r>
        <w:rPr/>
        <w:t>注：</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10</w:t>
      </w:r>
      <w:r>
        <w:rPr/>
        <w:t>日，本公司总经理决定书同意本公司将广州创润信息科技有限公司</w:t>
      </w:r>
      <w:r>
        <w:rPr>
          <w:rFonts w:ascii="宋体" w:hAnsi="宋体" w:cs="宋体" w:eastAsia="宋体" w:hint="default"/>
        </w:rPr>
        <w:t>67.00%</w:t>
      </w:r>
      <w:r>
        <w:rPr/>
        <w:t>的股权转</w:t>
      </w:r>
      <w:r>
        <w:rPr>
          <w:w w:val="100"/>
        </w:rPr>
        <w:t> </w:t>
      </w:r>
      <w:r>
        <w:rPr/>
        <w:t>让给自然人廉洁、郑越，转让对价人民币</w:t>
      </w:r>
      <w:r>
        <w:rPr>
          <w:rFonts w:ascii="宋体" w:hAnsi="宋体" w:cs="宋体" w:eastAsia="宋体" w:hint="default"/>
        </w:rPr>
        <w:t>0.00</w:t>
      </w:r>
      <w:r>
        <w:rPr/>
        <w:t>元；</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15</w:t>
      </w:r>
      <w:r>
        <w:rPr/>
        <w:t>日广州创润信息科技有限公司股东会决议</w:t>
      </w:r>
      <w:r>
        <w:rPr>
          <w:spacing w:val="-30"/>
        </w:rPr>
        <w:t> </w:t>
      </w:r>
      <w:r>
        <w:rPr>
          <w:spacing w:val="-30"/>
        </w:rPr>
      </w:r>
      <w:r>
        <w:rPr/>
        <w:t>同意股东创业黑马科技集团股份有限公司将股权转让给廉洁、郑越。本公司自</w:t>
      </w:r>
      <w:r>
        <w:rPr>
          <w:rFonts w:ascii="宋体" w:hAnsi="宋体" w:cs="宋体" w:eastAsia="宋体" w:hint="default"/>
        </w:rPr>
        <w:t>2019</w:t>
      </w:r>
      <w:r>
        <w:rPr/>
        <w:t>年</w:t>
      </w:r>
      <w:r>
        <w:rPr>
          <w:rFonts w:ascii="宋体" w:hAnsi="宋体" w:cs="宋体" w:eastAsia="宋体" w:hint="default"/>
        </w:rPr>
        <w:t>7</w:t>
      </w:r>
      <w:r>
        <w:rPr/>
        <w:t>月不在将广州创润</w:t>
      </w:r>
      <w:r>
        <w:rPr>
          <w:spacing w:val="-28"/>
        </w:rPr>
        <w:t> </w:t>
      </w:r>
      <w:r>
        <w:rPr>
          <w:spacing w:val="-28"/>
        </w:rPr>
      </w:r>
      <w:r>
        <w:rPr/>
        <w:t>信息科技有限公司纳入合并范围。</w:t>
      </w:r>
    </w:p>
    <w:p>
      <w:pPr>
        <w:spacing w:line="240" w:lineRule="auto" w:before="10"/>
        <w:rPr>
          <w:rFonts w:ascii="宋体" w:hAnsi="宋体" w:cs="宋体" w:eastAsia="宋体" w:hint="default"/>
          <w:sz w:val="13"/>
          <w:szCs w:val="13"/>
        </w:rPr>
      </w:pPr>
    </w:p>
    <w:p>
      <w:pPr>
        <w:pStyle w:val="BodyText"/>
        <w:spacing w:line="240" w:lineRule="auto"/>
        <w:ind w:left="635" w:right="1118"/>
        <w:jc w:val="left"/>
      </w:pPr>
      <w:bookmarkStart w:name="（二）其他原因的合并范围变动" w:id="242"/>
      <w:bookmarkEnd w:id="242"/>
      <w:r>
        <w:rPr/>
      </w:r>
      <w:r>
        <w:rPr/>
        <w:t>（二）其他原因的合并范围变动</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718"/>
        <w:gridCol w:w="3476"/>
        <w:gridCol w:w="1592"/>
        <w:gridCol w:w="1073"/>
        <w:gridCol w:w="1846"/>
        <w:gridCol w:w="1153"/>
      </w:tblGrid>
      <w:tr>
        <w:trPr>
          <w:trHeight w:val="258" w:hRule="exact"/>
        </w:trPr>
        <w:tc>
          <w:tcPr>
            <w:tcW w:w="718" w:type="dxa"/>
            <w:tcBorders>
              <w:top w:val="nil" w:sz="6" w:space="0" w:color="auto"/>
              <w:left w:val="nil" w:sz="6" w:space="0" w:color="auto"/>
              <w:bottom w:val="single" w:sz="8" w:space="0" w:color="000000"/>
              <w:right w:val="nil" w:sz="6" w:space="0" w:color="auto"/>
            </w:tcBorders>
          </w:tcPr>
          <w:p>
            <w:pPr>
              <w:pStyle w:val="TableParagraph"/>
              <w:spacing w:line="182" w:lineRule="exact"/>
              <w:ind w:left="50"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476" w:type="dxa"/>
            <w:tcBorders>
              <w:top w:val="nil" w:sz="6" w:space="0" w:color="auto"/>
              <w:left w:val="nil" w:sz="6" w:space="0" w:color="auto"/>
              <w:bottom w:val="single" w:sz="8" w:space="0" w:color="000000"/>
              <w:right w:val="nil" w:sz="6" w:space="0" w:color="auto"/>
            </w:tcBorders>
          </w:tcPr>
          <w:p>
            <w:pPr>
              <w:pStyle w:val="TableParagraph"/>
              <w:spacing w:line="182" w:lineRule="exact"/>
              <w:ind w:left="201"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592" w:type="dxa"/>
            <w:tcBorders>
              <w:top w:val="nil" w:sz="6" w:space="0" w:color="auto"/>
              <w:left w:val="nil" w:sz="6" w:space="0" w:color="auto"/>
              <w:bottom w:val="single" w:sz="8" w:space="0" w:color="000000"/>
              <w:right w:val="nil" w:sz="6" w:space="0" w:color="auto"/>
            </w:tcBorders>
          </w:tcPr>
          <w:p>
            <w:pPr>
              <w:pStyle w:val="TableParagraph"/>
              <w:spacing w:line="182" w:lineRule="exact"/>
              <w:ind w:right="334"/>
              <w:jc w:val="right"/>
              <w:rPr>
                <w:rFonts w:ascii="宋体" w:hAnsi="宋体" w:cs="宋体" w:eastAsia="宋体" w:hint="default"/>
                <w:sz w:val="18"/>
                <w:szCs w:val="18"/>
              </w:rPr>
            </w:pPr>
            <w:r>
              <w:rPr>
                <w:rFonts w:ascii="宋体" w:hAnsi="宋体" w:cs="宋体" w:eastAsia="宋体" w:hint="default"/>
                <w:b/>
                <w:bCs/>
                <w:sz w:val="18"/>
                <w:szCs w:val="18"/>
              </w:rPr>
              <w:t>注册时间</w:t>
            </w:r>
            <w:r>
              <w:rPr>
                <w:rFonts w:ascii="宋体" w:hAnsi="宋体" w:cs="宋体" w:eastAsia="宋体" w:hint="default"/>
                <w:sz w:val="18"/>
                <w:szCs w:val="18"/>
              </w:rPr>
            </w:r>
          </w:p>
        </w:tc>
        <w:tc>
          <w:tcPr>
            <w:tcW w:w="1073" w:type="dxa"/>
            <w:tcBorders>
              <w:top w:val="nil" w:sz="6" w:space="0" w:color="auto"/>
              <w:left w:val="nil" w:sz="6" w:space="0" w:color="auto"/>
              <w:bottom w:val="single" w:sz="8" w:space="0" w:color="000000"/>
              <w:right w:val="nil" w:sz="6" w:space="0" w:color="auto"/>
            </w:tcBorders>
          </w:tcPr>
          <w:p>
            <w:pPr>
              <w:pStyle w:val="TableParagraph"/>
              <w:spacing w:line="182" w:lineRule="exact"/>
              <w:ind w:right="14"/>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846" w:type="dxa"/>
            <w:tcBorders>
              <w:top w:val="nil" w:sz="6" w:space="0" w:color="auto"/>
              <w:left w:val="nil" w:sz="6" w:space="0" w:color="auto"/>
              <w:bottom w:val="single" w:sz="8" w:space="0" w:color="000000"/>
              <w:right w:val="nil" w:sz="6" w:space="0" w:color="auto"/>
            </w:tcBorders>
          </w:tcPr>
          <w:p>
            <w:pPr>
              <w:pStyle w:val="TableParagraph"/>
              <w:spacing w:line="182"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53" w:type="dxa"/>
            <w:tcBorders>
              <w:top w:val="nil" w:sz="6" w:space="0" w:color="auto"/>
              <w:left w:val="nil" w:sz="6" w:space="0" w:color="auto"/>
              <w:bottom w:val="single" w:sz="8" w:space="0" w:color="000000"/>
              <w:right w:val="nil" w:sz="6" w:space="0" w:color="auto"/>
            </w:tcBorders>
          </w:tcPr>
          <w:p>
            <w:pPr>
              <w:pStyle w:val="TableParagraph"/>
              <w:spacing w:line="182" w:lineRule="exact"/>
              <w:ind w:right="65"/>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451" w:hRule="exact"/>
        </w:trPr>
        <w:tc>
          <w:tcPr>
            <w:tcW w:w="718"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45" w:right="0"/>
              <w:jc w:val="center"/>
              <w:rPr>
                <w:rFonts w:ascii="宋体" w:hAnsi="宋体" w:cs="宋体" w:eastAsia="宋体" w:hint="default"/>
                <w:sz w:val="18"/>
                <w:szCs w:val="18"/>
              </w:rPr>
            </w:pPr>
            <w:r>
              <w:rPr>
                <w:rFonts w:ascii="宋体"/>
                <w:w w:val="101"/>
                <w:sz w:val="18"/>
              </w:rPr>
              <w:t>1</w:t>
            </w:r>
            <w:r>
              <w:rPr>
                <w:rFonts w:ascii="宋体"/>
                <w:sz w:val="18"/>
              </w:rPr>
            </w:r>
          </w:p>
        </w:tc>
        <w:tc>
          <w:tcPr>
            <w:tcW w:w="3476"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51" w:right="0"/>
              <w:jc w:val="left"/>
              <w:rPr>
                <w:rFonts w:ascii="宋体" w:hAnsi="宋体" w:cs="宋体" w:eastAsia="宋体" w:hint="default"/>
                <w:sz w:val="18"/>
                <w:szCs w:val="18"/>
              </w:rPr>
            </w:pPr>
            <w:r>
              <w:rPr>
                <w:rFonts w:ascii="宋体" w:hAnsi="宋体" w:cs="宋体" w:eastAsia="宋体" w:hint="default"/>
                <w:sz w:val="18"/>
                <w:szCs w:val="18"/>
              </w:rPr>
              <w:t>天津美业科技有限公司</w:t>
            </w:r>
          </w:p>
        </w:tc>
        <w:tc>
          <w:tcPr>
            <w:tcW w:w="1592"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334"/>
              <w:jc w:val="right"/>
              <w:rPr>
                <w:rFonts w:ascii="宋体" w:hAnsi="宋体" w:cs="宋体" w:eastAsia="宋体" w:hint="default"/>
                <w:sz w:val="18"/>
                <w:szCs w:val="18"/>
              </w:rPr>
            </w:pPr>
            <w:r>
              <w:rPr>
                <w:rFonts w:ascii="宋体"/>
                <w:spacing w:val="-1"/>
                <w:sz w:val="18"/>
              </w:rPr>
              <w:t>2019-1-4</w:t>
            </w:r>
          </w:p>
        </w:tc>
        <w:tc>
          <w:tcPr>
            <w:tcW w:w="107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4"/>
              <w:jc w:val="center"/>
              <w:rPr>
                <w:rFonts w:ascii="宋体" w:hAnsi="宋体" w:cs="宋体" w:eastAsia="宋体" w:hint="default"/>
                <w:sz w:val="18"/>
                <w:szCs w:val="18"/>
              </w:rPr>
            </w:pPr>
            <w:r>
              <w:rPr>
                <w:rFonts w:ascii="宋体" w:hAnsi="宋体" w:cs="宋体" w:eastAsia="宋体" w:hint="default"/>
                <w:sz w:val="18"/>
                <w:szCs w:val="18"/>
              </w:rPr>
              <w:t>天津</w:t>
            </w:r>
          </w:p>
        </w:tc>
        <w:tc>
          <w:tcPr>
            <w:tcW w:w="1846"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75"/>
              <w:jc w:val="right"/>
              <w:rPr>
                <w:rFonts w:ascii="宋体" w:hAnsi="宋体" w:cs="宋体" w:eastAsia="宋体" w:hint="default"/>
                <w:sz w:val="18"/>
                <w:szCs w:val="18"/>
              </w:rPr>
            </w:pPr>
            <w:r>
              <w:rPr>
                <w:rFonts w:ascii="宋体"/>
                <w:sz w:val="18"/>
              </w:rPr>
              <w:t>60.00</w:t>
            </w:r>
          </w:p>
        </w:tc>
        <w:tc>
          <w:tcPr>
            <w:tcW w:w="115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center"/>
              <w:rPr>
                <w:rFonts w:ascii="宋体" w:hAnsi="宋体" w:cs="宋体" w:eastAsia="宋体" w:hint="default"/>
                <w:sz w:val="18"/>
                <w:szCs w:val="18"/>
              </w:rPr>
            </w:pPr>
            <w:r>
              <w:rPr>
                <w:rFonts w:ascii="宋体"/>
                <w:w w:val="101"/>
                <w:sz w:val="18"/>
              </w:rPr>
              <w:t>2</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黑马加速（重庆）科技有限公司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4"/>
              <w:jc w:val="right"/>
              <w:rPr>
                <w:rFonts w:ascii="宋体" w:hAnsi="宋体" w:cs="宋体" w:eastAsia="宋体" w:hint="default"/>
                <w:sz w:val="18"/>
                <w:szCs w:val="18"/>
              </w:rPr>
            </w:pPr>
            <w:r>
              <w:rPr>
                <w:rFonts w:ascii="宋体"/>
                <w:spacing w:val="-1"/>
                <w:sz w:val="18"/>
              </w:rPr>
              <w:t>2019-5-8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重庆</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w w:val="101"/>
                <w:sz w:val="18"/>
              </w:rPr>
              <w:t>3</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pacing w:val="-3"/>
                <w:sz w:val="18"/>
                <w:szCs w:val="18"/>
              </w:rPr>
              <w:t>创业黑马（莆田）科技有限公司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2"/>
              <w:jc w:val="right"/>
              <w:rPr>
                <w:rFonts w:ascii="宋体" w:hAnsi="宋体" w:cs="宋体" w:eastAsia="宋体" w:hint="default"/>
                <w:sz w:val="18"/>
                <w:szCs w:val="18"/>
              </w:rPr>
            </w:pPr>
            <w:r>
              <w:rPr>
                <w:rFonts w:ascii="宋体"/>
                <w:spacing w:val="-1"/>
                <w:sz w:val="18"/>
              </w:rPr>
              <w:t>2019-4-16</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center"/>
              <w:rPr>
                <w:rFonts w:ascii="宋体" w:hAnsi="宋体" w:cs="宋体" w:eastAsia="宋体" w:hint="default"/>
                <w:sz w:val="18"/>
                <w:szCs w:val="18"/>
              </w:rPr>
            </w:pPr>
            <w:r>
              <w:rPr>
                <w:rFonts w:ascii="宋体" w:hAnsi="宋体" w:cs="宋体" w:eastAsia="宋体" w:hint="default"/>
                <w:sz w:val="18"/>
                <w:szCs w:val="18"/>
              </w:rPr>
              <w:t>莆田</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center"/>
              <w:rPr>
                <w:rFonts w:ascii="宋体" w:hAnsi="宋体" w:cs="宋体" w:eastAsia="宋体" w:hint="default"/>
                <w:sz w:val="18"/>
                <w:szCs w:val="18"/>
              </w:rPr>
            </w:pPr>
            <w:r>
              <w:rPr>
                <w:rFonts w:ascii="宋体"/>
                <w:w w:val="101"/>
                <w:sz w:val="18"/>
              </w:rPr>
              <w:t>4</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银川黑马致新科技有限公司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2"/>
              <w:jc w:val="right"/>
              <w:rPr>
                <w:rFonts w:ascii="宋体" w:hAnsi="宋体" w:cs="宋体" w:eastAsia="宋体" w:hint="default"/>
                <w:sz w:val="18"/>
                <w:szCs w:val="18"/>
              </w:rPr>
            </w:pPr>
            <w:r>
              <w:rPr>
                <w:rFonts w:ascii="宋体"/>
                <w:spacing w:val="-1"/>
                <w:sz w:val="18"/>
              </w:rPr>
              <w:t>2019-2-28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银川</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center"/>
              <w:rPr>
                <w:rFonts w:ascii="宋体" w:hAnsi="宋体" w:cs="宋体" w:eastAsia="宋体" w:hint="default"/>
                <w:sz w:val="18"/>
                <w:szCs w:val="18"/>
              </w:rPr>
            </w:pPr>
            <w:r>
              <w:rPr>
                <w:rFonts w:ascii="宋体"/>
                <w:w w:val="101"/>
                <w:sz w:val="18"/>
              </w:rPr>
              <w:t>5</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无锡创润信息科技有限公司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4"/>
              <w:jc w:val="right"/>
              <w:rPr>
                <w:rFonts w:ascii="宋体" w:hAnsi="宋体" w:cs="宋体" w:eastAsia="宋体" w:hint="default"/>
                <w:sz w:val="18"/>
                <w:szCs w:val="18"/>
              </w:rPr>
            </w:pPr>
            <w:r>
              <w:rPr>
                <w:rFonts w:ascii="宋体"/>
                <w:spacing w:val="-1"/>
                <w:sz w:val="18"/>
              </w:rPr>
              <w:t>2019-3-1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无锡</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w w:val="101"/>
                <w:sz w:val="18"/>
              </w:rPr>
              <w:t>6</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pacing w:val="-3"/>
                <w:sz w:val="18"/>
                <w:szCs w:val="18"/>
              </w:rPr>
              <w:t>创业黑马（福州）科技有限公司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2"/>
              <w:jc w:val="right"/>
              <w:rPr>
                <w:rFonts w:ascii="宋体" w:hAnsi="宋体" w:cs="宋体" w:eastAsia="宋体" w:hint="default"/>
                <w:sz w:val="18"/>
                <w:szCs w:val="18"/>
              </w:rPr>
            </w:pPr>
            <w:r>
              <w:rPr>
                <w:rFonts w:ascii="宋体"/>
                <w:spacing w:val="-1"/>
                <w:sz w:val="18"/>
              </w:rPr>
              <w:t>2019-5-10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center"/>
              <w:rPr>
                <w:rFonts w:ascii="宋体" w:hAnsi="宋体" w:cs="宋体" w:eastAsia="宋体" w:hint="default"/>
                <w:sz w:val="18"/>
                <w:szCs w:val="18"/>
              </w:rPr>
            </w:pPr>
            <w:r>
              <w:rPr>
                <w:rFonts w:ascii="宋体" w:hAnsi="宋体" w:cs="宋体" w:eastAsia="宋体" w:hint="default"/>
                <w:sz w:val="18"/>
                <w:szCs w:val="18"/>
              </w:rPr>
              <w:t>福州</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center"/>
              <w:rPr>
                <w:rFonts w:ascii="宋体" w:hAnsi="宋体" w:cs="宋体" w:eastAsia="宋体" w:hint="default"/>
                <w:sz w:val="18"/>
                <w:szCs w:val="18"/>
              </w:rPr>
            </w:pPr>
            <w:r>
              <w:rPr>
                <w:rFonts w:ascii="宋体"/>
                <w:w w:val="101"/>
                <w:sz w:val="18"/>
              </w:rPr>
              <w:t>7</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神木创客黑马科技有限公司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2"/>
              <w:jc w:val="right"/>
              <w:rPr>
                <w:rFonts w:ascii="宋体" w:hAnsi="宋体" w:cs="宋体" w:eastAsia="宋体" w:hint="default"/>
                <w:sz w:val="18"/>
                <w:szCs w:val="18"/>
              </w:rPr>
            </w:pPr>
            <w:r>
              <w:rPr>
                <w:rFonts w:ascii="宋体"/>
                <w:spacing w:val="-1"/>
                <w:sz w:val="18"/>
              </w:rPr>
              <w:t>2019-6-27</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神木</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center"/>
              <w:rPr>
                <w:rFonts w:ascii="宋体" w:hAnsi="宋体" w:cs="宋体" w:eastAsia="宋体" w:hint="default"/>
                <w:sz w:val="18"/>
                <w:szCs w:val="18"/>
              </w:rPr>
            </w:pPr>
            <w:r>
              <w:rPr>
                <w:rFonts w:ascii="宋体"/>
                <w:w w:val="101"/>
                <w:sz w:val="18"/>
              </w:rPr>
              <w:t>8</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成都天启合创业咨询服务有限公司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宋体" w:hAnsi="宋体" w:cs="宋体" w:eastAsia="宋体" w:hint="default"/>
                <w:sz w:val="18"/>
                <w:szCs w:val="18"/>
              </w:rPr>
            </w:pPr>
            <w:r>
              <w:rPr>
                <w:rFonts w:ascii="宋体"/>
                <w:spacing w:val="-2"/>
                <w:sz w:val="18"/>
              </w:rPr>
              <w:t>2019-06-14</w:t>
            </w:r>
            <w:r>
              <w:rPr>
                <w:rFonts w:ascii="宋体"/>
                <w:sz w:val="18"/>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成都</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w w:val="101"/>
                <w:sz w:val="18"/>
              </w:rPr>
              <w:t>9</w:t>
            </w:r>
            <w:r>
              <w:rPr>
                <w:rFonts w:ascii="宋体"/>
                <w:sz w:val="18"/>
              </w:rPr>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pacing w:val="-3"/>
                <w:sz w:val="18"/>
                <w:szCs w:val="18"/>
              </w:rPr>
              <w:t>湖州致在新企业咨询有限公司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2"/>
              <w:jc w:val="right"/>
              <w:rPr>
                <w:rFonts w:ascii="宋体" w:hAnsi="宋体" w:cs="宋体" w:eastAsia="宋体" w:hint="default"/>
                <w:sz w:val="18"/>
                <w:szCs w:val="18"/>
              </w:rPr>
            </w:pPr>
            <w:r>
              <w:rPr>
                <w:rFonts w:ascii="宋体"/>
                <w:spacing w:val="-1"/>
                <w:sz w:val="18"/>
              </w:rPr>
              <w:t>2019-7-31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center"/>
              <w:rPr>
                <w:rFonts w:ascii="宋体" w:hAnsi="宋体" w:cs="宋体" w:eastAsia="宋体" w:hint="default"/>
                <w:sz w:val="18"/>
                <w:szCs w:val="18"/>
              </w:rPr>
            </w:pPr>
            <w:r>
              <w:rPr>
                <w:rFonts w:ascii="宋体" w:hAnsi="宋体" w:cs="宋体" w:eastAsia="宋体" w:hint="default"/>
                <w:sz w:val="18"/>
                <w:szCs w:val="18"/>
              </w:rPr>
              <w:t>湖州</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0" w:right="0"/>
              <w:jc w:val="center"/>
              <w:rPr>
                <w:rFonts w:ascii="宋体" w:hAnsi="宋体" w:cs="宋体" w:eastAsia="宋体" w:hint="default"/>
                <w:sz w:val="18"/>
                <w:szCs w:val="18"/>
              </w:rPr>
            </w:pPr>
            <w:r>
              <w:rPr>
                <w:rFonts w:ascii="宋体"/>
                <w:sz w:val="18"/>
              </w:rPr>
              <w:t>10</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1" w:right="0"/>
              <w:jc w:val="left"/>
              <w:rPr>
                <w:rFonts w:ascii="宋体" w:hAnsi="宋体" w:cs="宋体" w:eastAsia="宋体" w:hint="default"/>
                <w:sz w:val="18"/>
                <w:szCs w:val="18"/>
              </w:rPr>
            </w:pPr>
            <w:r>
              <w:rPr>
                <w:rFonts w:ascii="宋体" w:hAnsi="宋体" w:cs="宋体" w:eastAsia="宋体" w:hint="default"/>
                <w:sz w:val="18"/>
                <w:szCs w:val="18"/>
              </w:rPr>
              <w:t>郑州创润科技有限公司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2"/>
              <w:jc w:val="right"/>
              <w:rPr>
                <w:rFonts w:ascii="宋体" w:hAnsi="宋体" w:cs="宋体" w:eastAsia="宋体" w:hint="default"/>
                <w:sz w:val="18"/>
                <w:szCs w:val="18"/>
              </w:rPr>
            </w:pPr>
            <w:r>
              <w:rPr>
                <w:rFonts w:ascii="宋体"/>
                <w:spacing w:val="-1"/>
                <w:sz w:val="18"/>
              </w:rPr>
              <w:t>2019-5-29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
              <w:jc w:val="center"/>
              <w:rPr>
                <w:rFonts w:ascii="宋体" w:hAnsi="宋体" w:cs="宋体" w:eastAsia="宋体" w:hint="default"/>
                <w:sz w:val="18"/>
                <w:szCs w:val="18"/>
              </w:rPr>
            </w:pPr>
            <w:r>
              <w:rPr>
                <w:rFonts w:ascii="宋体" w:hAnsi="宋体" w:cs="宋体" w:eastAsia="宋体" w:hint="default"/>
                <w:sz w:val="18"/>
                <w:szCs w:val="18"/>
              </w:rPr>
              <w:t>郑州</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 w:right="0"/>
              <w:jc w:val="center"/>
              <w:rPr>
                <w:rFonts w:ascii="宋体" w:hAnsi="宋体" w:cs="宋体" w:eastAsia="宋体" w:hint="default"/>
                <w:sz w:val="18"/>
                <w:szCs w:val="18"/>
              </w:rPr>
            </w:pPr>
            <w:r>
              <w:rPr>
                <w:rFonts w:ascii="宋体"/>
                <w:sz w:val="18"/>
              </w:rPr>
              <w:t>11</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菏泽黑马加速科技发展有限公司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2"/>
              <w:jc w:val="right"/>
              <w:rPr>
                <w:rFonts w:ascii="宋体" w:hAnsi="宋体" w:cs="宋体" w:eastAsia="宋体" w:hint="default"/>
                <w:sz w:val="18"/>
                <w:szCs w:val="18"/>
              </w:rPr>
            </w:pPr>
            <w:r>
              <w:rPr>
                <w:rFonts w:ascii="宋体"/>
                <w:spacing w:val="-1"/>
                <w:sz w:val="18"/>
              </w:rPr>
              <w:t>2019-9-10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菏泽</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 w:right="0"/>
              <w:jc w:val="center"/>
              <w:rPr>
                <w:rFonts w:ascii="宋体" w:hAnsi="宋体" w:cs="宋体" w:eastAsia="宋体" w:hint="default"/>
                <w:sz w:val="18"/>
                <w:szCs w:val="18"/>
              </w:rPr>
            </w:pPr>
            <w:r>
              <w:rPr>
                <w:rFonts w:ascii="宋体"/>
                <w:sz w:val="18"/>
              </w:rPr>
              <w:t>12</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成都黑马加速科技有限公司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宋体" w:hAnsi="宋体" w:cs="宋体" w:eastAsia="宋体" w:hint="default"/>
                <w:sz w:val="18"/>
                <w:szCs w:val="18"/>
              </w:rPr>
            </w:pPr>
            <w:r>
              <w:rPr>
                <w:rFonts w:ascii="宋体"/>
                <w:spacing w:val="-2"/>
                <w:sz w:val="18"/>
              </w:rPr>
              <w:t>2019-10-11</w:t>
            </w:r>
            <w:r>
              <w:rPr>
                <w:rFonts w:ascii="宋体"/>
                <w:sz w:val="18"/>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成都</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13</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2"/>
              <w:jc w:val="right"/>
              <w:rPr>
                <w:rFonts w:ascii="宋体" w:hAnsi="宋体" w:cs="宋体" w:eastAsia="宋体" w:hint="default"/>
                <w:sz w:val="18"/>
                <w:szCs w:val="18"/>
              </w:rPr>
            </w:pPr>
            <w:r>
              <w:rPr>
                <w:rFonts w:ascii="宋体"/>
                <w:spacing w:val="-2"/>
                <w:sz w:val="18"/>
              </w:rPr>
              <w:t>2019-10-14</w:t>
            </w:r>
            <w:r>
              <w:rPr>
                <w:rFonts w:ascii="宋体"/>
                <w:sz w:val="18"/>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center"/>
              <w:rPr>
                <w:rFonts w:ascii="宋体" w:hAnsi="宋体" w:cs="宋体" w:eastAsia="宋体" w:hint="default"/>
                <w:sz w:val="18"/>
                <w:szCs w:val="18"/>
              </w:rPr>
            </w:pPr>
            <w:r>
              <w:rPr>
                <w:rFonts w:ascii="宋体" w:hAnsi="宋体" w:cs="宋体" w:eastAsia="宋体" w:hint="default"/>
                <w:sz w:val="18"/>
                <w:szCs w:val="18"/>
              </w:rPr>
              <w:t>青岛</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39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 w:right="0"/>
              <w:jc w:val="center"/>
              <w:rPr>
                <w:rFonts w:ascii="宋体" w:hAnsi="宋体" w:cs="宋体" w:eastAsia="宋体" w:hint="default"/>
                <w:sz w:val="18"/>
                <w:szCs w:val="18"/>
              </w:rPr>
            </w:pPr>
            <w:r>
              <w:rPr>
                <w:rFonts w:ascii="宋体"/>
                <w:sz w:val="18"/>
              </w:rPr>
              <w:t>14</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鞍山黑马加速企业信息咨询有限公司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2"/>
              <w:jc w:val="right"/>
              <w:rPr>
                <w:rFonts w:ascii="宋体" w:hAnsi="宋体" w:cs="宋体" w:eastAsia="宋体" w:hint="default"/>
                <w:sz w:val="18"/>
                <w:szCs w:val="18"/>
              </w:rPr>
            </w:pPr>
            <w:r>
              <w:rPr>
                <w:rFonts w:ascii="宋体"/>
                <w:spacing w:val="-1"/>
                <w:sz w:val="18"/>
              </w:rPr>
              <w:t>2019-11-8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鞍山</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r>
        <w:trPr>
          <w:trHeight w:val="290"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 w:right="0"/>
              <w:jc w:val="center"/>
              <w:rPr>
                <w:rFonts w:ascii="宋体" w:hAnsi="宋体" w:cs="宋体" w:eastAsia="宋体" w:hint="default"/>
                <w:sz w:val="18"/>
                <w:szCs w:val="18"/>
              </w:rPr>
            </w:pPr>
            <w:r>
              <w:rPr>
                <w:rFonts w:ascii="宋体"/>
                <w:sz w:val="18"/>
              </w:rPr>
              <w:t>15</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1" w:right="0"/>
              <w:jc w:val="left"/>
              <w:rPr>
                <w:rFonts w:ascii="宋体" w:hAnsi="宋体" w:cs="宋体" w:eastAsia="宋体" w:hint="default"/>
                <w:sz w:val="18"/>
                <w:szCs w:val="18"/>
              </w:rPr>
            </w:pPr>
            <w:r>
              <w:rPr>
                <w:rFonts w:ascii="宋体" w:hAnsi="宋体" w:cs="宋体" w:eastAsia="宋体" w:hint="default"/>
                <w:spacing w:val="-3"/>
                <w:sz w:val="18"/>
                <w:szCs w:val="18"/>
              </w:rPr>
              <w:t>合肥黑马加速信息科技有限公司</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宋体" w:hAnsi="宋体" w:cs="宋体" w:eastAsia="宋体" w:hint="default"/>
                <w:sz w:val="18"/>
                <w:szCs w:val="18"/>
              </w:rPr>
            </w:pPr>
            <w:r>
              <w:rPr>
                <w:rFonts w:ascii="宋体"/>
                <w:spacing w:val="-2"/>
                <w:sz w:val="18"/>
              </w:rPr>
              <w:t>2019-12-16</w:t>
            </w:r>
            <w:r>
              <w:rPr>
                <w:rFonts w:ascii="宋体"/>
                <w:sz w:val="18"/>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
              <w:jc w:val="center"/>
              <w:rPr>
                <w:rFonts w:ascii="宋体" w:hAnsi="宋体" w:cs="宋体" w:eastAsia="宋体" w:hint="default"/>
                <w:sz w:val="18"/>
                <w:szCs w:val="18"/>
              </w:rPr>
            </w:pPr>
            <w:r>
              <w:rPr>
                <w:rFonts w:ascii="宋体" w:hAnsi="宋体" w:cs="宋体" w:eastAsia="宋体" w:hint="default"/>
                <w:sz w:val="18"/>
                <w:szCs w:val="18"/>
              </w:rPr>
              <w:t>合肥</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宋体" w:hAnsi="宋体" w:cs="宋体" w:eastAsia="宋体" w:hint="default"/>
                <w:sz w:val="18"/>
                <w:szCs w:val="18"/>
              </w:rPr>
            </w:pPr>
            <w:r>
              <w:rPr>
                <w:rFonts w:ascii="宋体"/>
                <w:spacing w:val="-1"/>
                <w:sz w:val="18"/>
              </w:rPr>
              <w:t>100.00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新设立</w:t>
            </w:r>
          </w:p>
        </w:tc>
      </w:tr>
    </w:tbl>
    <w:p>
      <w:pPr>
        <w:spacing w:line="240" w:lineRule="auto" w:before="7"/>
        <w:rPr>
          <w:rFonts w:ascii="宋体" w:hAnsi="宋体" w:cs="宋体" w:eastAsia="宋体" w:hint="default"/>
          <w:sz w:val="20"/>
          <w:szCs w:val="20"/>
        </w:rPr>
      </w:pPr>
    </w:p>
    <w:p>
      <w:pPr>
        <w:pStyle w:val="BodyText"/>
        <w:spacing w:line="240" w:lineRule="auto" w:before="36"/>
        <w:ind w:left="635" w:right="1016"/>
        <w:jc w:val="left"/>
      </w:pPr>
      <w:r>
        <w:rPr>
          <w:rFonts w:ascii="宋体" w:hAnsi="宋体" w:cs="宋体" w:eastAsia="宋体" w:hint="default"/>
        </w:rPr>
        <w:t>2019</w:t>
      </w:r>
      <w:r>
        <w:rPr>
          <w:rFonts w:ascii="宋体" w:hAnsi="宋体" w:cs="宋体" w:eastAsia="宋体" w:hint="default"/>
          <w:spacing w:val="39"/>
        </w:rPr>
        <w:t> </w:t>
      </w:r>
      <w:r>
        <w:rPr>
          <w:spacing w:val="-4"/>
        </w:rPr>
        <w:t>年，本公司注销北京爱代言科技有限公司、福州黑马海峡创业服务有限公司、厦门黑马蓝图联创</w:t>
      </w:r>
    </w:p>
    <w:p>
      <w:pPr>
        <w:pStyle w:val="BodyText"/>
        <w:spacing w:line="309" w:lineRule="auto" w:before="85"/>
        <w:ind w:left="213" w:right="1108"/>
        <w:jc w:val="left"/>
      </w:pPr>
      <w:r>
        <w:rPr/>
        <w:t>企业管理有限合伙企业（有限合伙）和天津致科正禾企业管理有限公司</w:t>
      </w:r>
      <w:r>
        <w:rPr>
          <w:spacing w:val="-58"/>
        </w:rPr>
        <w:t> </w:t>
      </w:r>
      <w:r>
        <w:rPr>
          <w:rFonts w:ascii="宋体" w:hAnsi="宋体" w:cs="宋体" w:eastAsia="宋体" w:hint="default"/>
        </w:rPr>
        <w:t>4</w:t>
      </w:r>
      <w:r>
        <w:rPr>
          <w:rFonts w:ascii="宋体" w:hAnsi="宋体" w:cs="宋体" w:eastAsia="宋体" w:hint="default"/>
          <w:spacing w:val="-64"/>
        </w:rPr>
        <w:t> </w:t>
      </w:r>
      <w:r>
        <w:rPr/>
        <w:t>家子公司，处置了持有广州创润</w:t>
      </w:r>
      <w:r>
        <w:rPr>
          <w:w w:val="100"/>
        </w:rPr>
        <w:t> </w:t>
      </w:r>
      <w:r>
        <w:rPr/>
        <w:t>信息科技有限公司</w:t>
      </w:r>
      <w:r>
        <w:rPr>
          <w:spacing w:val="-49"/>
        </w:rPr>
        <w:t> </w:t>
      </w:r>
      <w:r>
        <w:rPr>
          <w:rFonts w:ascii="宋体" w:hAnsi="宋体" w:cs="宋体" w:eastAsia="宋体" w:hint="default"/>
        </w:rPr>
        <w:t>67.00%</w:t>
      </w:r>
      <w:r>
        <w:rPr/>
        <w:t>的股权。</w:t>
      </w:r>
    </w:p>
    <w:p>
      <w:pPr>
        <w:spacing w:after="0" w:line="309" w:lineRule="auto"/>
        <w:jc w:val="left"/>
        <w:sectPr>
          <w:pgSz w:w="11910" w:h="16840"/>
          <w:pgMar w:header="741" w:footer="979" w:top="1060" w:bottom="1160" w:left="920" w:right="0"/>
        </w:sectPr>
      </w:pPr>
    </w:p>
    <w:p>
      <w:pPr>
        <w:spacing w:line="240" w:lineRule="auto" w:before="1"/>
        <w:rPr>
          <w:rFonts w:ascii="宋体" w:hAnsi="宋体" w:cs="宋体" w:eastAsia="宋体" w:hint="default"/>
          <w:sz w:val="27"/>
          <w:szCs w:val="27"/>
        </w:rPr>
      </w:pPr>
    </w:p>
    <w:p>
      <w:pPr>
        <w:pStyle w:val="Heading2"/>
        <w:spacing w:line="240" w:lineRule="auto" w:before="26"/>
        <w:ind w:left="633" w:right="0"/>
        <w:jc w:val="left"/>
        <w:rPr>
          <w:rFonts w:ascii="黑体" w:hAnsi="黑体" w:cs="黑体" w:eastAsia="黑体" w:hint="default"/>
          <w:b w:val="0"/>
          <w:bCs w:val="0"/>
        </w:rPr>
      </w:pPr>
      <w:bookmarkStart w:name="八、在其他主体中的权益" w:id="243"/>
      <w:bookmarkEnd w:id="243"/>
      <w:r>
        <w:rPr>
          <w:b w:val="0"/>
          <w:bCs w:val="0"/>
        </w:rPr>
      </w:r>
      <w:r>
        <w:rPr>
          <w:rFonts w:ascii="黑体" w:hAnsi="黑体" w:cs="黑体" w:eastAsia="黑体" w:hint="default"/>
        </w:rPr>
        <w:t>八、在其他主体中的权益</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453" w:lineRule="auto"/>
        <w:ind w:left="575" w:right="8030"/>
        <w:jc w:val="left"/>
      </w:pPr>
      <w:bookmarkStart w:name="（一）在子公司中的权益" w:id="244"/>
      <w:bookmarkEnd w:id="244"/>
      <w:r>
        <w:rPr/>
      </w:r>
      <w:r>
        <w:rPr>
          <w:spacing w:val="-1"/>
        </w:rPr>
        <w:t>（一）在子公司中的权益</w:t>
      </w:r>
      <w:r>
        <w:rPr>
          <w:spacing w:val="-91"/>
        </w:rPr>
        <w:t> </w:t>
      </w:r>
      <w:r>
        <w:rPr>
          <w:spacing w:val="-91"/>
        </w:rPr>
      </w:r>
      <w:r>
        <w:rPr>
          <w:rFonts w:ascii="宋体" w:hAnsi="宋体" w:cs="宋体" w:eastAsia="宋体" w:hint="default"/>
        </w:rPr>
        <w:t>1.</w:t>
      </w:r>
      <w:r>
        <w:rPr/>
        <w:t>本公司的构成</w:t>
      </w:r>
    </w:p>
    <w:p>
      <w:pPr>
        <w:spacing w:line="240" w:lineRule="auto" w:before="1"/>
        <w:rPr>
          <w:rFonts w:ascii="宋体" w:hAnsi="宋体" w:cs="宋体" w:eastAsia="宋体" w:hint="default"/>
          <w:sz w:val="11"/>
          <w:szCs w:val="11"/>
        </w:rPr>
      </w:pPr>
    </w:p>
    <w:tbl>
      <w:tblPr>
        <w:tblW w:w="0" w:type="auto"/>
        <w:jc w:val="left"/>
        <w:tblInd w:w="254" w:type="dxa"/>
        <w:tblLayout w:type="fixed"/>
        <w:tblCellMar>
          <w:top w:w="0" w:type="dxa"/>
          <w:left w:w="0" w:type="dxa"/>
          <w:bottom w:w="0" w:type="dxa"/>
          <w:right w:w="0" w:type="dxa"/>
        </w:tblCellMar>
        <w:tblLook w:val="01E0"/>
      </w:tblPr>
      <w:tblGrid>
        <w:gridCol w:w="2974"/>
        <w:gridCol w:w="1059"/>
        <w:gridCol w:w="785"/>
        <w:gridCol w:w="1078"/>
        <w:gridCol w:w="811"/>
        <w:gridCol w:w="1849"/>
        <w:gridCol w:w="879"/>
      </w:tblGrid>
      <w:tr>
        <w:trPr>
          <w:trHeight w:val="199" w:hRule="exact"/>
        </w:trPr>
        <w:tc>
          <w:tcPr>
            <w:tcW w:w="2974"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78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2660"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4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79" w:type="dxa"/>
            <w:tcBorders>
              <w:top w:val="nil" w:sz="6" w:space="0" w:color="auto"/>
              <w:left w:val="nil" w:sz="6" w:space="0" w:color="auto"/>
              <w:bottom w:val="nil" w:sz="6" w:space="0" w:color="auto"/>
              <w:right w:val="nil" w:sz="6" w:space="0" w:color="auto"/>
            </w:tcBorders>
          </w:tcPr>
          <w:p>
            <w:pPr/>
          </w:p>
        </w:tc>
      </w:tr>
      <w:tr>
        <w:trPr>
          <w:trHeight w:val="1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199"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199" w:lineRule="exact"/>
              <w:ind w:right="38"/>
              <w:jc w:val="center"/>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785" w:type="dxa"/>
            <w:tcBorders>
              <w:top w:val="nil" w:sz="6" w:space="0" w:color="auto"/>
              <w:left w:val="nil" w:sz="6" w:space="0" w:color="auto"/>
              <w:bottom w:val="nil" w:sz="6" w:space="0" w:color="auto"/>
              <w:right w:val="nil" w:sz="6" w:space="0" w:color="auto"/>
            </w:tcBorders>
          </w:tcPr>
          <w:p>
            <w:pPr>
              <w:pStyle w:val="TableParagraph"/>
              <w:spacing w:line="199" w:lineRule="exact"/>
              <w:ind w:right="43"/>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199"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811"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199" w:lineRule="exact"/>
              <w:ind w:right="84"/>
              <w:jc w:val="right"/>
              <w:rPr>
                <w:rFonts w:ascii="宋体" w:hAnsi="宋体" w:cs="宋体" w:eastAsia="宋体" w:hint="default"/>
                <w:sz w:val="18"/>
                <w:szCs w:val="18"/>
              </w:rPr>
            </w:pPr>
            <w:r>
              <w:rPr>
                <w:rFonts w:ascii="宋体" w:hAnsi="宋体" w:cs="宋体" w:eastAsia="宋体" w:hint="default"/>
                <w:b/>
                <w:bCs/>
                <w:spacing w:val="-1"/>
                <w:sz w:val="18"/>
                <w:szCs w:val="18"/>
              </w:rPr>
              <w:t>表决权比例</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879" w:type="dxa"/>
            <w:tcBorders>
              <w:top w:val="nil" w:sz="6" w:space="0" w:color="auto"/>
              <w:left w:val="nil" w:sz="6" w:space="0" w:color="auto"/>
              <w:bottom w:val="nil" w:sz="6" w:space="0" w:color="auto"/>
              <w:right w:val="nil" w:sz="6" w:space="0" w:color="auto"/>
            </w:tcBorders>
          </w:tcPr>
          <w:p>
            <w:pPr>
              <w:pStyle w:val="TableParagraph"/>
              <w:spacing w:line="199" w:lineRule="exact"/>
              <w:ind w:right="21"/>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67" w:hRule="exact"/>
        </w:trPr>
        <w:tc>
          <w:tcPr>
            <w:tcW w:w="2974" w:type="dxa"/>
            <w:tcBorders>
              <w:top w:val="nil" w:sz="6" w:space="0" w:color="auto"/>
              <w:left w:val="nil" w:sz="6" w:space="0" w:color="auto"/>
              <w:bottom w:val="single" w:sz="4" w:space="0" w:color="000000"/>
              <w:right w:val="nil" w:sz="6" w:space="0" w:color="auto"/>
            </w:tcBorders>
          </w:tcPr>
          <w:p>
            <w:pPr/>
          </w:p>
        </w:tc>
        <w:tc>
          <w:tcPr>
            <w:tcW w:w="1059" w:type="dxa"/>
            <w:tcBorders>
              <w:top w:val="nil" w:sz="6" w:space="0" w:color="auto"/>
              <w:left w:val="nil" w:sz="6" w:space="0" w:color="auto"/>
              <w:bottom w:val="single" w:sz="4" w:space="0" w:color="000000"/>
              <w:right w:val="nil" w:sz="6" w:space="0" w:color="auto"/>
            </w:tcBorders>
          </w:tcPr>
          <w:p>
            <w:pPr/>
          </w:p>
        </w:tc>
        <w:tc>
          <w:tcPr>
            <w:tcW w:w="785" w:type="dxa"/>
            <w:tcBorders>
              <w:top w:val="nil" w:sz="6" w:space="0" w:color="auto"/>
              <w:left w:val="nil" w:sz="6" w:space="0" w:color="auto"/>
              <w:bottom w:val="single" w:sz="4" w:space="0" w:color="000000"/>
              <w:right w:val="nil" w:sz="6" w:space="0" w:color="auto"/>
            </w:tcBorders>
          </w:tcPr>
          <w:p>
            <w:pPr/>
          </w:p>
        </w:tc>
        <w:tc>
          <w:tcPr>
            <w:tcW w:w="1078" w:type="dxa"/>
            <w:tcBorders>
              <w:top w:val="nil" w:sz="6" w:space="0" w:color="auto"/>
              <w:left w:val="nil" w:sz="6" w:space="0" w:color="auto"/>
              <w:bottom w:val="single" w:sz="4" w:space="0" w:color="000000"/>
              <w:right w:val="nil" w:sz="6" w:space="0" w:color="auto"/>
            </w:tcBorders>
          </w:tcPr>
          <w:p>
            <w:pPr/>
          </w:p>
        </w:tc>
        <w:tc>
          <w:tcPr>
            <w:tcW w:w="811" w:type="dxa"/>
            <w:tcBorders>
              <w:top w:val="nil" w:sz="6" w:space="0" w:color="auto"/>
              <w:left w:val="nil" w:sz="6" w:space="0" w:color="auto"/>
              <w:bottom w:val="single" w:sz="4" w:space="0" w:color="000000"/>
              <w:right w:val="nil" w:sz="6" w:space="0" w:color="auto"/>
            </w:tcBorders>
          </w:tcPr>
          <w:p>
            <w:pPr>
              <w:pStyle w:val="TableParagraph"/>
              <w:spacing w:line="182"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849" w:type="dxa"/>
            <w:tcBorders>
              <w:top w:val="nil" w:sz="6" w:space="0" w:color="auto"/>
              <w:left w:val="nil" w:sz="6" w:space="0" w:color="auto"/>
              <w:bottom w:val="single" w:sz="4" w:space="0" w:color="000000"/>
              <w:right w:val="nil" w:sz="6" w:space="0" w:color="auto"/>
            </w:tcBorders>
          </w:tcPr>
          <w:p>
            <w:pPr>
              <w:pStyle w:val="TableParagraph"/>
              <w:spacing w:line="182" w:lineRule="exact"/>
              <w:ind w:left="6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79" w:type="dxa"/>
            <w:tcBorders>
              <w:top w:val="nil" w:sz="6" w:space="0" w:color="auto"/>
              <w:left w:val="nil" w:sz="6" w:space="0" w:color="auto"/>
              <w:bottom w:val="single" w:sz="4" w:space="0" w:color="000000"/>
              <w:right w:val="nil" w:sz="6" w:space="0" w:color="auto"/>
            </w:tcBorders>
          </w:tcPr>
          <w:p>
            <w:pPr/>
          </w:p>
        </w:tc>
      </w:tr>
      <w:tr>
        <w:trPr>
          <w:trHeight w:val="446"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北京创业未来传媒技术有限公司</w:t>
            </w:r>
          </w:p>
        </w:tc>
        <w:tc>
          <w:tcPr>
            <w:tcW w:w="105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0"/>
              <w:jc w:val="right"/>
              <w:rPr>
                <w:rFonts w:ascii="宋体" w:hAnsi="宋体" w:cs="宋体" w:eastAsia="宋体" w:hint="default"/>
                <w:sz w:val="18"/>
                <w:szCs w:val="18"/>
              </w:rPr>
            </w:pPr>
            <w:r>
              <w:rPr>
                <w:rFonts w:ascii="宋体"/>
                <w:spacing w:val="-1"/>
                <w:sz w:val="18"/>
              </w:rPr>
              <w:t>100.00</w:t>
            </w:r>
          </w:p>
        </w:tc>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0"/>
              <w:jc w:val="right"/>
              <w:rPr>
                <w:rFonts w:ascii="宋体" w:hAnsi="宋体" w:cs="宋体" w:eastAsia="宋体" w:hint="default"/>
                <w:sz w:val="18"/>
                <w:szCs w:val="18"/>
              </w:rPr>
            </w:pPr>
            <w:r>
              <w:rPr>
                <w:rFonts w:ascii="宋体"/>
                <w:spacing w:val="-1"/>
                <w:sz w:val="18"/>
              </w:rPr>
              <w:t>100.00</w:t>
            </w:r>
          </w:p>
        </w:tc>
        <w:tc>
          <w:tcPr>
            <w:tcW w:w="87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成都创业未来信息技术有限公司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成都</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成都</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青岛黑马创业服务有限公司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青岛</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青岛</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北京黑马加速科技有限公司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西安创业未来信息技术有限公司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西安</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西安</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 w:right="0"/>
              <w:jc w:val="left"/>
              <w:rPr>
                <w:rFonts w:ascii="宋体" w:hAnsi="宋体" w:cs="宋体" w:eastAsia="宋体" w:hint="default"/>
                <w:sz w:val="18"/>
                <w:szCs w:val="18"/>
              </w:rPr>
            </w:pPr>
            <w:r>
              <w:rPr>
                <w:rFonts w:ascii="宋体" w:hAnsi="宋体" w:cs="宋体" w:eastAsia="宋体" w:hint="default"/>
                <w:spacing w:val="-3"/>
                <w:sz w:val="18"/>
                <w:szCs w:val="18"/>
              </w:rPr>
              <w:t>武汉光谷黑马创业路演有限公司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
              <w:jc w:val="center"/>
              <w:rPr>
                <w:rFonts w:ascii="宋体" w:hAnsi="宋体" w:cs="宋体" w:eastAsia="宋体" w:hint="default"/>
                <w:sz w:val="18"/>
                <w:szCs w:val="18"/>
              </w:rPr>
            </w:pPr>
            <w:r>
              <w:rPr>
                <w:rFonts w:ascii="宋体" w:hAnsi="宋体" w:cs="宋体" w:eastAsia="宋体" w:hint="default"/>
                <w:sz w:val="18"/>
                <w:szCs w:val="18"/>
              </w:rPr>
              <w:t>武汉</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
              <w:jc w:val="center"/>
              <w:rPr>
                <w:rFonts w:ascii="宋体" w:hAnsi="宋体" w:cs="宋体" w:eastAsia="宋体" w:hint="default"/>
                <w:sz w:val="18"/>
                <w:szCs w:val="18"/>
              </w:rPr>
            </w:pPr>
            <w:r>
              <w:rPr>
                <w:rFonts w:ascii="宋体" w:hAnsi="宋体" w:cs="宋体" w:eastAsia="宋体" w:hint="default"/>
                <w:sz w:val="18"/>
                <w:szCs w:val="18"/>
              </w:rPr>
              <w:t>武汉</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苏州创业未来信息技术有限公司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苏州</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苏州</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北京佳沃世纪企业管理咨询有限公司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南京创业未来信息科技有限公司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z w:val="18"/>
              </w:rPr>
              <w:t>66.70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z w:val="18"/>
              </w:rPr>
              <w:t>66.70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北京创富未来科技有限公司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z w:val="18"/>
              </w:rPr>
              <w:t>51.00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z w:val="18"/>
              </w:rPr>
              <w:t>51.00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北京协同创新黑马投资管理有限公司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51.00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51.00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北京创闻天下科技有限公司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z w:val="18"/>
              </w:rPr>
              <w:t>63.70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z w:val="18"/>
              </w:rPr>
              <w:t>63.70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上海经际信息科技有限公司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上海</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上海</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成都黑马课堂科技有限公司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成都</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成都</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南昌致新信息技术服务有限公司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南昌</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南昌</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北京黑马天启科技有限公司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西藏黑马信息技术服务有限公司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西藏</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西藏</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嘉兴致新投资管理有限公司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嘉兴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嘉兴</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武汉经际信息科技有限公司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武汉</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武汉</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镇江创启科技服务有限公司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镇江</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镇江</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合肥创润信息技术有限责任公司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合肥</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合肥</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黑马致坤（嘉兴）投资管理有限公司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嘉兴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嘉兴</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黑马致通（嘉兴）投资管理有限公司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嘉兴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嘉兴</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黑马致科（嘉兴）投资管理有限公司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嘉兴</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嘉兴</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重庆黑马聚力创业咨询服务有限公司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重庆</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重庆</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天津聚力合企业管理有限公司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center"/>
              <w:rPr>
                <w:rFonts w:ascii="宋体" w:hAnsi="宋体" w:cs="宋体" w:eastAsia="宋体" w:hint="default"/>
                <w:sz w:val="18"/>
                <w:szCs w:val="18"/>
              </w:rPr>
            </w:pPr>
            <w:r>
              <w:rPr>
                <w:rFonts w:ascii="宋体" w:hAnsi="宋体" w:cs="宋体" w:eastAsia="宋体" w:hint="default"/>
                <w:sz w:val="18"/>
                <w:szCs w:val="18"/>
              </w:rPr>
              <w:t>天津</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3"/>
              <w:jc w:val="center"/>
              <w:rPr>
                <w:rFonts w:ascii="宋体" w:hAnsi="宋体" w:cs="宋体" w:eastAsia="宋体" w:hint="default"/>
                <w:sz w:val="18"/>
                <w:szCs w:val="18"/>
              </w:rPr>
            </w:pPr>
            <w:r>
              <w:rPr>
                <w:rFonts w:ascii="宋体" w:hAnsi="宋体" w:cs="宋体" w:eastAsia="宋体" w:hint="default"/>
                <w:sz w:val="18"/>
                <w:szCs w:val="18"/>
              </w:rPr>
              <w:t>天津</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 w:right="0"/>
              <w:jc w:val="left"/>
              <w:rPr>
                <w:rFonts w:ascii="宋体" w:hAnsi="宋体" w:cs="宋体" w:eastAsia="宋体" w:hint="default"/>
                <w:sz w:val="18"/>
                <w:szCs w:val="18"/>
              </w:rPr>
            </w:pPr>
            <w:r>
              <w:rPr>
                <w:rFonts w:ascii="宋体" w:hAnsi="宋体" w:cs="宋体" w:eastAsia="宋体" w:hint="default"/>
                <w:spacing w:val="-3"/>
                <w:sz w:val="18"/>
                <w:szCs w:val="18"/>
              </w:rPr>
              <w:t>黑马天地（北京）科技有限公司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8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黑马工场</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科技有限公司</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北京</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3"/>
              <w:jc w:val="center"/>
              <w:rPr>
                <w:rFonts w:ascii="宋体" w:hAnsi="宋体" w:cs="宋体" w:eastAsia="宋体" w:hint="default"/>
                <w:sz w:val="18"/>
                <w:szCs w:val="18"/>
              </w:rPr>
            </w:pPr>
            <w:r>
              <w:rPr>
                <w:rFonts w:ascii="宋体" w:hAnsi="宋体" w:cs="宋体" w:eastAsia="宋体" w:hint="default"/>
                <w:sz w:val="18"/>
                <w:szCs w:val="18"/>
              </w:rPr>
              <w:t>北京</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69.00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69.00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254" w:type="dxa"/>
        <w:tblLayout w:type="fixed"/>
        <w:tblCellMar>
          <w:top w:w="0" w:type="dxa"/>
          <w:left w:w="0" w:type="dxa"/>
          <w:bottom w:w="0" w:type="dxa"/>
          <w:right w:w="0" w:type="dxa"/>
        </w:tblCellMar>
        <w:tblLook w:val="01E0"/>
      </w:tblPr>
      <w:tblGrid>
        <w:gridCol w:w="2974"/>
        <w:gridCol w:w="1013"/>
        <w:gridCol w:w="874"/>
        <w:gridCol w:w="1035"/>
        <w:gridCol w:w="811"/>
        <w:gridCol w:w="1849"/>
        <w:gridCol w:w="879"/>
      </w:tblGrid>
      <w:tr>
        <w:trPr>
          <w:trHeight w:val="199" w:hRule="exact"/>
        </w:trPr>
        <w:tc>
          <w:tcPr>
            <w:tcW w:w="297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660"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4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879" w:type="dxa"/>
            <w:tcBorders>
              <w:top w:val="nil" w:sz="6" w:space="0" w:color="auto"/>
              <w:left w:val="nil" w:sz="6" w:space="0" w:color="auto"/>
              <w:bottom w:val="nil" w:sz="6" w:space="0" w:color="auto"/>
              <w:right w:val="nil" w:sz="6" w:space="0" w:color="auto"/>
            </w:tcBorders>
          </w:tcPr>
          <w:p>
            <w:pPr/>
          </w:p>
        </w:tc>
      </w:tr>
      <w:tr>
        <w:trPr>
          <w:trHeight w:val="1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199" w:lineRule="exact"/>
              <w:ind w:left="17"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013" w:type="dxa"/>
            <w:tcBorders>
              <w:top w:val="nil" w:sz="6" w:space="0" w:color="auto"/>
              <w:left w:val="nil" w:sz="6" w:space="0" w:color="auto"/>
              <w:bottom w:val="nil" w:sz="6" w:space="0" w:color="auto"/>
              <w:right w:val="nil" w:sz="6" w:space="0" w:color="auto"/>
            </w:tcBorders>
          </w:tcPr>
          <w:p>
            <w:pPr>
              <w:pStyle w:val="TableParagraph"/>
              <w:spacing w:line="199"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874" w:type="dxa"/>
            <w:tcBorders>
              <w:top w:val="nil" w:sz="6" w:space="0" w:color="auto"/>
              <w:left w:val="nil" w:sz="6" w:space="0" w:color="auto"/>
              <w:bottom w:val="nil" w:sz="6" w:space="0" w:color="auto"/>
              <w:right w:val="nil" w:sz="6" w:space="0" w:color="auto"/>
            </w:tcBorders>
          </w:tcPr>
          <w:p>
            <w:pPr>
              <w:pStyle w:val="TableParagraph"/>
              <w:spacing w:line="199" w:lineRule="exact"/>
              <w:ind w:right="41"/>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35" w:type="dxa"/>
            <w:tcBorders>
              <w:top w:val="nil" w:sz="6" w:space="0" w:color="auto"/>
              <w:left w:val="nil" w:sz="6" w:space="0" w:color="auto"/>
              <w:bottom w:val="nil" w:sz="6" w:space="0" w:color="auto"/>
              <w:right w:val="nil" w:sz="6" w:space="0" w:color="auto"/>
            </w:tcBorders>
          </w:tcPr>
          <w:p>
            <w:pPr>
              <w:pStyle w:val="TableParagraph"/>
              <w:spacing w:line="199"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811"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199" w:lineRule="exact"/>
              <w:ind w:right="84"/>
              <w:jc w:val="right"/>
              <w:rPr>
                <w:rFonts w:ascii="宋体" w:hAnsi="宋体" w:cs="宋体" w:eastAsia="宋体" w:hint="default"/>
                <w:sz w:val="18"/>
                <w:szCs w:val="18"/>
              </w:rPr>
            </w:pPr>
            <w:r>
              <w:rPr>
                <w:rFonts w:ascii="宋体" w:hAnsi="宋体" w:cs="宋体" w:eastAsia="宋体" w:hint="default"/>
                <w:b/>
                <w:bCs/>
                <w:spacing w:val="-1"/>
                <w:sz w:val="18"/>
                <w:szCs w:val="18"/>
              </w:rPr>
              <w:t>表决权比例</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879" w:type="dxa"/>
            <w:tcBorders>
              <w:top w:val="nil" w:sz="6" w:space="0" w:color="auto"/>
              <w:left w:val="nil" w:sz="6" w:space="0" w:color="auto"/>
              <w:bottom w:val="nil" w:sz="6" w:space="0" w:color="auto"/>
              <w:right w:val="nil" w:sz="6" w:space="0" w:color="auto"/>
            </w:tcBorders>
          </w:tcPr>
          <w:p>
            <w:pPr>
              <w:pStyle w:val="TableParagraph"/>
              <w:spacing w:line="199" w:lineRule="exact"/>
              <w:ind w:right="21"/>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67" w:hRule="exact"/>
        </w:trPr>
        <w:tc>
          <w:tcPr>
            <w:tcW w:w="2974" w:type="dxa"/>
            <w:tcBorders>
              <w:top w:val="nil" w:sz="6" w:space="0" w:color="auto"/>
              <w:left w:val="nil" w:sz="6" w:space="0" w:color="auto"/>
              <w:bottom w:val="single" w:sz="4" w:space="0" w:color="000000"/>
              <w:right w:val="nil" w:sz="6" w:space="0" w:color="auto"/>
            </w:tcBorders>
          </w:tcPr>
          <w:p>
            <w:pPr/>
          </w:p>
        </w:tc>
        <w:tc>
          <w:tcPr>
            <w:tcW w:w="1013" w:type="dxa"/>
            <w:tcBorders>
              <w:top w:val="nil" w:sz="6" w:space="0" w:color="auto"/>
              <w:left w:val="nil" w:sz="6" w:space="0" w:color="auto"/>
              <w:bottom w:val="single" w:sz="4" w:space="0" w:color="000000"/>
              <w:right w:val="nil" w:sz="6" w:space="0" w:color="auto"/>
            </w:tcBorders>
          </w:tcPr>
          <w:p>
            <w:pPr/>
          </w:p>
        </w:tc>
        <w:tc>
          <w:tcPr>
            <w:tcW w:w="874" w:type="dxa"/>
            <w:tcBorders>
              <w:top w:val="nil" w:sz="6" w:space="0" w:color="auto"/>
              <w:left w:val="nil" w:sz="6" w:space="0" w:color="auto"/>
              <w:bottom w:val="single" w:sz="4" w:space="0" w:color="000000"/>
              <w:right w:val="nil" w:sz="6" w:space="0" w:color="auto"/>
            </w:tcBorders>
          </w:tcPr>
          <w:p>
            <w:pPr/>
          </w:p>
        </w:tc>
        <w:tc>
          <w:tcPr>
            <w:tcW w:w="1035" w:type="dxa"/>
            <w:tcBorders>
              <w:top w:val="nil" w:sz="6" w:space="0" w:color="auto"/>
              <w:left w:val="nil" w:sz="6" w:space="0" w:color="auto"/>
              <w:bottom w:val="single" w:sz="4" w:space="0" w:color="000000"/>
              <w:right w:val="nil" w:sz="6" w:space="0" w:color="auto"/>
            </w:tcBorders>
          </w:tcPr>
          <w:p>
            <w:pPr/>
          </w:p>
        </w:tc>
        <w:tc>
          <w:tcPr>
            <w:tcW w:w="811" w:type="dxa"/>
            <w:tcBorders>
              <w:top w:val="nil" w:sz="6" w:space="0" w:color="auto"/>
              <w:left w:val="nil" w:sz="6" w:space="0" w:color="auto"/>
              <w:bottom w:val="single" w:sz="4" w:space="0" w:color="000000"/>
              <w:right w:val="nil" w:sz="6" w:space="0" w:color="auto"/>
            </w:tcBorders>
          </w:tcPr>
          <w:p>
            <w:pPr>
              <w:pStyle w:val="TableParagraph"/>
              <w:spacing w:line="182"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1849" w:type="dxa"/>
            <w:tcBorders>
              <w:top w:val="nil" w:sz="6" w:space="0" w:color="auto"/>
              <w:left w:val="nil" w:sz="6" w:space="0" w:color="auto"/>
              <w:bottom w:val="single" w:sz="4" w:space="0" w:color="000000"/>
              <w:right w:val="nil" w:sz="6" w:space="0" w:color="auto"/>
            </w:tcBorders>
          </w:tcPr>
          <w:p>
            <w:pPr>
              <w:pStyle w:val="TableParagraph"/>
              <w:spacing w:line="182" w:lineRule="exact"/>
              <w:ind w:left="62"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879" w:type="dxa"/>
            <w:tcBorders>
              <w:top w:val="nil" w:sz="6" w:space="0" w:color="auto"/>
              <w:left w:val="nil" w:sz="6" w:space="0" w:color="auto"/>
              <w:bottom w:val="single" w:sz="4" w:space="0" w:color="000000"/>
              <w:right w:val="nil" w:sz="6" w:space="0" w:color="auto"/>
            </w:tcBorders>
          </w:tcPr>
          <w:p>
            <w:pPr/>
          </w:p>
        </w:tc>
      </w:tr>
      <w:tr>
        <w:trPr>
          <w:trHeight w:val="446"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3" w:right="0"/>
              <w:jc w:val="left"/>
              <w:rPr>
                <w:rFonts w:ascii="宋体" w:hAnsi="宋体" w:cs="宋体" w:eastAsia="宋体" w:hint="default"/>
                <w:sz w:val="18"/>
                <w:szCs w:val="18"/>
              </w:rPr>
            </w:pPr>
            <w:r>
              <w:rPr>
                <w:rFonts w:ascii="宋体" w:hAnsi="宋体" w:cs="宋体" w:eastAsia="宋体" w:hint="default"/>
                <w:spacing w:val="-3"/>
                <w:sz w:val="18"/>
                <w:szCs w:val="18"/>
              </w:rPr>
              <w:t>泰安创润信息科技有限公司</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泰安</w:t>
            </w:r>
          </w:p>
        </w:tc>
        <w:tc>
          <w:tcPr>
            <w:tcW w:w="8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1"/>
              <w:jc w:val="center"/>
              <w:rPr>
                <w:rFonts w:ascii="宋体" w:hAnsi="宋体" w:cs="宋体" w:eastAsia="宋体" w:hint="default"/>
                <w:sz w:val="18"/>
                <w:szCs w:val="18"/>
              </w:rPr>
            </w:pPr>
            <w:r>
              <w:rPr>
                <w:rFonts w:ascii="宋体" w:hAnsi="宋体" w:cs="宋体" w:eastAsia="宋体" w:hint="default"/>
                <w:sz w:val="18"/>
                <w:szCs w:val="18"/>
              </w:rPr>
              <w:t>泰安</w:t>
            </w: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0"/>
              <w:jc w:val="right"/>
              <w:rPr>
                <w:rFonts w:ascii="宋体" w:hAnsi="宋体" w:cs="宋体" w:eastAsia="宋体" w:hint="default"/>
                <w:sz w:val="18"/>
                <w:szCs w:val="18"/>
              </w:rPr>
            </w:pPr>
            <w:r>
              <w:rPr>
                <w:rFonts w:ascii="宋体"/>
                <w:spacing w:val="-1"/>
                <w:sz w:val="18"/>
              </w:rPr>
              <w:t>100.00</w:t>
            </w:r>
          </w:p>
        </w:tc>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0"/>
              <w:jc w:val="right"/>
              <w:rPr>
                <w:rFonts w:ascii="宋体" w:hAnsi="宋体" w:cs="宋体" w:eastAsia="宋体" w:hint="default"/>
                <w:sz w:val="18"/>
                <w:szCs w:val="18"/>
              </w:rPr>
            </w:pPr>
            <w:r>
              <w:rPr>
                <w:rFonts w:ascii="宋体"/>
                <w:spacing w:val="-1"/>
                <w:sz w:val="18"/>
              </w:rPr>
              <w:t>100.00</w:t>
            </w:r>
          </w:p>
        </w:tc>
        <w:tc>
          <w:tcPr>
            <w:tcW w:w="87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呼和浩特市创启科技有限公司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5"/>
              <w:jc w:val="center"/>
              <w:rPr>
                <w:rFonts w:ascii="宋体" w:hAnsi="宋体" w:cs="宋体" w:eastAsia="宋体" w:hint="default"/>
                <w:sz w:val="18"/>
                <w:szCs w:val="18"/>
              </w:rPr>
            </w:pPr>
            <w:r>
              <w:rPr>
                <w:rFonts w:ascii="宋体" w:hAnsi="宋体" w:cs="宋体" w:eastAsia="宋体" w:hint="default"/>
                <w:sz w:val="18"/>
                <w:szCs w:val="18"/>
              </w:rPr>
              <w:t>呼和浩特</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南宁致在新科技有限公司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南宁</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南宁</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乌鲁木齐黑马创润信息科技有限公司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5"/>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银川创启天下科技有限公司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银川</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沈阳创润信息科技有限公司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沈阳</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上海</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天津美业科技有限公司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天津</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60.00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60.00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唐山经际信息技术咨询服务有限公司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唐山</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唐山</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 w:right="0"/>
              <w:jc w:val="left"/>
              <w:rPr>
                <w:rFonts w:ascii="宋体" w:hAnsi="宋体" w:cs="宋体" w:eastAsia="宋体" w:hint="default"/>
                <w:sz w:val="18"/>
                <w:szCs w:val="18"/>
              </w:rPr>
            </w:pPr>
            <w:r>
              <w:rPr>
                <w:rFonts w:ascii="宋体" w:hAnsi="宋体" w:cs="宋体" w:eastAsia="宋体" w:hint="default"/>
                <w:spacing w:val="-3"/>
                <w:sz w:val="18"/>
                <w:szCs w:val="18"/>
              </w:rPr>
              <w:t>天津顶华企业管理中心（有限合伙）</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
              <w:jc w:val="center"/>
              <w:rPr>
                <w:rFonts w:ascii="宋体" w:hAnsi="宋体" w:cs="宋体" w:eastAsia="宋体" w:hint="default"/>
                <w:sz w:val="18"/>
                <w:szCs w:val="18"/>
              </w:rPr>
            </w:pPr>
            <w:r>
              <w:rPr>
                <w:rFonts w:ascii="宋体" w:hAnsi="宋体" w:cs="宋体" w:eastAsia="宋体" w:hint="default"/>
                <w:sz w:val="18"/>
                <w:szCs w:val="18"/>
              </w:rPr>
              <w:t>天津</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创业黑马（广州）科技有限公司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广州</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黑马加速（重庆）科技有限公司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重庆</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创业黑马（莆田）科技有限公司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莆田</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莆田</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银川黑马致新科技有限公司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银川</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银川</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无锡创润信息科技有限公司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无锡</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无锡</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创业黑马（福州）科技有限公司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福州</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福州</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神木创客黑马科技有限公司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神木</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神木</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成都天启合创业咨询服务有限公司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成都</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湖州致在新企业咨询有限公司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湖州</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湖州</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郑州创润科技有限公司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郑州</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郑州</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菏泽黑马加速科技发展有限公司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菏泽</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菏泽</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成都黑马加速科技有限公司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成都</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3"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青岛</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
              <w:jc w:val="center"/>
              <w:rPr>
                <w:rFonts w:ascii="宋体" w:hAnsi="宋体" w:cs="宋体" w:eastAsia="宋体" w:hint="default"/>
                <w:sz w:val="18"/>
                <w:szCs w:val="18"/>
              </w:rPr>
            </w:pPr>
            <w:r>
              <w:rPr>
                <w:rFonts w:ascii="宋体" w:hAnsi="宋体" w:cs="宋体" w:eastAsia="宋体" w:hint="default"/>
                <w:sz w:val="18"/>
                <w:szCs w:val="18"/>
              </w:rPr>
              <w:t>青岛</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鞍山黑马加速企业信息咨询有限公司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鞍山</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鞍山</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28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合肥黑马加速信息科技有限公司</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
              <w:jc w:val="center"/>
              <w:rPr>
                <w:rFonts w:ascii="宋体" w:hAnsi="宋体" w:cs="宋体" w:eastAsia="宋体" w:hint="default"/>
                <w:sz w:val="18"/>
                <w:szCs w:val="18"/>
              </w:rPr>
            </w:pPr>
            <w:r>
              <w:rPr>
                <w:rFonts w:ascii="宋体" w:hAnsi="宋体" w:cs="宋体" w:eastAsia="宋体" w:hint="default"/>
                <w:sz w:val="18"/>
                <w:szCs w:val="18"/>
              </w:rPr>
              <w:t>合肥</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创业服务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100.00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575" w:right="0"/>
        <w:jc w:val="left"/>
      </w:pPr>
      <w:r>
        <w:rPr>
          <w:rFonts w:ascii="宋体" w:hAnsi="宋体" w:cs="宋体" w:eastAsia="宋体" w:hint="default"/>
        </w:rPr>
        <w:t>2.</w:t>
      </w:r>
      <w:r>
        <w:rPr/>
        <w:t>重要非全资子公司</w:t>
      </w:r>
    </w:p>
    <w:p>
      <w:pPr>
        <w:spacing w:line="240" w:lineRule="auto" w:before="10"/>
        <w:rPr>
          <w:rFonts w:ascii="宋体" w:hAnsi="宋体" w:cs="宋体" w:eastAsia="宋体" w:hint="default"/>
          <w:sz w:val="25"/>
          <w:szCs w:val="25"/>
        </w:rPr>
      </w:pPr>
    </w:p>
    <w:tbl>
      <w:tblPr>
        <w:tblW w:w="0" w:type="auto"/>
        <w:jc w:val="left"/>
        <w:tblInd w:w="249" w:type="dxa"/>
        <w:tblLayout w:type="fixed"/>
        <w:tblCellMar>
          <w:top w:w="0" w:type="dxa"/>
          <w:left w:w="0" w:type="dxa"/>
          <w:bottom w:w="0" w:type="dxa"/>
          <w:right w:w="0" w:type="dxa"/>
        </w:tblCellMar>
        <w:tblLook w:val="01E0"/>
      </w:tblPr>
      <w:tblGrid>
        <w:gridCol w:w="3097"/>
        <w:gridCol w:w="1325"/>
        <w:gridCol w:w="1172"/>
        <w:gridCol w:w="1234"/>
        <w:gridCol w:w="1393"/>
        <w:gridCol w:w="1229"/>
      </w:tblGrid>
      <w:tr>
        <w:trPr>
          <w:trHeight w:val="594" w:hRule="exact"/>
        </w:trPr>
        <w:tc>
          <w:tcPr>
            <w:tcW w:w="309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171"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182" w:lineRule="exact"/>
              <w:ind w:left="178" w:right="0" w:firstLine="81"/>
              <w:jc w:val="left"/>
              <w:rPr>
                <w:rFonts w:ascii="宋体" w:hAnsi="宋体" w:cs="宋体" w:eastAsia="宋体" w:hint="default"/>
                <w:sz w:val="18"/>
                <w:szCs w:val="18"/>
              </w:rPr>
            </w:pPr>
            <w:r>
              <w:rPr>
                <w:rFonts w:ascii="宋体" w:hAnsi="宋体" w:cs="宋体" w:eastAsia="宋体" w:hint="default"/>
                <w:b/>
                <w:bCs/>
                <w:sz w:val="18"/>
                <w:szCs w:val="18"/>
              </w:rPr>
              <w:t>少数股东的</w:t>
            </w:r>
            <w:r>
              <w:rPr>
                <w:rFonts w:ascii="宋体" w:hAnsi="宋体" w:cs="宋体" w:eastAsia="宋体" w:hint="default"/>
                <w:sz w:val="18"/>
                <w:szCs w:val="18"/>
              </w:rPr>
            </w:r>
          </w:p>
          <w:p>
            <w:pPr>
              <w:pStyle w:val="TableParagraph"/>
              <w:spacing w:line="240" w:lineRule="auto" w:before="124"/>
              <w:ind w:left="178" w:right="0"/>
              <w:jc w:val="left"/>
              <w:rPr>
                <w:rFonts w:ascii="宋体" w:hAnsi="宋体" w:cs="宋体" w:eastAsia="宋体" w:hint="default"/>
                <w:sz w:val="18"/>
                <w:szCs w:val="18"/>
              </w:rPr>
            </w:pPr>
            <w:r>
              <w:rPr>
                <w:rFonts w:ascii="宋体" w:hAnsi="宋体" w:cs="宋体" w:eastAsia="宋体" w:hint="default"/>
                <w:b/>
                <w:bCs/>
                <w:spacing w:val="-9"/>
                <w:sz w:val="18"/>
                <w:szCs w:val="18"/>
              </w:rPr>
              <w:t>持股比例（</w:t>
            </w:r>
            <w:r>
              <w:rPr>
                <w:rFonts w:ascii="宋体" w:hAnsi="宋体" w:cs="宋体" w:eastAsia="宋体" w:hint="default"/>
                <w:b/>
                <w:bCs/>
                <w:spacing w:val="-9"/>
                <w:sz w:val="18"/>
                <w:szCs w:val="18"/>
              </w:rPr>
              <w:t>%</w:t>
            </w:r>
            <w:r>
              <w:rPr>
                <w:rFonts w:ascii="宋体" w:hAnsi="宋体" w:cs="宋体" w:eastAsia="宋体" w:hint="default"/>
                <w:b/>
                <w:bCs/>
                <w:spacing w:val="-9"/>
                <w:sz w:val="18"/>
                <w:szCs w:val="18"/>
              </w:rPr>
              <w:t>）</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182" w:lineRule="exact"/>
              <w:ind w:left="-20" w:right="0" w:firstLine="9"/>
              <w:jc w:val="left"/>
              <w:rPr>
                <w:rFonts w:ascii="宋体" w:hAnsi="宋体" w:cs="宋体" w:eastAsia="宋体" w:hint="default"/>
                <w:sz w:val="18"/>
                <w:szCs w:val="18"/>
              </w:rPr>
            </w:pPr>
            <w:r>
              <w:rPr>
                <w:rFonts w:ascii="宋体" w:hAnsi="宋体" w:cs="宋体" w:eastAsia="宋体" w:hint="default"/>
                <w:b/>
                <w:bCs/>
                <w:sz w:val="18"/>
                <w:szCs w:val="18"/>
              </w:rPr>
              <w:t>少数股东的表</w:t>
            </w:r>
            <w:r>
              <w:rPr>
                <w:rFonts w:ascii="宋体" w:hAnsi="宋体" w:cs="宋体" w:eastAsia="宋体" w:hint="default"/>
                <w:sz w:val="18"/>
                <w:szCs w:val="18"/>
              </w:rPr>
            </w:r>
          </w:p>
          <w:p>
            <w:pPr>
              <w:pStyle w:val="TableParagraph"/>
              <w:spacing w:line="240" w:lineRule="auto" w:before="124"/>
              <w:ind w:left="-20" w:right="0"/>
              <w:jc w:val="left"/>
              <w:rPr>
                <w:rFonts w:ascii="宋体" w:hAnsi="宋体" w:cs="宋体" w:eastAsia="宋体" w:hint="default"/>
                <w:sz w:val="18"/>
                <w:szCs w:val="18"/>
              </w:rPr>
            </w:pPr>
            <w:r>
              <w:rPr>
                <w:rFonts w:ascii="宋体" w:hAnsi="宋体" w:cs="宋体" w:eastAsia="宋体" w:hint="default"/>
                <w:b/>
                <w:bCs/>
                <w:sz w:val="18"/>
                <w:szCs w:val="18"/>
              </w:rPr>
              <w:t>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182" w:lineRule="exact"/>
              <w:ind w:left="33" w:right="0"/>
              <w:jc w:val="left"/>
              <w:rPr>
                <w:rFonts w:ascii="宋体" w:hAnsi="宋体" w:cs="宋体" w:eastAsia="宋体" w:hint="default"/>
                <w:sz w:val="18"/>
                <w:szCs w:val="18"/>
              </w:rPr>
            </w:pPr>
            <w:r>
              <w:rPr>
                <w:rFonts w:ascii="宋体" w:hAnsi="宋体" w:cs="宋体" w:eastAsia="宋体" w:hint="default"/>
                <w:b/>
                <w:bCs/>
                <w:sz w:val="18"/>
                <w:szCs w:val="18"/>
              </w:rPr>
              <w:t>本期归属于少</w:t>
            </w:r>
            <w:r>
              <w:rPr>
                <w:rFonts w:ascii="宋体" w:hAnsi="宋体" w:cs="宋体" w:eastAsia="宋体" w:hint="default"/>
                <w:sz w:val="18"/>
                <w:szCs w:val="18"/>
              </w:rPr>
            </w: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b/>
                <w:bCs/>
                <w:sz w:val="18"/>
                <w:szCs w:val="18"/>
              </w:rPr>
              <w:t>数股东的损益</w:t>
            </w:r>
            <w:r>
              <w:rPr>
                <w:rFonts w:ascii="宋体" w:hAnsi="宋体" w:cs="宋体" w:eastAsia="宋体"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182" w:lineRule="exact"/>
              <w:ind w:left="47" w:right="0"/>
              <w:jc w:val="left"/>
              <w:rPr>
                <w:rFonts w:ascii="宋体" w:hAnsi="宋体" w:cs="宋体" w:eastAsia="宋体" w:hint="default"/>
                <w:sz w:val="18"/>
                <w:szCs w:val="18"/>
              </w:rPr>
            </w:pPr>
            <w:r>
              <w:rPr>
                <w:rFonts w:ascii="宋体" w:hAnsi="宋体" w:cs="宋体" w:eastAsia="宋体" w:hint="default"/>
                <w:b/>
                <w:bCs/>
                <w:sz w:val="18"/>
                <w:szCs w:val="18"/>
              </w:rPr>
              <w:t>本期向少数股东</w:t>
            </w:r>
            <w:r>
              <w:rPr>
                <w:rFonts w:ascii="宋体" w:hAnsi="宋体" w:cs="宋体" w:eastAsia="宋体" w:hint="default"/>
                <w:sz w:val="18"/>
                <w:szCs w:val="18"/>
              </w:rPr>
            </w:r>
          </w:p>
          <w:p>
            <w:pPr>
              <w:pStyle w:val="TableParagraph"/>
              <w:spacing w:line="240" w:lineRule="auto" w:before="124"/>
              <w:ind w:left="47"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229" w:type="dxa"/>
            <w:tcBorders>
              <w:top w:val="nil" w:sz="6" w:space="0" w:color="auto"/>
              <w:left w:val="nil" w:sz="6" w:space="0" w:color="auto"/>
              <w:bottom w:val="single" w:sz="4" w:space="0" w:color="000000"/>
              <w:right w:val="nil" w:sz="6" w:space="0" w:color="auto"/>
            </w:tcBorders>
          </w:tcPr>
          <w:p>
            <w:pPr>
              <w:pStyle w:val="TableParagraph"/>
              <w:spacing w:line="182"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期末少数股东</w:t>
            </w:r>
            <w:r>
              <w:rPr>
                <w:rFonts w:ascii="宋体" w:hAnsi="宋体" w:cs="宋体" w:eastAsia="宋体" w:hint="default"/>
                <w:sz w:val="18"/>
                <w:szCs w:val="18"/>
              </w:rPr>
            </w:r>
          </w:p>
          <w:p>
            <w:pPr>
              <w:pStyle w:val="TableParagraph"/>
              <w:spacing w:line="240" w:lineRule="auto" w:before="124"/>
              <w:ind w:left="19" w:right="0"/>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sz w:val="18"/>
                <w:szCs w:val="18"/>
              </w:rPr>
            </w:r>
          </w:p>
        </w:tc>
      </w:tr>
      <w:tr>
        <w:trPr>
          <w:trHeight w:val="444" w:hRule="exact"/>
        </w:trPr>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3" w:right="0"/>
              <w:jc w:val="left"/>
              <w:rPr>
                <w:rFonts w:ascii="宋体" w:hAnsi="宋体" w:cs="宋体" w:eastAsia="宋体" w:hint="default"/>
                <w:sz w:val="18"/>
                <w:szCs w:val="18"/>
              </w:rPr>
            </w:pPr>
            <w:r>
              <w:rPr>
                <w:rFonts w:ascii="宋体" w:hAnsi="宋体" w:cs="宋体" w:eastAsia="宋体" w:hint="default"/>
                <w:spacing w:val="-3"/>
                <w:sz w:val="18"/>
                <w:szCs w:val="18"/>
              </w:rPr>
              <w:t>南京创业未来信息科技有限公司</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1"/>
              <w:jc w:val="right"/>
              <w:rPr>
                <w:rFonts w:ascii="宋体" w:hAnsi="宋体" w:cs="宋体" w:eastAsia="宋体" w:hint="default"/>
                <w:sz w:val="18"/>
                <w:szCs w:val="18"/>
              </w:rPr>
            </w:pPr>
            <w:r>
              <w:rPr>
                <w:rFonts w:ascii="宋体"/>
                <w:sz w:val="18"/>
              </w:rPr>
              <w:t>33.30</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9"/>
              <w:jc w:val="right"/>
              <w:rPr>
                <w:rFonts w:ascii="宋体" w:hAnsi="宋体" w:cs="宋体" w:eastAsia="宋体" w:hint="default"/>
                <w:sz w:val="18"/>
                <w:szCs w:val="18"/>
              </w:rPr>
            </w:pPr>
            <w:r>
              <w:rPr>
                <w:rFonts w:ascii="宋体"/>
                <w:sz w:val="18"/>
              </w:rPr>
              <w:t>33.30</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45"/>
              <w:jc w:val="right"/>
              <w:rPr>
                <w:rFonts w:ascii="宋体" w:hAnsi="宋体" w:cs="宋体" w:eastAsia="宋体" w:hint="default"/>
                <w:sz w:val="18"/>
                <w:szCs w:val="18"/>
              </w:rPr>
            </w:pPr>
            <w:r>
              <w:rPr>
                <w:rFonts w:ascii="宋体"/>
                <w:spacing w:val="-1"/>
                <w:sz w:val="18"/>
              </w:rPr>
              <w:t>-446,348.78</w:t>
            </w:r>
          </w:p>
        </w:tc>
        <w:tc>
          <w:tcPr>
            <w:tcW w:w="1393" w:type="dxa"/>
            <w:tcBorders>
              <w:top w:val="single" w:sz="4" w:space="0" w:color="000000"/>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1"/>
              <w:jc w:val="right"/>
              <w:rPr>
                <w:rFonts w:ascii="宋体" w:hAnsi="宋体" w:cs="宋体" w:eastAsia="宋体" w:hint="default"/>
                <w:sz w:val="18"/>
                <w:szCs w:val="18"/>
              </w:rPr>
            </w:pPr>
            <w:r>
              <w:rPr>
                <w:rFonts w:ascii="宋体"/>
                <w:spacing w:val="-1"/>
                <w:sz w:val="18"/>
              </w:rPr>
              <w:t>541,094.12</w:t>
            </w:r>
          </w:p>
        </w:tc>
      </w:tr>
      <w:tr>
        <w:trPr>
          <w:trHeight w:val="396"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北京协同创新黑马投资管理有限公司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49.00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t>49.00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5"/>
              <w:jc w:val="right"/>
              <w:rPr>
                <w:rFonts w:ascii="宋体" w:hAnsi="宋体" w:cs="宋体" w:eastAsia="宋体" w:hint="default"/>
                <w:sz w:val="18"/>
                <w:szCs w:val="18"/>
              </w:rPr>
            </w:pPr>
            <w:r>
              <w:rPr>
                <w:rFonts w:ascii="宋体"/>
                <w:spacing w:val="-1"/>
                <w:sz w:val="18"/>
              </w:rPr>
              <w:t>-584,421.36</w:t>
            </w:r>
          </w:p>
        </w:tc>
        <w:tc>
          <w:tcPr>
            <w:tcW w:w="139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3,933,189.58</w:t>
            </w:r>
          </w:p>
        </w:tc>
      </w:tr>
      <w:tr>
        <w:trPr>
          <w:trHeight w:val="29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北京创闻天下科技有限公司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1"/>
              <w:jc w:val="right"/>
              <w:rPr>
                <w:rFonts w:ascii="宋体" w:hAnsi="宋体" w:cs="宋体" w:eastAsia="宋体" w:hint="default"/>
                <w:sz w:val="18"/>
                <w:szCs w:val="18"/>
              </w:rPr>
            </w:pPr>
            <w:r>
              <w:rPr>
                <w:rFonts w:ascii="宋体"/>
                <w:sz w:val="18"/>
              </w:rPr>
              <w:t>36.30</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9"/>
              <w:jc w:val="right"/>
              <w:rPr>
                <w:rFonts w:ascii="宋体" w:hAnsi="宋体" w:cs="宋体" w:eastAsia="宋体" w:hint="default"/>
                <w:sz w:val="18"/>
                <w:szCs w:val="18"/>
              </w:rPr>
            </w:pPr>
            <w:r>
              <w:rPr>
                <w:rFonts w:ascii="宋体"/>
                <w:sz w:val="18"/>
              </w:rPr>
              <w:t>36.30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6"/>
              <w:jc w:val="right"/>
              <w:rPr>
                <w:rFonts w:ascii="宋体" w:hAnsi="宋体" w:cs="宋体" w:eastAsia="宋体" w:hint="default"/>
                <w:sz w:val="18"/>
                <w:szCs w:val="18"/>
              </w:rPr>
            </w:pPr>
            <w:r>
              <w:rPr>
                <w:rFonts w:ascii="宋体"/>
                <w:spacing w:val="-1"/>
                <w:sz w:val="18"/>
              </w:rPr>
              <w:t>-2,309,778.48</w:t>
            </w:r>
          </w:p>
        </w:tc>
        <w:tc>
          <w:tcPr>
            <w:tcW w:w="1393"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
              <w:jc w:val="right"/>
              <w:rPr>
                <w:rFonts w:ascii="宋体" w:hAnsi="宋体" w:cs="宋体" w:eastAsia="宋体" w:hint="default"/>
                <w:sz w:val="18"/>
                <w:szCs w:val="18"/>
              </w:rPr>
            </w:pPr>
            <w:r>
              <w:rPr>
                <w:rFonts w:ascii="宋体"/>
                <w:spacing w:val="-1"/>
                <w:sz w:val="18"/>
              </w:rPr>
              <w:t>-5,818,760.57</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635" w:right="1118"/>
        <w:jc w:val="left"/>
      </w:pPr>
      <w:r>
        <w:rPr>
          <w:rFonts w:ascii="宋体" w:hAnsi="宋体" w:cs="宋体" w:eastAsia="宋体" w:hint="default"/>
        </w:rPr>
        <w:t>3.</w:t>
      </w:r>
      <w:r>
        <w:rPr/>
        <w:t>重要的非全资子公司的主要财务信息</w:t>
      </w:r>
    </w:p>
    <w:p>
      <w:pPr>
        <w:spacing w:line="240" w:lineRule="auto" w:before="12"/>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1880"/>
        <w:gridCol w:w="2886"/>
        <w:gridCol w:w="2682"/>
        <w:gridCol w:w="2411"/>
      </w:tblGrid>
      <w:tr>
        <w:trPr>
          <w:trHeight w:val="271" w:hRule="exact"/>
        </w:trPr>
        <w:tc>
          <w:tcPr>
            <w:tcW w:w="1880" w:type="dxa"/>
            <w:tcBorders>
              <w:top w:val="nil" w:sz="6" w:space="0" w:color="auto"/>
              <w:left w:val="nil" w:sz="6" w:space="0" w:color="auto"/>
              <w:bottom w:val="nil" w:sz="6" w:space="0" w:color="auto"/>
              <w:right w:val="nil" w:sz="6" w:space="0" w:color="auto"/>
            </w:tcBorders>
          </w:tcPr>
          <w:p>
            <w:pPr/>
          </w:p>
        </w:tc>
        <w:tc>
          <w:tcPr>
            <w:tcW w:w="2886"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182"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2411" w:type="dxa"/>
            <w:tcBorders>
              <w:top w:val="nil" w:sz="6" w:space="0" w:color="auto"/>
              <w:left w:val="nil" w:sz="6" w:space="0" w:color="auto"/>
              <w:bottom w:val="nil" w:sz="6" w:space="0" w:color="auto"/>
              <w:right w:val="nil" w:sz="6" w:space="0" w:color="auto"/>
            </w:tcBorders>
          </w:tcPr>
          <w:p>
            <w:pPr/>
          </w:p>
        </w:tc>
      </w:tr>
      <w:tr>
        <w:trPr>
          <w:trHeight w:val="37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6" w:type="dxa"/>
            <w:vMerge w:val="restart"/>
            <w:tcBorders>
              <w:top w:val="nil" w:sz="6" w:space="0" w:color="auto"/>
              <w:left w:val="nil" w:sz="6" w:space="0" w:color="auto"/>
              <w:right w:val="nil" w:sz="6" w:space="0" w:color="auto"/>
            </w:tcBorders>
          </w:tcPr>
          <w:p>
            <w:pPr>
              <w:pStyle w:val="TableParagraph"/>
              <w:spacing w:line="240" w:lineRule="auto" w:before="54"/>
              <w:ind w:left="114" w:right="0"/>
              <w:jc w:val="center"/>
              <w:rPr>
                <w:rFonts w:ascii="宋体" w:hAnsi="宋体" w:cs="宋体" w:eastAsia="宋体" w:hint="default"/>
                <w:sz w:val="18"/>
                <w:szCs w:val="18"/>
              </w:rPr>
            </w:pPr>
            <w:r>
              <w:rPr>
                <w:rFonts w:ascii="宋体" w:hAnsi="宋体" w:cs="宋体" w:eastAsia="宋体" w:hint="default"/>
                <w:b/>
                <w:bCs/>
                <w:sz w:val="18"/>
                <w:szCs w:val="18"/>
              </w:rPr>
              <w:t>南京创业未来信息科技有限公</w:t>
            </w:r>
            <w:r>
              <w:rPr>
                <w:rFonts w:ascii="宋体" w:hAnsi="宋体" w:cs="宋体" w:eastAsia="宋体" w:hint="default"/>
                <w:sz w:val="18"/>
                <w:szCs w:val="18"/>
              </w:rPr>
            </w:r>
          </w:p>
          <w:p>
            <w:pPr>
              <w:pStyle w:val="TableParagraph"/>
              <w:spacing w:line="240" w:lineRule="auto" w:before="124"/>
              <w:ind w:left="105" w:right="0"/>
              <w:jc w:val="center"/>
              <w:rPr>
                <w:rFonts w:ascii="宋体" w:hAnsi="宋体" w:cs="宋体" w:eastAsia="宋体" w:hint="default"/>
                <w:sz w:val="18"/>
                <w:szCs w:val="18"/>
              </w:rPr>
            </w:pPr>
            <w:r>
              <w:rPr>
                <w:rFonts w:ascii="宋体" w:hAnsi="宋体" w:cs="宋体" w:eastAsia="宋体" w:hint="default"/>
                <w:b/>
                <w:bCs/>
                <w:w w:val="100"/>
                <w:sz w:val="18"/>
                <w:szCs w:val="18"/>
              </w:rPr>
              <w:t>司</w:t>
            </w:r>
            <w:r>
              <w:rPr>
                <w:rFonts w:ascii="宋体" w:hAnsi="宋体" w:cs="宋体" w:eastAsia="宋体" w:hint="default"/>
                <w:w w:val="100"/>
                <w:sz w:val="18"/>
                <w:szCs w:val="18"/>
              </w:rPr>
            </w:r>
          </w:p>
        </w:tc>
        <w:tc>
          <w:tcPr>
            <w:tcW w:w="2682" w:type="dxa"/>
            <w:vMerge w:val="restart"/>
            <w:tcBorders>
              <w:top w:val="nil" w:sz="6" w:space="0" w:color="auto"/>
              <w:left w:val="nil" w:sz="6" w:space="0" w:color="auto"/>
              <w:right w:val="nil" w:sz="6" w:space="0" w:color="auto"/>
            </w:tcBorders>
          </w:tcPr>
          <w:p>
            <w:pPr>
              <w:pStyle w:val="TableParagraph"/>
              <w:spacing w:line="240" w:lineRule="auto" w:before="54"/>
              <w:ind w:right="45"/>
              <w:jc w:val="center"/>
              <w:rPr>
                <w:rFonts w:ascii="宋体" w:hAnsi="宋体" w:cs="宋体" w:eastAsia="宋体" w:hint="default"/>
                <w:sz w:val="18"/>
                <w:szCs w:val="18"/>
              </w:rPr>
            </w:pPr>
            <w:r>
              <w:rPr>
                <w:rFonts w:ascii="宋体" w:hAnsi="宋体" w:cs="宋体" w:eastAsia="宋体" w:hint="default"/>
                <w:b/>
                <w:bCs/>
                <w:sz w:val="18"/>
                <w:szCs w:val="18"/>
              </w:rPr>
              <w:t>北京协同创新黑马投资管理有</w:t>
            </w:r>
            <w:r>
              <w:rPr>
                <w:rFonts w:ascii="宋体" w:hAnsi="宋体" w:cs="宋体" w:eastAsia="宋体" w:hint="default"/>
                <w:sz w:val="18"/>
                <w:szCs w:val="18"/>
              </w:rPr>
            </w:r>
          </w:p>
          <w:p>
            <w:pPr>
              <w:pStyle w:val="TableParagraph"/>
              <w:spacing w:line="240" w:lineRule="auto" w:before="124"/>
              <w:ind w:right="44"/>
              <w:jc w:val="center"/>
              <w:rPr>
                <w:rFonts w:ascii="宋体" w:hAnsi="宋体" w:cs="宋体" w:eastAsia="宋体" w:hint="default"/>
                <w:sz w:val="18"/>
                <w:szCs w:val="18"/>
              </w:rPr>
            </w:pPr>
            <w:r>
              <w:rPr>
                <w:rFonts w:ascii="宋体" w:hAnsi="宋体" w:cs="宋体" w:eastAsia="宋体" w:hint="default"/>
                <w:b/>
                <w:bCs/>
                <w:sz w:val="18"/>
                <w:szCs w:val="18"/>
              </w:rPr>
              <w:t>限公司</w:t>
            </w:r>
            <w:r>
              <w:rPr>
                <w:rFonts w:ascii="宋体" w:hAnsi="宋体" w:cs="宋体" w:eastAsia="宋体" w:hint="default"/>
                <w:sz w:val="18"/>
                <w:szCs w:val="18"/>
              </w:rPr>
            </w:r>
          </w:p>
        </w:tc>
        <w:tc>
          <w:tcPr>
            <w:tcW w:w="2411" w:type="dxa"/>
            <w:tcBorders>
              <w:top w:val="nil" w:sz="6" w:space="0" w:color="auto"/>
              <w:left w:val="nil" w:sz="6" w:space="0" w:color="auto"/>
              <w:bottom w:val="nil" w:sz="6" w:space="0" w:color="auto"/>
              <w:right w:val="nil" w:sz="6" w:space="0" w:color="auto"/>
            </w:tcBorders>
          </w:tcPr>
          <w:p>
            <w:pPr/>
          </w:p>
        </w:tc>
      </w:tr>
      <w:tr>
        <w:trPr>
          <w:trHeight w:val="332" w:hRule="exact"/>
        </w:trPr>
        <w:tc>
          <w:tcPr>
            <w:tcW w:w="1880" w:type="dxa"/>
            <w:tcBorders>
              <w:top w:val="nil" w:sz="6" w:space="0" w:color="auto"/>
              <w:left w:val="nil" w:sz="6" w:space="0" w:color="auto"/>
              <w:bottom w:val="single" w:sz="4" w:space="0" w:color="000000"/>
              <w:right w:val="nil" w:sz="6" w:space="0" w:color="auto"/>
            </w:tcBorders>
          </w:tcPr>
          <w:p>
            <w:pPr/>
          </w:p>
        </w:tc>
        <w:tc>
          <w:tcPr>
            <w:tcW w:w="2886" w:type="dxa"/>
            <w:vMerge/>
            <w:tcBorders>
              <w:left w:val="nil" w:sz="6" w:space="0" w:color="auto"/>
              <w:bottom w:val="single" w:sz="4" w:space="0" w:color="000000"/>
              <w:right w:val="nil" w:sz="6" w:space="0" w:color="auto"/>
            </w:tcBorders>
          </w:tcPr>
          <w:p>
            <w:pPr/>
          </w:p>
        </w:tc>
        <w:tc>
          <w:tcPr>
            <w:tcW w:w="2682" w:type="dxa"/>
            <w:vMerge/>
            <w:tcBorders>
              <w:left w:val="nil" w:sz="6" w:space="0" w:color="auto"/>
              <w:bottom w:val="single" w:sz="4" w:space="0" w:color="000000"/>
              <w:right w:val="nil" w:sz="6" w:space="0" w:color="auto"/>
            </w:tcBorders>
          </w:tcPr>
          <w:p>
            <w:pP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18"/>
              <w:jc w:val="right"/>
              <w:rPr>
                <w:rFonts w:ascii="宋体" w:hAnsi="宋体" w:cs="宋体" w:eastAsia="宋体" w:hint="default"/>
                <w:sz w:val="18"/>
                <w:szCs w:val="18"/>
              </w:rPr>
            </w:pPr>
            <w:r>
              <w:rPr>
                <w:rFonts w:ascii="宋体" w:hAnsi="宋体" w:cs="宋体" w:eastAsia="宋体" w:hint="default"/>
                <w:b/>
                <w:bCs/>
                <w:spacing w:val="-2"/>
                <w:sz w:val="18"/>
                <w:szCs w:val="18"/>
              </w:rPr>
              <w:t>北京创闻天下科技有限公司</w:t>
            </w:r>
            <w:r>
              <w:rPr>
                <w:rFonts w:ascii="宋体" w:hAnsi="宋体" w:cs="宋体" w:eastAsia="宋体" w:hint="default"/>
                <w:spacing w:val="-2"/>
                <w:sz w:val="18"/>
                <w:szCs w:val="18"/>
              </w:rPr>
            </w:r>
          </w:p>
        </w:tc>
      </w:tr>
      <w:tr>
        <w:trPr>
          <w:trHeight w:val="436" w:hRule="exact"/>
        </w:trPr>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9"/>
              <w:jc w:val="right"/>
              <w:rPr>
                <w:rFonts w:ascii="宋体" w:hAnsi="宋体" w:cs="宋体" w:eastAsia="宋体" w:hint="default"/>
                <w:sz w:val="18"/>
                <w:szCs w:val="18"/>
              </w:rPr>
            </w:pPr>
            <w:r>
              <w:rPr>
                <w:rFonts w:ascii="宋体"/>
                <w:spacing w:val="-1"/>
                <w:sz w:val="18"/>
              </w:rPr>
              <w:t>2,123,486.85</w:t>
            </w:r>
          </w:p>
        </w:tc>
        <w:tc>
          <w:tcPr>
            <w:tcW w:w="268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13"/>
              <w:jc w:val="right"/>
              <w:rPr>
                <w:rFonts w:ascii="宋体" w:hAnsi="宋体" w:cs="宋体" w:eastAsia="宋体" w:hint="default"/>
                <w:sz w:val="18"/>
                <w:szCs w:val="18"/>
              </w:rPr>
            </w:pPr>
            <w:r>
              <w:rPr>
                <w:rFonts w:ascii="宋体"/>
                <w:spacing w:val="-1"/>
                <w:sz w:val="18"/>
              </w:rPr>
              <w:t>4,521,361.70</w:t>
            </w:r>
          </w:p>
        </w:tc>
        <w:tc>
          <w:tcPr>
            <w:tcW w:w="24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7,636,596.57</w:t>
            </w:r>
          </w:p>
        </w:tc>
      </w:tr>
      <w:tr>
        <w:trPr>
          <w:trHeight w:val="39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262,553.46</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3,969,030.24</w:t>
            </w:r>
          </w:p>
        </w:tc>
        <w:tc>
          <w:tcPr>
            <w:tcW w:w="2411" w:type="dxa"/>
            <w:tcBorders>
              <w:top w:val="nil" w:sz="6" w:space="0" w:color="auto"/>
              <w:left w:val="nil" w:sz="6" w:space="0" w:color="auto"/>
              <w:bottom w:val="nil" w:sz="6" w:space="0" w:color="auto"/>
              <w:right w:val="nil" w:sz="6" w:space="0" w:color="auto"/>
            </w:tcBorders>
          </w:tcPr>
          <w:p>
            <w:pPr/>
          </w:p>
        </w:tc>
      </w:tr>
      <w:tr>
        <w:trPr>
          <w:trHeight w:val="396"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2,386,040.31</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8,490,391.94</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7,636,596.57</w:t>
            </w:r>
          </w:p>
        </w:tc>
      </w:tr>
      <w:tr>
        <w:trPr>
          <w:trHeight w:val="396"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9"/>
              <w:jc w:val="right"/>
              <w:rPr>
                <w:rFonts w:ascii="宋体" w:hAnsi="宋体" w:cs="宋体" w:eastAsia="宋体" w:hint="default"/>
                <w:sz w:val="18"/>
                <w:szCs w:val="18"/>
              </w:rPr>
            </w:pPr>
            <w:r>
              <w:rPr>
                <w:rFonts w:ascii="宋体"/>
                <w:spacing w:val="-1"/>
                <w:sz w:val="18"/>
              </w:rPr>
              <w:t>577,573.53</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3"/>
              <w:jc w:val="right"/>
              <w:rPr>
                <w:rFonts w:ascii="宋体" w:hAnsi="宋体" w:cs="宋体" w:eastAsia="宋体" w:hint="default"/>
                <w:sz w:val="18"/>
                <w:szCs w:val="18"/>
              </w:rPr>
            </w:pPr>
            <w:r>
              <w:rPr>
                <w:rFonts w:ascii="宋体"/>
                <w:spacing w:val="-1"/>
                <w:sz w:val="18"/>
              </w:rPr>
              <w:t>463,474.43</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宋体" w:hAnsi="宋体" w:cs="宋体" w:eastAsia="宋体" w:hint="default"/>
                <w:sz w:val="18"/>
                <w:szCs w:val="18"/>
              </w:rPr>
            </w:pPr>
            <w:r>
              <w:rPr>
                <w:rFonts w:ascii="宋体"/>
                <w:spacing w:val="-1"/>
                <w:sz w:val="18"/>
              </w:rPr>
              <w:t>23,184,755.18</w:t>
            </w:r>
          </w:p>
        </w:tc>
      </w:tr>
      <w:tr>
        <w:trPr>
          <w:trHeight w:val="39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183,559.53</w:t>
            </w:r>
          </w:p>
        </w:tc>
        <w:tc>
          <w:tcPr>
            <w:tcW w:w="2682"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
        </w:tc>
      </w:tr>
      <w:tr>
        <w:trPr>
          <w:trHeight w:val="39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761,133.06</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463,474.43</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23,184,755.18</w:t>
            </w:r>
          </w:p>
        </w:tc>
      </w:tr>
      <w:tr>
        <w:trPr>
          <w:trHeight w:val="394"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9"/>
              <w:jc w:val="right"/>
              <w:rPr>
                <w:rFonts w:ascii="宋体" w:hAnsi="宋体" w:cs="宋体" w:eastAsia="宋体" w:hint="default"/>
                <w:sz w:val="18"/>
                <w:szCs w:val="18"/>
              </w:rPr>
            </w:pPr>
            <w:r>
              <w:rPr>
                <w:rFonts w:ascii="宋体"/>
                <w:spacing w:val="-1"/>
                <w:sz w:val="18"/>
              </w:rPr>
              <w:t>507,881.89</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宋体" w:hAnsi="宋体" w:cs="宋体" w:eastAsia="宋体" w:hint="default"/>
                <w:sz w:val="18"/>
                <w:szCs w:val="18"/>
              </w:rPr>
            </w:pPr>
            <w:r>
              <w:rPr>
                <w:rFonts w:ascii="宋体"/>
                <w:spacing w:val="-1"/>
                <w:sz w:val="18"/>
              </w:rPr>
              <w:t>2,649,288.50</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158,545.48</w:t>
            </w:r>
          </w:p>
        </w:tc>
      </w:tr>
      <w:tr>
        <w:trPr>
          <w:trHeight w:val="39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-1,340,386.73</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-1,192,696.65</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-5,813,704.37</w:t>
            </w:r>
          </w:p>
        </w:tc>
      </w:tr>
      <w:tr>
        <w:trPr>
          <w:trHeight w:val="39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-1,340,386.73</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-1,192,696.65</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-5,813,704.37</w:t>
            </w:r>
          </w:p>
        </w:tc>
      </w:tr>
      <w:tr>
        <w:trPr>
          <w:trHeight w:val="30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330,394.19</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-868,930.65</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-1,003,576.70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635" w:right="1118"/>
        <w:jc w:val="left"/>
      </w:pPr>
      <w:r>
        <w:rPr/>
        <w:t>接上表：</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1880"/>
        <w:gridCol w:w="2886"/>
        <w:gridCol w:w="2682"/>
        <w:gridCol w:w="2411"/>
      </w:tblGrid>
      <w:tr>
        <w:trPr>
          <w:trHeight w:val="271" w:hRule="exact"/>
        </w:trPr>
        <w:tc>
          <w:tcPr>
            <w:tcW w:w="1880" w:type="dxa"/>
            <w:tcBorders>
              <w:top w:val="nil" w:sz="6" w:space="0" w:color="auto"/>
              <w:left w:val="nil" w:sz="6" w:space="0" w:color="auto"/>
              <w:bottom w:val="nil" w:sz="6" w:space="0" w:color="auto"/>
              <w:right w:val="nil" w:sz="6" w:space="0" w:color="auto"/>
            </w:tcBorders>
          </w:tcPr>
          <w:p>
            <w:pPr/>
          </w:p>
        </w:tc>
        <w:tc>
          <w:tcPr>
            <w:tcW w:w="2886" w:type="dxa"/>
            <w:tcBorders>
              <w:top w:val="nil" w:sz="6" w:space="0" w:color="auto"/>
              <w:left w:val="nil" w:sz="6" w:space="0" w:color="auto"/>
              <w:bottom w:val="nil" w:sz="6" w:space="0" w:color="auto"/>
              <w:right w:val="nil" w:sz="6" w:space="0" w:color="auto"/>
            </w:tcBorders>
          </w:tcPr>
          <w:p>
            <w:pPr/>
          </w:p>
        </w:tc>
        <w:tc>
          <w:tcPr>
            <w:tcW w:w="2682" w:type="dxa"/>
            <w:tcBorders>
              <w:top w:val="nil" w:sz="6" w:space="0" w:color="auto"/>
              <w:left w:val="nil" w:sz="6" w:space="0" w:color="auto"/>
              <w:bottom w:val="nil" w:sz="6" w:space="0" w:color="auto"/>
              <w:right w:val="nil" w:sz="6" w:space="0" w:color="auto"/>
            </w:tcBorders>
          </w:tcPr>
          <w:p>
            <w:pPr>
              <w:pStyle w:val="TableParagraph"/>
              <w:spacing w:line="182"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sz w:val="18"/>
                <w:szCs w:val="18"/>
              </w:rPr>
            </w:r>
          </w:p>
        </w:tc>
        <w:tc>
          <w:tcPr>
            <w:tcW w:w="2411" w:type="dxa"/>
            <w:tcBorders>
              <w:top w:val="nil" w:sz="6" w:space="0" w:color="auto"/>
              <w:left w:val="nil" w:sz="6" w:space="0" w:color="auto"/>
              <w:bottom w:val="nil" w:sz="6" w:space="0" w:color="auto"/>
              <w:right w:val="nil" w:sz="6" w:space="0" w:color="auto"/>
            </w:tcBorders>
          </w:tcPr>
          <w:p>
            <w:pPr/>
          </w:p>
        </w:tc>
      </w:tr>
      <w:tr>
        <w:trPr>
          <w:trHeight w:val="37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86" w:type="dxa"/>
            <w:vMerge w:val="restart"/>
            <w:tcBorders>
              <w:top w:val="nil" w:sz="6" w:space="0" w:color="auto"/>
              <w:left w:val="nil" w:sz="6" w:space="0" w:color="auto"/>
              <w:right w:val="nil" w:sz="6" w:space="0" w:color="auto"/>
            </w:tcBorders>
          </w:tcPr>
          <w:p>
            <w:pPr>
              <w:pStyle w:val="TableParagraph"/>
              <w:spacing w:line="240" w:lineRule="auto" w:before="54"/>
              <w:ind w:left="114" w:right="0"/>
              <w:jc w:val="center"/>
              <w:rPr>
                <w:rFonts w:ascii="宋体" w:hAnsi="宋体" w:cs="宋体" w:eastAsia="宋体" w:hint="default"/>
                <w:sz w:val="18"/>
                <w:szCs w:val="18"/>
              </w:rPr>
            </w:pPr>
            <w:r>
              <w:rPr>
                <w:rFonts w:ascii="宋体" w:hAnsi="宋体" w:cs="宋体" w:eastAsia="宋体" w:hint="default"/>
                <w:b/>
                <w:bCs/>
                <w:sz w:val="18"/>
                <w:szCs w:val="18"/>
              </w:rPr>
              <w:t>南京创业未来信息科技有限公</w:t>
            </w:r>
            <w:r>
              <w:rPr>
                <w:rFonts w:ascii="宋体" w:hAnsi="宋体" w:cs="宋体" w:eastAsia="宋体" w:hint="default"/>
                <w:sz w:val="18"/>
                <w:szCs w:val="18"/>
              </w:rPr>
            </w:r>
          </w:p>
          <w:p>
            <w:pPr>
              <w:pStyle w:val="TableParagraph"/>
              <w:spacing w:line="240" w:lineRule="auto" w:before="125"/>
              <w:ind w:left="105" w:right="0"/>
              <w:jc w:val="center"/>
              <w:rPr>
                <w:rFonts w:ascii="宋体" w:hAnsi="宋体" w:cs="宋体" w:eastAsia="宋体" w:hint="default"/>
                <w:sz w:val="18"/>
                <w:szCs w:val="18"/>
              </w:rPr>
            </w:pPr>
            <w:r>
              <w:rPr>
                <w:rFonts w:ascii="宋体" w:hAnsi="宋体" w:cs="宋体" w:eastAsia="宋体" w:hint="default"/>
                <w:b/>
                <w:bCs/>
                <w:w w:val="100"/>
                <w:sz w:val="18"/>
                <w:szCs w:val="18"/>
              </w:rPr>
              <w:t>司</w:t>
            </w:r>
            <w:r>
              <w:rPr>
                <w:rFonts w:ascii="宋体" w:hAnsi="宋体" w:cs="宋体" w:eastAsia="宋体" w:hint="default"/>
                <w:w w:val="100"/>
                <w:sz w:val="18"/>
                <w:szCs w:val="18"/>
              </w:rPr>
            </w:r>
          </w:p>
        </w:tc>
        <w:tc>
          <w:tcPr>
            <w:tcW w:w="2682" w:type="dxa"/>
            <w:vMerge w:val="restart"/>
            <w:tcBorders>
              <w:top w:val="nil" w:sz="6" w:space="0" w:color="auto"/>
              <w:left w:val="nil" w:sz="6" w:space="0" w:color="auto"/>
              <w:right w:val="nil" w:sz="6" w:space="0" w:color="auto"/>
            </w:tcBorders>
          </w:tcPr>
          <w:p>
            <w:pPr>
              <w:pStyle w:val="TableParagraph"/>
              <w:spacing w:line="240" w:lineRule="auto" w:before="54"/>
              <w:ind w:right="45"/>
              <w:jc w:val="center"/>
              <w:rPr>
                <w:rFonts w:ascii="宋体" w:hAnsi="宋体" w:cs="宋体" w:eastAsia="宋体" w:hint="default"/>
                <w:sz w:val="18"/>
                <w:szCs w:val="18"/>
              </w:rPr>
            </w:pPr>
            <w:r>
              <w:rPr>
                <w:rFonts w:ascii="宋体" w:hAnsi="宋体" w:cs="宋体" w:eastAsia="宋体" w:hint="default"/>
                <w:b/>
                <w:bCs/>
                <w:sz w:val="18"/>
                <w:szCs w:val="18"/>
              </w:rPr>
              <w:t>北京协同创新黑马投资管理有</w:t>
            </w:r>
            <w:r>
              <w:rPr>
                <w:rFonts w:ascii="宋体" w:hAnsi="宋体" w:cs="宋体" w:eastAsia="宋体" w:hint="default"/>
                <w:sz w:val="18"/>
                <w:szCs w:val="18"/>
              </w:rPr>
            </w:r>
          </w:p>
          <w:p>
            <w:pPr>
              <w:pStyle w:val="TableParagraph"/>
              <w:spacing w:line="240" w:lineRule="auto" w:before="125"/>
              <w:ind w:right="44"/>
              <w:jc w:val="center"/>
              <w:rPr>
                <w:rFonts w:ascii="宋体" w:hAnsi="宋体" w:cs="宋体" w:eastAsia="宋体" w:hint="default"/>
                <w:sz w:val="18"/>
                <w:szCs w:val="18"/>
              </w:rPr>
            </w:pPr>
            <w:r>
              <w:rPr>
                <w:rFonts w:ascii="宋体" w:hAnsi="宋体" w:cs="宋体" w:eastAsia="宋体" w:hint="default"/>
                <w:b/>
                <w:bCs/>
                <w:sz w:val="18"/>
                <w:szCs w:val="18"/>
              </w:rPr>
              <w:t>限公司</w:t>
            </w:r>
            <w:r>
              <w:rPr>
                <w:rFonts w:ascii="宋体" w:hAnsi="宋体" w:cs="宋体" w:eastAsia="宋体" w:hint="default"/>
                <w:sz w:val="18"/>
                <w:szCs w:val="18"/>
              </w:rPr>
            </w:r>
          </w:p>
        </w:tc>
        <w:tc>
          <w:tcPr>
            <w:tcW w:w="2411" w:type="dxa"/>
            <w:tcBorders>
              <w:top w:val="nil" w:sz="6" w:space="0" w:color="auto"/>
              <w:left w:val="nil" w:sz="6" w:space="0" w:color="auto"/>
              <w:bottom w:val="nil" w:sz="6" w:space="0" w:color="auto"/>
              <w:right w:val="nil" w:sz="6" w:space="0" w:color="auto"/>
            </w:tcBorders>
          </w:tcPr>
          <w:p>
            <w:pPr/>
          </w:p>
        </w:tc>
      </w:tr>
      <w:tr>
        <w:trPr>
          <w:trHeight w:val="332" w:hRule="exact"/>
        </w:trPr>
        <w:tc>
          <w:tcPr>
            <w:tcW w:w="1880" w:type="dxa"/>
            <w:tcBorders>
              <w:top w:val="nil" w:sz="6" w:space="0" w:color="auto"/>
              <w:left w:val="nil" w:sz="6" w:space="0" w:color="auto"/>
              <w:bottom w:val="single" w:sz="4" w:space="0" w:color="000000"/>
              <w:right w:val="nil" w:sz="6" w:space="0" w:color="auto"/>
            </w:tcBorders>
          </w:tcPr>
          <w:p>
            <w:pPr/>
          </w:p>
        </w:tc>
        <w:tc>
          <w:tcPr>
            <w:tcW w:w="2886" w:type="dxa"/>
            <w:vMerge/>
            <w:tcBorders>
              <w:left w:val="nil" w:sz="6" w:space="0" w:color="auto"/>
              <w:bottom w:val="single" w:sz="4" w:space="0" w:color="000000"/>
              <w:right w:val="nil" w:sz="6" w:space="0" w:color="auto"/>
            </w:tcBorders>
          </w:tcPr>
          <w:p>
            <w:pPr/>
          </w:p>
        </w:tc>
        <w:tc>
          <w:tcPr>
            <w:tcW w:w="2682" w:type="dxa"/>
            <w:vMerge/>
            <w:tcBorders>
              <w:left w:val="nil" w:sz="6" w:space="0" w:color="auto"/>
              <w:bottom w:val="single" w:sz="4" w:space="0" w:color="000000"/>
              <w:right w:val="nil" w:sz="6" w:space="0" w:color="auto"/>
            </w:tcBorders>
          </w:tcPr>
          <w:p>
            <w:pPr/>
          </w:p>
        </w:tc>
        <w:tc>
          <w:tcPr>
            <w:tcW w:w="241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18"/>
              <w:jc w:val="right"/>
              <w:rPr>
                <w:rFonts w:ascii="宋体" w:hAnsi="宋体" w:cs="宋体" w:eastAsia="宋体" w:hint="default"/>
                <w:sz w:val="18"/>
                <w:szCs w:val="18"/>
              </w:rPr>
            </w:pPr>
            <w:r>
              <w:rPr>
                <w:rFonts w:ascii="宋体" w:hAnsi="宋体" w:cs="宋体" w:eastAsia="宋体" w:hint="default"/>
                <w:b/>
                <w:bCs/>
                <w:spacing w:val="-2"/>
                <w:sz w:val="18"/>
                <w:szCs w:val="18"/>
              </w:rPr>
              <w:t>北京创闻天下科技有限公司</w:t>
            </w:r>
            <w:r>
              <w:rPr>
                <w:rFonts w:ascii="宋体" w:hAnsi="宋体" w:cs="宋体" w:eastAsia="宋体" w:hint="default"/>
                <w:spacing w:val="-2"/>
                <w:sz w:val="18"/>
                <w:szCs w:val="18"/>
              </w:rPr>
            </w:r>
          </w:p>
        </w:tc>
      </w:tr>
      <w:tr>
        <w:trPr>
          <w:trHeight w:val="436" w:hRule="exact"/>
        </w:trPr>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9"/>
              <w:jc w:val="right"/>
              <w:rPr>
                <w:rFonts w:ascii="宋体" w:hAnsi="宋体" w:cs="宋体" w:eastAsia="宋体" w:hint="default"/>
                <w:sz w:val="18"/>
                <w:szCs w:val="18"/>
              </w:rPr>
            </w:pPr>
            <w:r>
              <w:rPr>
                <w:rFonts w:ascii="宋体"/>
                <w:spacing w:val="-1"/>
                <w:sz w:val="18"/>
              </w:rPr>
              <w:t>3,405,304.93</w:t>
            </w:r>
          </w:p>
        </w:tc>
        <w:tc>
          <w:tcPr>
            <w:tcW w:w="268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13"/>
              <w:jc w:val="right"/>
              <w:rPr>
                <w:rFonts w:ascii="宋体" w:hAnsi="宋体" w:cs="宋体" w:eastAsia="宋体" w:hint="default"/>
                <w:sz w:val="18"/>
                <w:szCs w:val="18"/>
              </w:rPr>
            </w:pPr>
            <w:r>
              <w:rPr>
                <w:rFonts w:ascii="宋体"/>
                <w:spacing w:val="-1"/>
                <w:sz w:val="18"/>
              </w:rPr>
              <w:t>2,414,772.62</w:t>
            </w:r>
          </w:p>
        </w:tc>
        <w:tc>
          <w:tcPr>
            <w:tcW w:w="24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13,461,764.43</w:t>
            </w:r>
          </w:p>
        </w:tc>
      </w:tr>
      <w:tr>
        <w:trPr>
          <w:trHeight w:val="39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715,080.78</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11,439.99</w:t>
            </w:r>
          </w:p>
        </w:tc>
        <w:tc>
          <w:tcPr>
            <w:tcW w:w="2411" w:type="dxa"/>
            <w:tcBorders>
              <w:top w:val="nil" w:sz="6" w:space="0" w:color="auto"/>
              <w:left w:val="nil" w:sz="6" w:space="0" w:color="auto"/>
              <w:bottom w:val="nil" w:sz="6" w:space="0" w:color="auto"/>
              <w:right w:val="nil" w:sz="6" w:space="0" w:color="auto"/>
            </w:tcBorders>
          </w:tcPr>
          <w:p>
            <w:pPr/>
          </w:p>
        </w:tc>
      </w:tr>
      <w:tr>
        <w:trPr>
          <w:trHeight w:val="394"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9"/>
              <w:jc w:val="right"/>
              <w:rPr>
                <w:rFonts w:ascii="宋体" w:hAnsi="宋体" w:cs="宋体" w:eastAsia="宋体" w:hint="default"/>
                <w:sz w:val="18"/>
                <w:szCs w:val="18"/>
              </w:rPr>
            </w:pPr>
            <w:r>
              <w:rPr>
                <w:rFonts w:ascii="宋体"/>
                <w:spacing w:val="-1"/>
                <w:sz w:val="18"/>
              </w:rPr>
              <w:t>4,120,385.71</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宋体" w:hAnsi="宋体" w:cs="宋体" w:eastAsia="宋体" w:hint="default"/>
                <w:sz w:val="18"/>
                <w:szCs w:val="18"/>
              </w:rPr>
            </w:pPr>
            <w:r>
              <w:rPr>
                <w:rFonts w:ascii="宋体"/>
                <w:spacing w:val="-1"/>
                <w:sz w:val="18"/>
              </w:rPr>
              <w:t>2,426,212.61</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13,461,764.43</w:t>
            </w:r>
          </w:p>
        </w:tc>
      </w:tr>
      <w:tr>
        <w:trPr>
          <w:trHeight w:val="39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530,989.04</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106,598.45</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23,196,218.67</w:t>
            </w:r>
          </w:p>
        </w:tc>
      </w:tr>
      <w:tr>
        <w:trPr>
          <w:trHeight w:val="39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624,102.69</w:t>
            </w:r>
          </w:p>
        </w:tc>
        <w:tc>
          <w:tcPr>
            <w:tcW w:w="2682"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
        </w:tc>
      </w:tr>
      <w:tr>
        <w:trPr>
          <w:trHeight w:val="396"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1,155,091.73</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106,598.45</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1"/>
                <w:sz w:val="18"/>
              </w:rPr>
              <w:t>23,196,218.67</w:t>
            </w:r>
          </w:p>
        </w:tc>
      </w:tr>
      <w:tr>
        <w:trPr>
          <w:trHeight w:val="396"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9"/>
              <w:jc w:val="right"/>
              <w:rPr>
                <w:rFonts w:ascii="宋体" w:hAnsi="宋体" w:cs="宋体" w:eastAsia="宋体" w:hint="default"/>
                <w:sz w:val="18"/>
                <w:szCs w:val="18"/>
              </w:rPr>
            </w:pPr>
            <w:r>
              <w:rPr>
                <w:rFonts w:ascii="宋体"/>
                <w:spacing w:val="-1"/>
                <w:sz w:val="18"/>
              </w:rPr>
              <w:t>571,485.37</w:t>
            </w:r>
          </w:p>
        </w:tc>
        <w:tc>
          <w:tcPr>
            <w:tcW w:w="2682" w:type="dxa"/>
            <w:tcBorders>
              <w:top w:val="nil" w:sz="6" w:space="0" w:color="auto"/>
              <w:left w:val="nil" w:sz="6" w:space="0" w:color="auto"/>
              <w:bottom w:val="nil" w:sz="6" w:space="0" w:color="auto"/>
              <w:right w:val="nil" w:sz="6" w:space="0" w:color="auto"/>
            </w:tcBorders>
          </w:tcPr>
          <w:p>
            <w:pP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宋体" w:hAnsi="宋体" w:cs="宋体" w:eastAsia="宋体" w:hint="default"/>
                <w:sz w:val="18"/>
                <w:szCs w:val="18"/>
              </w:rPr>
            </w:pPr>
            <w:r>
              <w:rPr>
                <w:rFonts w:ascii="宋体"/>
                <w:spacing w:val="-1"/>
                <w:sz w:val="18"/>
              </w:rPr>
              <w:t>41,605,862.30</w:t>
            </w:r>
          </w:p>
        </w:tc>
      </w:tr>
      <w:tr>
        <w:trPr>
          <w:trHeight w:val="399"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-435,200.84</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-780,385.84</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2"/>
                <w:sz w:val="18"/>
              </w:rPr>
              <w:t>-12,179,784.74</w:t>
            </w:r>
          </w:p>
        </w:tc>
      </w:tr>
      <w:tr>
        <w:trPr>
          <w:trHeight w:val="39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9"/>
              <w:jc w:val="right"/>
              <w:rPr>
                <w:rFonts w:ascii="宋体" w:hAnsi="宋体" w:cs="宋体" w:eastAsia="宋体" w:hint="default"/>
                <w:sz w:val="18"/>
                <w:szCs w:val="18"/>
              </w:rPr>
            </w:pPr>
            <w:r>
              <w:rPr>
                <w:rFonts w:ascii="宋体"/>
                <w:spacing w:val="-1"/>
                <w:sz w:val="18"/>
              </w:rPr>
              <w:t>-435,200.84</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宋体" w:hAnsi="宋体" w:cs="宋体" w:eastAsia="宋体" w:hint="default"/>
                <w:sz w:val="18"/>
                <w:szCs w:val="18"/>
              </w:rPr>
            </w:pPr>
            <w:r>
              <w:rPr>
                <w:rFonts w:ascii="宋体"/>
                <w:spacing w:val="-1"/>
                <w:sz w:val="18"/>
              </w:rPr>
              <w:t>-780,385.84</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spacing w:val="-2"/>
                <w:sz w:val="18"/>
              </w:rPr>
              <w:t>-12,179,784.74</w:t>
            </w:r>
          </w:p>
        </w:tc>
      </w:tr>
      <w:tr>
        <w:trPr>
          <w:trHeight w:val="295"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8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9"/>
              <w:jc w:val="right"/>
              <w:rPr>
                <w:rFonts w:ascii="宋体" w:hAnsi="宋体" w:cs="宋体" w:eastAsia="宋体" w:hint="default"/>
                <w:sz w:val="18"/>
                <w:szCs w:val="18"/>
              </w:rPr>
            </w:pPr>
            <w:r>
              <w:rPr>
                <w:rFonts w:ascii="宋体"/>
                <w:spacing w:val="-1"/>
                <w:sz w:val="18"/>
              </w:rPr>
              <w:t>-2,633,622.16</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宋体" w:hAnsi="宋体" w:cs="宋体" w:eastAsia="宋体" w:hint="default"/>
                <w:sz w:val="18"/>
                <w:szCs w:val="18"/>
              </w:rPr>
            </w:pPr>
            <w:r>
              <w:rPr>
                <w:rFonts w:ascii="宋体"/>
                <w:spacing w:val="-1"/>
                <w:sz w:val="18"/>
              </w:rPr>
              <w:t>-696,336.25</w:t>
            </w:r>
          </w:p>
        </w:tc>
        <w:tc>
          <w:tcPr>
            <w:tcW w:w="24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-560,887.63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53" w:lineRule="auto"/>
        <w:ind w:left="635" w:right="1118"/>
        <w:jc w:val="left"/>
      </w:pPr>
      <w:bookmarkStart w:name="（二）在子公司的所有者权益份额发生变化且仍控制的子公司的交易" w:id="245"/>
      <w:bookmarkEnd w:id="245"/>
      <w:r>
        <w:rPr/>
      </w:r>
      <w:r>
        <w:rPr>
          <w:spacing w:val="-2"/>
        </w:rPr>
        <w:t>（二）在子公司的所有者权益份额发生变化且仍控制的子公司的交易</w:t>
      </w:r>
      <w:r>
        <w:rPr>
          <w:spacing w:val="-44"/>
        </w:rPr>
        <w:t> </w:t>
      </w:r>
      <w:r>
        <w:rPr>
          <w:spacing w:val="-44"/>
        </w:rPr>
      </w:r>
      <w:r>
        <w:rPr>
          <w:rFonts w:ascii="宋体" w:hAnsi="宋体" w:cs="宋体" w:eastAsia="宋体" w:hint="default"/>
        </w:rPr>
        <w:t>1.</w:t>
      </w:r>
      <w:r>
        <w:rPr/>
        <w:t>在子公司所有者权益份额的变化情况的说明</w:t>
      </w:r>
    </w:p>
    <w:p>
      <w:pPr>
        <w:spacing w:after="0" w:line="453" w:lineRule="auto"/>
        <w:jc w:val="left"/>
        <w:sectPr>
          <w:pgSz w:w="11910" w:h="16840"/>
          <w:pgMar w:header="741" w:footer="979" w:top="1060" w:bottom="1160" w:left="920" w:right="0"/>
        </w:sectPr>
      </w:pPr>
    </w:p>
    <w:p>
      <w:pPr>
        <w:spacing w:line="240" w:lineRule="auto" w:before="4"/>
        <w:rPr>
          <w:rFonts w:ascii="宋体" w:hAnsi="宋体" w:cs="宋体" w:eastAsia="宋体" w:hint="default"/>
          <w:sz w:val="29"/>
          <w:szCs w:val="29"/>
        </w:rPr>
      </w:pPr>
    </w:p>
    <w:p>
      <w:pPr>
        <w:pStyle w:val="BodyText"/>
        <w:spacing w:line="312" w:lineRule="auto" w:before="36"/>
        <w:ind w:left="1133" w:right="1122" w:firstLine="422"/>
        <w:jc w:val="both"/>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47"/>
        </w:rPr>
        <w:t> </w:t>
      </w:r>
      <w:r>
        <w:rPr/>
        <w:t>月向北京创闻汇力文化交流中心（有限合伙）支付</w:t>
      </w:r>
      <w:r>
        <w:rPr>
          <w:spacing w:val="-45"/>
        </w:rPr>
        <w:t> </w:t>
      </w:r>
      <w:r>
        <w:rPr>
          <w:rFonts w:ascii="宋体" w:hAnsi="宋体" w:cs="宋体" w:eastAsia="宋体" w:hint="default"/>
        </w:rPr>
        <w:t>12,500,000.00</w:t>
      </w:r>
      <w:r>
        <w:rPr>
          <w:rFonts w:ascii="宋体" w:hAnsi="宋体" w:cs="宋体" w:eastAsia="宋体" w:hint="default"/>
          <w:spacing w:val="-46"/>
        </w:rPr>
        <w:t> </w:t>
      </w:r>
      <w:r>
        <w:rPr/>
        <w:t>元购买北京创闻天</w:t>
      </w:r>
      <w:r>
        <w:rPr>
          <w:w w:val="100"/>
        </w:rPr>
        <w:t> </w:t>
      </w:r>
      <w:r>
        <w:rPr/>
        <w:t>下科技有限公司少数股东股权 </w:t>
      </w:r>
      <w:r>
        <w:rPr>
          <w:rFonts w:ascii="宋体" w:hAnsi="宋体" w:cs="宋体" w:eastAsia="宋体" w:hint="default"/>
          <w:spacing w:val="-4"/>
        </w:rPr>
        <w:t>12.50%</w:t>
      </w:r>
      <w:r>
        <w:rPr>
          <w:spacing w:val="-4"/>
        </w:rPr>
        <w:t>，本次交易母公司创业黑马科技集团股份有限公司对北京创闻天下科</w:t>
      </w:r>
      <w:r>
        <w:rPr>
          <w:spacing w:val="-84"/>
        </w:rPr>
        <w:t> </w:t>
      </w:r>
      <w:r>
        <w:rPr>
          <w:spacing w:val="-84"/>
        </w:rPr>
      </w:r>
      <w:r>
        <w:rPr/>
        <w:t>技有限公司的持股比例变为</w:t>
      </w:r>
      <w:r>
        <w:rPr>
          <w:spacing w:val="-48"/>
        </w:rPr>
        <w:t> </w:t>
      </w:r>
      <w:r>
        <w:rPr>
          <w:rFonts w:ascii="宋体" w:hAnsi="宋体" w:cs="宋体" w:eastAsia="宋体" w:hint="default"/>
        </w:rPr>
        <w:t>63.70%</w:t>
      </w:r>
      <w:r>
        <w:rPr/>
        <w:t>。</w:t>
      </w:r>
    </w:p>
    <w:p>
      <w:pPr>
        <w:spacing w:line="240" w:lineRule="auto" w:before="3"/>
        <w:rPr>
          <w:rFonts w:ascii="宋体" w:hAnsi="宋体" w:cs="宋体" w:eastAsia="宋体" w:hint="default"/>
          <w:sz w:val="14"/>
          <w:szCs w:val="14"/>
        </w:rPr>
      </w:pPr>
    </w:p>
    <w:p>
      <w:pPr>
        <w:pStyle w:val="BodyText"/>
        <w:spacing w:line="312" w:lineRule="auto"/>
        <w:ind w:left="1133" w:right="1009" w:firstLine="422"/>
        <w:jc w:val="left"/>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2019</w:t>
      </w:r>
      <w:r>
        <w:rPr>
          <w:rFonts w:ascii="宋体" w:hAnsi="宋体" w:cs="宋体" w:eastAsia="宋体" w:hint="default"/>
          <w:spacing w:val="-54"/>
        </w:rPr>
        <w:t> </w:t>
      </w:r>
      <w:r>
        <w:rPr/>
        <w:t>年</w:t>
      </w:r>
      <w:r>
        <w:rPr>
          <w:spacing w:val="-50"/>
        </w:rPr>
        <w:t> </w:t>
      </w:r>
      <w:r>
        <w:rPr>
          <w:rFonts w:ascii="宋体" w:hAnsi="宋体" w:cs="宋体" w:eastAsia="宋体" w:hint="default"/>
        </w:rPr>
        <w:t>6</w:t>
      </w:r>
      <w:r>
        <w:rPr>
          <w:rFonts w:ascii="宋体" w:hAnsi="宋体" w:cs="宋体" w:eastAsia="宋体" w:hint="default"/>
          <w:spacing w:val="-50"/>
        </w:rPr>
        <w:t> </w:t>
      </w:r>
      <w:r>
        <w:rPr/>
        <w:t>月向天津广传汇力企业管理中心</w:t>
      </w:r>
      <w:r>
        <w:rPr>
          <w:rFonts w:ascii="宋体" w:hAnsi="宋体" w:cs="宋体" w:eastAsia="宋体" w:hint="default"/>
        </w:rPr>
        <w:t>(</w:t>
      </w:r>
      <w:r>
        <w:rPr/>
        <w:t>有限合伙</w:t>
      </w:r>
      <w:r>
        <w:rPr>
          <w:rFonts w:ascii="宋体" w:hAnsi="宋体" w:cs="宋体" w:eastAsia="宋体" w:hint="default"/>
        </w:rPr>
        <w:t>)</w:t>
      </w:r>
      <w:r>
        <w:rPr/>
        <w:t>支付</w:t>
      </w:r>
      <w:r>
        <w:rPr>
          <w:spacing w:val="-50"/>
        </w:rPr>
        <w:t> </w:t>
      </w:r>
      <w:r>
        <w:rPr>
          <w:rFonts w:ascii="宋体" w:hAnsi="宋体" w:cs="宋体" w:eastAsia="宋体" w:hint="default"/>
        </w:rPr>
        <w:t>0.00</w:t>
      </w:r>
      <w:r>
        <w:rPr>
          <w:rFonts w:ascii="宋体" w:hAnsi="宋体" w:cs="宋体" w:eastAsia="宋体" w:hint="default"/>
          <w:spacing w:val="-50"/>
        </w:rPr>
        <w:t> </w:t>
      </w:r>
      <w:r>
        <w:rPr>
          <w:spacing w:val="-5"/>
        </w:rPr>
        <w:t>元购买黑马天地（北京）科技有</w:t>
      </w:r>
      <w:r>
        <w:rPr>
          <w:w w:val="100"/>
        </w:rPr>
        <w:t> </w:t>
      </w:r>
      <w:r>
        <w:rPr/>
        <w:t>限公司少数股东股权</w:t>
      </w:r>
      <w:r>
        <w:rPr>
          <w:spacing w:val="-23"/>
        </w:rPr>
        <w:t> </w:t>
      </w:r>
      <w:r>
        <w:rPr>
          <w:rFonts w:ascii="宋体" w:hAnsi="宋体" w:cs="宋体" w:eastAsia="宋体" w:hint="default"/>
        </w:rPr>
        <w:t>49.00%</w:t>
      </w:r>
      <w:r>
        <w:rPr/>
        <w:t>，本次交易完成后母公司创业黑马科技集团股份有限公司对黑马天地（北京）</w:t>
      </w:r>
      <w:r>
        <w:rPr>
          <w:w w:val="100"/>
        </w:rPr>
        <w:t> </w:t>
      </w:r>
      <w:r>
        <w:rPr/>
        <w:t>科技有限公司的持股比例变为</w:t>
      </w:r>
      <w:r>
        <w:rPr>
          <w:spacing w:val="-50"/>
        </w:rPr>
        <w:t> </w:t>
      </w:r>
      <w:r>
        <w:rPr>
          <w:rFonts w:ascii="宋体" w:hAnsi="宋体" w:cs="宋体" w:eastAsia="宋体" w:hint="default"/>
        </w:rPr>
        <w:t>100.00%</w:t>
      </w:r>
      <w:r>
        <w:rPr/>
        <w:t>。</w:t>
      </w:r>
    </w:p>
    <w:p>
      <w:pPr>
        <w:pStyle w:val="BodyText"/>
        <w:spacing w:line="240" w:lineRule="auto" w:before="175"/>
        <w:ind w:left="1555" w:right="1009"/>
        <w:jc w:val="left"/>
      </w:pPr>
      <w:r>
        <w:rPr>
          <w:rFonts w:ascii="宋体" w:hAnsi="宋体" w:cs="宋体" w:eastAsia="宋体" w:hint="default"/>
        </w:rPr>
        <w:t>2.</w:t>
      </w:r>
      <w:r>
        <w:rPr/>
        <w:t>交易对于少数股东权益及归属于母公司所有者权益的影响</w:t>
      </w:r>
    </w:p>
    <w:p>
      <w:pPr>
        <w:spacing w:line="240" w:lineRule="auto" w:before="11"/>
        <w:rPr>
          <w:rFonts w:ascii="宋体" w:hAnsi="宋体" w:cs="宋体" w:eastAsia="宋体" w:hint="default"/>
          <w:sz w:val="26"/>
          <w:szCs w:val="26"/>
        </w:rPr>
      </w:pPr>
    </w:p>
    <w:tbl>
      <w:tblPr>
        <w:tblW w:w="0" w:type="auto"/>
        <w:jc w:val="left"/>
        <w:tblInd w:w="1022" w:type="dxa"/>
        <w:tblLayout w:type="fixed"/>
        <w:tblCellMar>
          <w:top w:w="0" w:type="dxa"/>
          <w:left w:w="0" w:type="dxa"/>
          <w:bottom w:w="0" w:type="dxa"/>
          <w:right w:w="0" w:type="dxa"/>
        </w:tblCellMar>
        <w:tblLook w:val="01E0"/>
      </w:tblPr>
      <w:tblGrid>
        <w:gridCol w:w="3500"/>
        <w:gridCol w:w="3140"/>
        <w:gridCol w:w="3218"/>
      </w:tblGrid>
      <w:tr>
        <w:trPr>
          <w:trHeight w:val="253" w:hRule="exact"/>
        </w:trPr>
        <w:tc>
          <w:tcPr>
            <w:tcW w:w="3500" w:type="dxa"/>
            <w:tcBorders>
              <w:top w:val="nil" w:sz="6" w:space="0" w:color="auto"/>
              <w:left w:val="nil" w:sz="6" w:space="0" w:color="auto"/>
              <w:bottom w:val="single" w:sz="4" w:space="0" w:color="000000"/>
              <w:right w:val="nil" w:sz="6" w:space="0" w:color="auto"/>
            </w:tcBorders>
          </w:tcPr>
          <w:p>
            <w:pPr>
              <w:pStyle w:val="TableParagraph"/>
              <w:spacing w:line="182" w:lineRule="exact"/>
              <w:ind w:left="-1" w:right="19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40" w:type="dxa"/>
            <w:tcBorders>
              <w:top w:val="nil" w:sz="6" w:space="0" w:color="auto"/>
              <w:left w:val="nil" w:sz="6" w:space="0" w:color="auto"/>
              <w:bottom w:val="single" w:sz="4" w:space="0" w:color="000000"/>
              <w:right w:val="nil" w:sz="6" w:space="0" w:color="auto"/>
            </w:tcBorders>
          </w:tcPr>
          <w:p>
            <w:pPr>
              <w:pStyle w:val="TableParagraph"/>
              <w:spacing w:line="182" w:lineRule="exact"/>
              <w:ind w:left="302" w:right="0"/>
              <w:jc w:val="left"/>
              <w:rPr>
                <w:rFonts w:ascii="宋体" w:hAnsi="宋体" w:cs="宋体" w:eastAsia="宋体" w:hint="default"/>
                <w:sz w:val="18"/>
                <w:szCs w:val="18"/>
              </w:rPr>
            </w:pPr>
            <w:r>
              <w:rPr>
                <w:rFonts w:ascii="宋体" w:hAnsi="宋体" w:cs="宋体" w:eastAsia="宋体" w:hint="default"/>
                <w:b/>
                <w:bCs/>
                <w:sz w:val="18"/>
                <w:szCs w:val="18"/>
              </w:rPr>
              <w:t>北京创闻天下科技有限公司</w:t>
            </w:r>
            <w:r>
              <w:rPr>
                <w:rFonts w:ascii="宋体" w:hAnsi="宋体" w:cs="宋体" w:eastAsia="宋体" w:hint="default"/>
                <w:sz w:val="18"/>
                <w:szCs w:val="18"/>
              </w:rPr>
            </w:r>
          </w:p>
        </w:tc>
        <w:tc>
          <w:tcPr>
            <w:tcW w:w="3218" w:type="dxa"/>
            <w:tcBorders>
              <w:top w:val="nil" w:sz="6" w:space="0" w:color="auto"/>
              <w:left w:val="nil" w:sz="6" w:space="0" w:color="auto"/>
              <w:bottom w:val="single" w:sz="4" w:space="0" w:color="000000"/>
              <w:right w:val="nil" w:sz="6" w:space="0" w:color="auto"/>
            </w:tcBorders>
          </w:tcPr>
          <w:p>
            <w:pPr>
              <w:pStyle w:val="TableParagraph"/>
              <w:spacing w:line="182"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黑马天地（北京）科技有限公司</w:t>
            </w:r>
            <w:r>
              <w:rPr>
                <w:rFonts w:ascii="宋体" w:hAnsi="宋体" w:cs="宋体" w:eastAsia="宋体" w:hint="default"/>
                <w:sz w:val="18"/>
                <w:szCs w:val="18"/>
              </w:rPr>
            </w:r>
          </w:p>
        </w:tc>
      </w:tr>
      <w:tr>
        <w:trPr>
          <w:trHeight w:val="446" w:hRule="exact"/>
        </w:trPr>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w:t>
            </w:r>
          </w:p>
        </w:tc>
        <w:tc>
          <w:tcPr>
            <w:tcW w:w="314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62"/>
              <w:jc w:val="right"/>
              <w:rPr>
                <w:rFonts w:ascii="宋体" w:hAnsi="宋体" w:cs="宋体" w:eastAsia="宋体" w:hint="default"/>
                <w:sz w:val="18"/>
                <w:szCs w:val="18"/>
              </w:rPr>
            </w:pPr>
            <w:r>
              <w:rPr>
                <w:rFonts w:ascii="宋体"/>
                <w:spacing w:val="-1"/>
                <w:sz w:val="18"/>
              </w:rPr>
              <w:t>12,500,000.00</w:t>
            </w:r>
          </w:p>
        </w:tc>
        <w:tc>
          <w:tcPr>
            <w:tcW w:w="3218" w:type="dxa"/>
            <w:tcBorders>
              <w:top w:val="single" w:sz="4" w:space="0" w:color="000000"/>
              <w:left w:val="nil" w:sz="6" w:space="0" w:color="auto"/>
              <w:bottom w:val="nil" w:sz="6" w:space="0" w:color="auto"/>
              <w:right w:val="nil" w:sz="6" w:space="0" w:color="auto"/>
            </w:tcBorders>
          </w:tcPr>
          <w:p>
            <w:pPr/>
          </w:p>
        </w:tc>
      </w:tr>
      <w:tr>
        <w:trPr>
          <w:trHeight w:val="399"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2"/>
              <w:jc w:val="right"/>
              <w:rPr>
                <w:rFonts w:ascii="宋体" w:hAnsi="宋体" w:cs="宋体" w:eastAsia="宋体" w:hint="default"/>
                <w:sz w:val="18"/>
                <w:szCs w:val="18"/>
              </w:rPr>
            </w:pPr>
            <w:r>
              <w:rPr>
                <w:rFonts w:ascii="宋体"/>
                <w:spacing w:val="-1"/>
                <w:sz w:val="18"/>
              </w:rPr>
              <w:t>12,500,000.00</w:t>
            </w:r>
          </w:p>
        </w:tc>
        <w:tc>
          <w:tcPr>
            <w:tcW w:w="3218" w:type="dxa"/>
            <w:tcBorders>
              <w:top w:val="nil" w:sz="6" w:space="0" w:color="auto"/>
              <w:left w:val="nil" w:sz="6" w:space="0" w:color="auto"/>
              <w:bottom w:val="nil" w:sz="6" w:space="0" w:color="auto"/>
              <w:right w:val="nil" w:sz="6" w:space="0" w:color="auto"/>
            </w:tcBorders>
          </w:tcPr>
          <w:p>
            <w:pPr/>
          </w:p>
        </w:tc>
      </w:tr>
      <w:tr>
        <w:trPr>
          <w:trHeight w:val="396"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52"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3140" w:type="dxa"/>
            <w:tcBorders>
              <w:top w:val="nil" w:sz="6" w:space="0" w:color="auto"/>
              <w:left w:val="nil" w:sz="6" w:space="0" w:color="auto"/>
              <w:bottom w:val="nil" w:sz="6" w:space="0" w:color="auto"/>
              <w:right w:val="nil" w:sz="6" w:space="0" w:color="auto"/>
            </w:tcBorders>
          </w:tcPr>
          <w:p>
            <w:pPr/>
          </w:p>
        </w:tc>
        <w:tc>
          <w:tcPr>
            <w:tcW w:w="3218" w:type="dxa"/>
            <w:tcBorders>
              <w:top w:val="nil" w:sz="6" w:space="0" w:color="auto"/>
              <w:left w:val="nil" w:sz="6" w:space="0" w:color="auto"/>
              <w:bottom w:val="nil" w:sz="6" w:space="0" w:color="auto"/>
              <w:right w:val="nil" w:sz="6" w:space="0" w:color="auto"/>
            </w:tcBorders>
          </w:tcPr>
          <w:p>
            <w:pPr/>
          </w:p>
        </w:tc>
      </w:tr>
      <w:tr>
        <w:trPr>
          <w:trHeight w:val="386"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处置对价合计</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2"/>
              <w:jc w:val="right"/>
              <w:rPr>
                <w:rFonts w:ascii="宋体" w:hAnsi="宋体" w:cs="宋体" w:eastAsia="宋体" w:hint="default"/>
                <w:sz w:val="18"/>
                <w:szCs w:val="18"/>
              </w:rPr>
            </w:pPr>
            <w:r>
              <w:rPr>
                <w:rFonts w:ascii="宋体"/>
                <w:spacing w:val="-1"/>
                <w:sz w:val="18"/>
              </w:rPr>
              <w:t>12,500,000.00</w:t>
            </w:r>
          </w:p>
        </w:tc>
        <w:tc>
          <w:tcPr>
            <w:tcW w:w="3218" w:type="dxa"/>
            <w:tcBorders>
              <w:top w:val="nil" w:sz="6" w:space="0" w:color="auto"/>
              <w:left w:val="nil" w:sz="6" w:space="0" w:color="auto"/>
              <w:bottom w:val="nil" w:sz="6" w:space="0" w:color="auto"/>
              <w:right w:val="nil" w:sz="6" w:space="0" w:color="auto"/>
            </w:tcBorders>
          </w:tcPr>
          <w:p>
            <w:pPr/>
          </w:p>
        </w:tc>
      </w:tr>
      <w:tr>
        <w:trPr>
          <w:trHeight w:val="739"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300"/>
              <w:jc w:val="left"/>
              <w:rPr>
                <w:rFonts w:ascii="宋体" w:hAnsi="宋体" w:cs="宋体" w:eastAsia="宋体" w:hint="default"/>
                <w:sz w:val="18"/>
                <w:szCs w:val="18"/>
              </w:rPr>
            </w:pPr>
            <w:r>
              <w:rPr>
                <w:rFonts w:ascii="宋体" w:hAnsi="宋体" w:cs="宋体" w:eastAsia="宋体" w:hint="default"/>
                <w:spacing w:val="-6"/>
                <w:w w:val="101"/>
                <w:sz w:val="18"/>
                <w:szCs w:val="18"/>
              </w:rPr>
              <w:t>减：按取得</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处置的股权比例计算的子公</w:t>
            </w:r>
            <w:r>
              <w:rPr>
                <w:rFonts w:ascii="宋体" w:hAnsi="宋体" w:cs="宋体" w:eastAsia="宋体" w:hint="default"/>
                <w:w w:val="101"/>
                <w:sz w:val="18"/>
                <w:szCs w:val="18"/>
              </w:rPr>
              <w:t> </w:t>
            </w:r>
            <w:r>
              <w:rPr>
                <w:rFonts w:ascii="宋体" w:hAnsi="宋体" w:cs="宋体" w:eastAsia="宋体" w:hint="default"/>
                <w:sz w:val="18"/>
                <w:szCs w:val="18"/>
              </w:rPr>
              <w:t>司净资产份额</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62"/>
              <w:jc w:val="right"/>
              <w:rPr>
                <w:rFonts w:ascii="宋体" w:hAnsi="宋体" w:cs="宋体" w:eastAsia="宋体" w:hint="default"/>
                <w:sz w:val="18"/>
                <w:szCs w:val="18"/>
              </w:rPr>
            </w:pPr>
            <w:r>
              <w:rPr>
                <w:rFonts w:ascii="宋体"/>
                <w:spacing w:val="-1"/>
                <w:sz w:val="18"/>
              </w:rPr>
              <w:t>-1,275,823.16</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-2,480,939.33</w:t>
            </w:r>
          </w:p>
        </w:tc>
      </w:tr>
      <w:tr>
        <w:trPr>
          <w:trHeight w:val="389"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2"/>
              <w:jc w:val="right"/>
              <w:rPr>
                <w:rFonts w:ascii="宋体" w:hAnsi="宋体" w:cs="宋体" w:eastAsia="宋体" w:hint="default"/>
                <w:sz w:val="18"/>
                <w:szCs w:val="18"/>
              </w:rPr>
            </w:pPr>
            <w:r>
              <w:rPr>
                <w:rFonts w:ascii="宋体"/>
                <w:spacing w:val="-1"/>
                <w:sz w:val="18"/>
              </w:rPr>
              <w:t>13,775,823.16</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2,480,939.33</w:t>
            </w:r>
          </w:p>
        </w:tc>
      </w:tr>
      <w:tr>
        <w:trPr>
          <w:trHeight w:val="396"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其中：调整资本公积</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2"/>
              <w:jc w:val="right"/>
              <w:rPr>
                <w:rFonts w:ascii="宋体" w:hAnsi="宋体" w:cs="宋体" w:eastAsia="宋体" w:hint="default"/>
                <w:sz w:val="18"/>
                <w:szCs w:val="18"/>
              </w:rPr>
            </w:pPr>
            <w:r>
              <w:rPr>
                <w:rFonts w:ascii="宋体"/>
                <w:spacing w:val="-1"/>
                <w:sz w:val="18"/>
              </w:rPr>
              <w:t>13,775,823.16</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2,480,939.33</w:t>
            </w:r>
          </w:p>
        </w:tc>
      </w:tr>
      <w:tr>
        <w:trPr>
          <w:trHeight w:val="396"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3140" w:type="dxa"/>
            <w:tcBorders>
              <w:top w:val="nil" w:sz="6" w:space="0" w:color="auto"/>
              <w:left w:val="nil" w:sz="6" w:space="0" w:color="auto"/>
              <w:bottom w:val="nil" w:sz="6" w:space="0" w:color="auto"/>
              <w:right w:val="nil" w:sz="6" w:space="0" w:color="auto"/>
            </w:tcBorders>
          </w:tcPr>
          <w:p>
            <w:pPr/>
          </w:p>
        </w:tc>
        <w:tc>
          <w:tcPr>
            <w:tcW w:w="3218" w:type="dxa"/>
            <w:tcBorders>
              <w:top w:val="nil" w:sz="6" w:space="0" w:color="auto"/>
              <w:left w:val="nil" w:sz="6" w:space="0" w:color="auto"/>
              <w:bottom w:val="nil" w:sz="6" w:space="0" w:color="auto"/>
              <w:right w:val="nil" w:sz="6" w:space="0" w:color="auto"/>
            </w:tcBorders>
          </w:tcPr>
          <w:p>
            <w:pPr/>
          </w:p>
        </w:tc>
      </w:tr>
      <w:tr>
        <w:trPr>
          <w:trHeight w:val="290"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调整未分配利润</w:t>
            </w:r>
          </w:p>
        </w:tc>
        <w:tc>
          <w:tcPr>
            <w:tcW w:w="3140" w:type="dxa"/>
            <w:tcBorders>
              <w:top w:val="nil" w:sz="6" w:space="0" w:color="auto"/>
              <w:left w:val="nil" w:sz="6" w:space="0" w:color="auto"/>
              <w:bottom w:val="nil" w:sz="6" w:space="0" w:color="auto"/>
              <w:right w:val="nil" w:sz="6" w:space="0" w:color="auto"/>
            </w:tcBorders>
          </w:tcPr>
          <w:p>
            <w:pPr/>
          </w:p>
        </w:tc>
        <w:tc>
          <w:tcPr>
            <w:tcW w:w="321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453" w:lineRule="auto" w:before="36"/>
        <w:ind w:left="1555" w:right="4296"/>
        <w:jc w:val="left"/>
      </w:pPr>
      <w:bookmarkStart w:name="（三）在合营企业或联营企业中的权益" w:id="246"/>
      <w:bookmarkEnd w:id="246"/>
      <w:r>
        <w:rPr/>
      </w:r>
      <w:r>
        <w:rPr>
          <w:spacing w:val="-1"/>
        </w:rPr>
        <w:t>（三）在合营企业或联营企业中的权益</w:t>
      </w:r>
      <w:r>
        <w:rPr>
          <w:spacing w:val="-83"/>
        </w:rPr>
        <w:t> </w:t>
      </w:r>
      <w:r>
        <w:rPr>
          <w:spacing w:val="-83"/>
        </w:rPr>
      </w:r>
      <w:r>
        <w:rPr>
          <w:rFonts w:ascii="宋体" w:hAnsi="宋体" w:cs="宋体" w:eastAsia="宋体" w:hint="default"/>
        </w:rPr>
        <w:t>1.</w:t>
      </w:r>
      <w:r>
        <w:rPr/>
        <w:t>重要合营企业或联营企业</w:t>
      </w:r>
    </w:p>
    <w:p>
      <w:pPr>
        <w:spacing w:line="240" w:lineRule="auto" w:before="1"/>
        <w:rPr>
          <w:rFonts w:ascii="宋体" w:hAnsi="宋体" w:cs="宋体" w:eastAsia="宋体" w:hint="default"/>
          <w:sz w:val="11"/>
          <w:szCs w:val="11"/>
        </w:rPr>
      </w:pPr>
    </w:p>
    <w:tbl>
      <w:tblPr>
        <w:tblW w:w="0" w:type="auto"/>
        <w:jc w:val="left"/>
        <w:tblInd w:w="9" w:type="dxa"/>
        <w:tblLayout w:type="fixed"/>
        <w:tblCellMar>
          <w:top w:w="0" w:type="dxa"/>
          <w:left w:w="0" w:type="dxa"/>
          <w:bottom w:w="0" w:type="dxa"/>
          <w:right w:w="0" w:type="dxa"/>
        </w:tblCellMar>
        <w:tblLook w:val="01E0"/>
      </w:tblPr>
      <w:tblGrid>
        <w:gridCol w:w="4194"/>
        <w:gridCol w:w="1218"/>
        <w:gridCol w:w="905"/>
        <w:gridCol w:w="2106"/>
        <w:gridCol w:w="946"/>
        <w:gridCol w:w="720"/>
        <w:gridCol w:w="1796"/>
      </w:tblGrid>
      <w:tr>
        <w:trPr>
          <w:trHeight w:val="192" w:hRule="exact"/>
        </w:trPr>
        <w:tc>
          <w:tcPr>
            <w:tcW w:w="419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c>
          <w:tcPr>
            <w:tcW w:w="1666"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left="29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96" w:type="dxa"/>
            <w:vMerge w:val="restart"/>
            <w:tcBorders>
              <w:top w:val="nil" w:sz="6" w:space="0" w:color="auto"/>
              <w:left w:val="nil" w:sz="6" w:space="0" w:color="auto"/>
              <w:right w:val="nil" w:sz="6" w:space="0" w:color="auto"/>
            </w:tcBorders>
          </w:tcPr>
          <w:p>
            <w:pPr>
              <w:pStyle w:val="TableParagraph"/>
              <w:spacing w:line="182"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对合营企业或联营</w:t>
            </w:r>
            <w:r>
              <w:rPr>
                <w:rFonts w:ascii="宋体" w:hAnsi="宋体" w:cs="宋体" w:eastAsia="宋体" w:hint="default"/>
                <w:sz w:val="18"/>
                <w:szCs w:val="18"/>
              </w:rPr>
            </w:r>
          </w:p>
          <w:p>
            <w:pPr>
              <w:pStyle w:val="TableParagraph"/>
              <w:spacing w:line="360" w:lineRule="exact" w:before="46"/>
              <w:ind w:left="638" w:right="156" w:hanging="452"/>
              <w:jc w:val="left"/>
              <w:rPr>
                <w:rFonts w:ascii="宋体" w:hAnsi="宋体" w:cs="宋体" w:eastAsia="宋体" w:hint="default"/>
                <w:sz w:val="18"/>
                <w:szCs w:val="18"/>
              </w:rPr>
            </w:pPr>
            <w:r>
              <w:rPr>
                <w:rFonts w:ascii="宋体" w:hAnsi="宋体" w:cs="宋体" w:eastAsia="宋体" w:hint="default"/>
                <w:b/>
                <w:bCs/>
                <w:spacing w:val="-2"/>
                <w:sz w:val="18"/>
                <w:szCs w:val="18"/>
              </w:rPr>
              <w:t>企业投资的会计处</w:t>
            </w:r>
            <w:r>
              <w:rPr>
                <w:rFonts w:ascii="宋体" w:hAnsi="宋体" w:cs="宋体" w:eastAsia="宋体" w:hint="default"/>
                <w:b/>
                <w:bCs/>
                <w:spacing w:val="-72"/>
                <w:sz w:val="18"/>
                <w:szCs w:val="18"/>
              </w:rPr>
              <w:t> </w:t>
            </w:r>
            <w:r>
              <w:rPr>
                <w:rFonts w:ascii="宋体" w:hAnsi="宋体" w:cs="宋体" w:eastAsia="宋体" w:hint="default"/>
                <w:b/>
                <w:bCs/>
                <w:spacing w:val="-72"/>
                <w:sz w:val="18"/>
                <w:szCs w:val="18"/>
              </w:rPr>
            </w:r>
            <w:r>
              <w:rPr>
                <w:rFonts w:ascii="宋体" w:hAnsi="宋体" w:cs="宋体" w:eastAsia="宋体" w:hint="default"/>
                <w:b/>
                <w:bCs/>
                <w:sz w:val="18"/>
                <w:szCs w:val="18"/>
              </w:rPr>
              <w:t>理方法</w:t>
            </w:r>
            <w:r>
              <w:rPr>
                <w:rFonts w:ascii="宋体" w:hAnsi="宋体" w:cs="宋体" w:eastAsia="宋体" w:hint="default"/>
                <w:sz w:val="18"/>
                <w:szCs w:val="18"/>
              </w:rPr>
            </w:r>
          </w:p>
        </w:tc>
      </w:tr>
      <w:tr>
        <w:trPr>
          <w:trHeight w:val="360" w:hRule="exact"/>
        </w:trPr>
        <w:tc>
          <w:tcPr>
            <w:tcW w:w="4194" w:type="dxa"/>
            <w:vMerge w:val="restart"/>
            <w:tcBorders>
              <w:top w:val="nil" w:sz="6" w:space="0" w:color="auto"/>
              <w:left w:val="nil" w:sz="6" w:space="0" w:color="auto"/>
              <w:right w:val="nil" w:sz="6" w:space="0" w:color="auto"/>
            </w:tcBorders>
          </w:tcPr>
          <w:p>
            <w:pPr>
              <w:pStyle w:val="TableParagraph"/>
              <w:spacing w:line="172" w:lineRule="exact"/>
              <w:ind w:left="156" w:right="0"/>
              <w:jc w:val="center"/>
              <w:rPr>
                <w:rFonts w:ascii="宋体" w:hAnsi="宋体" w:cs="宋体" w:eastAsia="宋体" w:hint="default"/>
                <w:sz w:val="18"/>
                <w:szCs w:val="18"/>
              </w:rPr>
            </w:pPr>
            <w:r>
              <w:rPr>
                <w:rFonts w:ascii="宋体" w:hAnsi="宋体" w:cs="宋体" w:eastAsia="宋体" w:hint="default"/>
                <w:b/>
                <w:bCs/>
                <w:sz w:val="18"/>
                <w:szCs w:val="18"/>
              </w:rPr>
              <w:t>合营企业或联营</w:t>
            </w:r>
            <w:r>
              <w:rPr>
                <w:rFonts w:ascii="宋体" w:hAnsi="宋体" w:cs="宋体" w:eastAsia="宋体" w:hint="default"/>
                <w:sz w:val="18"/>
                <w:szCs w:val="18"/>
              </w:rPr>
            </w:r>
          </w:p>
          <w:p>
            <w:pPr>
              <w:pStyle w:val="TableParagraph"/>
              <w:spacing w:line="240" w:lineRule="auto" w:before="125"/>
              <w:ind w:left="146" w:right="0"/>
              <w:jc w:val="center"/>
              <w:rPr>
                <w:rFonts w:ascii="宋体" w:hAnsi="宋体" w:cs="宋体" w:eastAsia="宋体" w:hint="default"/>
                <w:sz w:val="18"/>
                <w:szCs w:val="18"/>
              </w:rPr>
            </w:pPr>
            <w:r>
              <w:rPr>
                <w:rFonts w:ascii="宋体" w:hAnsi="宋体" w:cs="宋体" w:eastAsia="宋体" w:hint="default"/>
                <w:b/>
                <w:bCs/>
                <w:sz w:val="18"/>
                <w:szCs w:val="18"/>
              </w:rPr>
              <w:t>企业的名称</w:t>
            </w:r>
            <w:r>
              <w:rPr>
                <w:rFonts w:ascii="宋体" w:hAnsi="宋体" w:cs="宋体" w:eastAsia="宋体" w:hint="default"/>
                <w:sz w:val="18"/>
                <w:szCs w:val="18"/>
              </w:rPr>
            </w:r>
          </w:p>
        </w:tc>
        <w:tc>
          <w:tcPr>
            <w:tcW w:w="1218" w:type="dxa"/>
            <w:vMerge w:val="restart"/>
            <w:tcBorders>
              <w:top w:val="nil" w:sz="6" w:space="0" w:color="auto"/>
              <w:left w:val="nil" w:sz="6" w:space="0" w:color="auto"/>
              <w:right w:val="nil" w:sz="6" w:space="0" w:color="auto"/>
            </w:tcBorders>
          </w:tcPr>
          <w:p>
            <w:pPr>
              <w:pStyle w:val="TableParagraph"/>
              <w:spacing w:line="172" w:lineRule="exact"/>
              <w:ind w:left="113" w:right="0"/>
              <w:jc w:val="center"/>
              <w:rPr>
                <w:rFonts w:ascii="宋体" w:hAnsi="宋体" w:cs="宋体" w:eastAsia="宋体" w:hint="default"/>
                <w:sz w:val="18"/>
                <w:szCs w:val="18"/>
              </w:rPr>
            </w:pPr>
            <w:r>
              <w:rPr>
                <w:rFonts w:ascii="宋体" w:hAnsi="宋体" w:cs="宋体" w:eastAsia="宋体" w:hint="default"/>
                <w:b/>
                <w:bCs/>
                <w:sz w:val="18"/>
                <w:szCs w:val="18"/>
              </w:rPr>
              <w:t>主要经营</w:t>
            </w:r>
            <w:r>
              <w:rPr>
                <w:rFonts w:ascii="宋体" w:hAnsi="宋体" w:cs="宋体" w:eastAsia="宋体" w:hint="default"/>
                <w:sz w:val="18"/>
                <w:szCs w:val="18"/>
              </w:rPr>
            </w:r>
          </w:p>
          <w:p>
            <w:pPr>
              <w:pStyle w:val="TableParagraph"/>
              <w:spacing w:line="240" w:lineRule="auto" w:before="125"/>
              <w:ind w:left="103" w:right="0"/>
              <w:jc w:val="center"/>
              <w:rPr>
                <w:rFonts w:ascii="宋体" w:hAnsi="宋体" w:cs="宋体" w:eastAsia="宋体" w:hint="default"/>
                <w:sz w:val="18"/>
                <w:szCs w:val="18"/>
              </w:rPr>
            </w:pPr>
            <w:r>
              <w:rPr>
                <w:rFonts w:ascii="宋体" w:hAnsi="宋体" w:cs="宋体" w:eastAsia="宋体" w:hint="default"/>
                <w:b/>
                <w:bCs/>
                <w:w w:val="100"/>
                <w:sz w:val="18"/>
                <w:szCs w:val="18"/>
              </w:rPr>
              <w:t>地</w:t>
            </w:r>
            <w:r>
              <w:rPr>
                <w:rFonts w:ascii="宋体" w:hAnsi="宋体" w:cs="宋体" w:eastAsia="宋体" w:hint="default"/>
                <w:w w:val="100"/>
                <w:sz w:val="18"/>
                <w:szCs w:val="18"/>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106" w:type="dxa"/>
            <w:vMerge w:val="restart"/>
            <w:tcBorders>
              <w:top w:val="nil" w:sz="6" w:space="0" w:color="auto"/>
              <w:left w:val="nil" w:sz="6" w:space="0" w:color="auto"/>
              <w:right w:val="nil" w:sz="6" w:space="0" w:color="auto"/>
            </w:tcBorders>
          </w:tcPr>
          <w:p>
            <w:pPr>
              <w:pStyle w:val="TableParagraph"/>
              <w:spacing w:line="172" w:lineRule="exact"/>
              <w:ind w:left="156" w:right="0"/>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spacing w:line="240" w:lineRule="auto" w:before="125"/>
              <w:ind w:left="156"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94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796" w:type="dxa"/>
            <w:vMerge/>
            <w:tcBorders>
              <w:left w:val="nil" w:sz="6" w:space="0" w:color="auto"/>
              <w:right w:val="nil" w:sz="6" w:space="0" w:color="auto"/>
            </w:tcBorders>
          </w:tcPr>
          <w:p>
            <w:pPr/>
          </w:p>
        </w:tc>
      </w:tr>
      <w:tr>
        <w:trPr>
          <w:trHeight w:val="402" w:hRule="exact"/>
        </w:trPr>
        <w:tc>
          <w:tcPr>
            <w:tcW w:w="4194" w:type="dxa"/>
            <w:vMerge/>
            <w:tcBorders>
              <w:left w:val="nil" w:sz="6" w:space="0" w:color="auto"/>
              <w:bottom w:val="single" w:sz="4" w:space="0" w:color="000000"/>
              <w:right w:val="nil" w:sz="6" w:space="0" w:color="auto"/>
            </w:tcBorders>
          </w:tcPr>
          <w:p>
            <w:pPr/>
          </w:p>
        </w:tc>
        <w:tc>
          <w:tcPr>
            <w:tcW w:w="1218" w:type="dxa"/>
            <w:vMerge/>
            <w:tcBorders>
              <w:left w:val="nil" w:sz="6" w:space="0" w:color="auto"/>
              <w:bottom w:val="single" w:sz="4" w:space="0" w:color="000000"/>
              <w:right w:val="nil" w:sz="6" w:space="0" w:color="auto"/>
            </w:tcBorders>
          </w:tcPr>
          <w:p>
            <w:pPr/>
          </w:p>
        </w:tc>
        <w:tc>
          <w:tcPr>
            <w:tcW w:w="905" w:type="dxa"/>
            <w:tcBorders>
              <w:top w:val="nil" w:sz="6" w:space="0" w:color="auto"/>
              <w:left w:val="nil" w:sz="6" w:space="0" w:color="auto"/>
              <w:bottom w:val="single" w:sz="4" w:space="0" w:color="000000"/>
              <w:right w:val="nil" w:sz="6" w:space="0" w:color="auto"/>
            </w:tcBorders>
          </w:tcPr>
          <w:p>
            <w:pPr/>
          </w:p>
        </w:tc>
        <w:tc>
          <w:tcPr>
            <w:tcW w:w="2106" w:type="dxa"/>
            <w:vMerge/>
            <w:tcBorders>
              <w:left w:val="nil" w:sz="6" w:space="0" w:color="auto"/>
              <w:bottom w:val="single" w:sz="4" w:space="0" w:color="000000"/>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192"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20" w:type="dxa"/>
            <w:tcBorders>
              <w:top w:val="nil" w:sz="6" w:space="0" w:color="auto"/>
              <w:left w:val="nil" w:sz="6" w:space="0" w:color="auto"/>
              <w:bottom w:val="single" w:sz="4" w:space="0" w:color="000000"/>
              <w:right w:val="nil" w:sz="6" w:space="0" w:color="auto"/>
            </w:tcBorders>
          </w:tcPr>
          <w:p>
            <w:pPr>
              <w:pStyle w:val="TableParagraph"/>
              <w:spacing w:line="192"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796" w:type="dxa"/>
            <w:vMerge/>
            <w:tcBorders>
              <w:left w:val="nil" w:sz="6" w:space="0" w:color="auto"/>
              <w:bottom w:val="single" w:sz="4" w:space="0" w:color="000000"/>
              <w:right w:val="nil" w:sz="6" w:space="0" w:color="auto"/>
            </w:tcBorders>
          </w:tcPr>
          <w:p>
            <w:pPr/>
          </w:p>
        </w:tc>
      </w:tr>
      <w:tr>
        <w:trPr>
          <w:trHeight w:val="446" w:hRule="exact"/>
        </w:trPr>
        <w:tc>
          <w:tcPr>
            <w:tcW w:w="419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218" w:type="dxa"/>
            <w:tcBorders>
              <w:top w:val="single" w:sz="4" w:space="0" w:color="000000"/>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nil" w:sz="6" w:space="0" w:color="auto"/>
              <w:right w:val="nil" w:sz="6" w:space="0" w:color="auto"/>
            </w:tcBorders>
          </w:tcPr>
          <w:p>
            <w:pPr/>
          </w:p>
        </w:tc>
        <w:tc>
          <w:tcPr>
            <w:tcW w:w="2106" w:type="dxa"/>
            <w:tcBorders>
              <w:top w:val="single" w:sz="4" w:space="0" w:color="000000"/>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
        </w:tc>
        <w:tc>
          <w:tcPr>
            <w:tcW w:w="1796" w:type="dxa"/>
            <w:tcBorders>
              <w:top w:val="single" w:sz="4" w:space="0" w:color="000000"/>
              <w:left w:val="nil" w:sz="6" w:space="0" w:color="auto"/>
              <w:bottom w:val="nil" w:sz="6" w:space="0" w:color="auto"/>
              <w:right w:val="nil" w:sz="6" w:space="0" w:color="auto"/>
            </w:tcBorders>
          </w:tcPr>
          <w:p>
            <w:pPr/>
          </w:p>
        </w:tc>
      </w:tr>
      <w:tr>
        <w:trPr>
          <w:trHeight w:val="398"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218"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r>
      <w:tr>
        <w:trPr>
          <w:trHeight w:val="399"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北京天天不上班信息技术有限责任公司</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7"/>
              <w:jc w:val="right"/>
              <w:rPr>
                <w:rFonts w:ascii="宋体" w:hAnsi="宋体" w:cs="宋体" w:eastAsia="宋体" w:hint="default"/>
                <w:sz w:val="18"/>
                <w:szCs w:val="18"/>
              </w:rPr>
            </w:pPr>
            <w:r>
              <w:rPr>
                <w:rFonts w:ascii="宋体" w:hAnsi="宋体" w:cs="宋体" w:eastAsia="宋体" w:hint="default"/>
                <w:sz w:val="18"/>
                <w:szCs w:val="18"/>
              </w:rPr>
              <w:t>北京</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0" w:right="0"/>
              <w:jc w:val="left"/>
              <w:rPr>
                <w:rFonts w:ascii="宋体" w:hAnsi="宋体" w:cs="宋体" w:eastAsia="宋体" w:hint="default"/>
                <w:sz w:val="18"/>
                <w:szCs w:val="18"/>
              </w:rPr>
            </w:pPr>
            <w:r>
              <w:rPr>
                <w:rFonts w:ascii="宋体" w:hAnsi="宋体" w:cs="宋体" w:eastAsia="宋体" w:hint="default"/>
                <w:spacing w:val="-3"/>
                <w:sz w:val="18"/>
                <w:szCs w:val="18"/>
              </w:rPr>
              <w:t>技术开发与咨询</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宋体" w:hAnsi="宋体" w:cs="宋体" w:eastAsia="宋体" w:hint="default"/>
                <w:sz w:val="18"/>
                <w:szCs w:val="18"/>
              </w:rPr>
            </w:pPr>
            <w:r>
              <w:rPr>
                <w:rFonts w:ascii="宋体"/>
                <w:sz w:val="18"/>
              </w:rPr>
              <w:t>5.00</w:t>
            </w:r>
          </w:p>
        </w:tc>
        <w:tc>
          <w:tcPr>
            <w:tcW w:w="720"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96"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上海乂渠品牌管理有限公司</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7"/>
              <w:jc w:val="right"/>
              <w:rPr>
                <w:rFonts w:ascii="宋体" w:hAnsi="宋体" w:cs="宋体" w:eastAsia="宋体" w:hint="default"/>
                <w:sz w:val="18"/>
                <w:szCs w:val="18"/>
              </w:rPr>
            </w:pPr>
            <w:r>
              <w:rPr>
                <w:rFonts w:ascii="宋体" w:hAnsi="宋体" w:cs="宋体" w:eastAsia="宋体" w:hint="default"/>
                <w:sz w:val="18"/>
                <w:szCs w:val="18"/>
              </w:rPr>
              <w:t>上海</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70" w:right="0"/>
              <w:jc w:val="left"/>
              <w:rPr>
                <w:rFonts w:ascii="宋体" w:hAnsi="宋体" w:cs="宋体" w:eastAsia="宋体" w:hint="default"/>
                <w:sz w:val="18"/>
                <w:szCs w:val="18"/>
              </w:rPr>
            </w:pPr>
            <w:r>
              <w:rPr>
                <w:rFonts w:ascii="宋体" w:hAnsi="宋体" w:cs="宋体" w:eastAsia="宋体" w:hint="default"/>
                <w:spacing w:val="-3"/>
                <w:sz w:val="18"/>
                <w:szCs w:val="18"/>
              </w:rPr>
              <w:t>教育行业渠道服务商</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宋体" w:hAnsi="宋体" w:cs="宋体" w:eastAsia="宋体" w:hint="default"/>
                <w:sz w:val="18"/>
                <w:szCs w:val="18"/>
              </w:rPr>
            </w:pPr>
            <w:r>
              <w:rPr>
                <w:rFonts w:ascii="宋体"/>
                <w:sz w:val="18"/>
              </w:rPr>
              <w:t>28.86</w:t>
            </w:r>
          </w:p>
        </w:tc>
        <w:tc>
          <w:tcPr>
            <w:tcW w:w="720"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88" w:hRule="exact"/>
        </w:trPr>
        <w:tc>
          <w:tcPr>
            <w:tcW w:w="419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北京创新黑马投资管理合伙企业（有限合伙）</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7"/>
              <w:jc w:val="right"/>
              <w:rPr>
                <w:rFonts w:ascii="宋体" w:hAnsi="宋体" w:cs="宋体" w:eastAsia="宋体" w:hint="default"/>
                <w:sz w:val="18"/>
                <w:szCs w:val="18"/>
              </w:rPr>
            </w:pPr>
            <w:r>
              <w:rPr>
                <w:rFonts w:ascii="宋体" w:hAnsi="宋体" w:cs="宋体" w:eastAsia="宋体" w:hint="default"/>
                <w:sz w:val="18"/>
                <w:szCs w:val="18"/>
              </w:rPr>
              <w:t>北京</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6"/>
              <w:jc w:val="right"/>
              <w:rPr>
                <w:rFonts w:ascii="宋体" w:hAnsi="宋体" w:cs="宋体" w:eastAsia="宋体" w:hint="default"/>
                <w:sz w:val="18"/>
                <w:szCs w:val="18"/>
              </w:rPr>
            </w:pPr>
            <w:r>
              <w:rPr>
                <w:rFonts w:ascii="宋体"/>
                <w:sz w:val="18"/>
              </w:rPr>
              <w:t>25.00</w:t>
            </w:r>
          </w:p>
        </w:tc>
        <w:tc>
          <w:tcPr>
            <w:tcW w:w="720"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448" w:lineRule="auto" w:before="36"/>
        <w:ind w:left="1555" w:right="7024"/>
        <w:jc w:val="left"/>
      </w:pPr>
      <w:r>
        <w:rPr>
          <w:rFonts w:ascii="宋体" w:hAnsi="宋体" w:cs="宋体" w:eastAsia="宋体" w:hint="default"/>
          <w:spacing w:val="-1"/>
        </w:rPr>
        <w:t>2.</w:t>
      </w:r>
      <w:r>
        <w:rPr>
          <w:spacing w:val="-1"/>
        </w:rPr>
        <w:t>重要合营企业的主要财务信息</w:t>
      </w:r>
      <w:r>
        <w:rPr>
          <w:spacing w:val="-89"/>
        </w:rPr>
        <w:t> </w:t>
      </w:r>
      <w:r>
        <w:rPr>
          <w:spacing w:val="-89"/>
        </w:rPr>
      </w:r>
      <w:r>
        <w:rPr/>
        <w:t>无。</w:t>
      </w:r>
    </w:p>
    <w:p>
      <w:pPr>
        <w:spacing w:after="0" w:line="448" w:lineRule="auto"/>
        <w:jc w:val="left"/>
        <w:sectPr>
          <w:pgSz w:w="11910" w:h="16840"/>
          <w:pgMar w:header="741" w:footer="979" w:top="1060" w:bottom="1160" w:left="0" w:right="0"/>
        </w:sectPr>
      </w:pPr>
    </w:p>
    <w:p>
      <w:pPr>
        <w:spacing w:line="240" w:lineRule="auto" w:before="12"/>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4599"/>
        <w:gridCol w:w="5259"/>
      </w:tblGrid>
      <w:tr>
        <w:trPr>
          <w:trHeight w:val="854"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重要联营企业的主要财务信息</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031"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r>
      <w:tr>
        <w:trPr>
          <w:trHeight w:val="190"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192" w:lineRule="exact"/>
              <w:ind w:left="6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259" w:type="dxa"/>
            <w:tcBorders>
              <w:top w:val="nil" w:sz="6" w:space="0" w:color="auto"/>
              <w:left w:val="nil" w:sz="6" w:space="0" w:color="auto"/>
              <w:bottom w:val="nil" w:sz="6" w:space="0" w:color="auto"/>
              <w:right w:val="nil" w:sz="6" w:space="0" w:color="auto"/>
            </w:tcBorders>
          </w:tcPr>
          <w:p>
            <w:pPr/>
          </w:p>
        </w:tc>
      </w:tr>
      <w:tr>
        <w:trPr>
          <w:trHeight w:val="270" w:hRule="exact"/>
        </w:trPr>
        <w:tc>
          <w:tcPr>
            <w:tcW w:w="4599" w:type="dxa"/>
            <w:tcBorders>
              <w:top w:val="nil" w:sz="6" w:space="0" w:color="auto"/>
              <w:left w:val="nil" w:sz="6" w:space="0" w:color="auto"/>
              <w:bottom w:val="single" w:sz="4" w:space="0" w:color="000000"/>
              <w:right w:val="nil" w:sz="6" w:space="0" w:color="auto"/>
            </w:tcBorders>
          </w:tcPr>
          <w:p>
            <w:pPr/>
          </w:p>
        </w:tc>
        <w:tc>
          <w:tcPr>
            <w:tcW w:w="5259" w:type="dxa"/>
            <w:tcBorders>
              <w:top w:val="nil" w:sz="6" w:space="0" w:color="auto"/>
              <w:left w:val="nil" w:sz="6" w:space="0" w:color="auto"/>
              <w:bottom w:val="single" w:sz="4" w:space="0" w:color="000000"/>
              <w:right w:val="nil" w:sz="6" w:space="0" w:color="auto"/>
            </w:tcBorders>
          </w:tcPr>
          <w:p>
            <w:pPr>
              <w:pStyle w:val="TableParagraph"/>
              <w:spacing w:line="180" w:lineRule="exact"/>
              <w:ind w:left="1124" w:right="0"/>
              <w:jc w:val="left"/>
              <w:rPr>
                <w:rFonts w:ascii="宋体" w:hAnsi="宋体" w:cs="宋体" w:eastAsia="宋体" w:hint="default"/>
                <w:sz w:val="18"/>
                <w:szCs w:val="18"/>
              </w:rPr>
            </w:pPr>
            <w:r>
              <w:rPr>
                <w:rFonts w:ascii="宋体" w:hAnsi="宋体" w:cs="宋体" w:eastAsia="宋体" w:hint="default"/>
                <w:b/>
                <w:bCs/>
                <w:sz w:val="18"/>
                <w:szCs w:val="18"/>
              </w:rPr>
              <w:t>北京创新黑马投资管理合伙企业（有限合伙）</w:t>
            </w:r>
            <w:r>
              <w:rPr>
                <w:rFonts w:ascii="宋体" w:hAnsi="宋体" w:cs="宋体" w:eastAsia="宋体" w:hint="default"/>
                <w:sz w:val="18"/>
                <w:szCs w:val="18"/>
              </w:rPr>
            </w:r>
          </w:p>
        </w:tc>
      </w:tr>
      <w:tr>
        <w:trPr>
          <w:trHeight w:val="436" w:hRule="exact"/>
        </w:trPr>
        <w:tc>
          <w:tcPr>
            <w:tcW w:w="45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25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584" w:right="0"/>
              <w:jc w:val="left"/>
              <w:rPr>
                <w:rFonts w:ascii="宋体" w:hAnsi="宋体" w:cs="宋体" w:eastAsia="宋体" w:hint="default"/>
                <w:sz w:val="18"/>
                <w:szCs w:val="18"/>
              </w:rPr>
            </w:pPr>
            <w:r>
              <w:rPr>
                <w:rFonts w:ascii="宋体"/>
                <w:sz w:val="18"/>
              </w:rPr>
              <w:t>97,708,308.43</w:t>
            </w:r>
          </w:p>
        </w:tc>
      </w:tr>
      <w:tr>
        <w:trPr>
          <w:trHeight w:val="396"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84" w:right="0"/>
              <w:jc w:val="left"/>
              <w:rPr>
                <w:rFonts w:ascii="宋体" w:hAnsi="宋体" w:cs="宋体" w:eastAsia="宋体" w:hint="default"/>
                <w:sz w:val="18"/>
                <w:szCs w:val="18"/>
              </w:rPr>
            </w:pPr>
            <w:r>
              <w:rPr>
                <w:rFonts w:ascii="宋体"/>
                <w:sz w:val="18"/>
              </w:rPr>
              <w:t>20,000,000.00</w:t>
            </w:r>
          </w:p>
        </w:tc>
      </w:tr>
      <w:tr>
        <w:trPr>
          <w:trHeight w:val="396"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497" w:right="0"/>
              <w:jc w:val="left"/>
              <w:rPr>
                <w:rFonts w:ascii="宋体" w:hAnsi="宋体" w:cs="宋体" w:eastAsia="宋体" w:hint="default"/>
                <w:sz w:val="18"/>
                <w:szCs w:val="18"/>
              </w:rPr>
            </w:pPr>
            <w:r>
              <w:rPr>
                <w:rFonts w:ascii="宋体"/>
                <w:sz w:val="18"/>
              </w:rPr>
              <w:t>117,708,308.43</w:t>
            </w:r>
          </w:p>
        </w:tc>
      </w:tr>
      <w:tr>
        <w:trPr>
          <w:trHeight w:val="399"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35" w:right="0"/>
              <w:jc w:val="left"/>
              <w:rPr>
                <w:rFonts w:ascii="宋体" w:hAnsi="宋体" w:cs="宋体" w:eastAsia="宋体" w:hint="default"/>
                <w:sz w:val="18"/>
                <w:szCs w:val="18"/>
              </w:rPr>
            </w:pPr>
            <w:r>
              <w:rPr>
                <w:rFonts w:ascii="宋体"/>
                <w:sz w:val="18"/>
              </w:rPr>
              <w:t>5,095.89</w:t>
            </w:r>
          </w:p>
        </w:tc>
      </w:tr>
      <w:tr>
        <w:trPr>
          <w:trHeight w:val="389"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259" w:type="dxa"/>
            <w:tcBorders>
              <w:top w:val="nil" w:sz="6" w:space="0" w:color="auto"/>
              <w:left w:val="nil" w:sz="6" w:space="0" w:color="auto"/>
              <w:bottom w:val="nil" w:sz="6" w:space="0" w:color="auto"/>
              <w:right w:val="nil" w:sz="6" w:space="0" w:color="auto"/>
            </w:tcBorders>
          </w:tcPr>
          <w:p>
            <w:pPr/>
          </w:p>
        </w:tc>
      </w:tr>
      <w:tr>
        <w:trPr>
          <w:trHeight w:val="403"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035" w:right="0"/>
              <w:jc w:val="left"/>
              <w:rPr>
                <w:rFonts w:ascii="宋体" w:hAnsi="宋体" w:cs="宋体" w:eastAsia="宋体" w:hint="default"/>
                <w:sz w:val="18"/>
                <w:szCs w:val="18"/>
              </w:rPr>
            </w:pPr>
            <w:r>
              <w:rPr>
                <w:rFonts w:ascii="宋体"/>
                <w:sz w:val="18"/>
              </w:rPr>
              <w:t>5,095.89</w:t>
            </w:r>
          </w:p>
        </w:tc>
      </w:tr>
      <w:tr>
        <w:trPr>
          <w:trHeight w:val="398"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按持股比例计算的净资产份额</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84" w:right="0"/>
              <w:jc w:val="left"/>
              <w:rPr>
                <w:rFonts w:ascii="宋体" w:hAnsi="宋体" w:cs="宋体" w:eastAsia="宋体" w:hint="default"/>
                <w:sz w:val="18"/>
                <w:szCs w:val="18"/>
              </w:rPr>
            </w:pPr>
            <w:r>
              <w:rPr>
                <w:rFonts w:ascii="宋体"/>
                <w:sz w:val="18"/>
              </w:rPr>
              <w:t>29,425,803.14</w:t>
            </w:r>
          </w:p>
        </w:tc>
      </w:tr>
      <w:tr>
        <w:trPr>
          <w:trHeight w:val="389"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5259" w:type="dxa"/>
            <w:tcBorders>
              <w:top w:val="nil" w:sz="6" w:space="0" w:color="auto"/>
              <w:left w:val="nil" w:sz="6" w:space="0" w:color="auto"/>
              <w:bottom w:val="nil" w:sz="6" w:space="0" w:color="auto"/>
              <w:right w:val="nil" w:sz="6" w:space="0" w:color="auto"/>
            </w:tcBorders>
          </w:tcPr>
          <w:p>
            <w:pPr/>
          </w:p>
        </w:tc>
      </w:tr>
      <w:tr>
        <w:trPr>
          <w:trHeight w:val="396"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259" w:type="dxa"/>
            <w:tcBorders>
              <w:top w:val="nil" w:sz="6" w:space="0" w:color="auto"/>
              <w:left w:val="nil" w:sz="6" w:space="0" w:color="auto"/>
              <w:bottom w:val="nil" w:sz="6" w:space="0" w:color="auto"/>
              <w:right w:val="nil" w:sz="6" w:space="0" w:color="auto"/>
            </w:tcBorders>
          </w:tcPr>
          <w:p>
            <w:pPr/>
          </w:p>
        </w:tc>
      </w:tr>
      <w:tr>
        <w:trPr>
          <w:trHeight w:val="396"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5259" w:type="dxa"/>
            <w:tcBorders>
              <w:top w:val="nil" w:sz="6" w:space="0" w:color="auto"/>
              <w:left w:val="nil" w:sz="6" w:space="0" w:color="auto"/>
              <w:bottom w:val="nil" w:sz="6" w:space="0" w:color="auto"/>
              <w:right w:val="nil" w:sz="6" w:space="0" w:color="auto"/>
            </w:tcBorders>
          </w:tcPr>
          <w:p>
            <w:pPr/>
          </w:p>
        </w:tc>
      </w:tr>
      <w:tr>
        <w:trPr>
          <w:trHeight w:val="398"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259" w:type="dxa"/>
            <w:tcBorders>
              <w:top w:val="nil" w:sz="6" w:space="0" w:color="auto"/>
              <w:left w:val="nil" w:sz="6" w:space="0" w:color="auto"/>
              <w:bottom w:val="nil" w:sz="6" w:space="0" w:color="auto"/>
              <w:right w:val="nil" w:sz="6" w:space="0" w:color="auto"/>
            </w:tcBorders>
          </w:tcPr>
          <w:p>
            <w:pPr/>
          </w:p>
        </w:tc>
      </w:tr>
      <w:tr>
        <w:trPr>
          <w:trHeight w:val="408"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对联营企业权益投资的账面价值</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584" w:right="0"/>
              <w:jc w:val="left"/>
              <w:rPr>
                <w:rFonts w:ascii="宋体" w:hAnsi="宋体" w:cs="宋体" w:eastAsia="宋体" w:hint="default"/>
                <w:sz w:val="18"/>
                <w:szCs w:val="18"/>
              </w:rPr>
            </w:pPr>
            <w:r>
              <w:rPr>
                <w:rFonts w:ascii="宋体"/>
                <w:sz w:val="18"/>
              </w:rPr>
              <w:t>29,425,803.14</w:t>
            </w:r>
          </w:p>
        </w:tc>
      </w:tr>
      <w:tr>
        <w:trPr>
          <w:trHeight w:val="394"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存在公开报价的联营权益投资的公允价值</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01"/>
              <w:jc w:val="right"/>
              <w:rPr>
                <w:rFonts w:ascii="宋体" w:hAnsi="宋体" w:cs="宋体" w:eastAsia="宋体" w:hint="default"/>
                <w:sz w:val="18"/>
                <w:szCs w:val="18"/>
              </w:rPr>
            </w:pPr>
            <w:r>
              <w:rPr>
                <w:rFonts w:ascii="宋体"/>
                <w:w w:val="101"/>
                <w:sz w:val="18"/>
              </w:rPr>
              <w:t>/</w:t>
            </w:r>
            <w:r>
              <w:rPr>
                <w:rFonts w:ascii="宋体"/>
                <w:sz w:val="18"/>
              </w:rPr>
            </w:r>
          </w:p>
        </w:tc>
      </w:tr>
      <w:tr>
        <w:trPr>
          <w:trHeight w:val="389"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5259" w:type="dxa"/>
            <w:tcBorders>
              <w:top w:val="nil" w:sz="6" w:space="0" w:color="auto"/>
              <w:left w:val="nil" w:sz="6" w:space="0" w:color="auto"/>
              <w:bottom w:val="nil" w:sz="6" w:space="0" w:color="auto"/>
              <w:right w:val="nil" w:sz="6" w:space="0" w:color="auto"/>
            </w:tcBorders>
          </w:tcPr>
          <w:p>
            <w:pPr/>
          </w:p>
        </w:tc>
      </w:tr>
      <w:tr>
        <w:trPr>
          <w:trHeight w:val="408"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584" w:right="0"/>
              <w:jc w:val="left"/>
              <w:rPr>
                <w:rFonts w:ascii="宋体" w:hAnsi="宋体" w:cs="宋体" w:eastAsia="宋体" w:hint="default"/>
                <w:sz w:val="18"/>
                <w:szCs w:val="18"/>
              </w:rPr>
            </w:pPr>
            <w:r>
              <w:rPr>
                <w:rFonts w:ascii="宋体"/>
                <w:sz w:val="18"/>
              </w:rPr>
              <w:t>-2,296,787.46</w:t>
            </w:r>
          </w:p>
        </w:tc>
      </w:tr>
      <w:tr>
        <w:trPr>
          <w:trHeight w:val="387"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5259" w:type="dxa"/>
            <w:tcBorders>
              <w:top w:val="nil" w:sz="6" w:space="0" w:color="auto"/>
              <w:left w:val="nil" w:sz="6" w:space="0" w:color="auto"/>
              <w:bottom w:val="nil" w:sz="6" w:space="0" w:color="auto"/>
              <w:right w:val="nil" w:sz="6" w:space="0" w:color="auto"/>
            </w:tcBorders>
          </w:tcPr>
          <w:p>
            <w:pPr/>
          </w:p>
        </w:tc>
      </w:tr>
      <w:tr>
        <w:trPr>
          <w:trHeight w:val="396"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259" w:type="dxa"/>
            <w:tcBorders>
              <w:top w:val="nil" w:sz="6" w:space="0" w:color="auto"/>
              <w:left w:val="nil" w:sz="6" w:space="0" w:color="auto"/>
              <w:bottom w:val="nil" w:sz="6" w:space="0" w:color="auto"/>
              <w:right w:val="nil" w:sz="6" w:space="0" w:color="auto"/>
            </w:tcBorders>
          </w:tcPr>
          <w:p>
            <w:pPr/>
          </w:p>
        </w:tc>
      </w:tr>
      <w:tr>
        <w:trPr>
          <w:trHeight w:val="408"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52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584" w:right="0"/>
              <w:jc w:val="left"/>
              <w:rPr>
                <w:rFonts w:ascii="宋体" w:hAnsi="宋体" w:cs="宋体" w:eastAsia="宋体" w:hint="default"/>
                <w:sz w:val="18"/>
                <w:szCs w:val="18"/>
              </w:rPr>
            </w:pPr>
            <w:r>
              <w:rPr>
                <w:rFonts w:ascii="宋体"/>
                <w:sz w:val="18"/>
              </w:rPr>
              <w:t>-2,296,787.46</w:t>
            </w:r>
          </w:p>
        </w:tc>
      </w:tr>
      <w:tr>
        <w:trPr>
          <w:trHeight w:val="381" w:hRule="exact"/>
        </w:trPr>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本年度收到的来自联营企业的股利</w:t>
            </w:r>
          </w:p>
        </w:tc>
        <w:tc>
          <w:tcPr>
            <w:tcW w:w="5259"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0"/>
          <w:szCs w:val="20"/>
        </w:rPr>
      </w:pPr>
    </w:p>
    <w:p>
      <w:pPr>
        <w:pStyle w:val="Heading2"/>
        <w:spacing w:line="240" w:lineRule="auto" w:before="26"/>
        <w:ind w:left="693" w:right="1118"/>
        <w:jc w:val="left"/>
        <w:rPr>
          <w:rFonts w:ascii="黑体" w:hAnsi="黑体" w:cs="黑体" w:eastAsia="黑体" w:hint="default"/>
          <w:b w:val="0"/>
          <w:bCs w:val="0"/>
        </w:rPr>
      </w:pPr>
      <w:bookmarkStart w:name="九、与金融工具相关的风险" w:id="247"/>
      <w:bookmarkEnd w:id="247"/>
      <w:r>
        <w:rPr>
          <w:b w:val="0"/>
          <w:bCs w:val="0"/>
        </w:rPr>
      </w:r>
      <w:r>
        <w:rPr>
          <w:rFonts w:ascii="黑体" w:hAnsi="黑体" w:cs="黑体" w:eastAsia="黑体" w:hint="default"/>
        </w:rPr>
        <w:t>九、与金融工具相关的风险</w:t>
      </w:r>
      <w:r>
        <w:rPr>
          <w:rFonts w:ascii="黑体" w:hAnsi="黑体" w:cs="黑体" w:eastAsia="黑体" w:hint="default"/>
          <w:b w:val="0"/>
          <w:bCs w:val="0"/>
        </w:rPr>
      </w:r>
    </w:p>
    <w:p>
      <w:pPr>
        <w:spacing w:line="240" w:lineRule="auto" w:before="1"/>
        <w:rPr>
          <w:rFonts w:ascii="黑体" w:hAnsi="黑体" w:cs="黑体" w:eastAsia="黑体" w:hint="default"/>
          <w:b/>
          <w:bCs/>
          <w:sz w:val="30"/>
          <w:szCs w:val="30"/>
        </w:rPr>
      </w:pPr>
    </w:p>
    <w:p>
      <w:pPr>
        <w:pStyle w:val="BodyText"/>
        <w:spacing w:line="314" w:lineRule="auto"/>
        <w:ind w:left="213" w:right="1120" w:firstLine="422"/>
        <w:jc w:val="both"/>
      </w:pPr>
      <w:r>
        <w:rPr>
          <w:spacing w:val="-2"/>
        </w:rPr>
        <w:t>本公司在经营活动中面临各种金融风险，主要包括信用风险、市场风险和流动性风险。公司董事会全</w:t>
      </w:r>
      <w:r>
        <w:rPr>
          <w:w w:val="100"/>
        </w:rPr>
        <w:t> </w:t>
      </w:r>
      <w:r>
        <w:rPr>
          <w:spacing w:val="-2"/>
        </w:rPr>
        <w:t>面负责风险管理目标和政策的确定，并对风险管理目标和政策承担最终责任。本公司管理层负责设计和实</w:t>
      </w:r>
      <w:r>
        <w:rPr>
          <w:spacing w:val="-30"/>
        </w:rPr>
        <w:t> </w:t>
      </w:r>
      <w:r>
        <w:rPr>
          <w:spacing w:val="-30"/>
        </w:rPr>
      </w:r>
      <w:r>
        <w:rPr>
          <w:spacing w:val="-2"/>
        </w:rPr>
        <w:t>施能确保风险管理目标和政策得以有效执行的程序。本公司风险管理的总体目标是在保证公司必要竞争力</w:t>
      </w:r>
      <w:r>
        <w:rPr>
          <w:spacing w:val="-33"/>
        </w:rPr>
        <w:t> </w:t>
      </w:r>
      <w:r>
        <w:rPr>
          <w:spacing w:val="-33"/>
        </w:rPr>
      </w:r>
      <w:r>
        <w:rPr>
          <w:spacing w:val="-2"/>
        </w:rPr>
        <w:t>和应变力的情况下，制定尽可能降低金融工具风险的风险管理政策。本公司的金融工具导致的主要风险是</w:t>
      </w:r>
      <w:r>
        <w:rPr>
          <w:spacing w:val="-33"/>
        </w:rPr>
        <w:t> </w:t>
      </w:r>
      <w:r>
        <w:rPr>
          <w:spacing w:val="-33"/>
        </w:rPr>
      </w:r>
      <w:r>
        <w:rPr/>
        <w:t>信用风险、流动性风险及市场风险。</w:t>
      </w:r>
    </w:p>
    <w:p>
      <w:pPr>
        <w:pStyle w:val="BodyText"/>
        <w:spacing w:line="448" w:lineRule="auto" w:before="178"/>
        <w:ind w:left="635" w:right="5495"/>
        <w:jc w:val="left"/>
      </w:pPr>
      <w:bookmarkStart w:name="（一）金融工具分类" w:id="248"/>
      <w:bookmarkEnd w:id="248"/>
      <w:r>
        <w:rPr/>
      </w:r>
      <w:r>
        <w:rPr/>
        <w:t>（一）金融工具分类</w:t>
      </w:r>
      <w:r>
        <w:rPr>
          <w:spacing w:val="-100"/>
        </w:rPr>
        <w:t> </w:t>
      </w:r>
      <w:r>
        <w:rPr>
          <w:spacing w:val="-100"/>
        </w:rPr>
      </w:r>
      <w:r>
        <w:rPr>
          <w:rFonts w:ascii="宋体" w:hAnsi="宋体" w:cs="宋体" w:eastAsia="宋体" w:hint="default"/>
          <w:spacing w:val="-1"/>
        </w:rPr>
        <w:t>1.</w:t>
      </w:r>
      <w:r>
        <w:rPr>
          <w:spacing w:val="-1"/>
        </w:rPr>
        <w:t>资产负债表日的各类金融资产的账面价值</w:t>
      </w:r>
    </w:p>
    <w:p>
      <w:pPr>
        <w:pStyle w:val="BodyText"/>
        <w:spacing w:line="240" w:lineRule="auto" w:before="61"/>
        <w:ind w:left="635" w:right="1118"/>
        <w:jc w:val="left"/>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p>
    <w:p>
      <w:pPr>
        <w:spacing w:after="0" w:line="240" w:lineRule="auto"/>
        <w:jc w:val="left"/>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2224"/>
        <w:gridCol w:w="1933"/>
        <w:gridCol w:w="2384"/>
        <w:gridCol w:w="2876"/>
        <w:gridCol w:w="178"/>
        <w:gridCol w:w="1085"/>
      </w:tblGrid>
      <w:tr>
        <w:trPr>
          <w:trHeight w:val="594" w:hRule="exact"/>
        </w:trPr>
        <w:tc>
          <w:tcPr>
            <w:tcW w:w="2224"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734"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933" w:type="dxa"/>
            <w:tcBorders>
              <w:top w:val="nil" w:sz="6" w:space="0" w:color="auto"/>
              <w:left w:val="nil" w:sz="6" w:space="0" w:color="auto"/>
              <w:bottom w:val="single" w:sz="4" w:space="0" w:color="000000"/>
              <w:right w:val="nil" w:sz="6" w:space="0" w:color="auto"/>
            </w:tcBorders>
          </w:tcPr>
          <w:p>
            <w:pPr>
              <w:pStyle w:val="TableParagraph"/>
              <w:spacing w:line="182" w:lineRule="exact"/>
              <w:ind w:left="314" w:right="0"/>
              <w:jc w:val="center"/>
              <w:rPr>
                <w:rFonts w:ascii="宋体" w:hAnsi="宋体" w:cs="宋体" w:eastAsia="宋体" w:hint="default"/>
                <w:sz w:val="18"/>
                <w:szCs w:val="18"/>
              </w:rPr>
            </w:pPr>
            <w:r>
              <w:rPr>
                <w:rFonts w:ascii="宋体" w:hAnsi="宋体" w:cs="宋体" w:eastAsia="宋体" w:hint="default"/>
                <w:b/>
                <w:bCs/>
                <w:sz w:val="18"/>
                <w:szCs w:val="18"/>
              </w:rPr>
              <w:t>以摊余成本计量的</w:t>
            </w:r>
            <w:r>
              <w:rPr>
                <w:rFonts w:ascii="宋体" w:hAnsi="宋体" w:cs="宋体" w:eastAsia="宋体" w:hint="default"/>
                <w:sz w:val="18"/>
                <w:szCs w:val="18"/>
              </w:rPr>
            </w:r>
          </w:p>
          <w:p>
            <w:pPr>
              <w:pStyle w:val="TableParagraph"/>
              <w:spacing w:line="240" w:lineRule="auto" w:before="124"/>
              <w:ind w:left="314" w:right="0"/>
              <w:jc w:val="center"/>
              <w:rPr>
                <w:rFonts w:ascii="宋体" w:hAnsi="宋体" w:cs="宋体" w:eastAsia="宋体" w:hint="default"/>
                <w:sz w:val="18"/>
                <w:szCs w:val="18"/>
              </w:rPr>
            </w:pPr>
            <w:r>
              <w:rPr>
                <w:rFonts w:ascii="宋体" w:hAnsi="宋体" w:cs="宋体" w:eastAsia="宋体" w:hint="default"/>
                <w:b/>
                <w:bCs/>
                <w:sz w:val="18"/>
                <w:szCs w:val="18"/>
              </w:rPr>
              <w:t>金融资产</w:t>
            </w:r>
            <w:r>
              <w:rPr>
                <w:rFonts w:ascii="宋体" w:hAnsi="宋体" w:cs="宋体" w:eastAsia="宋体" w:hint="default"/>
                <w:sz w:val="18"/>
                <w:szCs w:val="18"/>
              </w:rPr>
            </w:r>
          </w:p>
        </w:tc>
        <w:tc>
          <w:tcPr>
            <w:tcW w:w="2384" w:type="dxa"/>
            <w:tcBorders>
              <w:top w:val="nil" w:sz="6" w:space="0" w:color="auto"/>
              <w:left w:val="nil" w:sz="6" w:space="0" w:color="auto"/>
              <w:bottom w:val="single" w:sz="4" w:space="0" w:color="000000"/>
              <w:right w:val="nil" w:sz="6" w:space="0" w:color="auto"/>
            </w:tcBorders>
          </w:tcPr>
          <w:p>
            <w:pPr>
              <w:pStyle w:val="TableParagraph"/>
              <w:spacing w:line="182" w:lineRule="exact"/>
              <w:ind w:right="15"/>
              <w:jc w:val="center"/>
              <w:rPr>
                <w:rFonts w:ascii="宋体" w:hAnsi="宋体" w:cs="宋体" w:eastAsia="宋体" w:hint="default"/>
                <w:sz w:val="18"/>
                <w:szCs w:val="18"/>
              </w:rPr>
            </w:pPr>
            <w:r>
              <w:rPr>
                <w:rFonts w:ascii="宋体" w:hAnsi="宋体" w:cs="宋体" w:eastAsia="宋体" w:hint="default"/>
                <w:b/>
                <w:bCs/>
                <w:spacing w:val="-2"/>
                <w:sz w:val="18"/>
                <w:szCs w:val="18"/>
              </w:rPr>
              <w:t>以公允价值计量且其变动计入</w:t>
            </w:r>
            <w:r>
              <w:rPr>
                <w:rFonts w:ascii="宋体" w:hAnsi="宋体" w:cs="宋体" w:eastAsia="宋体" w:hint="default"/>
                <w:spacing w:val="-2"/>
                <w:sz w:val="18"/>
                <w:szCs w:val="18"/>
              </w:rPr>
            </w:r>
          </w:p>
          <w:p>
            <w:pPr>
              <w:pStyle w:val="TableParagraph"/>
              <w:spacing w:line="240" w:lineRule="auto" w:before="124"/>
              <w:ind w:right="15"/>
              <w:jc w:val="center"/>
              <w:rPr>
                <w:rFonts w:ascii="宋体" w:hAnsi="宋体" w:cs="宋体" w:eastAsia="宋体" w:hint="default"/>
                <w:sz w:val="18"/>
                <w:szCs w:val="18"/>
              </w:rPr>
            </w:pPr>
            <w:r>
              <w:rPr>
                <w:rFonts w:ascii="宋体" w:hAnsi="宋体" w:cs="宋体" w:eastAsia="宋体" w:hint="default"/>
                <w:b/>
                <w:bCs/>
                <w:sz w:val="18"/>
                <w:szCs w:val="18"/>
              </w:rPr>
              <w:t>当期损益的金融资产</w:t>
            </w:r>
            <w:r>
              <w:rPr>
                <w:rFonts w:ascii="宋体" w:hAnsi="宋体" w:cs="宋体" w:eastAsia="宋体" w:hint="default"/>
                <w:sz w:val="18"/>
                <w:szCs w:val="18"/>
              </w:rPr>
            </w:r>
          </w:p>
        </w:tc>
        <w:tc>
          <w:tcPr>
            <w:tcW w:w="2876" w:type="dxa"/>
            <w:tcBorders>
              <w:top w:val="nil" w:sz="6" w:space="0" w:color="auto"/>
              <w:left w:val="nil" w:sz="6" w:space="0" w:color="auto"/>
              <w:bottom w:val="single" w:sz="4" w:space="0" w:color="000000"/>
              <w:right w:val="nil" w:sz="6" w:space="0" w:color="auto"/>
            </w:tcBorders>
          </w:tcPr>
          <w:p>
            <w:pPr>
              <w:pStyle w:val="TableParagraph"/>
              <w:spacing w:line="182" w:lineRule="exact"/>
              <w:ind w:right="329"/>
              <w:jc w:val="center"/>
              <w:rPr>
                <w:rFonts w:ascii="宋体" w:hAnsi="宋体" w:cs="宋体" w:eastAsia="宋体" w:hint="default"/>
                <w:sz w:val="18"/>
                <w:szCs w:val="18"/>
              </w:rPr>
            </w:pPr>
            <w:r>
              <w:rPr>
                <w:rFonts w:ascii="宋体" w:hAnsi="宋体" w:cs="宋体" w:eastAsia="宋体" w:hint="default"/>
                <w:b/>
                <w:bCs/>
                <w:spacing w:val="-2"/>
                <w:sz w:val="18"/>
                <w:szCs w:val="18"/>
              </w:rPr>
              <w:t>以公允价值计量且其变动计入其</w:t>
            </w:r>
            <w:r>
              <w:rPr>
                <w:rFonts w:ascii="宋体" w:hAnsi="宋体" w:cs="宋体" w:eastAsia="宋体" w:hint="default"/>
                <w:spacing w:val="-2"/>
                <w:sz w:val="18"/>
                <w:szCs w:val="18"/>
              </w:rPr>
            </w:r>
          </w:p>
          <w:p>
            <w:pPr>
              <w:pStyle w:val="TableParagraph"/>
              <w:spacing w:line="240" w:lineRule="auto" w:before="124"/>
              <w:ind w:right="324"/>
              <w:jc w:val="center"/>
              <w:rPr>
                <w:rFonts w:ascii="宋体" w:hAnsi="宋体" w:cs="宋体" w:eastAsia="宋体" w:hint="default"/>
                <w:sz w:val="18"/>
                <w:szCs w:val="18"/>
              </w:rPr>
            </w:pPr>
            <w:r>
              <w:rPr>
                <w:rFonts w:ascii="宋体" w:hAnsi="宋体" w:cs="宋体" w:eastAsia="宋体" w:hint="default"/>
                <w:b/>
                <w:bCs/>
                <w:sz w:val="18"/>
                <w:szCs w:val="18"/>
              </w:rPr>
              <w:t>他综合收益的金融资产</w:t>
            </w:r>
            <w:r>
              <w:rPr>
                <w:rFonts w:ascii="宋体" w:hAnsi="宋体" w:cs="宋体" w:eastAsia="宋体" w:hint="default"/>
                <w:sz w:val="18"/>
                <w:szCs w:val="18"/>
              </w:rPr>
            </w:r>
          </w:p>
        </w:tc>
        <w:tc>
          <w:tcPr>
            <w:tcW w:w="178" w:type="dxa"/>
            <w:tcBorders>
              <w:top w:val="nil" w:sz="6" w:space="0" w:color="auto"/>
              <w:left w:val="nil" w:sz="6" w:space="0" w:color="auto"/>
              <w:bottom w:val="single" w:sz="4" w:space="0" w:color="000000"/>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0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4" w:hRule="exact"/>
        </w:trPr>
        <w:tc>
          <w:tcPr>
            <w:tcW w:w="222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
              <w:jc w:val="right"/>
              <w:rPr>
                <w:rFonts w:ascii="宋体" w:hAnsi="宋体" w:cs="宋体" w:eastAsia="宋体" w:hint="default"/>
                <w:sz w:val="18"/>
                <w:szCs w:val="18"/>
              </w:rPr>
            </w:pPr>
            <w:r>
              <w:rPr>
                <w:rFonts w:ascii="宋体"/>
                <w:spacing w:val="-2"/>
                <w:sz w:val="18"/>
              </w:rPr>
              <w:t>235,710,956.39</w:t>
            </w:r>
          </w:p>
        </w:tc>
        <w:tc>
          <w:tcPr>
            <w:tcW w:w="2384" w:type="dxa"/>
            <w:tcBorders>
              <w:top w:val="single" w:sz="4" w:space="0" w:color="000000"/>
              <w:left w:val="nil" w:sz="6" w:space="0" w:color="auto"/>
              <w:bottom w:val="nil" w:sz="6" w:space="0" w:color="auto"/>
              <w:right w:val="nil" w:sz="6" w:space="0" w:color="auto"/>
            </w:tcBorders>
          </w:tcPr>
          <w:p>
            <w:pPr/>
          </w:p>
        </w:tc>
        <w:tc>
          <w:tcPr>
            <w:tcW w:w="2876" w:type="dxa"/>
            <w:tcBorders>
              <w:top w:val="single" w:sz="4" w:space="0" w:color="000000"/>
              <w:left w:val="nil" w:sz="6" w:space="0" w:color="auto"/>
              <w:bottom w:val="nil" w:sz="6" w:space="0" w:color="auto"/>
              <w:right w:val="nil" w:sz="6" w:space="0" w:color="auto"/>
            </w:tcBorders>
          </w:tcPr>
          <w:p>
            <w:pPr/>
          </w:p>
        </w:tc>
        <w:tc>
          <w:tcPr>
            <w:tcW w:w="178"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sz w:val="18"/>
              </w:rPr>
              <w:t>23</w:t>
            </w:r>
          </w:p>
        </w:tc>
        <w:tc>
          <w:tcPr>
            <w:tcW w:w="1085"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left="4" w:right="0"/>
              <w:jc w:val="left"/>
              <w:rPr>
                <w:rFonts w:ascii="宋体" w:hAnsi="宋体" w:cs="宋体" w:eastAsia="宋体" w:hint="default"/>
                <w:sz w:val="18"/>
                <w:szCs w:val="18"/>
              </w:rPr>
            </w:pPr>
            <w:r>
              <w:rPr>
                <w:rFonts w:ascii="宋体"/>
                <w:spacing w:val="-2"/>
                <w:sz w:val="18"/>
              </w:rPr>
              <w:t>5,710,956.39</w:t>
            </w:r>
          </w:p>
        </w:tc>
      </w:tr>
      <w:tr>
        <w:trPr>
          <w:trHeight w:val="39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
              <w:jc w:val="right"/>
              <w:rPr>
                <w:rFonts w:ascii="宋体" w:hAnsi="宋体" w:cs="宋体" w:eastAsia="宋体" w:hint="default"/>
                <w:sz w:val="18"/>
                <w:szCs w:val="18"/>
              </w:rPr>
            </w:pPr>
            <w:r>
              <w:rPr>
                <w:rFonts w:ascii="宋体"/>
                <w:spacing w:val="-1"/>
                <w:sz w:val="18"/>
              </w:rPr>
              <w:t>56,565,520.60</w:t>
            </w:r>
          </w:p>
        </w:tc>
        <w:tc>
          <w:tcPr>
            <w:tcW w:w="2384" w:type="dxa"/>
            <w:tcBorders>
              <w:top w:val="nil" w:sz="6" w:space="0" w:color="auto"/>
              <w:left w:val="nil" w:sz="6" w:space="0" w:color="auto"/>
              <w:bottom w:val="nil" w:sz="6" w:space="0" w:color="auto"/>
              <w:right w:val="nil" w:sz="6" w:space="0" w:color="auto"/>
            </w:tcBorders>
          </w:tcPr>
          <w:p>
            <w:pPr/>
          </w:p>
        </w:tc>
        <w:tc>
          <w:tcPr>
            <w:tcW w:w="2876" w:type="dxa"/>
            <w:tcBorders>
              <w:top w:val="nil" w:sz="6" w:space="0" w:color="auto"/>
              <w:left w:val="nil" w:sz="6" w:space="0" w:color="auto"/>
              <w:bottom w:val="nil" w:sz="6" w:space="0" w:color="auto"/>
              <w:right w:val="nil" w:sz="6" w:space="0" w:color="auto"/>
            </w:tcBorders>
          </w:tcPr>
          <w:p>
            <w:pPr/>
          </w:p>
        </w:tc>
        <w:tc>
          <w:tcPr>
            <w:tcW w:w="178"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1"/>
              <w:ind w:left="86" w:right="-1"/>
              <w:jc w:val="center"/>
              <w:rPr>
                <w:rFonts w:ascii="宋体" w:hAnsi="宋体" w:cs="宋体" w:eastAsia="宋体" w:hint="default"/>
                <w:sz w:val="18"/>
                <w:szCs w:val="18"/>
              </w:rPr>
            </w:pPr>
            <w:r>
              <w:rPr>
                <w:rFonts w:ascii="宋体"/>
                <w:w w:val="101"/>
                <w:sz w:val="18"/>
              </w:rPr>
              <w:t>5</w:t>
            </w:r>
            <w:r>
              <w:rPr>
                <w:rFonts w:ascii="宋体"/>
                <w:sz w:val="18"/>
              </w:rPr>
            </w:r>
          </w:p>
        </w:tc>
        <w:tc>
          <w:tcPr>
            <w:tcW w:w="1085"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1"/>
              <w:ind w:right="0"/>
              <w:jc w:val="left"/>
              <w:rPr>
                <w:rFonts w:ascii="宋体" w:hAnsi="宋体" w:cs="宋体" w:eastAsia="宋体" w:hint="default"/>
                <w:sz w:val="18"/>
                <w:szCs w:val="18"/>
              </w:rPr>
            </w:pPr>
            <w:r>
              <w:rPr>
                <w:rFonts w:ascii="宋体"/>
                <w:spacing w:val="-1"/>
                <w:sz w:val="18"/>
              </w:rPr>
              <w:t>6,565,520.60</w:t>
            </w:r>
          </w:p>
        </w:tc>
      </w:tr>
      <w:tr>
        <w:trPr>
          <w:trHeight w:val="39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
              <w:jc w:val="right"/>
              <w:rPr>
                <w:rFonts w:ascii="宋体" w:hAnsi="宋体" w:cs="宋体" w:eastAsia="宋体" w:hint="default"/>
                <w:sz w:val="18"/>
                <w:szCs w:val="18"/>
              </w:rPr>
            </w:pPr>
            <w:r>
              <w:rPr>
                <w:rFonts w:ascii="宋体"/>
                <w:spacing w:val="-1"/>
                <w:sz w:val="18"/>
              </w:rPr>
              <w:t>6,905,965.81</w:t>
            </w:r>
          </w:p>
        </w:tc>
        <w:tc>
          <w:tcPr>
            <w:tcW w:w="2384" w:type="dxa"/>
            <w:tcBorders>
              <w:top w:val="nil" w:sz="6" w:space="0" w:color="auto"/>
              <w:left w:val="nil" w:sz="6" w:space="0" w:color="auto"/>
              <w:bottom w:val="nil" w:sz="6" w:space="0" w:color="auto"/>
              <w:right w:val="nil" w:sz="6" w:space="0" w:color="auto"/>
            </w:tcBorders>
          </w:tcPr>
          <w:p>
            <w:pPr/>
          </w:p>
        </w:tc>
        <w:tc>
          <w:tcPr>
            <w:tcW w:w="2876" w:type="dxa"/>
            <w:tcBorders>
              <w:top w:val="nil" w:sz="6" w:space="0" w:color="auto"/>
              <w:left w:val="nil" w:sz="6" w:space="0" w:color="auto"/>
              <w:bottom w:val="nil" w:sz="6" w:space="0" w:color="auto"/>
              <w:right w:val="nil" w:sz="6" w:space="0" w:color="auto"/>
            </w:tcBorders>
          </w:tcPr>
          <w:p>
            <w:pPr/>
          </w:p>
        </w:tc>
        <w:tc>
          <w:tcPr>
            <w:tcW w:w="178" w:type="dxa"/>
            <w:tcBorders>
              <w:top w:val="single" w:sz="13" w:space="0" w:color="000000"/>
              <w:left w:val="nil" w:sz="6" w:space="0" w:color="auto"/>
              <w:bottom w:val="nil" w:sz="6" w:space="0" w:color="auto"/>
              <w:right w:val="nil" w:sz="6" w:space="0" w:color="auto"/>
            </w:tcBorders>
          </w:tcPr>
          <w:p>
            <w:pPr/>
          </w:p>
        </w:tc>
        <w:tc>
          <w:tcPr>
            <w:tcW w:w="1085"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0"/>
              <w:ind w:right="0"/>
              <w:jc w:val="left"/>
              <w:rPr>
                <w:rFonts w:ascii="宋体" w:hAnsi="宋体" w:cs="宋体" w:eastAsia="宋体" w:hint="default"/>
                <w:sz w:val="18"/>
                <w:szCs w:val="18"/>
              </w:rPr>
            </w:pPr>
            <w:r>
              <w:rPr>
                <w:rFonts w:ascii="宋体"/>
                <w:spacing w:val="-1"/>
                <w:sz w:val="18"/>
              </w:rPr>
              <w:t>6,905,965.81</w:t>
            </w:r>
          </w:p>
        </w:tc>
      </w:tr>
      <w:tr>
        <w:trPr>
          <w:trHeight w:val="394"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
              <w:jc w:val="right"/>
              <w:rPr>
                <w:rFonts w:ascii="宋体" w:hAnsi="宋体" w:cs="宋体" w:eastAsia="宋体" w:hint="default"/>
                <w:sz w:val="18"/>
                <w:szCs w:val="18"/>
              </w:rPr>
            </w:pPr>
            <w:r>
              <w:rPr>
                <w:rFonts w:ascii="宋体"/>
                <w:spacing w:val="-1"/>
                <w:sz w:val="18"/>
              </w:rPr>
              <w:t>73,274,800.00</w:t>
            </w:r>
          </w:p>
        </w:tc>
        <w:tc>
          <w:tcPr>
            <w:tcW w:w="2384" w:type="dxa"/>
            <w:tcBorders>
              <w:top w:val="nil" w:sz="6" w:space="0" w:color="auto"/>
              <w:left w:val="nil" w:sz="6" w:space="0" w:color="auto"/>
              <w:bottom w:val="nil" w:sz="6" w:space="0" w:color="auto"/>
              <w:right w:val="nil" w:sz="6" w:space="0" w:color="auto"/>
            </w:tcBorders>
          </w:tcPr>
          <w:p>
            <w:pPr/>
          </w:p>
        </w:tc>
        <w:tc>
          <w:tcPr>
            <w:tcW w:w="2876"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single" w:sz="13" w:space="0" w:color="000000"/>
              <w:right w:val="nil" w:sz="6" w:space="0" w:color="auto"/>
            </w:tcBorders>
          </w:tcPr>
          <w:p>
            <w:pPr>
              <w:pStyle w:val="TableParagraph"/>
              <w:spacing w:line="240" w:lineRule="auto" w:before="142"/>
              <w:ind w:left="86" w:right="-1"/>
              <w:jc w:val="center"/>
              <w:rPr>
                <w:rFonts w:ascii="宋体" w:hAnsi="宋体" w:cs="宋体" w:eastAsia="宋体" w:hint="default"/>
                <w:sz w:val="18"/>
                <w:szCs w:val="18"/>
              </w:rPr>
            </w:pPr>
            <w:r>
              <w:rPr>
                <w:rFonts w:ascii="宋体"/>
                <w:w w:val="101"/>
                <w:sz w:val="18"/>
              </w:rPr>
              <w:t>7</w:t>
            </w:r>
            <w:r>
              <w:rPr>
                <w:rFonts w:ascii="宋体"/>
                <w:sz w:val="18"/>
              </w:rPr>
            </w:r>
          </w:p>
        </w:tc>
        <w:tc>
          <w:tcPr>
            <w:tcW w:w="1085" w:type="dxa"/>
            <w:tcBorders>
              <w:top w:val="single" w:sz="13" w:space="0" w:color="000000"/>
              <w:left w:val="nil" w:sz="6" w:space="0" w:color="auto"/>
              <w:bottom w:val="single" w:sz="13" w:space="0" w:color="000000"/>
              <w:right w:val="nil" w:sz="6" w:space="0" w:color="auto"/>
            </w:tcBorders>
          </w:tcPr>
          <w:p>
            <w:pPr>
              <w:pStyle w:val="TableParagraph"/>
              <w:spacing w:line="240" w:lineRule="auto" w:before="125"/>
              <w:ind w:right="0"/>
              <w:jc w:val="left"/>
              <w:rPr>
                <w:rFonts w:ascii="宋体" w:hAnsi="宋体" w:cs="宋体" w:eastAsia="宋体" w:hint="default"/>
                <w:sz w:val="18"/>
                <w:szCs w:val="18"/>
              </w:rPr>
            </w:pPr>
            <w:r>
              <w:rPr>
                <w:rFonts w:ascii="宋体"/>
                <w:spacing w:val="-1"/>
                <w:sz w:val="18"/>
              </w:rPr>
              <w:t>3,274,800.00</w:t>
            </w:r>
          </w:p>
        </w:tc>
      </w:tr>
      <w:tr>
        <w:trPr>
          <w:trHeight w:val="39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933"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203" w:right="0"/>
              <w:jc w:val="left"/>
              <w:rPr>
                <w:rFonts w:ascii="宋体" w:hAnsi="宋体" w:cs="宋体" w:eastAsia="宋体" w:hint="default"/>
                <w:sz w:val="18"/>
                <w:szCs w:val="18"/>
              </w:rPr>
            </w:pPr>
            <w:r>
              <w:rPr>
                <w:rFonts w:ascii="宋体"/>
                <w:spacing w:val="-1"/>
                <w:sz w:val="18"/>
              </w:rPr>
              <w:t>18,407,869.90</w:t>
            </w:r>
          </w:p>
        </w:tc>
        <w:tc>
          <w:tcPr>
            <w:tcW w:w="2876" w:type="dxa"/>
            <w:tcBorders>
              <w:top w:val="nil" w:sz="6" w:space="0" w:color="auto"/>
              <w:left w:val="nil" w:sz="6" w:space="0" w:color="auto"/>
              <w:bottom w:val="nil" w:sz="6" w:space="0" w:color="auto"/>
              <w:right w:val="nil" w:sz="6" w:space="0" w:color="auto"/>
            </w:tcBorders>
          </w:tcPr>
          <w:p>
            <w:pPr/>
          </w:p>
        </w:tc>
        <w:tc>
          <w:tcPr>
            <w:tcW w:w="178"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0"/>
              <w:ind w:left="86" w:right="-1"/>
              <w:jc w:val="center"/>
              <w:rPr>
                <w:rFonts w:ascii="宋体" w:hAnsi="宋体" w:cs="宋体" w:eastAsia="宋体" w:hint="default"/>
                <w:sz w:val="18"/>
                <w:szCs w:val="18"/>
              </w:rPr>
            </w:pPr>
            <w:r>
              <w:rPr>
                <w:rFonts w:ascii="宋体"/>
                <w:w w:val="101"/>
                <w:sz w:val="18"/>
              </w:rPr>
              <w:t>1</w:t>
            </w:r>
            <w:r>
              <w:rPr>
                <w:rFonts w:ascii="宋体"/>
                <w:sz w:val="18"/>
              </w:rPr>
            </w:r>
          </w:p>
        </w:tc>
        <w:tc>
          <w:tcPr>
            <w:tcW w:w="1085"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0"/>
              <w:ind w:right="0"/>
              <w:jc w:val="left"/>
              <w:rPr>
                <w:rFonts w:ascii="宋体" w:hAnsi="宋体" w:cs="宋体" w:eastAsia="宋体" w:hint="default"/>
                <w:sz w:val="18"/>
                <w:szCs w:val="18"/>
              </w:rPr>
            </w:pPr>
            <w:r>
              <w:rPr>
                <w:rFonts w:ascii="宋体"/>
                <w:spacing w:val="-1"/>
                <w:sz w:val="18"/>
              </w:rPr>
              <w:t>8,407,869.90</w:t>
            </w:r>
          </w:p>
        </w:tc>
      </w:tr>
    </w:tbl>
    <w:p>
      <w:pPr>
        <w:spacing w:line="240" w:lineRule="auto" w:before="3"/>
        <w:rPr>
          <w:rFonts w:ascii="宋体" w:hAnsi="宋体" w:cs="宋体" w:eastAsia="宋体" w:hint="default"/>
          <w:sz w:val="19"/>
          <w:szCs w:val="19"/>
        </w:rPr>
      </w:pPr>
    </w:p>
    <w:p>
      <w:pPr>
        <w:pStyle w:val="BodyText"/>
        <w:spacing w:line="240" w:lineRule="auto" w:before="36"/>
        <w:ind w:left="1055" w:right="0"/>
        <w:jc w:val="left"/>
      </w:pPr>
      <w:r>
        <w:rPr/>
        <w:t>（</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0"/>
        <w:rPr>
          <w:rFonts w:ascii="宋体" w:hAnsi="宋体" w:cs="宋体" w:eastAsia="宋体" w:hint="default"/>
          <w:sz w:val="25"/>
          <w:szCs w:val="25"/>
        </w:rPr>
      </w:pPr>
    </w:p>
    <w:tbl>
      <w:tblPr>
        <w:tblW w:w="0" w:type="auto"/>
        <w:jc w:val="left"/>
        <w:tblInd w:w="498" w:type="dxa"/>
        <w:tblLayout w:type="fixed"/>
        <w:tblCellMar>
          <w:top w:w="0" w:type="dxa"/>
          <w:left w:w="0" w:type="dxa"/>
          <w:bottom w:w="0" w:type="dxa"/>
          <w:right w:w="0" w:type="dxa"/>
        </w:tblCellMar>
        <w:tblLook w:val="01E0"/>
      </w:tblPr>
      <w:tblGrid>
        <w:gridCol w:w="1642"/>
        <w:gridCol w:w="1921"/>
        <w:gridCol w:w="1469"/>
        <w:gridCol w:w="1587"/>
        <w:gridCol w:w="1947"/>
        <w:gridCol w:w="91"/>
        <w:gridCol w:w="1263"/>
      </w:tblGrid>
      <w:tr>
        <w:trPr>
          <w:trHeight w:val="954" w:hRule="exact"/>
        </w:trPr>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921" w:type="dxa"/>
            <w:tcBorders>
              <w:top w:val="nil" w:sz="6" w:space="0" w:color="auto"/>
              <w:left w:val="nil" w:sz="6" w:space="0" w:color="auto"/>
              <w:bottom w:val="single" w:sz="4" w:space="0" w:color="000000"/>
              <w:right w:val="nil" w:sz="6" w:space="0" w:color="auto"/>
            </w:tcBorders>
          </w:tcPr>
          <w:p>
            <w:pPr>
              <w:pStyle w:val="TableParagraph"/>
              <w:spacing w:line="182"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w:t>
            </w:r>
            <w:r>
              <w:rPr>
                <w:rFonts w:ascii="宋体" w:hAnsi="宋体" w:cs="宋体" w:eastAsia="宋体" w:hint="default"/>
                <w:sz w:val="18"/>
                <w:szCs w:val="18"/>
              </w:rPr>
            </w:r>
          </w:p>
          <w:p>
            <w:pPr>
              <w:pStyle w:val="TableParagraph"/>
              <w:spacing w:line="360" w:lineRule="atLeast"/>
              <w:ind w:left="648" w:right="89" w:hanging="452"/>
              <w:jc w:val="left"/>
              <w:rPr>
                <w:rFonts w:ascii="宋体" w:hAnsi="宋体" w:cs="宋体" w:eastAsia="宋体" w:hint="default"/>
                <w:sz w:val="18"/>
                <w:szCs w:val="18"/>
              </w:rPr>
            </w:pPr>
            <w:r>
              <w:rPr>
                <w:rFonts w:ascii="宋体" w:hAnsi="宋体" w:cs="宋体" w:eastAsia="宋体" w:hint="default"/>
                <w:b/>
                <w:bCs/>
                <w:spacing w:val="-2"/>
                <w:sz w:val="18"/>
                <w:szCs w:val="18"/>
              </w:rPr>
              <w:t>变动计入当期损益的</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金融资产</w:t>
            </w:r>
            <w:r>
              <w:rPr>
                <w:rFonts w:ascii="宋体" w:hAnsi="宋体" w:cs="宋体" w:eastAsia="宋体" w:hint="default"/>
                <w:sz w:val="18"/>
                <w:szCs w:val="18"/>
              </w:rPr>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sz w:val="18"/>
                <w:szCs w:val="18"/>
              </w:rPr>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194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91"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1"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30"/>
              <w:jc w:val="right"/>
              <w:rPr>
                <w:rFonts w:ascii="宋体" w:hAnsi="宋体" w:cs="宋体" w:eastAsia="宋体" w:hint="default"/>
                <w:sz w:val="18"/>
                <w:szCs w:val="18"/>
              </w:rPr>
            </w:pPr>
            <w:r>
              <w:rPr>
                <w:rFonts w:ascii="宋体"/>
                <w:spacing w:val="-2"/>
                <w:sz w:val="18"/>
              </w:rPr>
              <w:t>148,459,320.81</w:t>
            </w:r>
          </w:p>
        </w:tc>
        <w:tc>
          <w:tcPr>
            <w:tcW w:w="1947" w:type="dxa"/>
            <w:tcBorders>
              <w:top w:val="single" w:sz="4" w:space="0" w:color="000000"/>
              <w:left w:val="nil" w:sz="6" w:space="0" w:color="auto"/>
              <w:bottom w:val="nil" w:sz="6" w:space="0" w:color="auto"/>
              <w:right w:val="nil" w:sz="6" w:space="0" w:color="auto"/>
            </w:tcBorders>
          </w:tcPr>
          <w:p>
            <w:pPr/>
          </w:p>
        </w:tc>
        <w:tc>
          <w:tcPr>
            <w:tcW w:w="91" w:type="dxa"/>
            <w:tcBorders>
              <w:top w:val="single" w:sz="4" w:space="0" w:color="000000"/>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2"/>
                <w:sz w:val="18"/>
              </w:rPr>
              <w:t>148,459,320.81</w:t>
            </w:r>
          </w:p>
        </w:tc>
      </w:tr>
      <w:tr>
        <w:trPr>
          <w:trHeight w:val="394"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0"/>
              <w:jc w:val="right"/>
              <w:rPr>
                <w:rFonts w:ascii="宋体" w:hAnsi="宋体" w:cs="宋体" w:eastAsia="宋体" w:hint="default"/>
                <w:sz w:val="18"/>
                <w:szCs w:val="18"/>
              </w:rPr>
            </w:pPr>
            <w:r>
              <w:rPr>
                <w:rFonts w:ascii="宋体"/>
                <w:spacing w:val="-1"/>
                <w:sz w:val="18"/>
              </w:rPr>
              <w:t>44,708,668.17</w:t>
            </w:r>
          </w:p>
        </w:tc>
        <w:tc>
          <w:tcPr>
            <w:tcW w:w="1947"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145"/>
              <w:ind w:right="0"/>
              <w:jc w:val="right"/>
              <w:rPr>
                <w:rFonts w:ascii="宋体" w:hAnsi="宋体" w:cs="宋体" w:eastAsia="宋体" w:hint="default"/>
                <w:sz w:val="18"/>
                <w:szCs w:val="18"/>
              </w:rPr>
            </w:pPr>
            <w:r>
              <w:rPr>
                <w:rFonts w:ascii="宋体"/>
                <w:spacing w:val="-1"/>
                <w:sz w:val="18"/>
              </w:rPr>
              <w:t>44,708,668.17</w:t>
            </w:r>
          </w:p>
        </w:tc>
      </w:tr>
      <w:tr>
        <w:trPr>
          <w:trHeight w:val="398"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30"/>
              <w:jc w:val="right"/>
              <w:rPr>
                <w:rFonts w:ascii="宋体" w:hAnsi="宋体" w:cs="宋体" w:eastAsia="宋体" w:hint="default"/>
                <w:sz w:val="18"/>
                <w:szCs w:val="18"/>
              </w:rPr>
            </w:pPr>
            <w:r>
              <w:rPr>
                <w:rFonts w:ascii="宋体"/>
                <w:spacing w:val="-1"/>
                <w:sz w:val="18"/>
              </w:rPr>
              <w:t>14,697,776.30</w:t>
            </w:r>
          </w:p>
        </w:tc>
        <w:tc>
          <w:tcPr>
            <w:tcW w:w="1947"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pacing w:val="-1"/>
                <w:sz w:val="18"/>
              </w:rPr>
              <w:t>14,697,776.30</w:t>
            </w:r>
          </w:p>
        </w:tc>
      </w:tr>
      <w:tr>
        <w:trPr>
          <w:trHeight w:val="398"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89"/>
              <w:jc w:val="right"/>
              <w:rPr>
                <w:rFonts w:ascii="宋体" w:hAnsi="宋体" w:cs="宋体" w:eastAsia="宋体" w:hint="default"/>
                <w:sz w:val="18"/>
                <w:szCs w:val="18"/>
              </w:rPr>
            </w:pPr>
            <w:r>
              <w:rPr>
                <w:rFonts w:ascii="宋体"/>
                <w:spacing w:val="-2"/>
                <w:sz w:val="18"/>
              </w:rPr>
              <w:t>191,000,000.00</w:t>
            </w:r>
          </w:p>
        </w:tc>
        <w:tc>
          <w:tcPr>
            <w:tcW w:w="91"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0"/>
              <w:jc w:val="right"/>
              <w:rPr>
                <w:rFonts w:ascii="宋体" w:hAnsi="宋体" w:cs="宋体" w:eastAsia="宋体" w:hint="default"/>
                <w:sz w:val="18"/>
                <w:szCs w:val="18"/>
              </w:rPr>
            </w:pPr>
            <w:r>
              <w:rPr>
                <w:rFonts w:ascii="宋体"/>
                <w:spacing w:val="-2"/>
                <w:sz w:val="18"/>
              </w:rPr>
              <w:t>191,000,000.00</w:t>
            </w:r>
          </w:p>
        </w:tc>
      </w:tr>
      <w:tr>
        <w:trPr>
          <w:trHeight w:val="399" w:hRule="exact"/>
        </w:trPr>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21"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9"/>
              <w:jc w:val="right"/>
              <w:rPr>
                <w:rFonts w:ascii="宋体" w:hAnsi="宋体" w:cs="宋体" w:eastAsia="宋体" w:hint="default"/>
                <w:sz w:val="18"/>
                <w:szCs w:val="18"/>
              </w:rPr>
            </w:pPr>
            <w:r>
              <w:rPr>
                <w:rFonts w:ascii="宋体"/>
                <w:spacing w:val="-1"/>
                <w:sz w:val="18"/>
              </w:rPr>
              <w:t>5,000,000.00</w:t>
            </w:r>
          </w:p>
        </w:tc>
        <w:tc>
          <w:tcPr>
            <w:tcW w:w="91"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150"/>
              <w:ind w:right="0"/>
              <w:jc w:val="right"/>
              <w:rPr>
                <w:rFonts w:ascii="宋体" w:hAnsi="宋体" w:cs="宋体" w:eastAsia="宋体" w:hint="default"/>
                <w:sz w:val="18"/>
                <w:szCs w:val="18"/>
              </w:rPr>
            </w:pPr>
            <w:r>
              <w:rPr>
                <w:rFonts w:ascii="宋体"/>
                <w:spacing w:val="-1"/>
                <w:sz w:val="18"/>
              </w:rPr>
              <w:t>5,000,000.00</w:t>
            </w:r>
          </w:p>
        </w:tc>
      </w:tr>
    </w:tbl>
    <w:p>
      <w:pPr>
        <w:spacing w:line="240" w:lineRule="auto" w:before="3"/>
        <w:rPr>
          <w:rFonts w:ascii="宋体" w:hAnsi="宋体" w:cs="宋体" w:eastAsia="宋体" w:hint="default"/>
          <w:sz w:val="19"/>
          <w:szCs w:val="19"/>
        </w:rPr>
      </w:pPr>
    </w:p>
    <w:p>
      <w:pPr>
        <w:pStyle w:val="BodyText"/>
        <w:spacing w:line="240" w:lineRule="auto" w:before="36"/>
        <w:ind w:left="1055" w:right="0"/>
        <w:jc w:val="left"/>
      </w:pPr>
      <w:r>
        <w:rPr>
          <w:rFonts w:ascii="宋体" w:hAnsi="宋体" w:cs="宋体" w:eastAsia="宋体" w:hint="default"/>
        </w:rPr>
        <w:t>2.</w:t>
      </w:r>
      <w:r>
        <w:rPr/>
        <w:t>资产负债表日的各类金融负债的账面价值</w:t>
      </w:r>
    </w:p>
    <w:p>
      <w:pPr>
        <w:spacing w:line="240" w:lineRule="auto" w:before="8"/>
        <w:rPr>
          <w:rFonts w:ascii="宋体" w:hAnsi="宋体" w:cs="宋体" w:eastAsia="宋体" w:hint="default"/>
          <w:sz w:val="18"/>
          <w:szCs w:val="18"/>
        </w:rPr>
      </w:pPr>
    </w:p>
    <w:p>
      <w:pPr>
        <w:pStyle w:val="BodyText"/>
        <w:spacing w:line="240" w:lineRule="auto"/>
        <w:ind w:left="1055" w:right="0"/>
        <w:jc w:val="left"/>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5"/>
        <w:rPr>
          <w:rFonts w:ascii="宋体" w:hAnsi="宋体" w:cs="宋体" w:eastAsia="宋体" w:hint="default"/>
          <w:sz w:val="25"/>
          <w:szCs w:val="25"/>
        </w:rPr>
      </w:pPr>
    </w:p>
    <w:tbl>
      <w:tblPr>
        <w:tblW w:w="0" w:type="auto"/>
        <w:jc w:val="left"/>
        <w:tblInd w:w="633" w:type="dxa"/>
        <w:tblLayout w:type="fixed"/>
        <w:tblCellMar>
          <w:top w:w="0" w:type="dxa"/>
          <w:left w:w="0" w:type="dxa"/>
          <w:bottom w:w="0" w:type="dxa"/>
          <w:right w:w="0" w:type="dxa"/>
        </w:tblCellMar>
        <w:tblLook w:val="01E0"/>
      </w:tblPr>
      <w:tblGrid>
        <w:gridCol w:w="2468"/>
        <w:gridCol w:w="3275"/>
        <w:gridCol w:w="2286"/>
        <w:gridCol w:w="1614"/>
      </w:tblGrid>
      <w:tr>
        <w:trPr>
          <w:trHeight w:val="594" w:hRule="exact"/>
        </w:trPr>
        <w:tc>
          <w:tcPr>
            <w:tcW w:w="2468"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888"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275" w:type="dxa"/>
            <w:tcBorders>
              <w:top w:val="nil" w:sz="6" w:space="0" w:color="auto"/>
              <w:left w:val="nil" w:sz="6" w:space="0" w:color="auto"/>
              <w:bottom w:val="single" w:sz="4" w:space="0" w:color="000000"/>
              <w:right w:val="nil" w:sz="6" w:space="0" w:color="auto"/>
            </w:tcBorders>
          </w:tcPr>
          <w:p>
            <w:pPr>
              <w:pStyle w:val="TableParagraph"/>
              <w:spacing w:line="182" w:lineRule="exact"/>
              <w:ind w:left="239" w:right="0"/>
              <w:jc w:val="center"/>
              <w:rPr>
                <w:rFonts w:ascii="宋体" w:hAnsi="宋体" w:cs="宋体" w:eastAsia="宋体" w:hint="default"/>
                <w:sz w:val="18"/>
                <w:szCs w:val="18"/>
              </w:rPr>
            </w:pPr>
            <w:r>
              <w:rPr>
                <w:rFonts w:ascii="宋体" w:hAnsi="宋体" w:cs="宋体" w:eastAsia="宋体" w:hint="default"/>
                <w:b/>
                <w:bCs/>
                <w:sz w:val="18"/>
                <w:szCs w:val="18"/>
              </w:rPr>
              <w:t>以公允价值计量且其变动计入当</w:t>
            </w:r>
            <w:r>
              <w:rPr>
                <w:rFonts w:ascii="宋体" w:hAnsi="宋体" w:cs="宋体" w:eastAsia="宋体" w:hint="default"/>
                <w:sz w:val="18"/>
                <w:szCs w:val="18"/>
              </w:rPr>
            </w:r>
          </w:p>
          <w:p>
            <w:pPr>
              <w:pStyle w:val="TableParagraph"/>
              <w:spacing w:line="240" w:lineRule="auto" w:before="124"/>
              <w:ind w:left="240" w:right="0"/>
              <w:jc w:val="center"/>
              <w:rPr>
                <w:rFonts w:ascii="宋体" w:hAnsi="宋体" w:cs="宋体" w:eastAsia="宋体" w:hint="default"/>
                <w:sz w:val="18"/>
                <w:szCs w:val="18"/>
              </w:rPr>
            </w:pPr>
            <w:r>
              <w:rPr>
                <w:rFonts w:ascii="宋体" w:hAnsi="宋体" w:cs="宋体" w:eastAsia="宋体" w:hint="default"/>
                <w:b/>
                <w:bCs/>
                <w:sz w:val="18"/>
                <w:szCs w:val="18"/>
              </w:rPr>
              <w:t>期损益的金融负债</w:t>
            </w:r>
            <w:r>
              <w:rPr>
                <w:rFonts w:ascii="宋体" w:hAnsi="宋体" w:cs="宋体" w:eastAsia="宋体" w:hint="default"/>
                <w:sz w:val="18"/>
                <w:szCs w:val="18"/>
              </w:rPr>
            </w:r>
          </w:p>
        </w:tc>
        <w:tc>
          <w:tcPr>
            <w:tcW w:w="228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25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52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4" w:hRule="exact"/>
        </w:trPr>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75" w:type="dxa"/>
            <w:tcBorders>
              <w:top w:val="single" w:sz="4" w:space="0" w:color="000000"/>
              <w:left w:val="nil" w:sz="6" w:space="0" w:color="auto"/>
              <w:bottom w:val="nil" w:sz="6" w:space="0" w:color="auto"/>
              <w:right w:val="nil" w:sz="6" w:space="0" w:color="auto"/>
            </w:tcBorders>
          </w:tcPr>
          <w:p>
            <w:pPr/>
          </w:p>
        </w:tc>
        <w:tc>
          <w:tcPr>
            <w:tcW w:w="228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50" w:right="0"/>
              <w:jc w:val="left"/>
              <w:rPr>
                <w:rFonts w:ascii="宋体" w:hAnsi="宋体" w:cs="宋体" w:eastAsia="宋体" w:hint="default"/>
                <w:sz w:val="18"/>
                <w:szCs w:val="18"/>
              </w:rPr>
            </w:pPr>
            <w:r>
              <w:rPr>
                <w:rFonts w:ascii="宋体"/>
                <w:sz w:val="18"/>
              </w:rPr>
              <w:t>9,384,700.15</w:t>
            </w:r>
          </w:p>
        </w:tc>
        <w:tc>
          <w:tcPr>
            <w:tcW w:w="1614"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left="-1" w:right="526"/>
              <w:jc w:val="center"/>
              <w:rPr>
                <w:rFonts w:ascii="宋体" w:hAnsi="宋体" w:cs="宋体" w:eastAsia="宋体" w:hint="default"/>
                <w:sz w:val="18"/>
                <w:szCs w:val="18"/>
              </w:rPr>
            </w:pPr>
            <w:r>
              <w:rPr>
                <w:rFonts w:ascii="宋体"/>
                <w:spacing w:val="-1"/>
                <w:sz w:val="18"/>
              </w:rPr>
              <w:t>9,384,700.15</w:t>
            </w:r>
          </w:p>
        </w:tc>
      </w:tr>
      <w:tr>
        <w:trPr>
          <w:trHeight w:val="398" w:hRule="exact"/>
        </w:trPr>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75"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50" w:right="0"/>
              <w:jc w:val="left"/>
              <w:rPr>
                <w:rFonts w:ascii="宋体" w:hAnsi="宋体" w:cs="宋体" w:eastAsia="宋体" w:hint="default"/>
                <w:sz w:val="18"/>
                <w:szCs w:val="18"/>
              </w:rPr>
            </w:pPr>
            <w:r>
              <w:rPr>
                <w:rFonts w:ascii="宋体"/>
                <w:sz w:val="18"/>
              </w:rPr>
              <w:t>4,064,627.16</w:t>
            </w:r>
          </w:p>
        </w:tc>
        <w:tc>
          <w:tcPr>
            <w:tcW w:w="1614"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0"/>
              <w:ind w:left="-1" w:right="526"/>
              <w:jc w:val="center"/>
              <w:rPr>
                <w:rFonts w:ascii="宋体" w:hAnsi="宋体" w:cs="宋体" w:eastAsia="宋体" w:hint="default"/>
                <w:sz w:val="18"/>
                <w:szCs w:val="18"/>
              </w:rPr>
            </w:pPr>
            <w:r>
              <w:rPr>
                <w:rFonts w:ascii="宋体"/>
                <w:spacing w:val="-1"/>
                <w:sz w:val="18"/>
              </w:rPr>
              <w:t>4,064,627.16</w:t>
            </w:r>
          </w:p>
        </w:tc>
      </w:tr>
    </w:tbl>
    <w:p>
      <w:pPr>
        <w:spacing w:line="240" w:lineRule="auto" w:before="3"/>
        <w:rPr>
          <w:rFonts w:ascii="宋体" w:hAnsi="宋体" w:cs="宋体" w:eastAsia="宋体" w:hint="default"/>
          <w:sz w:val="19"/>
          <w:szCs w:val="19"/>
        </w:rPr>
      </w:pPr>
    </w:p>
    <w:p>
      <w:pPr>
        <w:pStyle w:val="BodyText"/>
        <w:spacing w:line="240" w:lineRule="auto" w:before="36"/>
        <w:ind w:left="1055" w:right="0"/>
        <w:jc w:val="left"/>
      </w:pPr>
      <w:r>
        <w:rPr/>
        <w:t>（</w:t>
      </w:r>
      <w:r>
        <w:rPr>
          <w:rFonts w:ascii="宋体" w:hAnsi="宋体" w:cs="宋体" w:eastAsia="宋体" w:hint="default"/>
        </w:rPr>
        <w:t>1</w:t>
      </w:r>
      <w:r>
        <w:rPr/>
        <w:t>）</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10"/>
        <w:rPr>
          <w:rFonts w:ascii="宋体" w:hAnsi="宋体" w:cs="宋体" w:eastAsia="宋体" w:hint="default"/>
          <w:sz w:val="25"/>
          <w:szCs w:val="25"/>
        </w:rPr>
      </w:pPr>
    </w:p>
    <w:tbl>
      <w:tblPr>
        <w:tblW w:w="0" w:type="auto"/>
        <w:jc w:val="left"/>
        <w:tblInd w:w="633" w:type="dxa"/>
        <w:tblLayout w:type="fixed"/>
        <w:tblCellMar>
          <w:top w:w="0" w:type="dxa"/>
          <w:left w:w="0" w:type="dxa"/>
          <w:bottom w:w="0" w:type="dxa"/>
          <w:right w:w="0" w:type="dxa"/>
        </w:tblCellMar>
        <w:tblLook w:val="01E0"/>
      </w:tblPr>
      <w:tblGrid>
        <w:gridCol w:w="2437"/>
        <w:gridCol w:w="3272"/>
        <w:gridCol w:w="2690"/>
        <w:gridCol w:w="1248"/>
      </w:tblGrid>
      <w:tr>
        <w:trPr>
          <w:trHeight w:val="594" w:hRule="exact"/>
        </w:trPr>
        <w:tc>
          <w:tcPr>
            <w:tcW w:w="2437"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874"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272" w:type="dxa"/>
            <w:tcBorders>
              <w:top w:val="nil" w:sz="6" w:space="0" w:color="auto"/>
              <w:left w:val="nil" w:sz="6" w:space="0" w:color="auto"/>
              <w:bottom w:val="single" w:sz="4" w:space="0" w:color="000000"/>
              <w:right w:val="nil" w:sz="6" w:space="0" w:color="auto"/>
            </w:tcBorders>
          </w:tcPr>
          <w:p>
            <w:pPr>
              <w:pStyle w:val="TableParagraph"/>
              <w:spacing w:line="182" w:lineRule="exact"/>
              <w:ind w:left="208" w:right="0"/>
              <w:jc w:val="center"/>
              <w:rPr>
                <w:rFonts w:ascii="宋体" w:hAnsi="宋体" w:cs="宋体" w:eastAsia="宋体" w:hint="default"/>
                <w:sz w:val="18"/>
                <w:szCs w:val="18"/>
              </w:rPr>
            </w:pPr>
            <w:r>
              <w:rPr>
                <w:rFonts w:ascii="宋体" w:hAnsi="宋体" w:cs="宋体" w:eastAsia="宋体" w:hint="default"/>
                <w:b/>
                <w:bCs/>
                <w:sz w:val="18"/>
                <w:szCs w:val="18"/>
              </w:rPr>
              <w:t>以公允价值计量且其变动计入当</w:t>
            </w:r>
            <w:r>
              <w:rPr>
                <w:rFonts w:ascii="宋体" w:hAnsi="宋体" w:cs="宋体" w:eastAsia="宋体" w:hint="default"/>
                <w:sz w:val="18"/>
                <w:szCs w:val="18"/>
              </w:rPr>
            </w:r>
          </w:p>
          <w:p>
            <w:pPr>
              <w:pStyle w:val="TableParagraph"/>
              <w:spacing w:line="240" w:lineRule="auto" w:before="124"/>
              <w:ind w:left="209" w:right="0"/>
              <w:jc w:val="center"/>
              <w:rPr>
                <w:rFonts w:ascii="宋体" w:hAnsi="宋体" w:cs="宋体" w:eastAsia="宋体" w:hint="default"/>
                <w:sz w:val="18"/>
                <w:szCs w:val="18"/>
              </w:rPr>
            </w:pPr>
            <w:r>
              <w:rPr>
                <w:rFonts w:ascii="宋体" w:hAnsi="宋体" w:cs="宋体" w:eastAsia="宋体" w:hint="default"/>
                <w:b/>
                <w:bCs/>
                <w:sz w:val="18"/>
                <w:szCs w:val="18"/>
              </w:rPr>
              <w:t>期损益的金融负债</w:t>
            </w:r>
            <w:r>
              <w:rPr>
                <w:rFonts w:ascii="宋体" w:hAnsi="宋体" w:cs="宋体" w:eastAsia="宋体" w:hint="default"/>
                <w:sz w:val="18"/>
                <w:szCs w:val="18"/>
              </w:rPr>
            </w:r>
          </w:p>
        </w:tc>
        <w:tc>
          <w:tcPr>
            <w:tcW w:w="269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64"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34" w:hRule="exact"/>
        </w:trPr>
        <w:tc>
          <w:tcPr>
            <w:tcW w:w="243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72" w:type="dxa"/>
            <w:tcBorders>
              <w:top w:val="single" w:sz="4" w:space="0" w:color="000000"/>
              <w:left w:val="nil" w:sz="6" w:space="0" w:color="auto"/>
              <w:bottom w:val="nil" w:sz="6" w:space="0" w:color="auto"/>
              <w:right w:val="nil" w:sz="6" w:space="0" w:color="auto"/>
            </w:tcBorders>
          </w:tcPr>
          <w:p>
            <w:pPr/>
          </w:p>
        </w:tc>
        <w:tc>
          <w:tcPr>
            <w:tcW w:w="269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872"/>
              <w:jc w:val="right"/>
              <w:rPr>
                <w:rFonts w:ascii="宋体" w:hAnsi="宋体" w:cs="宋体" w:eastAsia="宋体" w:hint="default"/>
                <w:sz w:val="18"/>
                <w:szCs w:val="18"/>
              </w:rPr>
            </w:pPr>
            <w:r>
              <w:rPr>
                <w:rFonts w:ascii="宋体"/>
                <w:spacing w:val="-1"/>
                <w:sz w:val="18"/>
              </w:rPr>
              <w:t>10,188,919.21</w:t>
            </w:r>
          </w:p>
        </w:tc>
        <w:tc>
          <w:tcPr>
            <w:tcW w:w="1248" w:type="dxa"/>
            <w:tcBorders>
              <w:top w:val="single" w:sz="4" w:space="0" w:color="000000"/>
              <w:left w:val="nil" w:sz="6" w:space="0" w:color="auto"/>
              <w:bottom w:val="single" w:sz="13" w:space="0" w:color="000000"/>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10,188,919.21</w:t>
            </w:r>
          </w:p>
        </w:tc>
      </w:tr>
      <w:tr>
        <w:trPr>
          <w:trHeight w:val="399" w:hRule="exact"/>
        </w:trPr>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72"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72"/>
              <w:jc w:val="right"/>
              <w:rPr>
                <w:rFonts w:ascii="宋体" w:hAnsi="宋体" w:cs="宋体" w:eastAsia="宋体" w:hint="default"/>
                <w:sz w:val="18"/>
                <w:szCs w:val="18"/>
              </w:rPr>
            </w:pPr>
            <w:r>
              <w:rPr>
                <w:rFonts w:ascii="宋体"/>
                <w:spacing w:val="-1"/>
                <w:sz w:val="18"/>
              </w:rPr>
              <w:t>5,656,070.96</w:t>
            </w:r>
          </w:p>
        </w:tc>
        <w:tc>
          <w:tcPr>
            <w:tcW w:w="1248" w:type="dxa"/>
            <w:tcBorders>
              <w:top w:val="single" w:sz="13" w:space="0" w:color="000000"/>
              <w:left w:val="nil" w:sz="6" w:space="0" w:color="auto"/>
              <w:bottom w:val="single" w:sz="13" w:space="0" w:color="000000"/>
              <w:right w:val="nil" w:sz="6" w:space="0" w:color="auto"/>
            </w:tcBorders>
          </w:tcPr>
          <w:p>
            <w:pPr>
              <w:pStyle w:val="TableParagraph"/>
              <w:spacing w:line="240" w:lineRule="auto" w:before="131"/>
              <w:ind w:right="0"/>
              <w:jc w:val="right"/>
              <w:rPr>
                <w:rFonts w:ascii="宋体" w:hAnsi="宋体" w:cs="宋体" w:eastAsia="宋体" w:hint="default"/>
                <w:sz w:val="18"/>
                <w:szCs w:val="18"/>
              </w:rPr>
            </w:pPr>
            <w:r>
              <w:rPr>
                <w:rFonts w:ascii="宋体"/>
                <w:spacing w:val="-1"/>
                <w:sz w:val="18"/>
              </w:rPr>
              <w:t>5,656,070.96</w:t>
            </w:r>
          </w:p>
        </w:tc>
      </w:tr>
    </w:tbl>
    <w:p>
      <w:pPr>
        <w:spacing w:line="240" w:lineRule="auto" w:before="3"/>
        <w:rPr>
          <w:rFonts w:ascii="宋体" w:hAnsi="宋体" w:cs="宋体" w:eastAsia="宋体" w:hint="default"/>
          <w:sz w:val="19"/>
          <w:szCs w:val="19"/>
        </w:rPr>
      </w:pPr>
    </w:p>
    <w:p>
      <w:pPr>
        <w:pStyle w:val="BodyText"/>
        <w:spacing w:line="240" w:lineRule="auto" w:before="36"/>
        <w:ind w:left="1055" w:right="0"/>
        <w:jc w:val="left"/>
      </w:pPr>
      <w:bookmarkStart w:name="（二）信用风险" w:id="249"/>
      <w:bookmarkEnd w:id="249"/>
      <w:r>
        <w:rPr/>
      </w:r>
      <w:r>
        <w:rPr/>
        <w:t>（二）信用风险</w:t>
      </w:r>
    </w:p>
    <w:p>
      <w:pPr>
        <w:spacing w:line="240" w:lineRule="auto" w:before="8"/>
        <w:rPr>
          <w:rFonts w:ascii="宋体" w:hAnsi="宋体" w:cs="宋体" w:eastAsia="宋体" w:hint="default"/>
          <w:sz w:val="18"/>
          <w:szCs w:val="18"/>
        </w:rPr>
      </w:pPr>
    </w:p>
    <w:p>
      <w:pPr>
        <w:pStyle w:val="BodyText"/>
        <w:spacing w:line="309" w:lineRule="auto"/>
        <w:ind w:left="633" w:right="0" w:firstLine="422"/>
        <w:jc w:val="left"/>
      </w:pPr>
      <w:r>
        <w:rPr>
          <w:spacing w:val="-2"/>
        </w:rPr>
        <w:t>信用风险是指金融工具的一方不能履行义务，造成另一方发生财务损失的风险。本公司信用风险主要</w:t>
      </w:r>
      <w:r>
        <w:rPr>
          <w:w w:val="100"/>
        </w:rPr>
        <w:t> </w:t>
      </w:r>
      <w:r>
        <w:rPr/>
        <w:t>产生于银行存款、应收账款和其他应收款等。</w:t>
      </w:r>
    </w:p>
    <w:p>
      <w:pPr>
        <w:spacing w:line="240" w:lineRule="auto" w:before="5"/>
        <w:rPr>
          <w:rFonts w:ascii="宋体" w:hAnsi="宋体" w:cs="宋体" w:eastAsia="宋体" w:hint="default"/>
          <w:sz w:val="14"/>
          <w:szCs w:val="14"/>
        </w:rPr>
      </w:pPr>
    </w:p>
    <w:p>
      <w:pPr>
        <w:pStyle w:val="BodyText"/>
        <w:spacing w:line="309" w:lineRule="auto"/>
        <w:ind w:left="633" w:right="0" w:firstLine="422"/>
        <w:jc w:val="left"/>
      </w:pPr>
      <w:r>
        <w:rPr>
          <w:spacing w:val="-2"/>
        </w:rPr>
        <w:t>本公司银行存款主要存放于国有银行、大中型上市银行，在正常经济环境下，本公司认为其不存在重</w:t>
      </w:r>
      <w:r>
        <w:rPr>
          <w:w w:val="100"/>
        </w:rPr>
        <w:t> </w:t>
      </w:r>
      <w:r>
        <w:rPr/>
        <w:t>大的信用风险，不会产生因对方单位违约而导致的任何重大损失。</w:t>
      </w:r>
    </w:p>
    <w:p>
      <w:pPr>
        <w:spacing w:after="0" w:line="309" w:lineRule="auto"/>
        <w:jc w:val="left"/>
        <w:sectPr>
          <w:pgSz w:w="11910" w:h="16840"/>
          <w:pgMar w:header="741" w:footer="979" w:top="1060" w:bottom="1160" w:left="500" w:right="0"/>
        </w:sectPr>
      </w:pPr>
    </w:p>
    <w:p>
      <w:pPr>
        <w:spacing w:line="240" w:lineRule="auto" w:before="4"/>
        <w:rPr>
          <w:rFonts w:ascii="宋体" w:hAnsi="宋体" w:cs="宋体" w:eastAsia="宋体" w:hint="default"/>
          <w:sz w:val="29"/>
          <w:szCs w:val="29"/>
        </w:rPr>
      </w:pPr>
    </w:p>
    <w:p>
      <w:pPr>
        <w:pStyle w:val="BodyText"/>
        <w:spacing w:line="312" w:lineRule="auto" w:before="36"/>
        <w:ind w:left="393" w:right="62" w:firstLine="422"/>
        <w:jc w:val="left"/>
      </w:pPr>
      <w:r>
        <w:rPr/>
        <w:t>本公司应收账款主要来源于公关服务大客户及创业辅导培训学员客户信用等级高，故信用风险较低。</w:t>
      </w:r>
      <w:r>
        <w:rPr>
          <w:w w:val="100"/>
        </w:rPr>
        <w:t> </w:t>
      </w:r>
      <w:r>
        <w:rPr>
          <w:spacing w:val="-2"/>
        </w:rPr>
        <w:t>同时本公司对定期采用信用方式交易的客户进行信用评估。根据信用评估结果，本公司选择与经认可的且</w:t>
      </w:r>
      <w:r>
        <w:rPr>
          <w:spacing w:val="-33"/>
        </w:rPr>
        <w:t> </w:t>
      </w:r>
      <w:r>
        <w:rPr>
          <w:spacing w:val="-33"/>
        </w:rPr>
      </w:r>
      <w:r>
        <w:rPr>
          <w:spacing w:val="-2"/>
        </w:rPr>
        <w:t>信用良好的客户进行交易，并对其应收款项余额进行监控，对于信用记录不良的客户，本公司会采用书面</w:t>
      </w:r>
      <w:r>
        <w:rPr>
          <w:spacing w:val="-31"/>
        </w:rPr>
        <w:t> </w:t>
      </w:r>
      <w:r>
        <w:rPr>
          <w:spacing w:val="-31"/>
        </w:rPr>
      </w:r>
      <w:r>
        <w:rPr/>
        <w:t>催款、缩短信用期或取消信用期等方式，以确保本公司的整体信用风险在可控的范围内。</w:t>
      </w:r>
    </w:p>
    <w:p>
      <w:pPr>
        <w:spacing w:line="240" w:lineRule="auto" w:before="2"/>
        <w:rPr>
          <w:rFonts w:ascii="宋体" w:hAnsi="宋体" w:cs="宋体" w:eastAsia="宋体" w:hint="default"/>
          <w:sz w:val="14"/>
          <w:szCs w:val="14"/>
        </w:rPr>
      </w:pPr>
    </w:p>
    <w:p>
      <w:pPr>
        <w:pStyle w:val="BodyText"/>
        <w:spacing w:line="309" w:lineRule="auto"/>
        <w:ind w:left="393" w:right="62" w:firstLine="422"/>
        <w:jc w:val="left"/>
      </w:pPr>
      <w:r>
        <w:rPr>
          <w:spacing w:val="-2"/>
        </w:rPr>
        <w:t>对于其他应收款信用风险，公司主要通过备用金管理、定期检查清收管理，确保公司其他应收款余额</w:t>
      </w:r>
      <w:r>
        <w:rPr>
          <w:w w:val="100"/>
        </w:rPr>
        <w:t> </w:t>
      </w:r>
      <w:r>
        <w:rPr/>
        <w:t>和信用风险控制在合理范围。</w:t>
      </w:r>
    </w:p>
    <w:p>
      <w:pPr>
        <w:pStyle w:val="BodyText"/>
        <w:spacing w:line="524" w:lineRule="exact" w:before="4"/>
        <w:ind w:left="815" w:right="62"/>
        <w:jc w:val="left"/>
      </w:pPr>
      <w:bookmarkStart w:name="（三）流动性风险" w:id="250"/>
      <w:bookmarkEnd w:id="250"/>
      <w:r>
        <w:rPr/>
      </w:r>
      <w:r>
        <w:rPr/>
        <w:t>（三）流动性风险</w:t>
      </w:r>
      <w:r>
        <w:rPr>
          <w:spacing w:val="-101"/>
        </w:rPr>
        <w:t> </w:t>
      </w:r>
      <w:r>
        <w:rPr>
          <w:spacing w:val="-101"/>
        </w:rPr>
      </w:r>
      <w:r>
        <w:rPr>
          <w:spacing w:val="-2"/>
        </w:rPr>
        <w:t>流动性风险，是指企业在履行与金融负债有关的义务时遇到资金短缺的风险，其可能源于无法尽快以</w:t>
      </w:r>
    </w:p>
    <w:p>
      <w:pPr>
        <w:pStyle w:val="BodyText"/>
        <w:spacing w:line="309" w:lineRule="auto" w:before="10"/>
        <w:ind w:left="393" w:right="62"/>
        <w:jc w:val="left"/>
      </w:pPr>
      <w:r>
        <w:rPr>
          <w:spacing w:val="-2"/>
        </w:rPr>
        <w:t>公允价值售出金融资产；或者源于对方无法偿还其合同债务；或者源于提前到期的债务；或者源于无法产</w:t>
      </w:r>
      <w:r>
        <w:rPr>
          <w:spacing w:val="-33"/>
        </w:rPr>
        <w:t> </w:t>
      </w:r>
      <w:r>
        <w:rPr>
          <w:spacing w:val="-33"/>
        </w:rPr>
      </w:r>
      <w:r>
        <w:rPr/>
        <w:t>生预期的现金流量。</w:t>
      </w:r>
    </w:p>
    <w:p>
      <w:pPr>
        <w:spacing w:line="240" w:lineRule="auto" w:before="0"/>
        <w:rPr>
          <w:rFonts w:ascii="宋体" w:hAnsi="宋体" w:cs="宋体" w:eastAsia="宋体" w:hint="default"/>
          <w:sz w:val="14"/>
          <w:szCs w:val="14"/>
        </w:rPr>
      </w:pPr>
    </w:p>
    <w:p>
      <w:pPr>
        <w:pStyle w:val="BodyText"/>
        <w:spacing w:line="312" w:lineRule="auto"/>
        <w:ind w:left="393" w:right="62" w:firstLine="422"/>
        <w:jc w:val="left"/>
      </w:pPr>
      <w:r>
        <w:rPr>
          <w:spacing w:val="-2"/>
        </w:rPr>
        <w:t>本公司的政策是确保拥有充足的现金偿还到期债务。流动性风险由本公司财务部门管理和控制，综合</w:t>
      </w:r>
      <w:r>
        <w:rPr>
          <w:w w:val="100"/>
        </w:rPr>
        <w:t> </w:t>
      </w:r>
      <w:r>
        <w:rPr/>
        <w:t>运用债权信用管理、争取供应商较长的信用期限和信用额度、扩展融资渠道争取增加银行授信敞口额度，</w:t>
      </w:r>
      <w:r>
        <w:rPr>
          <w:spacing w:val="-30"/>
        </w:rPr>
        <w:t> </w:t>
      </w:r>
      <w:r>
        <w:rPr>
          <w:spacing w:val="-30"/>
        </w:rPr>
      </w:r>
      <w:r>
        <w:rPr/>
        <w:t>保证本公司在所有合理运营的情况下拥有充足的资金维持日常运营及突发事件，防止发生流动性风险。</w:t>
      </w:r>
    </w:p>
    <w:p>
      <w:pPr>
        <w:pStyle w:val="BodyText"/>
        <w:spacing w:line="518" w:lineRule="exact" w:before="11"/>
        <w:ind w:left="815" w:right="62"/>
        <w:jc w:val="left"/>
      </w:pPr>
      <w:bookmarkStart w:name="（四）市场风险" w:id="251"/>
      <w:bookmarkEnd w:id="251"/>
      <w:r>
        <w:rPr/>
      </w:r>
      <w:r>
        <w:rPr/>
        <w:t>（四）市场风险</w:t>
      </w:r>
      <w:r>
        <w:rPr>
          <w:spacing w:val="-102"/>
        </w:rPr>
        <w:t> </w:t>
      </w:r>
      <w:r>
        <w:rPr>
          <w:spacing w:val="-102"/>
        </w:rPr>
      </w:r>
      <w:r>
        <w:rPr/>
        <w:t>金融工具的市场风险，是指金融工具的公允价值或未来现金流量因市场价格变动而发生波动的风险，</w:t>
      </w:r>
    </w:p>
    <w:p>
      <w:pPr>
        <w:pStyle w:val="BodyText"/>
        <w:spacing w:line="453" w:lineRule="auto" w:before="6"/>
        <w:ind w:left="815" w:right="5685" w:hanging="423"/>
        <w:jc w:val="left"/>
      </w:pPr>
      <w:r>
        <w:rPr>
          <w:spacing w:val="-2"/>
        </w:rPr>
        <w:t>包括利率风险、外汇风险和其他价格风险。</w:t>
      </w:r>
      <w:r>
        <w:rPr>
          <w:spacing w:val="-65"/>
        </w:rPr>
        <w:t> </w:t>
      </w:r>
      <w:r>
        <w:rPr>
          <w:spacing w:val="-65"/>
        </w:rPr>
      </w:r>
      <w:r>
        <w:rPr>
          <w:rFonts w:ascii="宋体" w:hAnsi="宋体" w:cs="宋体" w:eastAsia="宋体" w:hint="default"/>
        </w:rPr>
        <w:t>1</w:t>
      </w:r>
      <w:r>
        <w:rPr/>
        <w:t>、利率风险</w:t>
      </w:r>
    </w:p>
    <w:p>
      <w:pPr>
        <w:pStyle w:val="BodyText"/>
        <w:spacing w:line="309" w:lineRule="auto" w:before="56"/>
        <w:ind w:left="393" w:right="62" w:firstLine="422"/>
        <w:jc w:val="left"/>
      </w:pPr>
      <w:r>
        <w:rPr>
          <w:spacing w:val="-2"/>
        </w:rPr>
        <w:t>利率风险，是指金融工具的公允价值或未来现金流量因市场利率变动而发生波动的风险。本公司无借</w:t>
      </w:r>
      <w:r>
        <w:rPr>
          <w:w w:val="100"/>
        </w:rPr>
        <w:t> </w:t>
      </w:r>
      <w:r>
        <w:rPr/>
        <w:t>款项目，因此利率变动不会对本公司造成风险。</w:t>
      </w:r>
    </w:p>
    <w:p>
      <w:pPr>
        <w:pStyle w:val="BodyText"/>
        <w:spacing w:line="518" w:lineRule="exact" w:before="13"/>
        <w:ind w:left="815" w:right="62"/>
        <w:jc w:val="left"/>
      </w:pPr>
      <w:r>
        <w:rPr>
          <w:rFonts w:ascii="宋体" w:hAnsi="宋体" w:cs="宋体" w:eastAsia="宋体" w:hint="default"/>
        </w:rPr>
        <w:t>2</w:t>
      </w:r>
      <w:r>
        <w:rPr/>
        <w:t>、外汇风险</w:t>
      </w:r>
      <w:r>
        <w:rPr>
          <w:spacing w:val="-99"/>
        </w:rPr>
        <w:t> </w:t>
      </w:r>
      <w:r>
        <w:rPr>
          <w:spacing w:val="-2"/>
        </w:rPr>
        <w:t>外汇风险，是指金融工具的公允价值或未来现金流量因外汇汇率变动而发生波动的风险。本公司无外</w:t>
      </w:r>
    </w:p>
    <w:p>
      <w:pPr>
        <w:pStyle w:val="BodyText"/>
        <w:spacing w:line="240" w:lineRule="auto" w:before="6"/>
        <w:ind w:left="393" w:right="62"/>
        <w:jc w:val="left"/>
      </w:pPr>
      <w:r>
        <w:rPr/>
        <w:t>汇项目，因此外汇变动不会对本公司造成风险。</w:t>
      </w:r>
    </w:p>
    <w:p>
      <w:pPr>
        <w:spacing w:line="240" w:lineRule="auto" w:before="1"/>
        <w:rPr>
          <w:rFonts w:ascii="宋体" w:hAnsi="宋体" w:cs="宋体" w:eastAsia="宋体" w:hint="default"/>
          <w:sz w:val="28"/>
          <w:szCs w:val="28"/>
        </w:rPr>
      </w:pPr>
    </w:p>
    <w:p>
      <w:pPr>
        <w:pStyle w:val="Heading2"/>
        <w:spacing w:line="240" w:lineRule="auto"/>
        <w:ind w:left="873" w:right="62"/>
        <w:jc w:val="left"/>
        <w:rPr>
          <w:rFonts w:ascii="黑体" w:hAnsi="黑体" w:cs="黑体" w:eastAsia="黑体" w:hint="default"/>
          <w:b w:val="0"/>
          <w:bCs w:val="0"/>
        </w:rPr>
      </w:pPr>
      <w:bookmarkStart w:name="十、公允价值的披露" w:id="252"/>
      <w:bookmarkEnd w:id="252"/>
      <w:r>
        <w:rPr>
          <w:b w:val="0"/>
          <w:bCs w:val="0"/>
        </w:rPr>
      </w:r>
      <w:r>
        <w:rPr>
          <w:rFonts w:ascii="黑体" w:hAnsi="黑体" w:cs="黑体" w:eastAsia="黑体" w:hint="default"/>
        </w:rPr>
        <w:t>十、公允价值的披露</w:t>
      </w:r>
      <w:r>
        <w:rPr>
          <w:rFonts w:ascii="黑体" w:hAnsi="黑体" w:cs="黑体" w:eastAsia="黑体" w:hint="default"/>
          <w:b w:val="0"/>
          <w:bCs w:val="0"/>
        </w:rPr>
      </w:r>
    </w:p>
    <w:p>
      <w:pPr>
        <w:spacing w:line="240" w:lineRule="auto" w:before="9"/>
        <w:rPr>
          <w:rFonts w:ascii="黑体" w:hAnsi="黑体" w:cs="黑体" w:eastAsia="黑体" w:hint="default"/>
          <w:b/>
          <w:bCs/>
          <w:sz w:val="29"/>
          <w:szCs w:val="29"/>
        </w:rPr>
      </w:pPr>
    </w:p>
    <w:p>
      <w:pPr>
        <w:pStyle w:val="BodyText"/>
        <w:spacing w:line="240" w:lineRule="auto"/>
        <w:ind w:left="815" w:right="62"/>
        <w:jc w:val="left"/>
      </w:pPr>
      <w:bookmarkStart w:name="（一） 以公允价值计量的资产和负债的期末公允价值" w:id="253"/>
      <w:bookmarkEnd w:id="253"/>
      <w:r>
        <w:rPr/>
      </w:r>
      <w:r>
        <w:rPr/>
        <w:t>（一）</w:t>
      </w:r>
      <w:r>
        <w:rPr>
          <w:spacing w:val="-12"/>
        </w:rPr>
        <w:t> </w:t>
      </w:r>
      <w:r>
        <w:rPr/>
        <w:t>以公允价值计量的资产和负债的期末公允价值</w:t>
      </w:r>
    </w:p>
    <w:p>
      <w:pPr>
        <w:spacing w:line="240" w:lineRule="auto" w:before="11"/>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3092"/>
        <w:gridCol w:w="2050"/>
        <w:gridCol w:w="1589"/>
        <w:gridCol w:w="1940"/>
        <w:gridCol w:w="1547"/>
      </w:tblGrid>
      <w:tr>
        <w:trPr>
          <w:trHeight w:val="271" w:hRule="exact"/>
        </w:trPr>
        <w:tc>
          <w:tcPr>
            <w:tcW w:w="10218" w:type="dxa"/>
            <w:gridSpan w:val="5"/>
            <w:tcBorders>
              <w:top w:val="nil" w:sz="6" w:space="0" w:color="auto"/>
              <w:left w:val="nil" w:sz="6" w:space="0" w:color="auto"/>
              <w:bottom w:val="nil" w:sz="6" w:space="0" w:color="auto"/>
              <w:right w:val="nil" w:sz="6" w:space="0" w:color="auto"/>
            </w:tcBorders>
          </w:tcPr>
          <w:p>
            <w:pPr>
              <w:pStyle w:val="TableParagraph"/>
              <w:spacing w:line="182" w:lineRule="exact"/>
              <w:ind w:left="643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02" w:hRule="exact"/>
        </w:trPr>
        <w:tc>
          <w:tcPr>
            <w:tcW w:w="309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0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92" w:right="0"/>
              <w:jc w:val="center"/>
              <w:rPr>
                <w:rFonts w:ascii="宋体" w:hAnsi="宋体" w:cs="宋体" w:eastAsia="宋体" w:hint="default"/>
                <w:sz w:val="18"/>
                <w:szCs w:val="18"/>
              </w:rPr>
            </w:pPr>
            <w:r>
              <w:rPr>
                <w:rFonts w:ascii="宋体" w:hAnsi="宋体" w:cs="宋体" w:eastAsia="宋体" w:hint="default"/>
                <w:b/>
                <w:bCs/>
                <w:sz w:val="18"/>
                <w:szCs w:val="18"/>
              </w:rPr>
              <w:t>第一层次公允价值</w:t>
            </w:r>
            <w:r>
              <w:rPr>
                <w:rFonts w:ascii="宋体" w:hAnsi="宋体" w:cs="宋体" w:eastAsia="宋体" w:hint="default"/>
                <w:sz w:val="18"/>
                <w:szCs w:val="18"/>
              </w:rPr>
            </w:r>
          </w:p>
          <w:p>
            <w:pPr>
              <w:pStyle w:val="TableParagraph"/>
              <w:spacing w:line="240" w:lineRule="auto" w:before="124"/>
              <w:ind w:left="293" w:right="0"/>
              <w:jc w:val="center"/>
              <w:rPr>
                <w:rFonts w:ascii="宋体" w:hAnsi="宋体" w:cs="宋体" w:eastAsia="宋体" w:hint="default"/>
                <w:sz w:val="18"/>
                <w:szCs w:val="18"/>
              </w:rPr>
            </w:pPr>
            <w:r>
              <w:rPr>
                <w:rFonts w:ascii="宋体" w:hAnsi="宋体" w:cs="宋体" w:eastAsia="宋体" w:hint="default"/>
                <w:b/>
                <w:bCs/>
                <w:sz w:val="18"/>
                <w:szCs w:val="18"/>
              </w:rPr>
              <w:t>计量</w:t>
            </w:r>
            <w:r>
              <w:rPr>
                <w:rFonts w:ascii="宋体" w:hAnsi="宋体" w:cs="宋体" w:eastAsia="宋体" w:hint="default"/>
                <w:sz w:val="18"/>
                <w:szCs w:val="18"/>
              </w:rPr>
            </w: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
              <w:jc w:val="center"/>
              <w:rPr>
                <w:rFonts w:ascii="宋体" w:hAnsi="宋体" w:cs="宋体" w:eastAsia="宋体" w:hint="default"/>
                <w:sz w:val="18"/>
                <w:szCs w:val="18"/>
              </w:rPr>
            </w:pPr>
            <w:r>
              <w:rPr>
                <w:rFonts w:ascii="宋体" w:hAnsi="宋体" w:cs="宋体" w:eastAsia="宋体" w:hint="default"/>
                <w:b/>
                <w:bCs/>
                <w:sz w:val="18"/>
                <w:szCs w:val="18"/>
              </w:rPr>
              <w:t>第二层次公允价</w:t>
            </w:r>
            <w:r>
              <w:rPr>
                <w:rFonts w:ascii="宋体" w:hAnsi="宋体" w:cs="宋体" w:eastAsia="宋体" w:hint="default"/>
                <w:sz w:val="18"/>
                <w:szCs w:val="18"/>
              </w:rPr>
            </w:r>
          </w:p>
          <w:p>
            <w:pPr>
              <w:pStyle w:val="TableParagraph"/>
              <w:spacing w:line="240" w:lineRule="auto" w:before="124"/>
              <w:ind w:right="12"/>
              <w:jc w:val="center"/>
              <w:rPr>
                <w:rFonts w:ascii="宋体" w:hAnsi="宋体" w:cs="宋体" w:eastAsia="宋体" w:hint="default"/>
                <w:sz w:val="18"/>
                <w:szCs w:val="18"/>
              </w:rPr>
            </w:pPr>
            <w:r>
              <w:rPr>
                <w:rFonts w:ascii="宋体" w:hAnsi="宋体" w:cs="宋体" w:eastAsia="宋体" w:hint="default"/>
                <w:b/>
                <w:bCs/>
                <w:sz w:val="18"/>
                <w:szCs w:val="18"/>
              </w:rPr>
              <w:t>值计量</w:t>
            </w:r>
            <w:r>
              <w:rPr>
                <w:rFonts w:ascii="宋体" w:hAnsi="宋体" w:cs="宋体" w:eastAsia="宋体" w:hint="default"/>
                <w:sz w:val="18"/>
                <w:szCs w:val="18"/>
              </w:rPr>
            </w:r>
          </w:p>
        </w:tc>
        <w:tc>
          <w:tcPr>
            <w:tcW w:w="19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51"/>
              <w:jc w:val="center"/>
              <w:rPr>
                <w:rFonts w:ascii="宋体" w:hAnsi="宋体" w:cs="宋体" w:eastAsia="宋体" w:hint="default"/>
                <w:sz w:val="18"/>
                <w:szCs w:val="18"/>
              </w:rPr>
            </w:pPr>
            <w:r>
              <w:rPr>
                <w:rFonts w:ascii="宋体" w:hAnsi="宋体" w:cs="宋体" w:eastAsia="宋体" w:hint="default"/>
                <w:b/>
                <w:bCs/>
                <w:sz w:val="18"/>
                <w:szCs w:val="18"/>
              </w:rPr>
              <w:t>第三层次公允价值</w:t>
            </w:r>
            <w:r>
              <w:rPr>
                <w:rFonts w:ascii="宋体" w:hAnsi="宋体" w:cs="宋体" w:eastAsia="宋体" w:hint="default"/>
                <w:sz w:val="18"/>
                <w:szCs w:val="18"/>
              </w:rPr>
            </w:r>
          </w:p>
          <w:p>
            <w:pPr>
              <w:pStyle w:val="TableParagraph"/>
              <w:spacing w:line="240" w:lineRule="auto" w:before="124"/>
              <w:ind w:right="150"/>
              <w:jc w:val="center"/>
              <w:rPr>
                <w:rFonts w:ascii="宋体" w:hAnsi="宋体" w:cs="宋体" w:eastAsia="宋体" w:hint="default"/>
                <w:sz w:val="18"/>
                <w:szCs w:val="18"/>
              </w:rPr>
            </w:pPr>
            <w:r>
              <w:rPr>
                <w:rFonts w:ascii="宋体" w:hAnsi="宋体" w:cs="宋体" w:eastAsia="宋体" w:hint="default"/>
                <w:b/>
                <w:bCs/>
                <w:sz w:val="18"/>
                <w:szCs w:val="18"/>
              </w:rPr>
              <w:t>计量</w:t>
            </w:r>
            <w:r>
              <w:rPr>
                <w:rFonts w:ascii="宋体" w:hAnsi="宋体" w:cs="宋体" w:eastAsia="宋体" w:hint="default"/>
                <w:sz w:val="18"/>
                <w:szCs w:val="18"/>
              </w:rPr>
            </w:r>
          </w:p>
        </w:tc>
        <w:tc>
          <w:tcPr>
            <w:tcW w:w="154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51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26" w:hRule="exact"/>
        </w:trPr>
        <w:tc>
          <w:tcPr>
            <w:tcW w:w="309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tc>
        <w:tc>
          <w:tcPr>
            <w:tcW w:w="2050" w:type="dxa"/>
            <w:tcBorders>
              <w:top w:val="single" w:sz="4" w:space="0" w:color="000000"/>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
        </w:tc>
        <w:tc>
          <w:tcPr>
            <w:tcW w:w="1940" w:type="dxa"/>
            <w:tcBorders>
              <w:top w:val="single" w:sz="4" w:space="0" w:color="000000"/>
              <w:left w:val="nil" w:sz="6" w:space="0" w:color="auto"/>
              <w:bottom w:val="nil" w:sz="6" w:space="0" w:color="auto"/>
              <w:right w:val="nil" w:sz="6" w:space="0" w:color="auto"/>
            </w:tcBorders>
          </w:tcPr>
          <w:p>
            <w:pPr/>
          </w:p>
        </w:tc>
        <w:tc>
          <w:tcPr>
            <w:tcW w:w="1547" w:type="dxa"/>
            <w:tcBorders>
              <w:top w:val="single" w:sz="4" w:space="0" w:color="000000"/>
              <w:left w:val="nil" w:sz="6" w:space="0" w:color="auto"/>
              <w:bottom w:val="nil" w:sz="6" w:space="0" w:color="auto"/>
              <w:right w:val="nil" w:sz="6" w:space="0" w:color="auto"/>
            </w:tcBorders>
          </w:tcPr>
          <w:p>
            <w:pPr/>
          </w:p>
        </w:tc>
      </w:tr>
      <w:tr>
        <w:trPr>
          <w:trHeight w:val="399"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（一）其他非流动金融资产</w:t>
            </w:r>
          </w:p>
        </w:tc>
        <w:tc>
          <w:tcPr>
            <w:tcW w:w="205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r>
      <w:tr>
        <w:trPr>
          <w:trHeight w:val="406"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）权益工具投资</w:t>
            </w:r>
          </w:p>
        </w:tc>
        <w:tc>
          <w:tcPr>
            <w:tcW w:w="205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2"/>
              <w:jc w:val="right"/>
              <w:rPr>
                <w:rFonts w:ascii="宋体" w:hAnsi="宋体" w:cs="宋体" w:eastAsia="宋体" w:hint="default"/>
                <w:sz w:val="18"/>
                <w:szCs w:val="18"/>
              </w:rPr>
            </w:pPr>
            <w:r>
              <w:rPr>
                <w:rFonts w:ascii="宋体"/>
                <w:spacing w:val="-1"/>
                <w:sz w:val="18"/>
              </w:rPr>
              <w:t>18,407,869.90</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spacing w:val="-1"/>
                <w:sz w:val="18"/>
              </w:rPr>
              <w:t>18,407,869.90</w:t>
            </w:r>
          </w:p>
        </w:tc>
      </w:tr>
      <w:tr>
        <w:trPr>
          <w:trHeight w:val="298" w:hRule="exact"/>
        </w:trPr>
        <w:tc>
          <w:tcPr>
            <w:tcW w:w="309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2050"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52"/>
              <w:jc w:val="right"/>
              <w:rPr>
                <w:rFonts w:ascii="宋体" w:hAnsi="宋体" w:cs="宋体" w:eastAsia="宋体" w:hint="default"/>
                <w:sz w:val="18"/>
                <w:szCs w:val="18"/>
              </w:rPr>
            </w:pPr>
            <w:r>
              <w:rPr>
                <w:rFonts w:ascii="宋体"/>
                <w:b/>
                <w:sz w:val="18"/>
              </w:rPr>
              <w:t>18,407,869.90</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宋体" w:hAnsi="宋体" w:cs="宋体" w:eastAsia="宋体" w:hint="default"/>
                <w:sz w:val="18"/>
                <w:szCs w:val="18"/>
              </w:rPr>
            </w:pPr>
            <w:r>
              <w:rPr>
                <w:rFonts w:ascii="宋体"/>
                <w:b/>
                <w:sz w:val="18"/>
              </w:rPr>
              <w:t>18,407,869.90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741" w:footer="979" w:top="1060" w:bottom="1160" w:left="7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1455" w:right="4097"/>
        <w:jc w:val="left"/>
      </w:pPr>
      <w:r>
        <w:rPr/>
        <w:t>注：关于非上市权益工具投资以净资产为基础确认公允价值。</w:t>
      </w:r>
    </w:p>
    <w:p>
      <w:pPr>
        <w:spacing w:line="240" w:lineRule="auto" w:before="9"/>
        <w:rPr>
          <w:rFonts w:ascii="宋体" w:hAnsi="宋体" w:cs="宋体" w:eastAsia="宋体" w:hint="default"/>
          <w:sz w:val="18"/>
          <w:szCs w:val="18"/>
        </w:rPr>
      </w:pPr>
    </w:p>
    <w:p>
      <w:pPr>
        <w:pStyle w:val="BodyText"/>
        <w:spacing w:line="448" w:lineRule="auto"/>
        <w:ind w:left="1455" w:right="4097"/>
        <w:jc w:val="left"/>
      </w:pPr>
      <w:bookmarkStart w:name="（二）持续和非持续第一层次公允价值计量项目市价的确定依据" w:id="254"/>
      <w:bookmarkEnd w:id="254"/>
      <w:r>
        <w:rPr/>
      </w:r>
      <w:r>
        <w:rPr>
          <w:spacing w:val="-1"/>
        </w:rPr>
        <w:t>（二）持续和非持续第一层次公允价值计量项目市价的确定依据</w:t>
      </w:r>
      <w:r>
        <w:rPr>
          <w:spacing w:val="-72"/>
        </w:rPr>
        <w:t> </w:t>
      </w:r>
      <w:r>
        <w:rPr>
          <w:spacing w:val="-72"/>
        </w:rPr>
      </w:r>
      <w:r>
        <w:rPr/>
        <w:t>无。</w:t>
      </w:r>
    </w:p>
    <w:p>
      <w:pPr>
        <w:pStyle w:val="BodyText"/>
        <w:spacing w:line="448" w:lineRule="auto" w:before="61"/>
        <w:ind w:left="1455" w:right="1421"/>
        <w:jc w:val="left"/>
      </w:pPr>
      <w:bookmarkStart w:name="（三）持续和非持续第二层次公允价值计量项目，采用估值技术和重要参数的定性及定量信" w:id="255"/>
      <w:bookmarkEnd w:id="255"/>
      <w:r>
        <w:rPr/>
      </w:r>
      <w:r>
        <w:rPr>
          <w:spacing w:val="-2"/>
        </w:rPr>
        <w:t>（三）持续和非持续第二层次公允价值计量项目，采用估值技术和重要参数的定性及定量信息</w:t>
      </w:r>
      <w:r>
        <w:rPr>
          <w:spacing w:val="-21"/>
        </w:rPr>
        <w:t> </w:t>
      </w:r>
      <w:r>
        <w:rPr>
          <w:spacing w:val="-21"/>
        </w:rPr>
      </w:r>
      <w:r>
        <w:rPr/>
        <w:t>无。</w:t>
      </w:r>
    </w:p>
    <w:p>
      <w:pPr>
        <w:pStyle w:val="BodyText"/>
        <w:spacing w:line="240" w:lineRule="auto" w:before="61"/>
        <w:ind w:left="1455" w:right="1421"/>
        <w:jc w:val="left"/>
      </w:pPr>
      <w:bookmarkStart w:name="（四）持续和非持续第三层次公允价值计量项目，采用估值技术和重要参数的定性及定量信" w:id="256"/>
      <w:bookmarkEnd w:id="256"/>
      <w:r>
        <w:rPr/>
      </w:r>
      <w:r>
        <w:rPr/>
        <w:t>（四）持续和非持续第三层次公允价值计量项目，采用估值技术和重要参数的定性及定量信息</w:t>
      </w:r>
    </w:p>
    <w:p>
      <w:pPr>
        <w:spacing w:line="240" w:lineRule="auto" w:before="5"/>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4941"/>
        <w:gridCol w:w="2226"/>
        <w:gridCol w:w="1553"/>
        <w:gridCol w:w="1364"/>
        <w:gridCol w:w="1421"/>
      </w:tblGrid>
      <w:tr>
        <w:trPr>
          <w:trHeight w:val="594" w:hRule="exact"/>
        </w:trPr>
        <w:tc>
          <w:tcPr>
            <w:tcW w:w="494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27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691" w:right="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391" w:right="0"/>
              <w:jc w:val="left"/>
              <w:rPr>
                <w:rFonts w:ascii="宋体" w:hAnsi="宋体" w:cs="宋体" w:eastAsia="宋体" w:hint="default"/>
                <w:sz w:val="18"/>
                <w:szCs w:val="18"/>
              </w:rPr>
            </w:pPr>
            <w:r>
              <w:rPr>
                <w:rFonts w:ascii="宋体" w:hAnsi="宋体" w:cs="宋体" w:eastAsia="宋体" w:hint="default"/>
                <w:b/>
                <w:bCs/>
                <w:sz w:val="18"/>
                <w:szCs w:val="18"/>
              </w:rPr>
              <w:t>估值技术</w:t>
            </w:r>
            <w:r>
              <w:rPr>
                <w:rFonts w:ascii="宋体" w:hAnsi="宋体" w:cs="宋体" w:eastAsia="宋体" w:hint="default"/>
                <w:sz w:val="18"/>
                <w:szCs w:val="18"/>
              </w:rPr>
            </w:r>
          </w:p>
        </w:tc>
        <w:tc>
          <w:tcPr>
            <w:tcW w:w="1364" w:type="dxa"/>
            <w:tcBorders>
              <w:top w:val="nil" w:sz="6" w:space="0" w:color="auto"/>
              <w:left w:val="nil" w:sz="6" w:space="0" w:color="auto"/>
              <w:bottom w:val="single" w:sz="4" w:space="0" w:color="000000"/>
              <w:right w:val="nil" w:sz="6" w:space="0" w:color="auto"/>
            </w:tcBorders>
          </w:tcPr>
          <w:p>
            <w:pPr>
              <w:pStyle w:val="TableParagraph"/>
              <w:spacing w:line="182" w:lineRule="exact"/>
              <w:ind w:right="127"/>
              <w:jc w:val="center"/>
              <w:rPr>
                <w:rFonts w:ascii="宋体" w:hAnsi="宋体" w:cs="宋体" w:eastAsia="宋体" w:hint="default"/>
                <w:sz w:val="18"/>
                <w:szCs w:val="18"/>
              </w:rPr>
            </w:pPr>
            <w:r>
              <w:rPr>
                <w:rFonts w:ascii="宋体" w:hAnsi="宋体" w:cs="宋体" w:eastAsia="宋体" w:hint="default"/>
                <w:b/>
                <w:bCs/>
                <w:sz w:val="18"/>
                <w:szCs w:val="18"/>
              </w:rPr>
              <w:t>不可观察输</w:t>
            </w:r>
            <w:r>
              <w:rPr>
                <w:rFonts w:ascii="宋体" w:hAnsi="宋体" w:cs="宋体" w:eastAsia="宋体" w:hint="default"/>
                <w:sz w:val="18"/>
                <w:szCs w:val="18"/>
              </w:rPr>
            </w:r>
          </w:p>
          <w:p>
            <w:pPr>
              <w:pStyle w:val="TableParagraph"/>
              <w:spacing w:line="240" w:lineRule="auto" w:before="124"/>
              <w:ind w:right="122"/>
              <w:jc w:val="center"/>
              <w:rPr>
                <w:rFonts w:ascii="宋体" w:hAnsi="宋体" w:cs="宋体" w:eastAsia="宋体" w:hint="default"/>
                <w:sz w:val="18"/>
                <w:szCs w:val="18"/>
              </w:rPr>
            </w:pPr>
            <w:r>
              <w:rPr>
                <w:rFonts w:ascii="宋体" w:hAnsi="宋体" w:cs="宋体" w:eastAsia="宋体" w:hint="default"/>
                <w:b/>
                <w:bCs/>
                <w:sz w:val="18"/>
                <w:szCs w:val="18"/>
              </w:rPr>
              <w:t>入值</w:t>
            </w:r>
            <w:r>
              <w:rPr>
                <w:rFonts w:ascii="宋体" w:hAnsi="宋体" w:cs="宋体" w:eastAsia="宋体" w:hint="default"/>
                <w:sz w:val="18"/>
                <w:szCs w:val="18"/>
              </w:rPr>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right="103"/>
              <w:jc w:val="center"/>
              <w:rPr>
                <w:rFonts w:ascii="宋体" w:hAnsi="宋体" w:cs="宋体" w:eastAsia="宋体" w:hint="default"/>
                <w:sz w:val="18"/>
                <w:szCs w:val="18"/>
              </w:rPr>
            </w:pPr>
            <w:r>
              <w:rPr>
                <w:rFonts w:ascii="宋体" w:hAnsi="宋体" w:cs="宋体" w:eastAsia="宋体" w:hint="default"/>
                <w:b/>
                <w:bCs/>
                <w:sz w:val="18"/>
                <w:szCs w:val="18"/>
              </w:rPr>
              <w:t>范围区间</w:t>
            </w:r>
            <w:r>
              <w:rPr>
                <w:rFonts w:ascii="宋体" w:hAnsi="宋体" w:cs="宋体" w:eastAsia="宋体" w:hint="default"/>
                <w:sz w:val="18"/>
                <w:szCs w:val="18"/>
              </w:rPr>
            </w:r>
          </w:p>
        </w:tc>
      </w:tr>
      <w:tr>
        <w:trPr>
          <w:trHeight w:val="360" w:hRule="exact"/>
        </w:trPr>
        <w:tc>
          <w:tcPr>
            <w:tcW w:w="494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东莞市达晨创景股权投资合伙企业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r>
              <w:rPr>
                <w:rFonts w:ascii="宋体" w:hAnsi="宋体" w:cs="宋体" w:eastAsia="宋体" w:hint="default"/>
                <w:spacing w:val="-3"/>
                <w:sz w:val="18"/>
                <w:szCs w:val="18"/>
              </w:rPr>
              <w:t>投资款</w:t>
            </w:r>
          </w:p>
        </w:tc>
        <w:tc>
          <w:tcPr>
            <w:tcW w:w="222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25"/>
              <w:jc w:val="right"/>
              <w:rPr>
                <w:rFonts w:ascii="宋体" w:hAnsi="宋体" w:cs="宋体" w:eastAsia="宋体" w:hint="default"/>
                <w:sz w:val="18"/>
                <w:szCs w:val="18"/>
              </w:rPr>
            </w:pPr>
            <w:r>
              <w:rPr>
                <w:rFonts w:ascii="宋体"/>
                <w:spacing w:val="-1"/>
                <w:sz w:val="18"/>
              </w:rPr>
              <w:t>5,158,309.49</w:t>
            </w:r>
          </w:p>
        </w:tc>
        <w:tc>
          <w:tcPr>
            <w:tcW w:w="1553"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71" w:right="0"/>
              <w:jc w:val="left"/>
              <w:rPr>
                <w:rFonts w:ascii="宋体" w:hAnsi="宋体" w:cs="宋体" w:eastAsia="宋体" w:hint="default"/>
                <w:sz w:val="18"/>
                <w:szCs w:val="18"/>
              </w:rPr>
            </w:pPr>
            <w:r>
              <w:rPr>
                <w:rFonts w:ascii="宋体"/>
                <w:w w:val="101"/>
                <w:sz w:val="18"/>
              </w:rPr>
              <w:t>/</w:t>
            </w:r>
            <w:r>
              <w:rPr>
                <w:rFonts w:ascii="宋体"/>
                <w:sz w:val="18"/>
              </w:rPr>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07"/>
              <w:jc w:val="center"/>
              <w:rPr>
                <w:rFonts w:ascii="宋体" w:hAnsi="宋体" w:cs="宋体" w:eastAsia="宋体" w:hint="default"/>
                <w:sz w:val="18"/>
                <w:szCs w:val="18"/>
              </w:rPr>
            </w:pPr>
            <w:r>
              <w:rPr>
                <w:rFonts w:ascii="宋体"/>
                <w:w w:val="101"/>
                <w:sz w:val="18"/>
              </w:rPr>
              <w:t>/</w:t>
            </w:r>
            <w:r>
              <w:rPr>
                <w:rFonts w:ascii="宋体"/>
                <w:sz w:val="18"/>
              </w:rPr>
            </w:r>
          </w:p>
        </w:tc>
      </w:tr>
      <w:tr>
        <w:trPr>
          <w:trHeight w:val="588" w:hRule="exact"/>
        </w:trPr>
        <w:tc>
          <w:tcPr>
            <w:tcW w:w="494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广州博鳌纵横网络科技有限公司投资款</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25"/>
              <w:jc w:val="right"/>
              <w:rPr>
                <w:rFonts w:ascii="宋体" w:hAnsi="宋体" w:cs="宋体" w:eastAsia="宋体" w:hint="default"/>
                <w:sz w:val="18"/>
                <w:szCs w:val="18"/>
              </w:rPr>
            </w:pPr>
            <w:r>
              <w:rPr>
                <w:rFonts w:ascii="宋体"/>
                <w:spacing w:val="-1"/>
                <w:sz w:val="18"/>
              </w:rPr>
              <w:t>10,249,560.41</w:t>
            </w:r>
          </w:p>
        </w:tc>
        <w:tc>
          <w:tcPr>
            <w:tcW w:w="1553" w:type="dxa"/>
            <w:tcBorders>
              <w:top w:val="nil" w:sz="6" w:space="0" w:color="auto"/>
              <w:left w:val="nil" w:sz="6" w:space="0" w:color="auto"/>
              <w:bottom w:val="nil" w:sz="6" w:space="0" w:color="auto"/>
              <w:right w:val="nil" w:sz="6" w:space="0" w:color="auto"/>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pacing w:val="-3"/>
                <w:sz w:val="18"/>
                <w:szCs w:val="18"/>
              </w:rPr>
              <w:t>以经调整净资产</w:t>
            </w:r>
          </w:p>
          <w:p>
            <w:pPr>
              <w:pStyle w:val="TableParagraph"/>
              <w:spacing w:line="240" w:lineRule="auto" w:before="124"/>
              <w:ind w:left="127" w:right="0"/>
              <w:jc w:val="left"/>
              <w:rPr>
                <w:rFonts w:ascii="宋体" w:hAnsi="宋体" w:cs="宋体" w:eastAsia="宋体" w:hint="default"/>
                <w:sz w:val="18"/>
                <w:szCs w:val="18"/>
              </w:rPr>
            </w:pPr>
            <w:r>
              <w:rPr>
                <w:rFonts w:ascii="宋体" w:hAnsi="宋体" w:cs="宋体" w:eastAsia="宋体" w:hint="default"/>
                <w:spacing w:val="-3"/>
                <w:sz w:val="18"/>
                <w:szCs w:val="18"/>
              </w:rPr>
              <w:t>法确认公允价值</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571" w:right="0"/>
              <w:jc w:val="left"/>
              <w:rPr>
                <w:rFonts w:ascii="宋体" w:hAnsi="宋体" w:cs="宋体" w:eastAsia="宋体" w:hint="default"/>
                <w:sz w:val="18"/>
                <w:szCs w:val="18"/>
              </w:rPr>
            </w:pPr>
            <w:r>
              <w:rPr>
                <w:rFonts w:ascii="宋体"/>
                <w:w w:val="101"/>
                <w:sz w:val="18"/>
              </w:rPr>
              <w:t>/</w:t>
            </w:r>
            <w:r>
              <w:rPr>
                <w:rFonts w:ascii="宋体"/>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07"/>
              <w:jc w:val="center"/>
              <w:rPr>
                <w:rFonts w:ascii="宋体" w:hAnsi="宋体" w:cs="宋体" w:eastAsia="宋体" w:hint="default"/>
                <w:sz w:val="18"/>
                <w:szCs w:val="18"/>
              </w:rPr>
            </w:pPr>
            <w:r>
              <w:rPr>
                <w:rFonts w:ascii="宋体"/>
                <w:w w:val="101"/>
                <w:sz w:val="18"/>
              </w:rPr>
              <w:t>/</w:t>
            </w:r>
            <w:r>
              <w:rPr>
                <w:rFonts w:ascii="宋体"/>
                <w:sz w:val="18"/>
              </w:rPr>
            </w:r>
          </w:p>
        </w:tc>
      </w:tr>
      <w:tr>
        <w:trPr>
          <w:trHeight w:val="206" w:hRule="exact"/>
        </w:trPr>
        <w:tc>
          <w:tcPr>
            <w:tcW w:w="4941" w:type="dxa"/>
            <w:tcBorders>
              <w:top w:val="nil" w:sz="6" w:space="0" w:color="auto"/>
              <w:left w:val="nil" w:sz="6" w:space="0" w:color="auto"/>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燎原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pacing w:val="-3"/>
                <w:sz w:val="18"/>
                <w:szCs w:val="18"/>
              </w:rPr>
              <w:t>号契约型私募股权投资基金投资款</w:t>
            </w:r>
          </w:p>
        </w:tc>
        <w:tc>
          <w:tcPr>
            <w:tcW w:w="2226" w:type="dxa"/>
            <w:tcBorders>
              <w:top w:val="nil" w:sz="6" w:space="0" w:color="auto"/>
              <w:left w:val="nil" w:sz="6" w:space="0" w:color="auto"/>
              <w:bottom w:val="nil" w:sz="6" w:space="0" w:color="auto"/>
              <w:right w:val="nil" w:sz="6" w:space="0" w:color="auto"/>
            </w:tcBorders>
          </w:tcPr>
          <w:p>
            <w:pPr>
              <w:pStyle w:val="TableParagraph"/>
              <w:spacing w:line="206" w:lineRule="exact"/>
              <w:ind w:right="125"/>
              <w:jc w:val="right"/>
              <w:rPr>
                <w:rFonts w:ascii="宋体" w:hAnsi="宋体" w:cs="宋体" w:eastAsia="宋体" w:hint="default"/>
                <w:sz w:val="18"/>
                <w:szCs w:val="18"/>
              </w:rPr>
            </w:pPr>
            <w:r>
              <w:rPr>
                <w:rFonts w:ascii="宋体"/>
                <w:spacing w:val="-1"/>
                <w:sz w:val="18"/>
              </w:rPr>
              <w:t>3,000,000.00</w:t>
            </w:r>
          </w:p>
        </w:tc>
        <w:tc>
          <w:tcPr>
            <w:tcW w:w="1553"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06" w:lineRule="exact"/>
              <w:ind w:left="571" w:right="0"/>
              <w:jc w:val="left"/>
              <w:rPr>
                <w:rFonts w:ascii="宋体" w:hAnsi="宋体" w:cs="宋体" w:eastAsia="宋体" w:hint="default"/>
                <w:sz w:val="18"/>
                <w:szCs w:val="18"/>
              </w:rPr>
            </w:pPr>
            <w:r>
              <w:rPr>
                <w:rFonts w:ascii="宋体"/>
                <w:w w:val="101"/>
                <w:sz w:val="18"/>
              </w:rPr>
              <w:t>/</w:t>
            </w:r>
            <w:r>
              <w:rPr>
                <w:rFonts w:ascii="宋体"/>
                <w:sz w:val="18"/>
              </w:rPr>
            </w:r>
          </w:p>
        </w:tc>
        <w:tc>
          <w:tcPr>
            <w:tcW w:w="1421" w:type="dxa"/>
            <w:tcBorders>
              <w:top w:val="nil" w:sz="6" w:space="0" w:color="auto"/>
              <w:left w:val="nil" w:sz="6" w:space="0" w:color="auto"/>
              <w:bottom w:val="nil" w:sz="6" w:space="0" w:color="auto"/>
              <w:right w:val="nil" w:sz="6" w:space="0" w:color="auto"/>
            </w:tcBorders>
          </w:tcPr>
          <w:p>
            <w:pPr>
              <w:pStyle w:val="TableParagraph"/>
              <w:spacing w:line="206" w:lineRule="exact"/>
              <w:ind w:right="107"/>
              <w:jc w:val="center"/>
              <w:rPr>
                <w:rFonts w:ascii="宋体" w:hAnsi="宋体" w:cs="宋体" w:eastAsia="宋体" w:hint="default"/>
                <w:sz w:val="18"/>
                <w:szCs w:val="18"/>
              </w:rPr>
            </w:pPr>
            <w:r>
              <w:rPr>
                <w:rFonts w:ascii="宋体"/>
                <w:w w:val="101"/>
                <w:sz w:val="18"/>
              </w:rPr>
              <w:t>/</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09" w:lineRule="auto" w:before="36"/>
        <w:ind w:left="1033" w:right="1126" w:firstLine="422"/>
        <w:jc w:val="both"/>
      </w:pPr>
      <w:r>
        <w:rPr>
          <w:spacing w:val="-2"/>
        </w:rPr>
        <w:t>公司持有的上述三项投资在相关市场无公开报价且公允价值信息不足。故对于非上市公司权益工具公</w:t>
      </w:r>
      <w:r>
        <w:rPr>
          <w:w w:val="100"/>
        </w:rPr>
        <w:t> </w:t>
      </w:r>
      <w:r>
        <w:rPr/>
        <w:t>允价值估计，以经调整净资产法为基础。其中：</w:t>
      </w:r>
    </w:p>
    <w:p>
      <w:pPr>
        <w:spacing w:line="240" w:lineRule="auto" w:before="13"/>
        <w:rPr>
          <w:rFonts w:ascii="宋体" w:hAnsi="宋体" w:cs="宋体" w:eastAsia="宋体" w:hint="default"/>
          <w:sz w:val="13"/>
          <w:szCs w:val="13"/>
        </w:rPr>
      </w:pPr>
    </w:p>
    <w:p>
      <w:pPr>
        <w:pStyle w:val="BodyText"/>
        <w:spacing w:line="309" w:lineRule="auto"/>
        <w:ind w:left="1033" w:right="1123" w:firstLine="422"/>
        <w:jc w:val="both"/>
      </w:pPr>
      <w:r>
        <w:rPr>
          <w:rFonts w:ascii="宋体" w:hAnsi="宋体" w:cs="宋体" w:eastAsia="宋体" w:hint="default"/>
          <w:spacing w:val="-2"/>
        </w:rPr>
        <w:t>1.</w:t>
      </w:r>
      <w:r>
        <w:rPr>
          <w:spacing w:val="-2"/>
        </w:rPr>
        <w:t>公司认缴东莞市达晨创景股权投资合伙企业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)1%</w:t>
      </w:r>
      <w:r>
        <w:rPr>
          <w:spacing w:val="-2"/>
        </w:rPr>
        <w:t>股份，对其估值以净资产为基础，结合对</w:t>
      </w:r>
      <w:r>
        <w:rPr>
          <w:w w:val="100"/>
        </w:rPr>
        <w:t> </w:t>
      </w:r>
      <w:r>
        <w:rPr/>
        <w:t>被投资单位对外投资的底层资产公允价值进行估计，对投资公允价值进行调整；</w:t>
      </w:r>
    </w:p>
    <w:p>
      <w:pPr>
        <w:spacing w:line="240" w:lineRule="auto" w:before="5"/>
        <w:rPr>
          <w:rFonts w:ascii="宋体" w:hAnsi="宋体" w:cs="宋体" w:eastAsia="宋体" w:hint="default"/>
          <w:sz w:val="14"/>
          <w:szCs w:val="14"/>
        </w:rPr>
      </w:pPr>
    </w:p>
    <w:p>
      <w:pPr>
        <w:pStyle w:val="BodyText"/>
        <w:spacing w:line="312" w:lineRule="auto"/>
        <w:ind w:left="1033" w:right="1122" w:firstLine="422"/>
        <w:jc w:val="both"/>
      </w:pPr>
      <w:r>
        <w:rPr>
          <w:rFonts w:ascii="宋体" w:hAnsi="宋体" w:cs="宋体" w:eastAsia="宋体" w:hint="default"/>
          <w:spacing w:val="-4"/>
        </w:rPr>
        <w:t>2.</w:t>
      </w:r>
      <w:r>
        <w:rPr>
          <w:spacing w:val="-4"/>
        </w:rPr>
        <w:t>子公司黑马致通（嘉兴）投资管理有限公司（以下简称黑马致通）</w:t>
      </w:r>
      <w:r>
        <w:rPr>
          <w:rFonts w:ascii="宋体" w:hAnsi="宋体" w:cs="宋体" w:eastAsia="宋体" w:hint="default"/>
          <w:spacing w:val="-4"/>
        </w:rPr>
        <w:t>2019</w:t>
      </w:r>
      <w:r>
        <w:rPr>
          <w:rFonts w:ascii="宋体" w:hAnsi="宋体" w:cs="宋体" w:eastAsia="宋体" w:hint="default"/>
          <w:spacing w:val="-37"/>
        </w:rPr>
        <w:t> </w:t>
      </w:r>
      <w:r>
        <w:rPr/>
        <w:t>年</w:t>
      </w:r>
      <w:r>
        <w:rPr>
          <w:spacing w:val="-32"/>
        </w:rPr>
        <w:t> </w:t>
      </w:r>
      <w:r>
        <w:rPr>
          <w:rFonts w:ascii="宋体" w:hAnsi="宋体" w:cs="宋体" w:eastAsia="宋体" w:hint="default"/>
        </w:rPr>
        <w:t>7</w:t>
      </w:r>
      <w:r>
        <w:rPr>
          <w:rFonts w:ascii="宋体" w:hAnsi="宋体" w:cs="宋体" w:eastAsia="宋体" w:hint="default"/>
          <w:spacing w:val="-32"/>
        </w:rPr>
        <w:t> </w:t>
      </w:r>
      <w:r>
        <w:rPr/>
        <w:t>月对广州博鳌纵横网络</w:t>
      </w:r>
      <w:r>
        <w:rPr>
          <w:w w:val="100"/>
        </w:rPr>
        <w:t> </w:t>
      </w:r>
      <w:r>
        <w:rPr/>
        <w:t>科技有限公司投资并持有其</w:t>
      </w:r>
      <w:r>
        <w:rPr>
          <w:spacing w:val="-20"/>
        </w:rPr>
        <w:t> </w:t>
      </w:r>
      <w:r>
        <w:rPr>
          <w:rFonts w:ascii="宋体" w:hAnsi="宋体" w:cs="宋体" w:eastAsia="宋体" w:hint="default"/>
        </w:rPr>
        <w:t>0.22%</w:t>
      </w:r>
      <w:r>
        <w:rPr/>
        <w:t>股份，基于被投资单位可合理获得的信息有限且投资不足半年的因素考</w:t>
      </w:r>
      <w:r>
        <w:rPr>
          <w:w w:val="100"/>
        </w:rPr>
        <w:t> </w:t>
      </w:r>
      <w:r>
        <w:rPr/>
        <w:t>虑，以经调整净资产法确认公允价值。</w:t>
      </w:r>
    </w:p>
    <w:p>
      <w:pPr>
        <w:spacing w:line="240" w:lineRule="auto" w:before="10"/>
        <w:rPr>
          <w:rFonts w:ascii="宋体" w:hAnsi="宋体" w:cs="宋体" w:eastAsia="宋体" w:hint="default"/>
          <w:sz w:val="13"/>
          <w:szCs w:val="13"/>
        </w:rPr>
      </w:pPr>
    </w:p>
    <w:p>
      <w:pPr>
        <w:pStyle w:val="BodyText"/>
        <w:spacing w:line="309" w:lineRule="auto"/>
        <w:ind w:left="1033" w:right="1123" w:firstLine="422"/>
        <w:jc w:val="both"/>
      </w:pPr>
      <w:r>
        <w:rPr>
          <w:rFonts w:ascii="宋体" w:hAnsi="宋体" w:cs="宋体" w:eastAsia="宋体" w:hint="default"/>
        </w:rPr>
        <w:t>3.</w:t>
      </w:r>
      <w:r>
        <w:rPr/>
        <w:t>燎原</w:t>
      </w:r>
      <w:r>
        <w:rPr>
          <w:spacing w:val="-42"/>
        </w:rPr>
        <w:t> </w:t>
      </w:r>
      <w:r>
        <w:rPr>
          <w:rFonts w:ascii="宋体" w:hAnsi="宋体" w:cs="宋体" w:eastAsia="宋体" w:hint="default"/>
        </w:rPr>
        <w:t>1</w:t>
      </w:r>
      <w:r>
        <w:rPr>
          <w:rFonts w:ascii="宋体" w:hAnsi="宋体" w:cs="宋体" w:eastAsia="宋体" w:hint="default"/>
          <w:spacing w:val="-42"/>
        </w:rPr>
        <w:t> </w:t>
      </w:r>
      <w:r>
        <w:rPr/>
        <w:t>号契约型私募股权投资基金截至</w:t>
      </w:r>
      <w:r>
        <w:rPr>
          <w:spacing w:val="-41"/>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7"/>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t>日无其他投资，仅产生基金托管费和存款</w:t>
      </w:r>
      <w:r>
        <w:rPr>
          <w:w w:val="100"/>
        </w:rPr>
        <w:t> </w:t>
      </w:r>
      <w:r>
        <w:rPr/>
        <w:t>利息收入，期末资产全部为货币资金，故以经调整净资产法确认公允价值。</w:t>
      </w:r>
    </w:p>
    <w:p>
      <w:pPr>
        <w:spacing w:line="240" w:lineRule="auto" w:before="5"/>
        <w:rPr>
          <w:rFonts w:ascii="宋体" w:hAnsi="宋体" w:cs="宋体" w:eastAsia="宋体" w:hint="default"/>
          <w:sz w:val="23"/>
          <w:szCs w:val="23"/>
        </w:rPr>
      </w:pPr>
    </w:p>
    <w:p>
      <w:pPr>
        <w:pStyle w:val="Heading2"/>
        <w:spacing w:line="240" w:lineRule="auto"/>
        <w:ind w:left="1513" w:right="4097"/>
        <w:jc w:val="left"/>
        <w:rPr>
          <w:rFonts w:ascii="黑体" w:hAnsi="黑体" w:cs="黑体" w:eastAsia="黑体" w:hint="default"/>
          <w:b w:val="0"/>
          <w:bCs w:val="0"/>
        </w:rPr>
      </w:pPr>
      <w:bookmarkStart w:name="十一、关联方关系及其交易" w:id="257"/>
      <w:bookmarkEnd w:id="257"/>
      <w:r>
        <w:rPr>
          <w:b w:val="0"/>
          <w:bCs w:val="0"/>
        </w:rPr>
      </w:r>
      <w:r>
        <w:rPr>
          <w:rFonts w:ascii="黑体" w:hAnsi="黑体" w:cs="黑体" w:eastAsia="黑体" w:hint="default"/>
        </w:rPr>
        <w:t>十一、关联方关系及其交易</w:t>
      </w:r>
      <w:r>
        <w:rPr>
          <w:rFonts w:ascii="黑体" w:hAnsi="黑体" w:cs="黑体" w:eastAsia="黑体" w:hint="default"/>
          <w:b w:val="0"/>
          <w:bCs w:val="0"/>
        </w:rPr>
      </w:r>
    </w:p>
    <w:p>
      <w:pPr>
        <w:pStyle w:val="BodyText"/>
        <w:spacing w:line="520" w:lineRule="atLeast" w:before="143"/>
        <w:ind w:left="1455" w:right="0"/>
        <w:jc w:val="left"/>
      </w:pPr>
      <w:bookmarkStart w:name="（一）关联方的认定标准" w:id="258"/>
      <w:bookmarkEnd w:id="258"/>
      <w:r>
        <w:rPr/>
      </w:r>
      <w:r>
        <w:rPr/>
        <w:t>（一）关联方的认定标准</w:t>
      </w:r>
      <w:r>
        <w:rPr>
          <w:spacing w:val="-102"/>
        </w:rPr>
        <w:t> </w:t>
      </w:r>
      <w:r>
        <w:rPr>
          <w:spacing w:val="-102"/>
        </w:rPr>
      </w:r>
      <w:r>
        <w:rPr>
          <w:spacing w:val="-2"/>
        </w:rPr>
        <w:t>一方控制、共同控制另一方或对另一方施加重大影响，以及两方或两方以上同受一方控制、共同控制</w:t>
      </w:r>
    </w:p>
    <w:p>
      <w:pPr>
        <w:pStyle w:val="BodyText"/>
        <w:spacing w:line="240" w:lineRule="auto" w:before="80"/>
        <w:ind w:left="1033" w:right="4097"/>
        <w:jc w:val="left"/>
      </w:pPr>
      <w:r>
        <w:rPr/>
        <w:t>或重大影响的，构成关联方。</w:t>
      </w:r>
    </w:p>
    <w:p>
      <w:pPr>
        <w:pStyle w:val="BodyText"/>
        <w:spacing w:line="524" w:lineRule="exact" w:before="65"/>
        <w:ind w:left="1455" w:right="0"/>
        <w:jc w:val="left"/>
      </w:pPr>
      <w:bookmarkStart w:name="（二）本公司的母公司有关信息" w:id="259"/>
      <w:bookmarkEnd w:id="259"/>
      <w:r>
        <w:rPr/>
      </w:r>
      <w:r>
        <w:rPr/>
        <w:t>（二）本公司的母公司有关信息</w:t>
      </w:r>
      <w:r>
        <w:rPr>
          <w:w w:val="100"/>
        </w:rPr>
        <w:t> </w:t>
      </w:r>
      <w:r>
        <w:rPr>
          <w:spacing w:val="-2"/>
        </w:rPr>
        <w:t>本公司实际控制人为自然人股东牛文文，牛文文为公司法定代表人，截至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日，其直接持</w:t>
      </w:r>
    </w:p>
    <w:p>
      <w:pPr>
        <w:pStyle w:val="BodyText"/>
        <w:spacing w:line="312" w:lineRule="auto" w:before="10"/>
        <w:ind w:left="1033" w:right="0"/>
        <w:jc w:val="left"/>
      </w:pPr>
      <w:r>
        <w:rPr/>
        <w:t>有公司</w:t>
      </w:r>
      <w:r>
        <w:rPr>
          <w:rFonts w:ascii="宋体" w:hAnsi="宋体" w:cs="宋体" w:eastAsia="宋体" w:hint="default"/>
        </w:rPr>
        <w:t>31.40%</w:t>
      </w:r>
      <w:r>
        <w:rPr/>
        <w:t>的股份，并通过蓝创文化传媒（天津）合伙企业（有限合伙）间接持有公司</w:t>
      </w:r>
      <w:r>
        <w:rPr>
          <w:rFonts w:ascii="宋体" w:hAnsi="宋体" w:cs="宋体" w:eastAsia="宋体" w:hint="default"/>
        </w:rPr>
        <w:t>11.58%</w:t>
      </w:r>
      <w:r>
        <w:rPr/>
        <w:t>的股份、</w:t>
      </w:r>
      <w:r>
        <w:rPr>
          <w:spacing w:val="-27"/>
        </w:rPr>
        <w:t> </w:t>
      </w:r>
      <w:r>
        <w:rPr/>
        <w:t>通过北京创业嘉乐文化传媒交流中心（有限合伙）间接持有公司</w:t>
      </w:r>
      <w:r>
        <w:rPr>
          <w:rFonts w:ascii="宋体" w:hAnsi="宋体" w:cs="宋体" w:eastAsia="宋体" w:hint="default"/>
        </w:rPr>
        <w:t>6.14%</w:t>
      </w:r>
      <w:r>
        <w:rPr/>
        <w:t>的股份，合计直接持有和间接持有</w:t>
      </w:r>
      <w:r>
        <w:rPr>
          <w:spacing w:val="-29"/>
        </w:rPr>
        <w:t> </w:t>
      </w:r>
      <w:r>
        <w:rPr>
          <w:spacing w:val="-29"/>
        </w:rPr>
      </w:r>
      <w:r>
        <w:rPr/>
        <w:t>公司</w:t>
      </w:r>
      <w:r>
        <w:rPr>
          <w:rFonts w:ascii="宋体" w:hAnsi="宋体" w:cs="宋体" w:eastAsia="宋体" w:hint="default"/>
        </w:rPr>
        <w:t>49.11%</w:t>
      </w:r>
      <w:r>
        <w:rPr/>
        <w:t>的股份。</w:t>
      </w:r>
    </w:p>
    <w:p>
      <w:pPr>
        <w:spacing w:after="0" w:line="312" w:lineRule="auto"/>
        <w:jc w:val="left"/>
        <w:sectPr>
          <w:pgSz w:w="11910" w:h="16840"/>
          <w:pgMar w:header="741" w:footer="979" w:top="1060" w:bottom="1160" w:left="100" w:right="0"/>
        </w:sectPr>
      </w:pPr>
    </w:p>
    <w:p>
      <w:pPr>
        <w:spacing w:line="240" w:lineRule="auto" w:before="12"/>
        <w:rPr>
          <w:rFonts w:ascii="宋体" w:hAnsi="宋体" w:cs="宋体" w:eastAsia="宋体" w:hint="default"/>
          <w:sz w:val="28"/>
          <w:szCs w:val="28"/>
        </w:rPr>
      </w:pPr>
    </w:p>
    <w:p>
      <w:pPr>
        <w:pStyle w:val="BodyText"/>
        <w:spacing w:line="453" w:lineRule="auto" w:before="36"/>
        <w:ind w:left="635" w:right="5495"/>
        <w:jc w:val="left"/>
      </w:pPr>
      <w:bookmarkStart w:name="（三）本公司的子公司情况" w:id="260"/>
      <w:bookmarkEnd w:id="260"/>
      <w:r>
        <w:rPr/>
      </w:r>
      <w:r>
        <w:rPr/>
        <w:t>（三）本公司的子公司情况</w:t>
      </w:r>
      <w:r>
        <w:rPr>
          <w:spacing w:val="-101"/>
        </w:rPr>
        <w:t> </w:t>
      </w:r>
      <w:r>
        <w:rPr>
          <w:spacing w:val="-101"/>
        </w:rPr>
      </w:r>
      <w:r>
        <w:rPr>
          <w:spacing w:val="-1"/>
        </w:rPr>
        <w:t>本公司子公司的情况详见附注八。</w:t>
      </w:r>
    </w:p>
    <w:p>
      <w:pPr>
        <w:pStyle w:val="BodyText"/>
        <w:spacing w:line="453" w:lineRule="auto" w:before="52"/>
        <w:ind w:left="635" w:right="1118"/>
        <w:jc w:val="left"/>
      </w:pPr>
      <w:bookmarkStart w:name="（四）本公司的合营和联营企业情况" w:id="261"/>
      <w:bookmarkEnd w:id="261"/>
      <w:r>
        <w:rPr/>
      </w:r>
      <w:r>
        <w:rPr/>
        <w:t>（四）本公司的合营和联营企业情况</w:t>
      </w:r>
      <w:r>
        <w:rPr>
          <w:spacing w:val="-101"/>
        </w:rPr>
        <w:t> </w:t>
      </w:r>
      <w:r>
        <w:rPr>
          <w:spacing w:val="-101"/>
        </w:rPr>
      </w:r>
      <w:r>
        <w:rPr>
          <w:spacing w:val="-2"/>
        </w:rPr>
        <w:t>本公司重要的合营或联营企业详见附注六、（六）长期股权投资。</w:t>
      </w:r>
    </w:p>
    <w:p>
      <w:pPr>
        <w:pStyle w:val="BodyText"/>
        <w:spacing w:line="240" w:lineRule="auto" w:before="52"/>
        <w:ind w:left="635" w:right="1118"/>
        <w:jc w:val="left"/>
      </w:pPr>
      <w:bookmarkStart w:name="（五）本公司的其他关联方情况" w:id="262"/>
      <w:bookmarkEnd w:id="262"/>
      <w:r>
        <w:rPr/>
      </w:r>
      <w:r>
        <w:rPr/>
        <w:t>（五）本公司的其他关联方情况</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4278"/>
        <w:gridCol w:w="5580"/>
      </w:tblGrid>
      <w:tr>
        <w:trPr>
          <w:trHeight w:val="253" w:hRule="exact"/>
        </w:trPr>
        <w:tc>
          <w:tcPr>
            <w:tcW w:w="4278" w:type="dxa"/>
            <w:tcBorders>
              <w:top w:val="nil" w:sz="6" w:space="0" w:color="auto"/>
              <w:left w:val="nil" w:sz="6" w:space="0" w:color="auto"/>
              <w:bottom w:val="single" w:sz="4" w:space="0" w:color="000000"/>
              <w:right w:val="nil" w:sz="6" w:space="0" w:color="auto"/>
            </w:tcBorders>
          </w:tcPr>
          <w:p>
            <w:pPr>
              <w:pStyle w:val="TableParagraph"/>
              <w:spacing w:line="182" w:lineRule="exact"/>
              <w:ind w:left="1733" w:right="0"/>
              <w:jc w:val="left"/>
              <w:rPr>
                <w:rFonts w:ascii="宋体" w:hAnsi="宋体" w:cs="宋体" w:eastAsia="宋体" w:hint="default"/>
                <w:sz w:val="18"/>
                <w:szCs w:val="18"/>
              </w:rPr>
            </w:pPr>
            <w:r>
              <w:rPr>
                <w:rFonts w:ascii="宋体" w:hAnsi="宋体" w:cs="宋体" w:eastAsia="宋体" w:hint="default"/>
                <w:b/>
                <w:bCs/>
                <w:spacing w:val="-3"/>
                <w:sz w:val="18"/>
                <w:szCs w:val="18"/>
              </w:rPr>
              <w:t>其他关联方名称</w:t>
            </w:r>
            <w:r>
              <w:rPr>
                <w:rFonts w:ascii="宋体" w:hAnsi="宋体" w:cs="宋体" w:eastAsia="宋体" w:hint="default"/>
                <w:sz w:val="18"/>
                <w:szCs w:val="18"/>
              </w:rPr>
            </w:r>
          </w:p>
        </w:tc>
        <w:tc>
          <w:tcPr>
            <w:tcW w:w="5580" w:type="dxa"/>
            <w:tcBorders>
              <w:top w:val="nil" w:sz="6" w:space="0" w:color="auto"/>
              <w:left w:val="nil" w:sz="6" w:space="0" w:color="auto"/>
              <w:bottom w:val="single" w:sz="4" w:space="0" w:color="000000"/>
              <w:right w:val="nil" w:sz="6" w:space="0" w:color="auto"/>
            </w:tcBorders>
          </w:tcPr>
          <w:p>
            <w:pPr>
              <w:pStyle w:val="TableParagraph"/>
              <w:spacing w:line="182" w:lineRule="exact"/>
              <w:ind w:left="2021"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46" w:hRule="exact"/>
        </w:trPr>
        <w:tc>
          <w:tcPr>
            <w:tcW w:w="427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牛文文</w:t>
            </w:r>
          </w:p>
        </w:tc>
        <w:tc>
          <w:tcPr>
            <w:tcW w:w="558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62" w:right="0"/>
              <w:jc w:val="left"/>
              <w:rPr>
                <w:rFonts w:ascii="宋体" w:hAnsi="宋体" w:cs="宋体" w:eastAsia="宋体" w:hint="default"/>
                <w:sz w:val="18"/>
                <w:szCs w:val="18"/>
              </w:rPr>
            </w:pPr>
            <w:r>
              <w:rPr>
                <w:rFonts w:ascii="宋体" w:hAnsi="宋体" w:cs="宋体" w:eastAsia="宋体" w:hint="default"/>
                <w:spacing w:val="-3"/>
                <w:sz w:val="18"/>
                <w:szCs w:val="18"/>
              </w:rPr>
              <w:t>控股股东</w:t>
            </w:r>
            <w:r>
              <w:rPr>
                <w:rFonts w:ascii="宋体" w:hAnsi="宋体" w:cs="宋体" w:eastAsia="宋体" w:hint="default"/>
                <w:spacing w:val="-3"/>
                <w:sz w:val="18"/>
                <w:szCs w:val="18"/>
              </w:rPr>
              <w:t>&amp;</w:t>
            </w:r>
            <w:r>
              <w:rPr>
                <w:rFonts w:ascii="宋体" w:hAnsi="宋体" w:cs="宋体" w:eastAsia="宋体" w:hint="default"/>
                <w:spacing w:val="-3"/>
                <w:sz w:val="18"/>
                <w:szCs w:val="18"/>
              </w:rPr>
              <w:t>实际控制人、董事长、总经理</w:t>
            </w:r>
          </w:p>
        </w:tc>
      </w:tr>
      <w:tr>
        <w:trPr>
          <w:trHeight w:val="398"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刘义伟</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傅忠红</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8"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王敬</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王佳佳</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9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李雁宾</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39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张东</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北京原投时创文化传媒有限公司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牛文文持有其</w:t>
            </w:r>
            <w:r>
              <w:rPr>
                <w:rFonts w:ascii="宋体" w:hAnsi="宋体" w:cs="宋体" w:eastAsia="宋体" w:hint="default"/>
                <w:spacing w:val="-1"/>
                <w:sz w:val="18"/>
                <w:szCs w:val="18"/>
              </w:rPr>
              <w:t> </w:t>
            </w:r>
            <w:r>
              <w:rPr>
                <w:rFonts w:ascii="宋体" w:hAnsi="宋体" w:cs="宋体" w:eastAsia="宋体" w:hint="default"/>
                <w:spacing w:val="-3"/>
                <w:sz w:val="18"/>
                <w:szCs w:val="18"/>
              </w:rPr>
              <w:t>90%</w:t>
            </w:r>
            <w:r>
              <w:rPr>
                <w:rFonts w:ascii="宋体" w:hAnsi="宋体" w:cs="宋体" w:eastAsia="宋体" w:hint="default"/>
                <w:spacing w:val="-3"/>
                <w:sz w:val="18"/>
                <w:szCs w:val="18"/>
              </w:rPr>
              <w:t>的股权并担任其执行董事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北京创业嘉乐文化传媒交流中心</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牛文文持有其</w:t>
            </w:r>
            <w:r>
              <w:rPr>
                <w:rFonts w:ascii="宋体" w:hAnsi="宋体" w:cs="宋体" w:eastAsia="宋体" w:hint="default"/>
                <w:spacing w:val="24"/>
                <w:sz w:val="18"/>
                <w:szCs w:val="18"/>
              </w:rPr>
              <w:t> </w:t>
            </w:r>
            <w:r>
              <w:rPr>
                <w:rFonts w:ascii="宋体" w:hAnsi="宋体" w:cs="宋体" w:eastAsia="宋体" w:hint="default"/>
                <w:spacing w:val="-3"/>
                <w:sz w:val="18"/>
                <w:szCs w:val="18"/>
              </w:rPr>
              <w:t>50.02%</w:t>
            </w:r>
            <w:r>
              <w:rPr>
                <w:rFonts w:ascii="宋体" w:hAnsi="宋体" w:cs="宋体" w:eastAsia="宋体" w:hint="default"/>
                <w:spacing w:val="-3"/>
                <w:sz w:val="18"/>
                <w:szCs w:val="18"/>
              </w:rPr>
              <w:t>的财产份额并担任其执行事务合伙人</w:t>
            </w:r>
          </w:p>
        </w:tc>
      </w:tr>
      <w:tr>
        <w:trPr>
          <w:trHeight w:val="39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北京青天集贤投资管理有限公司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牛文文持有其</w:t>
            </w:r>
            <w:r>
              <w:rPr>
                <w:rFonts w:ascii="宋体" w:hAnsi="宋体" w:cs="宋体" w:eastAsia="宋体" w:hint="default"/>
                <w:spacing w:val="-42"/>
                <w:sz w:val="18"/>
                <w:szCs w:val="18"/>
              </w:rPr>
              <w:t> </w:t>
            </w:r>
            <w:r>
              <w:rPr>
                <w:rFonts w:ascii="宋体" w:hAnsi="宋体" w:cs="宋体" w:eastAsia="宋体" w:hint="default"/>
                <w:sz w:val="18"/>
                <w:szCs w:val="18"/>
              </w:rPr>
              <w:t>50%</w:t>
            </w:r>
            <w:r>
              <w:rPr>
                <w:rFonts w:ascii="宋体" w:hAnsi="宋体" w:cs="宋体" w:eastAsia="宋体" w:hint="default"/>
                <w:sz w:val="18"/>
                <w:szCs w:val="18"/>
              </w:rPr>
              <w:t>的股权</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天津国牛餐饮管理有限公司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牛文文持有其</w:t>
            </w:r>
            <w:r>
              <w:rPr>
                <w:rFonts w:ascii="宋体" w:hAnsi="宋体" w:cs="宋体" w:eastAsia="宋体" w:hint="default"/>
                <w:spacing w:val="-44"/>
                <w:sz w:val="18"/>
                <w:szCs w:val="18"/>
              </w:rPr>
              <w:t> </w:t>
            </w:r>
            <w:r>
              <w:rPr>
                <w:rFonts w:ascii="宋体" w:hAnsi="宋体" w:cs="宋体" w:eastAsia="宋体" w:hint="default"/>
                <w:sz w:val="18"/>
                <w:szCs w:val="18"/>
              </w:rPr>
              <w:t>83.33%</w:t>
            </w:r>
            <w:r>
              <w:rPr>
                <w:rFonts w:ascii="宋体" w:hAnsi="宋体" w:cs="宋体" w:eastAsia="宋体" w:hint="default"/>
                <w:sz w:val="18"/>
                <w:szCs w:val="18"/>
              </w:rPr>
              <w:t>的股权</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蓝创文化传媒（天津）合伙企业（有限合伙）</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持有发行人</w:t>
            </w:r>
            <w:r>
              <w:rPr>
                <w:rFonts w:ascii="宋体" w:hAnsi="宋体" w:cs="宋体" w:eastAsia="宋体" w:hint="default"/>
                <w:spacing w:val="-14"/>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以上股份的股东</w:t>
            </w:r>
          </w:p>
        </w:tc>
      </w:tr>
      <w:tr>
        <w:trPr>
          <w:trHeight w:val="398"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北京牛投科技有限公司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pacing w:val="-3"/>
                <w:sz w:val="18"/>
                <w:szCs w:val="18"/>
              </w:rPr>
              <w:t>牛文文担任其董事长</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北京聚众互动网络科技有限公司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江苏艾佳家居用品有限公司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8"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天津爱波瑞科技发展有限公司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8"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上海通路快建网络服务外包有限公司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唯美度科技</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湖南利洁生物集团股份有限公司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8"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上海四维文化传媒股份有限公司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北京元培世纪翻译有限公司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广州尚品宅配家居股份有限公司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星光农机股份有限公司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厦门弘信电子科技股份有限公司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290"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西域供应链</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558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6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bl>
    <w:p>
      <w:pPr>
        <w:spacing w:after="0" w:line="240" w:lineRule="auto"/>
        <w:jc w:val="left"/>
        <w:rPr>
          <w:rFonts w:ascii="宋体" w:hAnsi="宋体" w:cs="宋体" w:eastAsia="宋体" w:hint="default"/>
          <w:sz w:val="18"/>
          <w:szCs w:val="18"/>
        </w:rPr>
        <w:sectPr>
          <w:pgSz w:w="11910" w:h="16840"/>
          <w:pgMar w:header="741"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4367"/>
        <w:gridCol w:w="5491"/>
      </w:tblGrid>
      <w:tr>
        <w:trPr>
          <w:trHeight w:val="253" w:hRule="exact"/>
        </w:trPr>
        <w:tc>
          <w:tcPr>
            <w:tcW w:w="4367" w:type="dxa"/>
            <w:tcBorders>
              <w:top w:val="nil" w:sz="6" w:space="0" w:color="auto"/>
              <w:left w:val="nil" w:sz="6" w:space="0" w:color="auto"/>
              <w:bottom w:val="single" w:sz="4" w:space="0" w:color="000000"/>
              <w:right w:val="nil" w:sz="6" w:space="0" w:color="auto"/>
            </w:tcBorders>
          </w:tcPr>
          <w:p>
            <w:pPr>
              <w:pStyle w:val="TableParagraph"/>
              <w:spacing w:line="182" w:lineRule="exact"/>
              <w:ind w:left="1733" w:right="0"/>
              <w:jc w:val="left"/>
              <w:rPr>
                <w:rFonts w:ascii="宋体" w:hAnsi="宋体" w:cs="宋体" w:eastAsia="宋体" w:hint="default"/>
                <w:sz w:val="18"/>
                <w:szCs w:val="18"/>
              </w:rPr>
            </w:pPr>
            <w:r>
              <w:rPr>
                <w:rFonts w:ascii="宋体" w:hAnsi="宋体" w:cs="宋体" w:eastAsia="宋体" w:hint="default"/>
                <w:b/>
                <w:bCs/>
                <w:spacing w:val="-3"/>
                <w:sz w:val="18"/>
                <w:szCs w:val="18"/>
              </w:rPr>
              <w:t>其他关联方名称</w:t>
            </w:r>
            <w:r>
              <w:rPr>
                <w:rFonts w:ascii="宋体" w:hAnsi="宋体" w:cs="宋体" w:eastAsia="宋体" w:hint="default"/>
                <w:sz w:val="18"/>
                <w:szCs w:val="18"/>
              </w:rPr>
            </w:r>
          </w:p>
        </w:tc>
        <w:tc>
          <w:tcPr>
            <w:tcW w:w="5491" w:type="dxa"/>
            <w:tcBorders>
              <w:top w:val="nil" w:sz="6" w:space="0" w:color="auto"/>
              <w:left w:val="nil" w:sz="6" w:space="0" w:color="auto"/>
              <w:bottom w:val="single" w:sz="4" w:space="0" w:color="000000"/>
              <w:right w:val="nil" w:sz="6" w:space="0" w:color="auto"/>
            </w:tcBorders>
          </w:tcPr>
          <w:p>
            <w:pPr>
              <w:pStyle w:val="TableParagraph"/>
              <w:spacing w:line="182" w:lineRule="exact"/>
              <w:ind w:left="1932"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44" w:hRule="exact"/>
        </w:trPr>
        <w:tc>
          <w:tcPr>
            <w:tcW w:w="43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上海企源科技股份有限公司</w:t>
            </w:r>
          </w:p>
        </w:tc>
        <w:tc>
          <w:tcPr>
            <w:tcW w:w="549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7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上海鸿辉光通科技股份有限公司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浙江双飞无油轴承股份有限公司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傅忠红担任其董事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天巍</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投资有限公司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王敬持有其</w:t>
            </w:r>
            <w:r>
              <w:rPr>
                <w:rFonts w:ascii="宋体" w:hAnsi="宋体" w:cs="宋体" w:eastAsia="宋体" w:hint="default"/>
                <w:spacing w:val="-32"/>
                <w:sz w:val="18"/>
                <w:szCs w:val="18"/>
              </w:rPr>
              <w:t> </w:t>
            </w:r>
            <w:r>
              <w:rPr>
                <w:rFonts w:ascii="宋体" w:hAnsi="宋体" w:cs="宋体" w:eastAsia="宋体" w:hint="default"/>
                <w:spacing w:val="-3"/>
                <w:sz w:val="18"/>
                <w:szCs w:val="18"/>
              </w:rPr>
              <w:t>80%</w:t>
            </w:r>
            <w:r>
              <w:rPr>
                <w:rFonts w:ascii="宋体" w:hAnsi="宋体" w:cs="宋体" w:eastAsia="宋体" w:hint="default"/>
                <w:spacing w:val="-3"/>
                <w:sz w:val="18"/>
                <w:szCs w:val="18"/>
              </w:rPr>
              <w:t>股权</w:t>
            </w:r>
            <w:r>
              <w:rPr>
                <w:rFonts w:ascii="宋体" w:hAnsi="宋体" w:cs="宋体" w:eastAsia="宋体" w:hint="default"/>
                <w:sz w:val="18"/>
                <w:szCs w:val="18"/>
              </w:rPr>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拙石</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资产管理有限公司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王敬持有其</w:t>
            </w:r>
            <w:r>
              <w:rPr>
                <w:rFonts w:ascii="宋体" w:hAnsi="宋体" w:cs="宋体" w:eastAsia="宋体" w:hint="default"/>
                <w:spacing w:val="-32"/>
                <w:sz w:val="18"/>
                <w:szCs w:val="18"/>
              </w:rPr>
              <w:t> </w:t>
            </w:r>
            <w:r>
              <w:rPr>
                <w:rFonts w:ascii="宋体" w:hAnsi="宋体" w:cs="宋体" w:eastAsia="宋体" w:hint="default"/>
                <w:spacing w:val="-3"/>
                <w:sz w:val="18"/>
                <w:szCs w:val="18"/>
              </w:rPr>
              <w:t>80%</w:t>
            </w:r>
            <w:r>
              <w:rPr>
                <w:rFonts w:ascii="宋体" w:hAnsi="宋体" w:cs="宋体" w:eastAsia="宋体" w:hint="default"/>
                <w:spacing w:val="-3"/>
                <w:sz w:val="18"/>
                <w:szCs w:val="18"/>
              </w:rPr>
              <w:t>股权</w:t>
            </w:r>
            <w:r>
              <w:rPr>
                <w:rFonts w:ascii="宋体" w:hAnsi="宋体" w:cs="宋体" w:eastAsia="宋体" w:hint="default"/>
                <w:sz w:val="18"/>
                <w:szCs w:val="18"/>
              </w:rPr>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巍家</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王敬持有其</w:t>
            </w:r>
            <w:r>
              <w:rPr>
                <w:rFonts w:ascii="宋体" w:hAnsi="宋体" w:cs="宋体" w:eastAsia="宋体" w:hint="default"/>
                <w:spacing w:val="-4"/>
                <w:sz w:val="18"/>
                <w:szCs w:val="18"/>
              </w:rPr>
              <w:t> </w:t>
            </w:r>
            <w:r>
              <w:rPr>
                <w:rFonts w:ascii="宋体" w:hAnsi="宋体" w:cs="宋体" w:eastAsia="宋体" w:hint="default"/>
                <w:spacing w:val="-3"/>
                <w:sz w:val="18"/>
                <w:szCs w:val="18"/>
              </w:rPr>
              <w:t>95%</w:t>
            </w:r>
            <w:r>
              <w:rPr>
                <w:rFonts w:ascii="宋体" w:hAnsi="宋体" w:cs="宋体" w:eastAsia="宋体" w:hint="default"/>
                <w:spacing w:val="-3"/>
                <w:sz w:val="18"/>
                <w:szCs w:val="18"/>
              </w:rPr>
              <w:t>股权并担任其执行董事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上海食萃商业管理有限公司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王敬担任其执行董事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上海唇萃餐饮管理有限公司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王敬担任其执行董事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衍尚</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文化发展有限公司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王敬担任其执行董事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云联天地</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信息技术有限公司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王敬担任其经理</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梗有商业管理</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王敬担任其董事</w:t>
            </w:r>
          </w:p>
        </w:tc>
      </w:tr>
      <w:tr>
        <w:trPr>
          <w:trHeight w:val="38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纽宾凯商旅文控股</w:t>
            </w:r>
            <w:r>
              <w:rPr>
                <w:rFonts w:ascii="宋体" w:hAnsi="宋体" w:cs="宋体" w:eastAsia="宋体" w:hint="default"/>
                <w:spacing w:val="-3"/>
                <w:sz w:val="18"/>
                <w:szCs w:val="18"/>
              </w:rPr>
              <w:t>(</w:t>
            </w:r>
            <w:r>
              <w:rPr>
                <w:rFonts w:ascii="宋体" w:hAnsi="宋体" w:cs="宋体" w:eastAsia="宋体" w:hint="default"/>
                <w:spacing w:val="-3"/>
                <w:sz w:val="18"/>
                <w:szCs w:val="18"/>
              </w:rPr>
              <w:t>武汉</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王敬担任其副董事长</w:t>
            </w:r>
          </w:p>
        </w:tc>
      </w:tr>
      <w:tr>
        <w:trPr>
          <w:trHeight w:val="73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10" w:right="1912"/>
              <w:jc w:val="left"/>
              <w:rPr>
                <w:rFonts w:ascii="宋体" w:hAnsi="宋体" w:cs="宋体" w:eastAsia="宋体" w:hint="default"/>
                <w:sz w:val="18"/>
                <w:szCs w:val="18"/>
              </w:rPr>
            </w:pPr>
            <w:r>
              <w:rPr>
                <w:rFonts w:ascii="宋体" w:hAnsi="宋体" w:cs="宋体" w:eastAsia="宋体" w:hint="default"/>
                <w:spacing w:val="-3"/>
                <w:sz w:val="18"/>
                <w:szCs w:val="18"/>
              </w:rPr>
              <w:t>北京优集客科技有限公司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天津优集客商业管理有限公司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45"/>
              <w:ind w:left="472" w:right="2850"/>
              <w:jc w:val="left"/>
              <w:rPr>
                <w:rFonts w:ascii="宋体" w:hAnsi="宋体" w:cs="宋体" w:eastAsia="宋体" w:hint="default"/>
                <w:sz w:val="18"/>
                <w:szCs w:val="18"/>
              </w:rPr>
            </w:pPr>
            <w:r>
              <w:rPr>
                <w:rFonts w:ascii="宋体" w:hAnsi="宋体" w:cs="宋体" w:eastAsia="宋体" w:hint="default"/>
                <w:spacing w:val="-3"/>
                <w:sz w:val="18"/>
                <w:szCs w:val="18"/>
              </w:rPr>
              <w:t>王敬担任其董事长、经理</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王敬担任其执行董事、经理</w:t>
            </w:r>
          </w:p>
        </w:tc>
      </w:tr>
      <w:tr>
        <w:trPr>
          <w:trHeight w:val="38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九洲远景</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信息服务有限公司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王敬担任其副董事长</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九洲星城</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资产管理有限公司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成都东方文商企业运营管理有限公司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广东期选信息技术有限公司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王敬担任其执行董事、经理，</w:t>
            </w: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pacing w:val="-3"/>
                <w:sz w:val="18"/>
                <w:szCs w:val="18"/>
              </w:rPr>
              <w:t>月已辞任</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佳通轮胎股份有限公司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肖红英担任其独立董事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北京先进数通信息技术股份公司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肖红英担任其独立董事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青矩技术股份有限公司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肖红英担任其独立董事</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兰溪普华泽信股权投资合伙企业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曹国熊持有其</w:t>
            </w:r>
            <w:r>
              <w:rPr>
                <w:rFonts w:ascii="宋体" w:hAnsi="宋体" w:cs="宋体" w:eastAsia="宋体" w:hint="default"/>
                <w:spacing w:val="-41"/>
                <w:sz w:val="18"/>
                <w:szCs w:val="18"/>
              </w:rPr>
              <w:t> </w:t>
            </w:r>
            <w:r>
              <w:rPr>
                <w:rFonts w:ascii="宋体" w:hAnsi="宋体" w:cs="宋体" w:eastAsia="宋体" w:hint="default"/>
                <w:sz w:val="18"/>
                <w:szCs w:val="18"/>
              </w:rPr>
              <w:t>98.98%</w:t>
            </w:r>
            <w:r>
              <w:rPr>
                <w:rFonts w:ascii="宋体" w:hAnsi="宋体" w:cs="宋体" w:eastAsia="宋体" w:hint="default"/>
                <w:sz w:val="18"/>
                <w:szCs w:val="18"/>
              </w:rPr>
              <w:t>财产份额</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杭州正前方投资有限公司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曹国熊持有其</w:t>
            </w:r>
            <w:r>
              <w:rPr>
                <w:rFonts w:ascii="宋体" w:hAnsi="宋体" w:cs="宋体" w:eastAsia="宋体" w:hint="default"/>
                <w:spacing w:val="5"/>
                <w:sz w:val="18"/>
                <w:szCs w:val="18"/>
              </w:rPr>
              <w:t> </w:t>
            </w:r>
            <w:r>
              <w:rPr>
                <w:rFonts w:ascii="宋体" w:hAnsi="宋体" w:cs="宋体" w:eastAsia="宋体" w:hint="default"/>
                <w:spacing w:val="-3"/>
                <w:sz w:val="18"/>
                <w:szCs w:val="18"/>
              </w:rPr>
              <w:t>95%</w:t>
            </w:r>
            <w:r>
              <w:rPr>
                <w:rFonts w:ascii="宋体" w:hAnsi="宋体" w:cs="宋体" w:eastAsia="宋体" w:hint="default"/>
                <w:spacing w:val="-3"/>
                <w:sz w:val="18"/>
                <w:szCs w:val="18"/>
              </w:rPr>
              <w:t>股权并担任其执行董事、总经理</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宁波梅山保税港区大头投资合伙企业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2" w:right="0"/>
              <w:jc w:val="left"/>
              <w:rPr>
                <w:rFonts w:ascii="宋体" w:hAnsi="宋体" w:cs="宋体" w:eastAsia="宋体" w:hint="default"/>
                <w:sz w:val="18"/>
                <w:szCs w:val="18"/>
              </w:rPr>
            </w:pPr>
            <w:r>
              <w:rPr>
                <w:rFonts w:ascii="宋体" w:hAnsi="宋体" w:cs="宋体" w:eastAsia="宋体" w:hint="default"/>
                <w:spacing w:val="-3"/>
                <w:sz w:val="18"/>
                <w:szCs w:val="18"/>
              </w:rPr>
              <w:t>杭州正前方投资有限公司担任其执行事务合伙人</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杭州经纬泽华投资管理有限公司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曹国熊持有其</w:t>
            </w:r>
            <w:r>
              <w:rPr>
                <w:rFonts w:ascii="宋体" w:hAnsi="宋体" w:cs="宋体" w:eastAsia="宋体" w:hint="default"/>
                <w:spacing w:val="5"/>
                <w:sz w:val="18"/>
                <w:szCs w:val="18"/>
              </w:rPr>
              <w:t> </w:t>
            </w:r>
            <w:r>
              <w:rPr>
                <w:rFonts w:ascii="宋体" w:hAnsi="宋体" w:cs="宋体" w:eastAsia="宋体" w:hint="default"/>
                <w:spacing w:val="-3"/>
                <w:sz w:val="18"/>
                <w:szCs w:val="18"/>
              </w:rPr>
              <w:t>91%</w:t>
            </w:r>
            <w:r>
              <w:rPr>
                <w:rFonts w:ascii="宋体" w:hAnsi="宋体" w:cs="宋体" w:eastAsia="宋体" w:hint="default"/>
                <w:spacing w:val="-3"/>
                <w:sz w:val="18"/>
                <w:szCs w:val="18"/>
              </w:rPr>
              <w:t>股权并担任其执行董事、总经理</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杭州普华投资管理有限公司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曹国熊持有其</w:t>
            </w:r>
            <w:r>
              <w:rPr>
                <w:rFonts w:ascii="宋体" w:hAnsi="宋体" w:cs="宋体" w:eastAsia="宋体" w:hint="default"/>
                <w:spacing w:val="5"/>
                <w:sz w:val="18"/>
                <w:szCs w:val="18"/>
              </w:rPr>
              <w:t> </w:t>
            </w:r>
            <w:r>
              <w:rPr>
                <w:rFonts w:ascii="宋体" w:hAnsi="宋体" w:cs="宋体" w:eastAsia="宋体" w:hint="default"/>
                <w:spacing w:val="-3"/>
                <w:sz w:val="18"/>
                <w:szCs w:val="18"/>
              </w:rPr>
              <w:t>90%</w:t>
            </w:r>
            <w:r>
              <w:rPr>
                <w:rFonts w:ascii="宋体" w:hAnsi="宋体" w:cs="宋体" w:eastAsia="宋体" w:hint="default"/>
                <w:spacing w:val="-3"/>
                <w:sz w:val="18"/>
                <w:szCs w:val="18"/>
              </w:rPr>
              <w:t>股权并担任其执行董事、总经理</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浙江坤元投资咨询有限公司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曹国熊持有其</w:t>
            </w:r>
            <w:r>
              <w:rPr>
                <w:rFonts w:ascii="宋体" w:hAnsi="宋体" w:cs="宋体" w:eastAsia="宋体" w:hint="default"/>
                <w:spacing w:val="5"/>
                <w:sz w:val="18"/>
                <w:szCs w:val="18"/>
              </w:rPr>
              <w:t> </w:t>
            </w:r>
            <w:r>
              <w:rPr>
                <w:rFonts w:ascii="宋体" w:hAnsi="宋体" w:cs="宋体" w:eastAsia="宋体" w:hint="default"/>
                <w:spacing w:val="-3"/>
                <w:sz w:val="18"/>
                <w:szCs w:val="18"/>
              </w:rPr>
              <w:t>65%</w:t>
            </w:r>
            <w:r>
              <w:rPr>
                <w:rFonts w:ascii="宋体" w:hAnsi="宋体" w:cs="宋体" w:eastAsia="宋体" w:hint="default"/>
                <w:spacing w:val="-3"/>
                <w:sz w:val="18"/>
                <w:szCs w:val="18"/>
              </w:rPr>
              <w:t>股权并担任其执行董事、总经理</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浙江和纵股权投资合伙企业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曹国熊持有其</w:t>
            </w:r>
            <w:r>
              <w:rPr>
                <w:rFonts w:ascii="宋体" w:hAnsi="宋体" w:cs="宋体" w:eastAsia="宋体" w:hint="default"/>
                <w:spacing w:val="13"/>
                <w:sz w:val="18"/>
                <w:szCs w:val="18"/>
              </w:rPr>
              <w:t> </w:t>
            </w:r>
            <w:r>
              <w:rPr>
                <w:rFonts w:ascii="宋体" w:hAnsi="宋体" w:cs="宋体" w:eastAsia="宋体" w:hint="default"/>
                <w:spacing w:val="-3"/>
                <w:sz w:val="18"/>
                <w:szCs w:val="18"/>
              </w:rPr>
              <w:t>7.69%</w:t>
            </w:r>
            <w:r>
              <w:rPr>
                <w:rFonts w:ascii="宋体" w:hAnsi="宋体" w:cs="宋体" w:eastAsia="宋体" w:hint="default"/>
                <w:spacing w:val="-3"/>
                <w:sz w:val="18"/>
                <w:szCs w:val="18"/>
              </w:rPr>
              <w:t>财产份额并担任其执行事务合伙人</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杭州大头投资管理有限公司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曹国熊担任其执行董事、总经理</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杭州三仁投资管理有限公司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曹国熊担任其执行董事、总经理</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绍兴柯桥头头是道投资管理有限公司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pacing w:val="-3"/>
                <w:sz w:val="18"/>
                <w:szCs w:val="18"/>
              </w:rPr>
              <w:t>曹国熊担任其执行董事、总经理</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上海经为股权投资管理有限公司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浙江通策资产管理有限公司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29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浙江华睿庆余投资有限公司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bl>
    <w:p>
      <w:pPr>
        <w:spacing w:after="0" w:line="240" w:lineRule="auto"/>
        <w:jc w:val="left"/>
        <w:rPr>
          <w:rFonts w:ascii="宋体" w:hAnsi="宋体" w:cs="宋体" w:eastAsia="宋体" w:hint="default"/>
          <w:sz w:val="18"/>
          <w:szCs w:val="18"/>
        </w:rPr>
        <w:sectPr>
          <w:pgSz w:w="11910" w:h="16840"/>
          <w:pgMar w:header="741"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4367"/>
        <w:gridCol w:w="5491"/>
      </w:tblGrid>
      <w:tr>
        <w:trPr>
          <w:trHeight w:val="253" w:hRule="exact"/>
        </w:trPr>
        <w:tc>
          <w:tcPr>
            <w:tcW w:w="4367" w:type="dxa"/>
            <w:tcBorders>
              <w:top w:val="nil" w:sz="6" w:space="0" w:color="auto"/>
              <w:left w:val="nil" w:sz="6" w:space="0" w:color="auto"/>
              <w:bottom w:val="single" w:sz="4" w:space="0" w:color="000000"/>
              <w:right w:val="nil" w:sz="6" w:space="0" w:color="auto"/>
            </w:tcBorders>
          </w:tcPr>
          <w:p>
            <w:pPr>
              <w:pStyle w:val="TableParagraph"/>
              <w:spacing w:line="182" w:lineRule="exact"/>
              <w:ind w:left="1733" w:right="0"/>
              <w:jc w:val="left"/>
              <w:rPr>
                <w:rFonts w:ascii="宋体" w:hAnsi="宋体" w:cs="宋体" w:eastAsia="宋体" w:hint="default"/>
                <w:sz w:val="18"/>
                <w:szCs w:val="18"/>
              </w:rPr>
            </w:pPr>
            <w:r>
              <w:rPr>
                <w:rFonts w:ascii="宋体" w:hAnsi="宋体" w:cs="宋体" w:eastAsia="宋体" w:hint="default"/>
                <w:b/>
                <w:bCs/>
                <w:spacing w:val="-3"/>
                <w:sz w:val="18"/>
                <w:szCs w:val="18"/>
              </w:rPr>
              <w:t>其他关联方名称</w:t>
            </w:r>
            <w:r>
              <w:rPr>
                <w:rFonts w:ascii="宋体" w:hAnsi="宋体" w:cs="宋体" w:eastAsia="宋体" w:hint="default"/>
                <w:sz w:val="18"/>
                <w:szCs w:val="18"/>
              </w:rPr>
            </w:r>
          </w:p>
        </w:tc>
        <w:tc>
          <w:tcPr>
            <w:tcW w:w="5491" w:type="dxa"/>
            <w:tcBorders>
              <w:top w:val="nil" w:sz="6" w:space="0" w:color="auto"/>
              <w:left w:val="nil" w:sz="6" w:space="0" w:color="auto"/>
              <w:bottom w:val="single" w:sz="4" w:space="0" w:color="000000"/>
              <w:right w:val="nil" w:sz="6" w:space="0" w:color="auto"/>
            </w:tcBorders>
          </w:tcPr>
          <w:p>
            <w:pPr>
              <w:pStyle w:val="TableParagraph"/>
              <w:spacing w:line="182" w:lineRule="exact"/>
              <w:ind w:left="1932"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44" w:hRule="exact"/>
        </w:trPr>
        <w:tc>
          <w:tcPr>
            <w:tcW w:w="43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诸暨贵银投资有限公司</w:t>
            </w:r>
          </w:p>
        </w:tc>
        <w:tc>
          <w:tcPr>
            <w:tcW w:w="549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杭州深睿健洲医疗科技有限公司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杭州梦工场媒聚沃投资管理有限公司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曹国熊担任其董事长</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浙江数投资产管理有限公司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曹国熊担任其董事长</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北京墨迹风云科技股份有限公司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互爱</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科技股份有限公司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杭州快点网络科技有限公司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经纬</w:t>
            </w:r>
            <w:r>
              <w:rPr>
                <w:rFonts w:ascii="宋体" w:hAnsi="宋体" w:cs="宋体" w:eastAsia="宋体" w:hint="default"/>
                <w:spacing w:val="-3"/>
                <w:sz w:val="18"/>
                <w:szCs w:val="18"/>
              </w:rPr>
              <w:t>(</w:t>
            </w:r>
            <w:r>
              <w:rPr>
                <w:rFonts w:ascii="宋体" w:hAnsi="宋体" w:cs="宋体" w:eastAsia="宋体" w:hint="default"/>
                <w:spacing w:val="-3"/>
                <w:sz w:val="18"/>
                <w:szCs w:val="18"/>
              </w:rPr>
              <w:t>杭州</w:t>
            </w:r>
            <w:r>
              <w:rPr>
                <w:rFonts w:ascii="宋体" w:hAnsi="宋体" w:cs="宋体" w:eastAsia="宋体" w:hint="default"/>
                <w:spacing w:val="-3"/>
                <w:sz w:val="18"/>
                <w:szCs w:val="18"/>
              </w:rPr>
              <w:t>)</w:t>
            </w:r>
            <w:r>
              <w:rPr>
                <w:rFonts w:ascii="宋体" w:hAnsi="宋体" w:cs="宋体" w:eastAsia="宋体" w:hint="default"/>
                <w:spacing w:val="-3"/>
                <w:sz w:val="18"/>
                <w:szCs w:val="18"/>
              </w:rPr>
              <w:t>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杭州普健医疗科技有限公司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曹国熊担任其董事</w:t>
            </w:r>
          </w:p>
        </w:tc>
      </w:tr>
      <w:tr>
        <w:trPr>
          <w:trHeight w:val="38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豆盟</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科技股份有限公司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张东担任其董事</w:t>
            </w:r>
          </w:p>
        </w:tc>
      </w:tr>
      <w:tr>
        <w:trPr>
          <w:trHeight w:val="73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北京非勒电子工程有限公司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45"/>
              <w:ind w:left="472" w:right="99"/>
              <w:jc w:val="left"/>
              <w:rPr>
                <w:rFonts w:ascii="宋体" w:hAnsi="宋体" w:cs="宋体" w:eastAsia="宋体" w:hint="default"/>
                <w:sz w:val="18"/>
                <w:szCs w:val="18"/>
              </w:rPr>
            </w:pPr>
            <w:r>
              <w:rPr>
                <w:rFonts w:ascii="宋体" w:hAnsi="宋体" w:cs="宋体" w:eastAsia="宋体" w:hint="default"/>
                <w:sz w:val="18"/>
                <w:szCs w:val="18"/>
              </w:rPr>
              <w:t>刘义伟配偶刘晓霞持有其 </w:t>
            </w:r>
            <w:r>
              <w:rPr>
                <w:rFonts w:ascii="宋体" w:hAnsi="宋体" w:cs="宋体" w:eastAsia="宋体" w:hint="default"/>
                <w:spacing w:val="-3"/>
                <w:sz w:val="18"/>
                <w:szCs w:val="18"/>
              </w:rPr>
              <w:t>90%</w:t>
            </w:r>
            <w:r>
              <w:rPr>
                <w:rFonts w:ascii="宋体" w:hAnsi="宋体" w:cs="宋体" w:eastAsia="宋体" w:hint="default"/>
                <w:spacing w:val="-3"/>
                <w:sz w:val="18"/>
                <w:szCs w:val="18"/>
              </w:rPr>
              <w:t>股权并担任其执行董事、总经理</w:t>
            </w:r>
            <w:r>
              <w:rPr>
                <w:rFonts w:ascii="宋体" w:hAnsi="宋体" w:cs="宋体" w:eastAsia="宋体" w:hint="default"/>
                <w:spacing w:val="-3"/>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刘义伟担任其监事</w:t>
            </w:r>
          </w:p>
        </w:tc>
      </w:tr>
      <w:tr>
        <w:trPr>
          <w:trHeight w:val="73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北京健坤志远科技有限公司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35"/>
              <w:ind w:left="472" w:right="99"/>
              <w:jc w:val="left"/>
              <w:rPr>
                <w:rFonts w:ascii="宋体" w:hAnsi="宋体" w:cs="宋体" w:eastAsia="宋体" w:hint="default"/>
                <w:sz w:val="18"/>
                <w:szCs w:val="18"/>
              </w:rPr>
            </w:pPr>
            <w:r>
              <w:rPr>
                <w:rFonts w:ascii="宋体" w:hAnsi="宋体" w:cs="宋体" w:eastAsia="宋体" w:hint="default"/>
                <w:sz w:val="18"/>
                <w:szCs w:val="18"/>
              </w:rPr>
              <w:t>刘义伟配偶刘晓霞持有其 </w:t>
            </w:r>
            <w:r>
              <w:rPr>
                <w:rFonts w:ascii="宋体" w:hAnsi="宋体" w:cs="宋体" w:eastAsia="宋体" w:hint="default"/>
                <w:spacing w:val="-3"/>
                <w:sz w:val="18"/>
                <w:szCs w:val="18"/>
              </w:rPr>
              <w:t>100%</w:t>
            </w:r>
            <w:r>
              <w:rPr>
                <w:rFonts w:ascii="宋体" w:hAnsi="宋体" w:cs="宋体" w:eastAsia="宋体" w:hint="default"/>
                <w:spacing w:val="-3"/>
                <w:sz w:val="18"/>
                <w:szCs w:val="18"/>
              </w:rPr>
              <w:t>的股权并担任其执行董事、总经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r>
      <w:tr>
        <w:trPr>
          <w:trHeight w:val="37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北京方华力恒能源科技有限公司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72" w:right="0"/>
              <w:jc w:val="left"/>
              <w:rPr>
                <w:rFonts w:ascii="宋体" w:hAnsi="宋体" w:cs="宋体" w:eastAsia="宋体" w:hint="default"/>
                <w:sz w:val="18"/>
                <w:szCs w:val="18"/>
              </w:rPr>
            </w:pPr>
            <w:r>
              <w:rPr>
                <w:rFonts w:ascii="宋体" w:hAnsi="宋体" w:cs="宋体" w:eastAsia="宋体" w:hint="default"/>
                <w:spacing w:val="-3"/>
                <w:sz w:val="18"/>
                <w:szCs w:val="18"/>
              </w:rPr>
              <w:t>刘义伟配偶刘晓霞担任其执行董事、经理</w:t>
            </w:r>
          </w:p>
        </w:tc>
      </w:tr>
      <w:tr>
        <w:trPr>
          <w:trHeight w:val="737"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北京捷康特科技股份有限公司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45"/>
              <w:ind w:left="472" w:right="99"/>
              <w:jc w:val="left"/>
              <w:rPr>
                <w:rFonts w:ascii="宋体" w:hAnsi="宋体" w:cs="宋体" w:eastAsia="宋体" w:hint="default"/>
                <w:sz w:val="18"/>
                <w:szCs w:val="18"/>
              </w:rPr>
            </w:pPr>
            <w:r>
              <w:rPr>
                <w:rFonts w:ascii="宋体" w:hAnsi="宋体" w:cs="宋体" w:eastAsia="宋体" w:hint="default"/>
                <w:spacing w:val="-3"/>
                <w:sz w:val="18"/>
                <w:szCs w:val="18"/>
              </w:rPr>
              <w:t>刘义伟配偶刘晓霞曾担任其董事</w:t>
            </w:r>
            <w:r>
              <w:rPr>
                <w:rFonts w:ascii="宋体" w:hAnsi="宋体" w:cs="宋体" w:eastAsia="宋体"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37"/>
                <w:sz w:val="18"/>
                <w:szCs w:val="18"/>
              </w:rPr>
              <w:t> </w:t>
            </w:r>
            <w:r>
              <w:rPr>
                <w:rFonts w:ascii="宋体" w:hAnsi="宋体" w:cs="宋体" w:eastAsia="宋体" w:hint="default"/>
                <w:sz w:val="18"/>
                <w:szCs w:val="18"/>
              </w:rPr>
              <w:t>2019</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pacing w:val="-3"/>
                <w:sz w:val="18"/>
                <w:szCs w:val="18"/>
              </w:rPr>
              <w:t>月起不再担任其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董事</w:t>
            </w:r>
          </w:p>
        </w:tc>
      </w:tr>
      <w:tr>
        <w:trPr>
          <w:trHeight w:val="38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pacing w:val="-3"/>
                <w:sz w:val="18"/>
                <w:szCs w:val="18"/>
              </w:rPr>
              <w:t>广州海珠四季优选信息技术有限公司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王敬曾担任其执行董事</w:t>
            </w:r>
            <w:r>
              <w:rPr>
                <w:rFonts w:ascii="宋体" w:hAnsi="宋体" w:cs="宋体" w:eastAsia="宋体" w:hint="default"/>
                <w:spacing w:val="-3"/>
                <w:sz w:val="18"/>
                <w:szCs w:val="18"/>
              </w:rPr>
              <w:t>,</w:t>
            </w:r>
            <w:r>
              <w:rPr>
                <w:rFonts w:ascii="宋体" w:hAnsi="宋体" w:cs="宋体" w:eastAsia="宋体" w:hint="default"/>
                <w:spacing w:val="-3"/>
                <w:sz w:val="18"/>
                <w:szCs w:val="18"/>
              </w:rPr>
              <w:t>自</w:t>
            </w:r>
            <w:r>
              <w:rPr>
                <w:rFonts w:ascii="宋体" w:hAnsi="宋体" w:cs="宋体" w:eastAsia="宋体" w:hint="default"/>
                <w:spacing w:val="-36"/>
                <w:sz w:val="18"/>
                <w:szCs w:val="18"/>
              </w:rPr>
              <w:t> </w:t>
            </w:r>
            <w:r>
              <w:rPr>
                <w:rFonts w:ascii="宋体" w:hAnsi="宋体" w:cs="宋体" w:eastAsia="宋体" w:hint="default"/>
                <w:sz w:val="18"/>
                <w:szCs w:val="18"/>
              </w:rPr>
              <w:t>2019</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pacing w:val="-3"/>
                <w:sz w:val="18"/>
                <w:szCs w:val="18"/>
              </w:rPr>
              <w:t>月起不再担任其执行董事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大树聚</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网络科技有限公司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王敬曾担任其董事长</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38"/>
                <w:sz w:val="18"/>
                <w:szCs w:val="18"/>
              </w:rPr>
              <w:t> </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pacing w:val="-3"/>
                <w:sz w:val="18"/>
                <w:szCs w:val="18"/>
              </w:rPr>
              <w:t>月起不再担任其董事长</w:t>
            </w:r>
          </w:p>
        </w:tc>
      </w:tr>
      <w:tr>
        <w:trPr>
          <w:trHeight w:val="38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至领</w:t>
            </w:r>
            <w:r>
              <w:rPr>
                <w:rFonts w:ascii="宋体" w:hAnsi="宋体" w:cs="宋体" w:eastAsia="宋体" w:hint="default"/>
                <w:spacing w:val="-3"/>
                <w:sz w:val="18"/>
                <w:szCs w:val="18"/>
              </w:rPr>
              <w:t>(</w:t>
            </w:r>
            <w:r>
              <w:rPr>
                <w:rFonts w:ascii="宋体" w:hAnsi="宋体" w:cs="宋体" w:eastAsia="宋体" w:hint="default"/>
                <w:spacing w:val="-3"/>
                <w:sz w:val="18"/>
                <w:szCs w:val="18"/>
              </w:rPr>
              <w:t>上海</w:t>
            </w:r>
            <w:r>
              <w:rPr>
                <w:rFonts w:ascii="宋体" w:hAnsi="宋体" w:cs="宋体" w:eastAsia="宋体" w:hint="default"/>
                <w:spacing w:val="-3"/>
                <w:sz w:val="18"/>
                <w:szCs w:val="18"/>
              </w:rPr>
              <w:t>)</w:t>
            </w:r>
            <w:r>
              <w:rPr>
                <w:rFonts w:ascii="宋体" w:hAnsi="宋体" w:cs="宋体" w:eastAsia="宋体" w:hint="default"/>
                <w:spacing w:val="-3"/>
                <w:sz w:val="18"/>
                <w:szCs w:val="18"/>
              </w:rPr>
              <w:t>商贸有限公司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王敬配偶王辉担任其执行董事、总经理</w:t>
            </w:r>
          </w:p>
        </w:tc>
      </w:tr>
      <w:tr>
        <w:trPr>
          <w:trHeight w:val="73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青岛中资中程集团股份有限公司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45"/>
              <w:ind w:left="472" w:right="99"/>
              <w:jc w:val="left"/>
              <w:rPr>
                <w:rFonts w:ascii="宋体" w:hAnsi="宋体" w:cs="宋体" w:eastAsia="宋体" w:hint="default"/>
                <w:sz w:val="18"/>
                <w:szCs w:val="18"/>
              </w:rPr>
            </w:pPr>
            <w:r>
              <w:rPr>
                <w:rFonts w:ascii="宋体" w:hAnsi="宋体" w:cs="宋体" w:eastAsia="宋体" w:hint="default"/>
                <w:sz w:val="18"/>
                <w:szCs w:val="18"/>
              </w:rPr>
              <w:t>肖红英曾担任其独立董事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34"/>
                <w:sz w:val="18"/>
                <w:szCs w:val="18"/>
              </w:rPr>
              <w:t> </w:t>
            </w:r>
            <w:r>
              <w:rPr>
                <w:rFonts w:ascii="宋体" w:hAnsi="宋体" w:cs="宋体" w:eastAsia="宋体" w:hint="default"/>
                <w:sz w:val="18"/>
                <w:szCs w:val="18"/>
              </w:rPr>
              <w:t>2019</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宋体" w:hAnsi="宋体" w:cs="宋体" w:eastAsia="宋体" w:hint="default"/>
                <w:sz w:val="18"/>
                <w:szCs w:val="18"/>
              </w:rPr>
              <w:t>6</w:t>
            </w:r>
            <w:r>
              <w:rPr>
                <w:rFonts w:ascii="宋体" w:hAnsi="宋体" w:cs="宋体" w:eastAsia="宋体" w:hint="default"/>
                <w:spacing w:val="-34"/>
                <w:sz w:val="18"/>
                <w:szCs w:val="18"/>
              </w:rPr>
              <w:t> </w:t>
            </w:r>
            <w:r>
              <w:rPr>
                <w:rFonts w:ascii="宋体" w:hAnsi="宋体" w:cs="宋体" w:eastAsia="宋体" w:hint="default"/>
                <w:sz w:val="18"/>
                <w:szCs w:val="18"/>
              </w:rPr>
              <w:t>月起不再担任其独立董</w:t>
            </w:r>
            <w:r>
              <w:rPr>
                <w:rFonts w:ascii="宋体" w:hAnsi="宋体" w:cs="宋体" w:eastAsia="宋体" w:hint="default"/>
                <w:w w:val="101"/>
                <w:sz w:val="18"/>
                <w:szCs w:val="18"/>
              </w:rPr>
              <w:t> </w:t>
            </w:r>
            <w:r>
              <w:rPr>
                <w:rFonts w:ascii="宋体" w:hAnsi="宋体" w:cs="宋体" w:eastAsia="宋体" w:hint="default"/>
                <w:sz w:val="18"/>
                <w:szCs w:val="18"/>
              </w:rPr>
              <w:t>事</w:t>
            </w:r>
          </w:p>
        </w:tc>
      </w:tr>
      <w:tr>
        <w:trPr>
          <w:trHeight w:val="72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浙江永贵电器股份有限公司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35"/>
              <w:ind w:left="472" w:right="99"/>
              <w:jc w:val="left"/>
              <w:rPr>
                <w:rFonts w:ascii="宋体" w:hAnsi="宋体" w:cs="宋体" w:eastAsia="宋体" w:hint="default"/>
                <w:sz w:val="18"/>
                <w:szCs w:val="18"/>
              </w:rPr>
            </w:pPr>
            <w:r>
              <w:rPr>
                <w:rFonts w:ascii="宋体" w:hAnsi="宋体" w:cs="宋体" w:eastAsia="宋体" w:hint="default"/>
                <w:sz w:val="18"/>
                <w:szCs w:val="18"/>
              </w:rPr>
              <w:t>肖红英曾担任其独立董事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10</w:t>
            </w:r>
            <w:r>
              <w:rPr>
                <w:rFonts w:ascii="宋体" w:hAnsi="宋体" w:cs="宋体" w:eastAsia="宋体" w:hint="default"/>
                <w:spacing w:val="-60"/>
                <w:sz w:val="18"/>
                <w:szCs w:val="18"/>
              </w:rPr>
              <w:t> </w:t>
            </w:r>
            <w:r>
              <w:rPr>
                <w:rFonts w:ascii="宋体" w:hAnsi="宋体" w:cs="宋体" w:eastAsia="宋体" w:hint="default"/>
                <w:sz w:val="18"/>
                <w:szCs w:val="18"/>
              </w:rPr>
              <w:t>月起不再担任其独立董</w:t>
            </w:r>
            <w:r>
              <w:rPr>
                <w:rFonts w:ascii="宋体" w:hAnsi="宋体" w:cs="宋体" w:eastAsia="宋体" w:hint="default"/>
                <w:w w:val="101"/>
                <w:sz w:val="18"/>
                <w:szCs w:val="18"/>
              </w:rPr>
              <w:t> </w:t>
            </w:r>
            <w:r>
              <w:rPr>
                <w:rFonts w:ascii="宋体" w:hAnsi="宋体" w:cs="宋体" w:eastAsia="宋体" w:hint="default"/>
                <w:sz w:val="18"/>
                <w:szCs w:val="18"/>
              </w:rPr>
              <w:t>事</w:t>
            </w:r>
          </w:p>
        </w:tc>
      </w:tr>
      <w:tr>
        <w:trPr>
          <w:trHeight w:val="730"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宁波梅山保税港区至晖投资合伙企业</w:t>
            </w:r>
            <w:r>
              <w:rPr>
                <w:rFonts w:ascii="宋体" w:hAnsi="宋体" w:cs="宋体" w:eastAsia="宋体" w:hint="default"/>
                <w:spacing w:val="-3"/>
                <w:sz w:val="18"/>
                <w:szCs w:val="18"/>
              </w:rPr>
              <w:t>(</w:t>
            </w:r>
            <w:r>
              <w:rPr>
                <w:rFonts w:ascii="宋体" w:hAnsi="宋体" w:cs="宋体" w:eastAsia="宋体" w:hint="default"/>
                <w:spacing w:val="-3"/>
                <w:sz w:val="18"/>
                <w:szCs w:val="18"/>
              </w:rPr>
              <w:t>有限合伙</w:t>
            </w:r>
            <w:r>
              <w:rPr>
                <w:rFonts w:ascii="宋体" w:hAnsi="宋体" w:cs="宋体" w:eastAsia="宋体" w:hint="default"/>
                <w:spacing w:val="-3"/>
                <w:sz w:val="18"/>
                <w:szCs w:val="18"/>
              </w:rPr>
              <w:t>)</w:t>
            </w:r>
          </w:p>
        </w:tc>
        <w:tc>
          <w:tcPr>
            <w:tcW w:w="5491" w:type="dxa"/>
            <w:tcBorders>
              <w:top w:val="nil" w:sz="6" w:space="0" w:color="auto"/>
              <w:left w:val="nil" w:sz="6" w:space="0" w:color="auto"/>
              <w:bottom w:val="nil" w:sz="6" w:space="0" w:color="auto"/>
              <w:right w:val="nil" w:sz="6" w:space="0" w:color="auto"/>
            </w:tcBorders>
          </w:tcPr>
          <w:p>
            <w:pPr>
              <w:pStyle w:val="TableParagraph"/>
              <w:spacing w:line="367" w:lineRule="auto" w:before="35"/>
              <w:ind w:left="472" w:right="99"/>
              <w:jc w:val="left"/>
              <w:rPr>
                <w:rFonts w:ascii="宋体" w:hAnsi="宋体" w:cs="宋体" w:eastAsia="宋体" w:hint="default"/>
                <w:sz w:val="18"/>
                <w:szCs w:val="18"/>
              </w:rPr>
            </w:pPr>
            <w:r>
              <w:rPr>
                <w:rFonts w:ascii="宋体" w:hAnsi="宋体" w:cs="宋体" w:eastAsia="宋体" w:hint="default"/>
                <w:sz w:val="18"/>
                <w:szCs w:val="18"/>
              </w:rPr>
              <w:t>曹国熊配偶徐少颖持有其</w:t>
            </w:r>
            <w:r>
              <w:rPr>
                <w:rFonts w:ascii="宋体" w:hAnsi="宋体" w:cs="宋体" w:eastAsia="宋体" w:hint="default"/>
                <w:spacing w:val="51"/>
                <w:sz w:val="18"/>
                <w:szCs w:val="18"/>
              </w:rPr>
              <w:t> </w:t>
            </w:r>
            <w:r>
              <w:rPr>
                <w:rFonts w:ascii="宋体" w:hAnsi="宋体" w:cs="宋体" w:eastAsia="宋体" w:hint="default"/>
                <w:sz w:val="18"/>
                <w:szCs w:val="18"/>
              </w:rPr>
              <w:t>49.99%</w:t>
            </w:r>
            <w:r>
              <w:rPr>
                <w:rFonts w:ascii="宋体" w:hAnsi="宋体" w:cs="宋体" w:eastAsia="宋体" w:hint="default"/>
                <w:sz w:val="18"/>
                <w:szCs w:val="18"/>
              </w:rPr>
              <w:t>财产份额</w:t>
            </w:r>
            <w:r>
              <w:rPr>
                <w:rFonts w:ascii="宋体" w:hAnsi="宋体" w:cs="宋体" w:eastAsia="宋体" w:hint="default"/>
                <w:sz w:val="18"/>
                <w:szCs w:val="18"/>
              </w:rPr>
              <w:t>,</w:t>
            </w:r>
            <w:r>
              <w:rPr>
                <w:rFonts w:ascii="宋体" w:hAnsi="宋体" w:cs="宋体" w:eastAsia="宋体" w:hint="default"/>
                <w:sz w:val="18"/>
                <w:szCs w:val="18"/>
              </w:rPr>
              <w:t>曹国熊控制的杭州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正前方投资有限公司担任其执行事务合伙人</w:t>
            </w:r>
          </w:p>
        </w:tc>
      </w:tr>
      <w:tr>
        <w:trPr>
          <w:trHeight w:val="38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绍兴天腾机床工具有限公司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72" w:right="0"/>
              <w:jc w:val="left"/>
              <w:rPr>
                <w:rFonts w:ascii="宋体" w:hAnsi="宋体" w:cs="宋体" w:eastAsia="宋体" w:hint="default"/>
                <w:sz w:val="18"/>
                <w:szCs w:val="18"/>
              </w:rPr>
            </w:pPr>
            <w:r>
              <w:rPr>
                <w:rFonts w:ascii="宋体" w:hAnsi="宋体" w:cs="宋体" w:eastAsia="宋体" w:hint="default"/>
                <w:spacing w:val="-3"/>
                <w:sz w:val="18"/>
                <w:szCs w:val="18"/>
              </w:rPr>
              <w:t>曹国熊关系密切的家庭成员实际控制的公司</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上海证大喜马拉雅网络科技有限公司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曹国熊曾担任其董事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38"/>
                <w:sz w:val="18"/>
                <w:szCs w:val="18"/>
              </w:rPr>
              <w:t> </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pacing w:val="-38"/>
                <w:sz w:val="18"/>
                <w:szCs w:val="18"/>
              </w:rPr>
              <w:t> </w:t>
            </w:r>
            <w:r>
              <w:rPr>
                <w:rFonts w:ascii="宋体" w:hAnsi="宋体" w:cs="宋体" w:eastAsia="宋体" w:hint="default"/>
                <w:spacing w:val="-3"/>
                <w:sz w:val="18"/>
                <w:szCs w:val="18"/>
              </w:rPr>
              <w:t>月起不再担任其董事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果麦文化传媒股份有限公司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曹国熊曾担任其董事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38"/>
                <w:sz w:val="18"/>
                <w:szCs w:val="18"/>
              </w:rPr>
              <w:t> </w:t>
            </w: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8</w:t>
            </w:r>
            <w:r>
              <w:rPr>
                <w:rFonts w:ascii="宋体" w:hAnsi="宋体" w:cs="宋体" w:eastAsia="宋体" w:hint="default"/>
                <w:spacing w:val="-38"/>
                <w:sz w:val="18"/>
                <w:szCs w:val="18"/>
              </w:rPr>
              <w:t> </w:t>
            </w:r>
            <w:r>
              <w:rPr>
                <w:rFonts w:ascii="宋体" w:hAnsi="宋体" w:cs="宋体" w:eastAsia="宋体" w:hint="default"/>
                <w:spacing w:val="-3"/>
                <w:sz w:val="18"/>
                <w:szCs w:val="18"/>
              </w:rPr>
              <w:t>月起不再担任其董事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精硕科技</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张东曾担任其董事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8</w:t>
            </w:r>
            <w:r>
              <w:rPr>
                <w:rFonts w:ascii="宋体" w:hAnsi="宋体" w:cs="宋体" w:eastAsia="宋体" w:hint="default"/>
                <w:spacing w:val="-42"/>
                <w:sz w:val="18"/>
                <w:szCs w:val="18"/>
              </w:rPr>
              <w:t> </w:t>
            </w:r>
            <w:r>
              <w:rPr>
                <w:rFonts w:ascii="宋体" w:hAnsi="宋体" w:cs="宋体" w:eastAsia="宋体" w:hint="default"/>
                <w:spacing w:val="-3"/>
                <w:sz w:val="18"/>
                <w:szCs w:val="18"/>
              </w:rPr>
              <w:t>月起不再担任其董事</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先知数据科技</w:t>
            </w:r>
            <w:r>
              <w:rPr>
                <w:rFonts w:ascii="宋体" w:hAnsi="宋体" w:cs="宋体" w:eastAsia="宋体" w:hint="default"/>
                <w:spacing w:val="-3"/>
                <w:sz w:val="18"/>
                <w:szCs w:val="18"/>
              </w:rPr>
              <w:t>(</w:t>
            </w:r>
            <w:r>
              <w:rPr>
                <w:rFonts w:ascii="宋体" w:hAnsi="宋体" w:cs="宋体" w:eastAsia="宋体" w:hint="default"/>
                <w:spacing w:val="-3"/>
                <w:sz w:val="18"/>
                <w:szCs w:val="18"/>
              </w:rPr>
              <w:t>深圳</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张东曾担任其董事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48"/>
                <w:sz w:val="18"/>
                <w:szCs w:val="18"/>
              </w:rPr>
              <w:t> </w:t>
            </w:r>
            <w:r>
              <w:rPr>
                <w:rFonts w:ascii="宋体" w:hAnsi="宋体" w:cs="宋体" w:eastAsia="宋体" w:hint="default"/>
                <w:sz w:val="18"/>
                <w:szCs w:val="18"/>
              </w:rPr>
              <w:t>2020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月起前不再担任其董事</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深圳市达晨创丰股权投资企业（有限合伙）</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z w:val="18"/>
                <w:szCs w:val="18"/>
              </w:rPr>
              <w:t>过去十二个月内曾持有发行人</w:t>
            </w:r>
            <w:r>
              <w:rPr>
                <w:rFonts w:ascii="宋体" w:hAnsi="宋体" w:cs="宋体" w:eastAsia="宋体" w:hint="default"/>
                <w:spacing w:val="-26"/>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以上股份</w:t>
            </w:r>
          </w:p>
        </w:tc>
      </w:tr>
      <w:tr>
        <w:trPr>
          <w:trHeight w:val="399"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深圳市达晨财智创业投资管理有限公司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72" w:right="0"/>
              <w:jc w:val="left"/>
              <w:rPr>
                <w:rFonts w:ascii="宋体" w:hAnsi="宋体" w:cs="宋体" w:eastAsia="宋体" w:hint="default"/>
                <w:sz w:val="18"/>
                <w:szCs w:val="18"/>
              </w:rPr>
            </w:pPr>
            <w:r>
              <w:rPr>
                <w:rFonts w:ascii="宋体" w:hAnsi="宋体" w:cs="宋体" w:eastAsia="宋体" w:hint="default"/>
                <w:spacing w:val="-3"/>
                <w:sz w:val="18"/>
                <w:szCs w:val="18"/>
              </w:rPr>
              <w:t>达晨创丰执行事务合伙人</w:t>
            </w:r>
          </w:p>
        </w:tc>
      </w:tr>
      <w:tr>
        <w:trPr>
          <w:trHeight w:val="396"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北京黑马拓新创业投资中心（有限合伙）</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2" w:right="0"/>
              <w:jc w:val="left"/>
              <w:rPr>
                <w:rFonts w:ascii="宋体" w:hAnsi="宋体" w:cs="宋体" w:eastAsia="宋体" w:hint="default"/>
                <w:sz w:val="18"/>
                <w:szCs w:val="18"/>
              </w:rPr>
            </w:pPr>
            <w:r>
              <w:rPr>
                <w:rFonts w:ascii="宋体" w:hAnsi="宋体" w:cs="宋体" w:eastAsia="宋体" w:hint="default"/>
                <w:spacing w:val="-3"/>
                <w:sz w:val="18"/>
                <w:szCs w:val="18"/>
              </w:rPr>
              <w:t>牛文文担任其执行事务合伙人委派代表</w:t>
            </w:r>
          </w:p>
        </w:tc>
      </w:tr>
      <w:tr>
        <w:trPr>
          <w:trHeight w:val="288" w:hRule="exact"/>
        </w:trPr>
        <w:tc>
          <w:tcPr>
            <w:tcW w:w="436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北京蓝色光标数据科技股份有限公司</w:t>
            </w:r>
          </w:p>
        </w:tc>
        <w:tc>
          <w:tcPr>
            <w:tcW w:w="54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pacing w:val="-5"/>
                <w:sz w:val="18"/>
                <w:szCs w:val="18"/>
              </w:rPr>
              <w:t>张东曾担任其董事、财务总监</w:t>
            </w:r>
            <w:r>
              <w:rPr>
                <w:rFonts w:ascii="宋体" w:hAnsi="宋体" w:cs="宋体" w:eastAsia="宋体" w:hint="default"/>
                <w:spacing w:val="-5"/>
                <w:sz w:val="18"/>
                <w:szCs w:val="18"/>
              </w:rPr>
              <w:t>,</w:t>
            </w:r>
            <w:r>
              <w:rPr>
                <w:rFonts w:ascii="宋体" w:hAnsi="宋体" w:cs="宋体" w:eastAsia="宋体" w:hint="default"/>
                <w:spacing w:val="-5"/>
                <w:sz w:val="18"/>
                <w:szCs w:val="18"/>
              </w:rPr>
              <w:t>自</w:t>
            </w:r>
            <w:r>
              <w:rPr>
                <w:rFonts w:ascii="宋体" w:hAnsi="宋体" w:cs="宋体" w:eastAsia="宋体" w:hint="default"/>
                <w:spacing w:val="-40"/>
                <w:sz w:val="18"/>
                <w:szCs w:val="18"/>
              </w:rPr>
              <w:t> </w:t>
            </w:r>
            <w:r>
              <w:rPr>
                <w:rFonts w:ascii="宋体" w:hAnsi="宋体" w:cs="宋体" w:eastAsia="宋体" w:hint="default"/>
                <w:sz w:val="18"/>
                <w:szCs w:val="18"/>
              </w:rPr>
              <w:t>2018</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11</w:t>
            </w:r>
            <w:r>
              <w:rPr>
                <w:rFonts w:ascii="宋体" w:hAnsi="宋体" w:cs="宋体" w:eastAsia="宋体" w:hint="default"/>
                <w:spacing w:val="-40"/>
                <w:sz w:val="18"/>
                <w:szCs w:val="18"/>
              </w:rPr>
              <w:t> </w:t>
            </w:r>
            <w:r>
              <w:rPr>
                <w:rFonts w:ascii="宋体" w:hAnsi="宋体" w:cs="宋体" w:eastAsia="宋体" w:hint="default"/>
                <w:sz w:val="18"/>
                <w:szCs w:val="18"/>
              </w:rPr>
              <w:t>月起不再担任其董</w:t>
            </w:r>
          </w:p>
        </w:tc>
      </w:tr>
    </w:tbl>
    <w:p>
      <w:pPr>
        <w:spacing w:after="0" w:line="240" w:lineRule="auto"/>
        <w:jc w:val="left"/>
        <w:rPr>
          <w:rFonts w:ascii="宋体" w:hAnsi="宋体" w:cs="宋体" w:eastAsia="宋体" w:hint="default"/>
          <w:sz w:val="18"/>
          <w:szCs w:val="18"/>
        </w:rPr>
        <w:sectPr>
          <w:pgSz w:w="11910" w:h="16840"/>
          <w:pgMar w:header="741"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tbl>
      <w:tblPr>
        <w:tblW w:w="0" w:type="auto"/>
        <w:jc w:val="left"/>
        <w:tblInd w:w="122" w:type="dxa"/>
        <w:tblLayout w:type="fixed"/>
        <w:tblCellMar>
          <w:top w:w="0" w:type="dxa"/>
          <w:left w:w="0" w:type="dxa"/>
          <w:bottom w:w="0" w:type="dxa"/>
          <w:right w:w="0" w:type="dxa"/>
        </w:tblCellMar>
        <w:tblLook w:val="01E0"/>
      </w:tblPr>
      <w:tblGrid>
        <w:gridCol w:w="4098"/>
        <w:gridCol w:w="5760"/>
      </w:tblGrid>
      <w:tr>
        <w:trPr>
          <w:trHeight w:val="253" w:hRule="exact"/>
        </w:trPr>
        <w:tc>
          <w:tcPr>
            <w:tcW w:w="4098" w:type="dxa"/>
            <w:tcBorders>
              <w:top w:val="nil" w:sz="6" w:space="0" w:color="auto"/>
              <w:left w:val="nil" w:sz="6" w:space="0" w:color="auto"/>
              <w:bottom w:val="single" w:sz="4" w:space="0" w:color="000000"/>
              <w:right w:val="nil" w:sz="6" w:space="0" w:color="auto"/>
            </w:tcBorders>
          </w:tcPr>
          <w:p>
            <w:pPr>
              <w:pStyle w:val="TableParagraph"/>
              <w:spacing w:line="182" w:lineRule="exact"/>
              <w:ind w:left="1733" w:right="0"/>
              <w:jc w:val="left"/>
              <w:rPr>
                <w:rFonts w:ascii="宋体" w:hAnsi="宋体" w:cs="宋体" w:eastAsia="宋体" w:hint="default"/>
                <w:sz w:val="18"/>
                <w:szCs w:val="18"/>
              </w:rPr>
            </w:pPr>
            <w:r>
              <w:rPr>
                <w:rFonts w:ascii="宋体" w:hAnsi="宋体" w:cs="宋体" w:eastAsia="宋体" w:hint="default"/>
                <w:b/>
                <w:bCs/>
                <w:spacing w:val="-3"/>
                <w:sz w:val="18"/>
                <w:szCs w:val="18"/>
              </w:rPr>
              <w:t>其他关联方名称</w:t>
            </w:r>
            <w:r>
              <w:rPr>
                <w:rFonts w:ascii="宋体" w:hAnsi="宋体" w:cs="宋体" w:eastAsia="宋体" w:hint="default"/>
                <w:sz w:val="18"/>
                <w:szCs w:val="18"/>
              </w:rPr>
            </w:r>
          </w:p>
        </w:tc>
        <w:tc>
          <w:tcPr>
            <w:tcW w:w="5760" w:type="dxa"/>
            <w:tcBorders>
              <w:top w:val="nil" w:sz="6" w:space="0" w:color="auto"/>
              <w:left w:val="nil" w:sz="6" w:space="0" w:color="auto"/>
              <w:bottom w:val="single" w:sz="4" w:space="0" w:color="000000"/>
              <w:right w:val="nil" w:sz="6" w:space="0" w:color="auto"/>
            </w:tcBorders>
          </w:tcPr>
          <w:p>
            <w:pPr>
              <w:pStyle w:val="TableParagraph"/>
              <w:spacing w:line="182" w:lineRule="exact"/>
              <w:ind w:left="2201"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r>
      <w:tr>
        <w:trPr>
          <w:trHeight w:val="427" w:hRule="exact"/>
        </w:trPr>
        <w:tc>
          <w:tcPr>
            <w:tcW w:w="4098" w:type="dxa"/>
            <w:tcBorders>
              <w:top w:val="single" w:sz="4" w:space="0" w:color="000000"/>
              <w:left w:val="nil" w:sz="6" w:space="0" w:color="auto"/>
              <w:bottom w:val="nil" w:sz="6" w:space="0" w:color="auto"/>
              <w:right w:val="nil" w:sz="6" w:space="0" w:color="auto"/>
            </w:tcBorders>
          </w:tcPr>
          <w:p>
            <w:pPr/>
          </w:p>
        </w:tc>
        <w:tc>
          <w:tcPr>
            <w:tcW w:w="576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742" w:right="0"/>
              <w:jc w:val="left"/>
              <w:rPr>
                <w:rFonts w:ascii="宋体" w:hAnsi="宋体" w:cs="宋体" w:eastAsia="宋体" w:hint="default"/>
                <w:sz w:val="18"/>
                <w:szCs w:val="18"/>
              </w:rPr>
            </w:pPr>
            <w:r>
              <w:rPr>
                <w:rFonts w:ascii="宋体" w:hAnsi="宋体" w:cs="宋体" w:eastAsia="宋体" w:hint="default"/>
                <w:sz w:val="18"/>
                <w:szCs w:val="18"/>
              </w:rPr>
              <w:t>事、财务总监</w:t>
            </w:r>
          </w:p>
        </w:tc>
      </w:tr>
      <w:tr>
        <w:trPr>
          <w:trHeight w:val="747"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北京今久广告传播有限责任公司</w:t>
            </w:r>
          </w:p>
        </w:tc>
        <w:tc>
          <w:tcPr>
            <w:tcW w:w="5760" w:type="dxa"/>
            <w:tcBorders>
              <w:top w:val="nil" w:sz="6" w:space="0" w:color="auto"/>
              <w:left w:val="nil" w:sz="6" w:space="0" w:color="auto"/>
              <w:bottom w:val="nil" w:sz="6" w:space="0" w:color="auto"/>
              <w:right w:val="nil" w:sz="6" w:space="0" w:color="auto"/>
            </w:tcBorders>
          </w:tcPr>
          <w:p>
            <w:pPr>
              <w:pStyle w:val="TableParagraph"/>
              <w:spacing w:line="367" w:lineRule="auto" w:before="55"/>
              <w:ind w:left="742" w:right="99"/>
              <w:jc w:val="left"/>
              <w:rPr>
                <w:rFonts w:ascii="宋体" w:hAnsi="宋体" w:cs="宋体" w:eastAsia="宋体" w:hint="default"/>
                <w:sz w:val="18"/>
                <w:szCs w:val="18"/>
              </w:rPr>
            </w:pPr>
            <w:r>
              <w:rPr>
                <w:rFonts w:ascii="宋体" w:hAnsi="宋体" w:cs="宋体" w:eastAsia="宋体" w:hint="default"/>
                <w:spacing w:val="2"/>
                <w:sz w:val="18"/>
                <w:szCs w:val="18"/>
              </w:rPr>
              <w:t>北京蓝色光标数据科技股份有限公司全资子公司蓝色光标</w:t>
            </w:r>
            <w:r>
              <w:rPr>
                <w:rFonts w:ascii="宋体" w:hAnsi="宋体" w:cs="宋体" w:eastAsia="宋体" w:hint="default"/>
                <w:spacing w:val="2"/>
                <w:sz w:val="18"/>
                <w:szCs w:val="18"/>
              </w:rPr>
              <w:t>(</w:t>
            </w:r>
            <w:r>
              <w:rPr>
                <w:rFonts w:ascii="宋体" w:hAnsi="宋体" w:cs="宋体" w:eastAsia="宋体" w:hint="default"/>
                <w:spacing w:val="2"/>
                <w:sz w:val="18"/>
                <w:szCs w:val="18"/>
              </w:rPr>
              <w:t>上</w:t>
            </w:r>
            <w:r>
              <w:rPr>
                <w:rFonts w:ascii="宋体" w:hAnsi="宋体" w:cs="宋体" w:eastAsia="宋体" w:hint="default"/>
                <w:spacing w:val="-8"/>
                <w:sz w:val="18"/>
                <w:szCs w:val="18"/>
              </w:rPr>
              <w:t> </w:t>
            </w:r>
            <w:r>
              <w:rPr>
                <w:rFonts w:ascii="宋体" w:hAnsi="宋体" w:cs="宋体" w:eastAsia="宋体" w:hint="default"/>
                <w:sz w:val="18"/>
                <w:szCs w:val="18"/>
              </w:rPr>
              <w:t>海</w:t>
            </w:r>
            <w:r>
              <w:rPr>
                <w:rFonts w:ascii="宋体" w:hAnsi="宋体" w:cs="宋体" w:eastAsia="宋体" w:hint="default"/>
                <w:sz w:val="18"/>
                <w:szCs w:val="18"/>
              </w:rPr>
              <w:t>)</w:t>
            </w:r>
            <w:r>
              <w:rPr>
                <w:rFonts w:ascii="宋体" w:hAnsi="宋体" w:cs="宋体" w:eastAsia="宋体" w:hint="default"/>
                <w:sz w:val="18"/>
                <w:szCs w:val="18"/>
              </w:rPr>
              <w:t>投资管理有限公司持有其</w:t>
            </w:r>
            <w:r>
              <w:rPr>
                <w:rFonts w:ascii="宋体" w:hAnsi="宋体" w:cs="宋体" w:eastAsia="宋体" w:hint="default"/>
                <w:spacing w:val="-30"/>
                <w:sz w:val="18"/>
                <w:szCs w:val="18"/>
              </w:rPr>
              <w:t> </w:t>
            </w:r>
            <w:r>
              <w:rPr>
                <w:rFonts w:ascii="宋体" w:hAnsi="宋体" w:cs="宋体" w:eastAsia="宋体" w:hint="default"/>
                <w:spacing w:val="-3"/>
                <w:sz w:val="18"/>
                <w:szCs w:val="18"/>
              </w:rPr>
              <w:t>100%</w:t>
            </w:r>
            <w:r>
              <w:rPr>
                <w:rFonts w:ascii="宋体" w:hAnsi="宋体" w:cs="宋体" w:eastAsia="宋体" w:hint="default"/>
                <w:spacing w:val="-3"/>
                <w:sz w:val="18"/>
                <w:szCs w:val="18"/>
              </w:rPr>
              <w:t>股权</w:t>
            </w:r>
            <w:r>
              <w:rPr>
                <w:rFonts w:ascii="宋体" w:hAnsi="宋体" w:cs="宋体" w:eastAsia="宋体" w:hint="default"/>
                <w:sz w:val="18"/>
                <w:szCs w:val="18"/>
              </w:rPr>
            </w:r>
          </w:p>
        </w:tc>
      </w:tr>
      <w:tr>
        <w:trPr>
          <w:trHeight w:val="386"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上海蓝色光标品牌顾问有限公司</w:t>
            </w:r>
          </w:p>
        </w:tc>
        <w:tc>
          <w:tcPr>
            <w:tcW w:w="576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42" w:right="0"/>
              <w:jc w:val="left"/>
              <w:rPr>
                <w:rFonts w:ascii="宋体" w:hAnsi="宋体" w:cs="宋体" w:eastAsia="宋体" w:hint="default"/>
                <w:sz w:val="18"/>
                <w:szCs w:val="18"/>
              </w:rPr>
            </w:pPr>
            <w:r>
              <w:rPr>
                <w:rFonts w:ascii="宋体" w:hAnsi="宋体" w:cs="宋体" w:eastAsia="宋体" w:hint="default"/>
                <w:spacing w:val="-3"/>
                <w:sz w:val="18"/>
                <w:szCs w:val="18"/>
              </w:rPr>
              <w:t>北京蓝色光标数据科技股份有限公司持有其</w:t>
            </w:r>
            <w:r>
              <w:rPr>
                <w:rFonts w:ascii="宋体" w:hAnsi="宋体" w:cs="宋体" w:eastAsia="宋体" w:hint="default"/>
                <w:spacing w:val="15"/>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p>
        </w:tc>
      </w:tr>
      <w:tr>
        <w:trPr>
          <w:trHeight w:val="398"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上海狮华信息技术服务股份有限公司</w:t>
            </w:r>
          </w:p>
        </w:tc>
        <w:tc>
          <w:tcPr>
            <w:tcW w:w="57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2" w:right="0"/>
              <w:jc w:val="left"/>
              <w:rPr>
                <w:rFonts w:ascii="宋体" w:hAnsi="宋体" w:cs="宋体" w:eastAsia="宋体" w:hint="default"/>
                <w:sz w:val="18"/>
                <w:szCs w:val="18"/>
              </w:rPr>
            </w:pPr>
            <w:r>
              <w:rPr>
                <w:rFonts w:ascii="宋体" w:hAnsi="宋体" w:cs="宋体" w:eastAsia="宋体" w:hint="default"/>
                <w:sz w:val="18"/>
                <w:szCs w:val="18"/>
              </w:rPr>
              <w:t>张东曾担任其董事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pacing w:val="-3"/>
                <w:sz w:val="18"/>
                <w:szCs w:val="18"/>
              </w:rPr>
              <w:t>月起不再担任其董事</w:t>
            </w:r>
          </w:p>
        </w:tc>
      </w:tr>
      <w:tr>
        <w:trPr>
          <w:trHeight w:val="396"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北京蓝色方略整合营销顾问股份有限公司</w:t>
            </w:r>
          </w:p>
        </w:tc>
        <w:tc>
          <w:tcPr>
            <w:tcW w:w="57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2" w:right="0"/>
              <w:jc w:val="left"/>
              <w:rPr>
                <w:rFonts w:ascii="宋体" w:hAnsi="宋体" w:cs="宋体" w:eastAsia="宋体" w:hint="default"/>
                <w:sz w:val="18"/>
                <w:szCs w:val="18"/>
              </w:rPr>
            </w:pPr>
            <w:r>
              <w:rPr>
                <w:rFonts w:ascii="宋体" w:hAnsi="宋体" w:cs="宋体" w:eastAsia="宋体" w:hint="default"/>
                <w:sz w:val="18"/>
                <w:szCs w:val="18"/>
              </w:rPr>
              <w:t>张东曾担任其董事</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pacing w:val="-3"/>
                <w:sz w:val="18"/>
                <w:szCs w:val="18"/>
              </w:rPr>
              <w:t>月起不再担任其董事</w:t>
            </w:r>
          </w:p>
        </w:tc>
      </w:tr>
      <w:tr>
        <w:trPr>
          <w:trHeight w:val="288"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探路者控股集团股份有限公司</w:t>
            </w:r>
          </w:p>
        </w:tc>
        <w:tc>
          <w:tcPr>
            <w:tcW w:w="57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pacing w:val="-3"/>
                <w:sz w:val="18"/>
                <w:szCs w:val="18"/>
              </w:rPr>
              <w:t>关联自然人盛发强共同控制的企业</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448" w:lineRule="auto" w:before="162"/>
        <w:ind w:left="655" w:right="5980"/>
        <w:jc w:val="left"/>
      </w:pPr>
      <w:bookmarkStart w:name="（六）关联方交易" w:id="263"/>
      <w:bookmarkEnd w:id="263"/>
      <w:r>
        <w:rPr/>
      </w:r>
      <w:r>
        <w:rPr/>
        <w:t>（六）关联方交易</w:t>
      </w:r>
      <w:r>
        <w:rPr>
          <w:spacing w:val="-101"/>
        </w:rPr>
        <w:t> </w:t>
      </w:r>
      <w:r>
        <w:rPr>
          <w:spacing w:val="-101"/>
        </w:rPr>
      </w:r>
      <w:r>
        <w:rPr>
          <w:rFonts w:ascii="宋体" w:hAnsi="宋体" w:cs="宋体" w:eastAsia="宋体" w:hint="default"/>
          <w:spacing w:val="-2"/>
        </w:rPr>
        <w:t>1.</w:t>
      </w:r>
      <w:r>
        <w:rPr>
          <w:spacing w:val="-2"/>
        </w:rPr>
        <w:t>购销商品、提供和接受劳务的关联交易</w:t>
      </w:r>
    </w:p>
    <w:p>
      <w:pPr>
        <w:pStyle w:val="BodyText"/>
        <w:spacing w:line="240" w:lineRule="auto" w:before="61"/>
        <w:ind w:left="655" w:right="1115"/>
        <w:jc w:val="left"/>
      </w:pPr>
      <w:r>
        <w:rPr/>
        <w:t>（</w:t>
      </w:r>
      <w:r>
        <w:rPr>
          <w:rFonts w:ascii="宋体" w:hAnsi="宋体" w:cs="宋体" w:eastAsia="宋体" w:hint="default"/>
        </w:rPr>
        <w:t>1</w:t>
      </w:r>
      <w:r>
        <w:rPr/>
        <w:t>）采购商品</w:t>
      </w:r>
      <w:r>
        <w:rPr>
          <w:rFonts w:ascii="宋体" w:hAnsi="宋体" w:cs="宋体" w:eastAsia="宋体" w:hint="default"/>
        </w:rPr>
        <w:t>/</w:t>
      </w:r>
      <w:r>
        <w:rPr/>
        <w:t>接受劳务情况表</w:t>
      </w:r>
    </w:p>
    <w:p>
      <w:pPr>
        <w:spacing w:line="240" w:lineRule="auto" w:before="11"/>
        <w:rPr>
          <w:rFonts w:ascii="宋体" w:hAnsi="宋体" w:cs="宋体" w:eastAsia="宋体" w:hint="default"/>
          <w:sz w:val="26"/>
          <w:szCs w:val="26"/>
        </w:rPr>
      </w:pPr>
    </w:p>
    <w:tbl>
      <w:tblPr>
        <w:tblW w:w="0" w:type="auto"/>
        <w:jc w:val="left"/>
        <w:tblInd w:w="204" w:type="dxa"/>
        <w:tblLayout w:type="fixed"/>
        <w:tblCellMar>
          <w:top w:w="0" w:type="dxa"/>
          <w:left w:w="0" w:type="dxa"/>
          <w:bottom w:w="0" w:type="dxa"/>
          <w:right w:w="0" w:type="dxa"/>
        </w:tblCellMar>
        <w:tblLook w:val="01E0"/>
      </w:tblPr>
      <w:tblGrid>
        <w:gridCol w:w="3639"/>
        <w:gridCol w:w="2173"/>
        <w:gridCol w:w="1974"/>
        <w:gridCol w:w="1914"/>
      </w:tblGrid>
      <w:tr>
        <w:trPr>
          <w:trHeight w:val="253" w:hRule="exact"/>
        </w:trPr>
        <w:tc>
          <w:tcPr>
            <w:tcW w:w="3639" w:type="dxa"/>
            <w:tcBorders>
              <w:top w:val="nil" w:sz="6" w:space="0" w:color="auto"/>
              <w:left w:val="nil" w:sz="6" w:space="0" w:color="auto"/>
              <w:bottom w:val="single" w:sz="4" w:space="0" w:color="000000"/>
              <w:right w:val="nil" w:sz="6" w:space="0" w:color="auto"/>
            </w:tcBorders>
          </w:tcPr>
          <w:p>
            <w:pPr>
              <w:pStyle w:val="TableParagraph"/>
              <w:spacing w:line="182" w:lineRule="exact"/>
              <w:ind w:left="57"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173" w:type="dxa"/>
            <w:tcBorders>
              <w:top w:val="nil" w:sz="6" w:space="0" w:color="auto"/>
              <w:left w:val="nil" w:sz="6" w:space="0" w:color="auto"/>
              <w:bottom w:val="single" w:sz="4" w:space="0" w:color="000000"/>
              <w:right w:val="nil" w:sz="6" w:space="0" w:color="auto"/>
            </w:tcBorders>
          </w:tcPr>
          <w:p>
            <w:pPr>
              <w:pStyle w:val="TableParagraph"/>
              <w:spacing w:line="182" w:lineRule="exact"/>
              <w:ind w:left="12"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974" w:type="dxa"/>
            <w:tcBorders>
              <w:top w:val="nil" w:sz="6" w:space="0" w:color="auto"/>
              <w:left w:val="nil" w:sz="6" w:space="0" w:color="auto"/>
              <w:bottom w:val="single" w:sz="4" w:space="0" w:color="000000"/>
              <w:right w:val="nil" w:sz="6" w:space="0" w:color="auto"/>
            </w:tcBorders>
          </w:tcPr>
          <w:p>
            <w:pPr>
              <w:pStyle w:val="TableParagraph"/>
              <w:spacing w:line="182" w:lineRule="exact"/>
              <w:ind w:left="5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182"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63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pacing w:val="-3"/>
                <w:sz w:val="18"/>
                <w:szCs w:val="18"/>
              </w:rPr>
              <w:t>深圳市达晨财智创业投资管理有限公司</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2" w:right="0"/>
              <w:jc w:val="center"/>
              <w:rPr>
                <w:rFonts w:ascii="宋体" w:hAnsi="宋体" w:cs="宋体" w:eastAsia="宋体" w:hint="default"/>
                <w:sz w:val="18"/>
                <w:szCs w:val="18"/>
              </w:rPr>
            </w:pPr>
            <w:r>
              <w:rPr>
                <w:rFonts w:ascii="宋体" w:hAnsi="宋体" w:cs="宋体" w:eastAsia="宋体" w:hint="default"/>
                <w:sz w:val="18"/>
                <w:szCs w:val="18"/>
              </w:rPr>
              <w:t>课程采购</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154"/>
              <w:jc w:val="right"/>
              <w:rPr>
                <w:rFonts w:ascii="宋体" w:hAnsi="宋体" w:cs="宋体" w:eastAsia="宋体" w:hint="default"/>
                <w:sz w:val="18"/>
                <w:szCs w:val="18"/>
              </w:rPr>
            </w:pPr>
            <w:r>
              <w:rPr>
                <w:rFonts w:ascii="宋体"/>
                <w:spacing w:val="-1"/>
                <w:sz w:val="18"/>
              </w:rPr>
              <w:t>222,000.00</w:t>
            </w:r>
          </w:p>
        </w:tc>
        <w:tc>
          <w:tcPr>
            <w:tcW w:w="1914" w:type="dxa"/>
            <w:tcBorders>
              <w:top w:val="single" w:sz="4" w:space="0" w:color="000000"/>
              <w:left w:val="nil" w:sz="6" w:space="0" w:color="auto"/>
              <w:bottom w:val="nil" w:sz="6" w:space="0" w:color="auto"/>
              <w:right w:val="nil" w:sz="6" w:space="0" w:color="auto"/>
            </w:tcBorders>
          </w:tcPr>
          <w:p>
            <w:pPr/>
          </w:p>
        </w:tc>
      </w:tr>
      <w:tr>
        <w:trPr>
          <w:trHeight w:val="399"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北京蓝色光标数据科技股份有限公司</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采购会务服务</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4"/>
              <w:jc w:val="right"/>
              <w:rPr>
                <w:rFonts w:ascii="宋体" w:hAnsi="宋体" w:cs="宋体" w:eastAsia="宋体" w:hint="default"/>
                <w:sz w:val="18"/>
                <w:szCs w:val="18"/>
              </w:rPr>
            </w:pPr>
            <w:r>
              <w:rPr>
                <w:rFonts w:ascii="宋体"/>
                <w:spacing w:val="-1"/>
                <w:sz w:val="18"/>
              </w:rPr>
              <w:t>1,420.21</w:t>
            </w:r>
          </w:p>
        </w:tc>
        <w:tc>
          <w:tcPr>
            <w:tcW w:w="1914" w:type="dxa"/>
            <w:tcBorders>
              <w:top w:val="nil" w:sz="6" w:space="0" w:color="auto"/>
              <w:left w:val="nil" w:sz="6" w:space="0" w:color="auto"/>
              <w:bottom w:val="nil" w:sz="6" w:space="0" w:color="auto"/>
              <w:right w:val="nil" w:sz="6" w:space="0" w:color="auto"/>
            </w:tcBorders>
          </w:tcPr>
          <w:p>
            <w:pPr/>
          </w:p>
        </w:tc>
      </w:tr>
      <w:tr>
        <w:trPr>
          <w:trHeight w:val="295" w:hRule="exact"/>
        </w:trPr>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7"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173"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4"/>
              <w:jc w:val="right"/>
              <w:rPr>
                <w:rFonts w:ascii="宋体" w:hAnsi="宋体" w:cs="宋体" w:eastAsia="宋体" w:hint="default"/>
                <w:sz w:val="18"/>
                <w:szCs w:val="18"/>
              </w:rPr>
            </w:pPr>
            <w:r>
              <w:rPr>
                <w:rFonts w:ascii="宋体"/>
                <w:w w:val="101"/>
                <w:sz w:val="18"/>
              </w:rPr>
            </w:r>
            <w:r>
              <w:rPr>
                <w:rFonts w:ascii="宋体"/>
                <w:spacing w:val="-1"/>
                <w:sz w:val="18"/>
                <w:u w:val="thick" w:color="000000"/>
              </w:rPr>
              <w:t>223,420.21</w:t>
            </w:r>
            <w:r>
              <w:rPr>
                <w:rFonts w:ascii="宋体"/>
                <w:spacing w:val="-1"/>
                <w:sz w:val="18"/>
              </w:rPr>
            </w:r>
          </w:p>
        </w:tc>
        <w:tc>
          <w:tcPr>
            <w:tcW w:w="1914"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0"/>
          <w:szCs w:val="20"/>
        </w:rPr>
      </w:pPr>
    </w:p>
    <w:p>
      <w:pPr>
        <w:pStyle w:val="BodyText"/>
        <w:spacing w:line="240" w:lineRule="auto" w:before="36"/>
        <w:ind w:left="655" w:right="1115"/>
        <w:jc w:val="left"/>
      </w:pPr>
      <w:r>
        <w:rPr/>
        <w:t>（</w:t>
      </w:r>
      <w:r>
        <w:rPr>
          <w:rFonts w:ascii="宋体" w:hAnsi="宋体" w:cs="宋体" w:eastAsia="宋体" w:hint="default"/>
        </w:rPr>
        <w:t>2</w:t>
      </w:r>
      <w:r>
        <w:rPr/>
        <w:t>）出售商品</w:t>
      </w:r>
      <w:r>
        <w:rPr>
          <w:rFonts w:ascii="宋体" w:hAnsi="宋体" w:cs="宋体" w:eastAsia="宋体" w:hint="default"/>
        </w:rPr>
        <w:t>/</w:t>
      </w:r>
      <w:r>
        <w:rPr/>
        <w:t>提供劳务情况表</w:t>
      </w:r>
    </w:p>
    <w:p>
      <w:pPr>
        <w:spacing w:line="240" w:lineRule="auto" w:before="11"/>
        <w:rPr>
          <w:rFonts w:ascii="宋体" w:hAnsi="宋体" w:cs="宋体" w:eastAsia="宋体" w:hint="default"/>
          <w:sz w:val="26"/>
          <w:szCs w:val="26"/>
        </w:rPr>
      </w:pPr>
    </w:p>
    <w:tbl>
      <w:tblPr>
        <w:tblW w:w="0" w:type="auto"/>
        <w:jc w:val="left"/>
        <w:tblInd w:w="204" w:type="dxa"/>
        <w:tblLayout w:type="fixed"/>
        <w:tblCellMar>
          <w:top w:w="0" w:type="dxa"/>
          <w:left w:w="0" w:type="dxa"/>
          <w:bottom w:w="0" w:type="dxa"/>
          <w:right w:w="0" w:type="dxa"/>
        </w:tblCellMar>
        <w:tblLook w:val="01E0"/>
      </w:tblPr>
      <w:tblGrid>
        <w:gridCol w:w="3551"/>
        <w:gridCol w:w="2271"/>
        <w:gridCol w:w="2180"/>
        <w:gridCol w:w="1698"/>
      </w:tblGrid>
      <w:tr>
        <w:trPr>
          <w:trHeight w:val="253" w:hRule="exact"/>
        </w:trPr>
        <w:tc>
          <w:tcPr>
            <w:tcW w:w="3551" w:type="dxa"/>
            <w:tcBorders>
              <w:top w:val="nil" w:sz="6" w:space="0" w:color="auto"/>
              <w:left w:val="nil" w:sz="6" w:space="0" w:color="auto"/>
              <w:bottom w:val="single" w:sz="4" w:space="0" w:color="000000"/>
              <w:right w:val="nil" w:sz="6" w:space="0" w:color="auto"/>
            </w:tcBorders>
          </w:tcPr>
          <w:p>
            <w:pPr>
              <w:pStyle w:val="TableParagraph"/>
              <w:spacing w:line="182" w:lineRule="exact"/>
              <w:ind w:left="14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71" w:type="dxa"/>
            <w:tcBorders>
              <w:top w:val="nil" w:sz="6" w:space="0" w:color="auto"/>
              <w:left w:val="nil" w:sz="6" w:space="0" w:color="auto"/>
              <w:bottom w:val="single" w:sz="4" w:space="0" w:color="000000"/>
              <w:right w:val="nil" w:sz="6" w:space="0" w:color="auto"/>
            </w:tcBorders>
          </w:tcPr>
          <w:p>
            <w:pPr>
              <w:pStyle w:val="TableParagraph"/>
              <w:spacing w:line="182" w:lineRule="exact"/>
              <w:ind w:left="91"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180" w:type="dxa"/>
            <w:tcBorders>
              <w:top w:val="nil" w:sz="6" w:space="0" w:color="auto"/>
              <w:left w:val="nil" w:sz="6" w:space="0" w:color="auto"/>
              <w:bottom w:val="single" w:sz="4" w:space="0" w:color="000000"/>
              <w:right w:val="nil" w:sz="6" w:space="0" w:color="auto"/>
            </w:tcBorders>
          </w:tcPr>
          <w:p>
            <w:pPr>
              <w:pStyle w:val="TableParagraph"/>
              <w:spacing w:line="182" w:lineRule="exact"/>
              <w:ind w:left="54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698" w:type="dxa"/>
            <w:tcBorders>
              <w:top w:val="nil" w:sz="6" w:space="0" w:color="auto"/>
              <w:left w:val="nil" w:sz="6" w:space="0" w:color="auto"/>
              <w:bottom w:val="single" w:sz="4" w:space="0" w:color="000000"/>
              <w:right w:val="nil" w:sz="6" w:space="0" w:color="auto"/>
            </w:tcBorders>
          </w:tcPr>
          <w:p>
            <w:pPr>
              <w:pStyle w:val="TableParagraph"/>
              <w:spacing w:line="182" w:lineRule="exact"/>
              <w:ind w:left="3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355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pacing w:val="-3"/>
                <w:sz w:val="18"/>
                <w:szCs w:val="18"/>
              </w:rPr>
              <w:t>上海证大喜马拉雅网络科技有限公司</w:t>
            </w:r>
          </w:p>
        </w:tc>
        <w:tc>
          <w:tcPr>
            <w:tcW w:w="227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91" w:right="0"/>
              <w:jc w:val="center"/>
              <w:rPr>
                <w:rFonts w:ascii="宋体" w:hAnsi="宋体" w:cs="宋体" w:eastAsia="宋体" w:hint="default"/>
                <w:sz w:val="18"/>
                <w:szCs w:val="18"/>
              </w:rPr>
            </w:pPr>
            <w:r>
              <w:rPr>
                <w:rFonts w:ascii="宋体" w:hAnsi="宋体" w:cs="宋体" w:eastAsia="宋体" w:hint="default"/>
                <w:sz w:val="18"/>
                <w:szCs w:val="18"/>
              </w:rPr>
              <w:t>公关服务</w:t>
            </w: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1"/>
              <w:jc w:val="right"/>
              <w:rPr>
                <w:rFonts w:ascii="宋体" w:hAnsi="宋体" w:cs="宋体" w:eastAsia="宋体" w:hint="default"/>
                <w:sz w:val="18"/>
                <w:szCs w:val="18"/>
              </w:rPr>
            </w:pPr>
            <w:r>
              <w:rPr>
                <w:rFonts w:ascii="宋体"/>
                <w:spacing w:val="-1"/>
                <w:sz w:val="18"/>
              </w:rPr>
              <w:t>95,283.02</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00"/>
              <w:jc w:val="right"/>
              <w:rPr>
                <w:rFonts w:ascii="宋体" w:hAnsi="宋体" w:cs="宋体" w:eastAsia="宋体" w:hint="default"/>
                <w:sz w:val="18"/>
                <w:szCs w:val="18"/>
              </w:rPr>
            </w:pPr>
            <w:r>
              <w:rPr>
                <w:rFonts w:ascii="宋体"/>
                <w:spacing w:val="-1"/>
                <w:sz w:val="18"/>
              </w:rPr>
              <w:t>187,735.85</w:t>
            </w:r>
          </w:p>
        </w:tc>
      </w:tr>
      <w:tr>
        <w:trPr>
          <w:trHeight w:val="398"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pacing w:val="-3"/>
                <w:sz w:val="18"/>
                <w:szCs w:val="18"/>
              </w:rPr>
              <w:t>豆盟</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科技股份有限公司</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1" w:right="0"/>
              <w:jc w:val="center"/>
              <w:rPr>
                <w:rFonts w:ascii="宋体" w:hAnsi="宋体" w:cs="宋体" w:eastAsia="宋体" w:hint="default"/>
                <w:sz w:val="18"/>
                <w:szCs w:val="18"/>
              </w:rPr>
            </w:pPr>
            <w:r>
              <w:rPr>
                <w:rFonts w:ascii="宋体" w:hAnsi="宋体" w:cs="宋体" w:eastAsia="宋体" w:hint="default"/>
                <w:sz w:val="18"/>
                <w:szCs w:val="18"/>
              </w:rPr>
              <w:t>培训收入</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1"/>
              <w:jc w:val="right"/>
              <w:rPr>
                <w:rFonts w:ascii="宋体" w:hAnsi="宋体" w:cs="宋体" w:eastAsia="宋体" w:hint="default"/>
                <w:sz w:val="18"/>
                <w:szCs w:val="18"/>
              </w:rPr>
            </w:pPr>
            <w:r>
              <w:rPr>
                <w:rFonts w:ascii="宋体"/>
                <w:spacing w:val="-1"/>
                <w:sz w:val="18"/>
              </w:rPr>
              <w:t>194,174.76</w:t>
            </w:r>
          </w:p>
        </w:tc>
        <w:tc>
          <w:tcPr>
            <w:tcW w:w="1698" w:type="dxa"/>
            <w:tcBorders>
              <w:top w:val="nil" w:sz="6" w:space="0" w:color="auto"/>
              <w:left w:val="nil" w:sz="6" w:space="0" w:color="auto"/>
              <w:bottom w:val="nil" w:sz="6" w:space="0" w:color="auto"/>
              <w:right w:val="nil" w:sz="6" w:space="0" w:color="auto"/>
            </w:tcBorders>
          </w:tcPr>
          <w:p>
            <w:pPr/>
          </w:p>
        </w:tc>
      </w:tr>
      <w:tr>
        <w:trPr>
          <w:trHeight w:val="394"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8" w:right="0"/>
              <w:jc w:val="left"/>
              <w:rPr>
                <w:rFonts w:ascii="宋体" w:hAnsi="宋体" w:cs="宋体" w:eastAsia="宋体" w:hint="default"/>
                <w:sz w:val="18"/>
                <w:szCs w:val="18"/>
              </w:rPr>
            </w:pPr>
            <w:r>
              <w:rPr>
                <w:rFonts w:ascii="宋体" w:hAnsi="宋体" w:cs="宋体" w:eastAsia="宋体" w:hint="default"/>
                <w:spacing w:val="-3"/>
                <w:sz w:val="18"/>
                <w:szCs w:val="18"/>
              </w:rPr>
              <w:t>上海蓝色光标品牌顾问有限公司</w:t>
            </w:r>
          </w:p>
        </w:tc>
        <w:tc>
          <w:tcPr>
            <w:tcW w:w="227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1" w:right="0"/>
              <w:jc w:val="center"/>
              <w:rPr>
                <w:rFonts w:ascii="宋体" w:hAnsi="宋体" w:cs="宋体" w:eastAsia="宋体" w:hint="default"/>
                <w:sz w:val="18"/>
                <w:szCs w:val="18"/>
              </w:rPr>
            </w:pPr>
            <w:r>
              <w:rPr>
                <w:rFonts w:ascii="宋体" w:hAnsi="宋体" w:cs="宋体" w:eastAsia="宋体" w:hint="default"/>
                <w:sz w:val="18"/>
                <w:szCs w:val="18"/>
              </w:rPr>
              <w:t>公关服务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1"/>
              <w:jc w:val="right"/>
              <w:rPr>
                <w:rFonts w:ascii="宋体" w:hAnsi="宋体" w:cs="宋体" w:eastAsia="宋体" w:hint="default"/>
                <w:sz w:val="18"/>
                <w:szCs w:val="18"/>
              </w:rPr>
            </w:pPr>
            <w:r>
              <w:rPr>
                <w:rFonts w:ascii="宋体"/>
                <w:spacing w:val="-1"/>
                <w:sz w:val="18"/>
              </w:rPr>
              <w:t>47,169.81</w:t>
            </w:r>
          </w:p>
        </w:tc>
        <w:tc>
          <w:tcPr>
            <w:tcW w:w="1698" w:type="dxa"/>
            <w:tcBorders>
              <w:top w:val="nil" w:sz="6" w:space="0" w:color="auto"/>
              <w:left w:val="nil" w:sz="6" w:space="0" w:color="auto"/>
              <w:bottom w:val="nil" w:sz="6" w:space="0" w:color="auto"/>
              <w:right w:val="nil" w:sz="6" w:space="0" w:color="auto"/>
            </w:tcBorders>
          </w:tcPr>
          <w:p>
            <w:pPr/>
          </w:p>
        </w:tc>
      </w:tr>
      <w:tr>
        <w:trPr>
          <w:trHeight w:val="300" w:hRule="exact"/>
        </w:trPr>
        <w:tc>
          <w:tcPr>
            <w:tcW w:w="355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4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271"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1"/>
              <w:jc w:val="right"/>
              <w:rPr>
                <w:rFonts w:ascii="宋体" w:hAnsi="宋体" w:cs="宋体" w:eastAsia="宋体" w:hint="default"/>
                <w:sz w:val="18"/>
                <w:szCs w:val="18"/>
              </w:rPr>
            </w:pPr>
            <w:r>
              <w:rPr>
                <w:rFonts w:ascii="宋体"/>
                <w:w w:val="101"/>
                <w:sz w:val="18"/>
              </w:rPr>
            </w:r>
            <w:r>
              <w:rPr>
                <w:rFonts w:ascii="宋体"/>
                <w:spacing w:val="-1"/>
                <w:sz w:val="18"/>
                <w:u w:val="thick" w:color="000000"/>
              </w:rPr>
              <w:t>336,627.59</w:t>
            </w:r>
            <w:r>
              <w:rPr>
                <w:rFonts w:ascii="宋体"/>
                <w:spacing w:val="-1"/>
                <w:sz w:val="18"/>
              </w:rPr>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0"/>
              <w:jc w:val="right"/>
              <w:rPr>
                <w:rFonts w:ascii="宋体" w:hAnsi="宋体" w:cs="宋体" w:eastAsia="宋体" w:hint="default"/>
                <w:sz w:val="18"/>
                <w:szCs w:val="18"/>
              </w:rPr>
            </w:pPr>
            <w:r>
              <w:rPr>
                <w:rFonts w:ascii="宋体"/>
                <w:w w:val="101"/>
                <w:sz w:val="18"/>
              </w:rPr>
            </w:r>
            <w:r>
              <w:rPr>
                <w:rFonts w:ascii="宋体"/>
                <w:spacing w:val="-1"/>
                <w:sz w:val="18"/>
                <w:u w:val="thick" w:color="000000"/>
              </w:rPr>
              <w:t>187,735.85</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453" w:lineRule="auto"/>
        <w:ind w:left="655" w:right="5980"/>
        <w:jc w:val="left"/>
      </w:pPr>
      <w:r>
        <w:rPr>
          <w:rFonts w:ascii="宋体" w:hAnsi="宋体" w:cs="宋体" w:eastAsia="宋体" w:hint="default"/>
          <w:spacing w:val="-1"/>
        </w:rPr>
        <w:t>2.</w:t>
      </w:r>
      <w:r>
        <w:rPr>
          <w:spacing w:val="-1"/>
        </w:rPr>
        <w:t>关联受托管理</w:t>
      </w:r>
      <w:r>
        <w:rPr>
          <w:rFonts w:ascii="宋体" w:hAnsi="宋体" w:cs="宋体" w:eastAsia="宋体" w:hint="default"/>
          <w:spacing w:val="-1"/>
        </w:rPr>
        <w:t>/</w:t>
      </w:r>
      <w:r>
        <w:rPr>
          <w:spacing w:val="-1"/>
        </w:rPr>
        <w:t>承包及委托管理</w:t>
      </w:r>
      <w:r>
        <w:rPr>
          <w:rFonts w:ascii="宋体" w:hAnsi="宋体" w:cs="宋体" w:eastAsia="宋体" w:hint="default"/>
          <w:spacing w:val="-1"/>
        </w:rPr>
        <w:t>/</w:t>
      </w:r>
      <w:r>
        <w:rPr>
          <w:spacing w:val="-1"/>
        </w:rPr>
        <w:t>出包情况</w:t>
      </w:r>
      <w:r>
        <w:rPr>
          <w:spacing w:val="-81"/>
        </w:rPr>
        <w:t> </w:t>
      </w:r>
      <w:r>
        <w:rPr>
          <w:spacing w:val="-81"/>
        </w:rPr>
      </w:r>
      <w:r>
        <w:rPr/>
        <w:t>无。</w:t>
      </w:r>
    </w:p>
    <w:p>
      <w:pPr>
        <w:pStyle w:val="BodyText"/>
        <w:spacing w:line="240" w:lineRule="auto" w:before="52"/>
        <w:ind w:left="655" w:right="1115"/>
        <w:jc w:val="left"/>
      </w:pPr>
      <w:r>
        <w:rPr>
          <w:rFonts w:ascii="宋体" w:hAnsi="宋体" w:cs="宋体" w:eastAsia="宋体" w:hint="default"/>
        </w:rPr>
        <w:t>3.</w:t>
      </w:r>
      <w:r>
        <w:rPr/>
        <w:t>关联租赁情况</w:t>
      </w:r>
    </w:p>
    <w:p>
      <w:pPr>
        <w:spacing w:line="240" w:lineRule="auto" w:before="8"/>
        <w:rPr>
          <w:rFonts w:ascii="宋体" w:hAnsi="宋体" w:cs="宋体" w:eastAsia="宋体" w:hint="default"/>
          <w:sz w:val="18"/>
          <w:szCs w:val="18"/>
        </w:rPr>
      </w:pPr>
    </w:p>
    <w:p>
      <w:pPr>
        <w:pStyle w:val="BodyText"/>
        <w:spacing w:line="448" w:lineRule="auto"/>
        <w:ind w:left="655" w:right="7926"/>
        <w:jc w:val="left"/>
      </w:pPr>
      <w:r>
        <w:rPr>
          <w:spacing w:val="-1"/>
        </w:rPr>
        <w:t>（</w:t>
      </w:r>
      <w:r>
        <w:rPr>
          <w:rFonts w:ascii="宋体" w:hAnsi="宋体" w:cs="宋体" w:eastAsia="宋体" w:hint="default"/>
          <w:spacing w:val="-1"/>
        </w:rPr>
        <w:t>1</w:t>
      </w:r>
      <w:r>
        <w:rPr>
          <w:spacing w:val="-1"/>
        </w:rPr>
        <w:t>）本公司作为出租方：</w:t>
      </w:r>
      <w:r>
        <w:rPr>
          <w:spacing w:val="-90"/>
        </w:rPr>
        <w:t> </w:t>
      </w:r>
      <w:r>
        <w:rPr>
          <w:spacing w:val="-90"/>
        </w:rPr>
      </w:r>
      <w:r>
        <w:rPr/>
        <w:t>无。</w:t>
      </w:r>
    </w:p>
    <w:p>
      <w:pPr>
        <w:pStyle w:val="BodyText"/>
        <w:spacing w:line="240" w:lineRule="auto" w:before="61"/>
        <w:ind w:left="655" w:right="1115"/>
        <w:jc w:val="left"/>
      </w:pPr>
      <w:r>
        <w:rPr/>
        <w:t>（</w:t>
      </w:r>
      <w:r>
        <w:rPr>
          <w:rFonts w:ascii="宋体" w:hAnsi="宋体" w:cs="宋体" w:eastAsia="宋体" w:hint="default"/>
        </w:rPr>
        <w:t>2</w:t>
      </w:r>
      <w:r>
        <w:rPr/>
        <w:t>）本公司作为承租方：</w:t>
      </w:r>
    </w:p>
    <w:p>
      <w:pPr>
        <w:spacing w:line="240" w:lineRule="auto" w:before="6"/>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593"/>
        <w:gridCol w:w="1436"/>
        <w:gridCol w:w="1121"/>
        <w:gridCol w:w="1119"/>
        <w:gridCol w:w="987"/>
        <w:gridCol w:w="1268"/>
        <w:gridCol w:w="1354"/>
      </w:tblGrid>
      <w:tr>
        <w:trPr>
          <w:trHeight w:val="593" w:hRule="exact"/>
        </w:trPr>
        <w:tc>
          <w:tcPr>
            <w:tcW w:w="2593"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090"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182" w:lineRule="exact"/>
              <w:ind w:left="484"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124"/>
              <w:ind w:left="484"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10" w:right="0"/>
              <w:jc w:val="left"/>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sz w:val="18"/>
                <w:szCs w:val="18"/>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sz w:val="18"/>
                <w:szCs w:val="18"/>
              </w:rPr>
            </w:r>
          </w:p>
        </w:tc>
        <w:tc>
          <w:tcPr>
            <w:tcW w:w="987" w:type="dxa"/>
            <w:tcBorders>
              <w:top w:val="nil" w:sz="6" w:space="0" w:color="auto"/>
              <w:left w:val="nil" w:sz="6" w:space="0" w:color="auto"/>
              <w:bottom w:val="single" w:sz="4" w:space="0" w:color="000000"/>
              <w:right w:val="nil" w:sz="6" w:space="0" w:color="auto"/>
            </w:tcBorders>
          </w:tcPr>
          <w:p>
            <w:pPr>
              <w:pStyle w:val="TableParagraph"/>
              <w:spacing w:line="182" w:lineRule="exact"/>
              <w:ind w:left="108" w:right="0" w:firstLine="91"/>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p>
            <w:pPr>
              <w:pStyle w:val="TableParagraph"/>
              <w:spacing w:line="240" w:lineRule="auto" w:before="124"/>
              <w:ind w:left="108"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182" w:lineRule="exact"/>
              <w:ind w:right="60"/>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sz w:val="18"/>
                <w:szCs w:val="18"/>
              </w:rPr>
            </w:r>
          </w:p>
          <w:p>
            <w:pPr>
              <w:pStyle w:val="TableParagraph"/>
              <w:spacing w:line="240" w:lineRule="auto" w:before="124"/>
              <w:ind w:right="55"/>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tc>
        <w:tc>
          <w:tcPr>
            <w:tcW w:w="1354" w:type="dxa"/>
            <w:tcBorders>
              <w:top w:val="nil" w:sz="6" w:space="0" w:color="auto"/>
              <w:left w:val="nil" w:sz="6" w:space="0" w:color="auto"/>
              <w:bottom w:val="single" w:sz="4" w:space="0" w:color="000000"/>
              <w:right w:val="nil" w:sz="6" w:space="0" w:color="auto"/>
            </w:tcBorders>
          </w:tcPr>
          <w:p>
            <w:pPr>
              <w:pStyle w:val="TableParagraph"/>
              <w:spacing w:line="182" w:lineRule="exact"/>
              <w:ind w:right="22"/>
              <w:jc w:val="center"/>
              <w:rPr>
                <w:rFonts w:ascii="宋体" w:hAnsi="宋体" w:cs="宋体" w:eastAsia="宋体" w:hint="default"/>
                <w:sz w:val="18"/>
                <w:szCs w:val="18"/>
              </w:rPr>
            </w:pPr>
            <w:r>
              <w:rPr>
                <w:rFonts w:ascii="宋体" w:hAnsi="宋体" w:cs="宋体" w:eastAsia="宋体" w:hint="default"/>
                <w:b/>
                <w:bCs/>
                <w:sz w:val="18"/>
                <w:szCs w:val="18"/>
              </w:rPr>
              <w:t>上期确认的</w:t>
            </w:r>
            <w:r>
              <w:rPr>
                <w:rFonts w:ascii="宋体" w:hAnsi="宋体" w:cs="宋体" w:eastAsia="宋体" w:hint="default"/>
                <w:sz w:val="18"/>
                <w:szCs w:val="18"/>
              </w:rPr>
            </w:r>
          </w:p>
          <w:p>
            <w:pPr>
              <w:pStyle w:val="TableParagraph"/>
              <w:spacing w:line="240" w:lineRule="auto" w:before="124"/>
              <w:ind w:right="27"/>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22" w:type="dxa"/>
        <w:tblLayout w:type="fixed"/>
        <w:tblCellMar>
          <w:top w:w="0" w:type="dxa"/>
          <w:left w:w="0" w:type="dxa"/>
          <w:bottom w:w="0" w:type="dxa"/>
          <w:right w:w="0" w:type="dxa"/>
        </w:tblCellMar>
        <w:tblLook w:val="01E0"/>
      </w:tblPr>
      <w:tblGrid>
        <w:gridCol w:w="2864"/>
        <w:gridCol w:w="1150"/>
        <w:gridCol w:w="1160"/>
        <w:gridCol w:w="1119"/>
        <w:gridCol w:w="992"/>
        <w:gridCol w:w="1172"/>
        <w:gridCol w:w="264"/>
        <w:gridCol w:w="1143"/>
      </w:tblGrid>
      <w:tr>
        <w:trPr>
          <w:trHeight w:val="594" w:hRule="exact"/>
        </w:trPr>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075"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1150" w:type="dxa"/>
            <w:tcBorders>
              <w:top w:val="nil" w:sz="6" w:space="0" w:color="auto"/>
              <w:left w:val="nil" w:sz="6" w:space="0" w:color="auto"/>
              <w:bottom w:val="single" w:sz="4" w:space="0" w:color="000000"/>
              <w:right w:val="nil" w:sz="6" w:space="0" w:color="auto"/>
            </w:tcBorders>
          </w:tcPr>
          <w:p>
            <w:pPr>
              <w:pStyle w:val="TableParagraph"/>
              <w:spacing w:line="182" w:lineRule="exact"/>
              <w:ind w:left="199"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124"/>
              <w:ind w:left="19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110" w:right="0"/>
              <w:jc w:val="left"/>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sz w:val="18"/>
                <w:szCs w:val="18"/>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129"/>
              <w:ind w:left="64" w:right="0"/>
              <w:jc w:val="left"/>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sz w:val="18"/>
                <w:szCs w:val="18"/>
              </w:rPr>
            </w:r>
          </w:p>
        </w:tc>
        <w:tc>
          <w:tcPr>
            <w:tcW w:w="992" w:type="dxa"/>
            <w:tcBorders>
              <w:top w:val="nil" w:sz="6" w:space="0" w:color="auto"/>
              <w:left w:val="nil" w:sz="6" w:space="0" w:color="auto"/>
              <w:bottom w:val="single" w:sz="4" w:space="0" w:color="000000"/>
              <w:right w:val="nil" w:sz="6" w:space="0" w:color="auto"/>
            </w:tcBorders>
          </w:tcPr>
          <w:p>
            <w:pPr>
              <w:pStyle w:val="TableParagraph"/>
              <w:spacing w:line="182" w:lineRule="exact"/>
              <w:ind w:left="69" w:right="0" w:firstLine="91"/>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182" w:lineRule="exact"/>
              <w:ind w:right="50"/>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sz w:val="18"/>
                <w:szCs w:val="18"/>
              </w:rPr>
            </w:r>
          </w:p>
          <w:p>
            <w:pPr>
              <w:pStyle w:val="TableParagraph"/>
              <w:spacing w:line="240" w:lineRule="auto" w:before="124"/>
              <w:ind w:right="45"/>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tc>
        <w:tc>
          <w:tcPr>
            <w:tcW w:w="264" w:type="dxa"/>
            <w:tcBorders>
              <w:top w:val="nil" w:sz="6" w:space="0" w:color="auto"/>
              <w:left w:val="nil" w:sz="6" w:space="0" w:color="auto"/>
              <w:bottom w:val="single" w:sz="4" w:space="0" w:color="000000"/>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spacing w:line="182" w:lineRule="exact"/>
              <w:ind w:right="233"/>
              <w:jc w:val="center"/>
              <w:rPr>
                <w:rFonts w:ascii="宋体" w:hAnsi="宋体" w:cs="宋体" w:eastAsia="宋体" w:hint="default"/>
                <w:sz w:val="18"/>
                <w:szCs w:val="18"/>
              </w:rPr>
            </w:pPr>
            <w:r>
              <w:rPr>
                <w:rFonts w:ascii="宋体" w:hAnsi="宋体" w:cs="宋体" w:eastAsia="宋体" w:hint="default"/>
                <w:b/>
                <w:bCs/>
                <w:spacing w:val="-1"/>
                <w:sz w:val="18"/>
                <w:szCs w:val="18"/>
              </w:rPr>
              <w:t>上期确认的</w:t>
            </w:r>
            <w:r>
              <w:rPr>
                <w:rFonts w:ascii="宋体" w:hAnsi="宋体" w:cs="宋体" w:eastAsia="宋体" w:hint="default"/>
                <w:spacing w:val="-1"/>
                <w:sz w:val="18"/>
                <w:szCs w:val="18"/>
              </w:rPr>
            </w:r>
          </w:p>
          <w:p>
            <w:pPr>
              <w:pStyle w:val="TableParagraph"/>
              <w:spacing w:line="240" w:lineRule="auto" w:before="124"/>
              <w:ind w:right="238"/>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sz w:val="18"/>
                <w:szCs w:val="18"/>
              </w:rPr>
            </w:r>
          </w:p>
        </w:tc>
      </w:tr>
      <w:tr>
        <w:trPr>
          <w:trHeight w:val="436" w:hRule="exact"/>
        </w:trPr>
        <w:tc>
          <w:tcPr>
            <w:tcW w:w="286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18"/>
                <w:szCs w:val="18"/>
              </w:rPr>
            </w:pPr>
            <w:r>
              <w:rPr>
                <w:rFonts w:ascii="宋体" w:hAnsi="宋体" w:cs="宋体" w:eastAsia="宋体" w:hint="default"/>
                <w:spacing w:val="-3"/>
                <w:sz w:val="18"/>
                <w:szCs w:val="18"/>
              </w:rPr>
              <w:t>北京今久广告传播有限责任公司</w:t>
            </w: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14"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78" w:right="0"/>
              <w:jc w:val="left"/>
              <w:rPr>
                <w:rFonts w:ascii="宋体" w:hAnsi="宋体" w:cs="宋体" w:eastAsia="宋体" w:hint="default"/>
                <w:sz w:val="18"/>
                <w:szCs w:val="18"/>
              </w:rPr>
            </w:pPr>
            <w:r>
              <w:rPr>
                <w:rFonts w:ascii="宋体"/>
                <w:sz w:val="18"/>
              </w:rPr>
              <w:t>2018.10.8</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32" w:right="0"/>
              <w:jc w:val="left"/>
              <w:rPr>
                <w:rFonts w:ascii="宋体" w:hAnsi="宋体" w:cs="宋体" w:eastAsia="宋体" w:hint="default"/>
                <w:sz w:val="18"/>
                <w:szCs w:val="18"/>
              </w:rPr>
            </w:pPr>
            <w:r>
              <w:rPr>
                <w:rFonts w:ascii="宋体"/>
                <w:sz w:val="18"/>
              </w:rPr>
              <w:t>2019.1.31</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4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pacing w:val="-1"/>
                <w:sz w:val="18"/>
              </w:rPr>
              <w:t>611,089.29</w:t>
            </w:r>
          </w:p>
        </w:tc>
        <w:tc>
          <w:tcPr>
            <w:tcW w:w="264" w:type="dxa"/>
            <w:tcBorders>
              <w:top w:val="single" w:sz="4" w:space="0" w:color="000000"/>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9" w:right="0"/>
              <w:jc w:val="center"/>
              <w:rPr>
                <w:rFonts w:ascii="宋体" w:hAnsi="宋体" w:cs="宋体" w:eastAsia="宋体" w:hint="default"/>
                <w:sz w:val="18"/>
                <w:szCs w:val="18"/>
              </w:rPr>
            </w:pPr>
            <w:r>
              <w:rPr>
                <w:rFonts w:ascii="宋体"/>
                <w:sz w:val="18"/>
              </w:rPr>
              <w:t>1,570,532.85</w:t>
            </w:r>
          </w:p>
        </w:tc>
      </w:tr>
      <w:tr>
        <w:trPr>
          <w:trHeight w:val="308" w:hRule="exact"/>
        </w:trPr>
        <w:tc>
          <w:tcPr>
            <w:tcW w:w="286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99"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150"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13"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611,089.29</w:t>
            </w:r>
          </w:p>
        </w:tc>
        <w:tc>
          <w:tcPr>
            <w:tcW w:w="264"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9" w:right="0"/>
              <w:jc w:val="center"/>
              <w:rPr>
                <w:rFonts w:ascii="宋体" w:hAnsi="宋体" w:cs="宋体" w:eastAsia="宋体" w:hint="default"/>
                <w:sz w:val="18"/>
                <w:szCs w:val="18"/>
              </w:rPr>
            </w:pPr>
            <w:r>
              <w:rPr>
                <w:rFonts w:ascii="宋体"/>
                <w:w w:val="101"/>
                <w:sz w:val="18"/>
              </w:rPr>
            </w:r>
            <w:r>
              <w:rPr>
                <w:rFonts w:ascii="宋体"/>
                <w:sz w:val="18"/>
                <w:u w:val="single" w:color="000000"/>
              </w:rPr>
              <w:t>1,570,532.85</w:t>
            </w:r>
            <w:r>
              <w:rPr>
                <w:rFonts w:ascii="宋体"/>
                <w:sz w:val="18"/>
              </w:rPr>
            </w:r>
          </w:p>
        </w:tc>
      </w:tr>
    </w:tbl>
    <w:p>
      <w:pPr>
        <w:spacing w:line="240" w:lineRule="auto" w:before="4"/>
        <w:rPr>
          <w:rFonts w:ascii="宋体" w:hAnsi="宋体" w:cs="宋体" w:eastAsia="宋体" w:hint="default"/>
          <w:sz w:val="18"/>
          <w:szCs w:val="18"/>
        </w:rPr>
      </w:pPr>
    </w:p>
    <w:p>
      <w:pPr>
        <w:pStyle w:val="BodyText"/>
        <w:spacing w:line="451" w:lineRule="auto" w:before="36"/>
        <w:ind w:left="655" w:right="8649"/>
        <w:jc w:val="left"/>
      </w:pPr>
      <w:r>
        <w:rPr>
          <w:rFonts w:ascii="宋体" w:hAnsi="宋体" w:cs="宋体" w:eastAsia="宋体" w:hint="default"/>
        </w:rPr>
        <w:t>4.</w:t>
      </w:r>
      <w:r>
        <w:rPr/>
        <w:t>关联担保情况</w:t>
      </w:r>
      <w:r>
        <w:rPr>
          <w:spacing w:val="-102"/>
        </w:rPr>
        <w:t> </w:t>
      </w:r>
      <w:r>
        <w:rPr>
          <w:spacing w:val="-102"/>
        </w:rPr>
      </w:r>
      <w:r>
        <w:rPr/>
        <w:t>无。</w:t>
      </w:r>
      <w:r>
        <w:rPr>
          <w:spacing w:val="-103"/>
        </w:rPr>
        <w:t> </w:t>
      </w:r>
      <w:r>
        <w:rPr>
          <w:rFonts w:ascii="宋体" w:hAnsi="宋体" w:cs="宋体" w:eastAsia="宋体" w:hint="default"/>
        </w:rPr>
        <w:t>5.</w:t>
      </w:r>
      <w:r>
        <w:rPr/>
        <w:t>关联方资金拆借</w:t>
      </w:r>
      <w:r>
        <w:rPr>
          <w:spacing w:val="-101"/>
        </w:rPr>
        <w:t> </w:t>
      </w:r>
      <w:r>
        <w:rPr>
          <w:spacing w:val="-101"/>
        </w:rPr>
      </w:r>
      <w:r>
        <w:rPr/>
        <w:t>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448" w:lineRule="auto"/>
        <w:ind w:left="655" w:right="7177"/>
        <w:jc w:val="left"/>
      </w:pPr>
      <w:r>
        <w:rPr>
          <w:rFonts w:ascii="宋体" w:hAnsi="宋体" w:cs="宋体" w:eastAsia="宋体" w:hint="default"/>
          <w:spacing w:val="-1"/>
        </w:rPr>
        <w:t>6.</w:t>
      </w:r>
      <w:r>
        <w:rPr>
          <w:spacing w:val="-1"/>
        </w:rPr>
        <w:t>关联方资产转让、债务重组情况</w:t>
      </w:r>
      <w:r>
        <w:rPr>
          <w:spacing w:val="-86"/>
        </w:rPr>
        <w:t> </w:t>
      </w:r>
      <w:r>
        <w:rPr>
          <w:spacing w:val="-86"/>
        </w:rPr>
      </w:r>
      <w:r>
        <w:rPr/>
        <w:t>无。</w:t>
      </w:r>
    </w:p>
    <w:p>
      <w:pPr>
        <w:pStyle w:val="BodyText"/>
        <w:spacing w:line="240" w:lineRule="auto" w:before="61"/>
        <w:ind w:left="655" w:right="1115"/>
        <w:jc w:val="left"/>
      </w:pPr>
      <w:r>
        <w:rPr>
          <w:rFonts w:ascii="宋体" w:hAnsi="宋体" w:cs="宋体" w:eastAsia="宋体" w:hint="default"/>
        </w:rPr>
        <w:t>7.</w:t>
      </w:r>
      <w:r>
        <w:rPr/>
        <w:t>关键管理人员薪酬</w:t>
      </w:r>
    </w:p>
    <w:p>
      <w:pPr>
        <w:spacing w:line="240" w:lineRule="auto" w:before="11"/>
        <w:rPr>
          <w:rFonts w:ascii="宋体" w:hAnsi="宋体" w:cs="宋体" w:eastAsia="宋体" w:hint="default"/>
          <w:sz w:val="26"/>
          <w:szCs w:val="26"/>
        </w:rPr>
      </w:pPr>
    </w:p>
    <w:tbl>
      <w:tblPr>
        <w:tblW w:w="0" w:type="auto"/>
        <w:jc w:val="left"/>
        <w:tblInd w:w="799" w:type="dxa"/>
        <w:tblLayout w:type="fixed"/>
        <w:tblCellMar>
          <w:top w:w="0" w:type="dxa"/>
          <w:left w:w="0" w:type="dxa"/>
          <w:bottom w:w="0" w:type="dxa"/>
          <w:right w:w="0" w:type="dxa"/>
        </w:tblCellMar>
        <w:tblLook w:val="01E0"/>
      </w:tblPr>
      <w:tblGrid>
        <w:gridCol w:w="3361"/>
        <w:gridCol w:w="2588"/>
        <w:gridCol w:w="2559"/>
      </w:tblGrid>
      <w:tr>
        <w:trPr>
          <w:trHeight w:val="253" w:hRule="exact"/>
        </w:trPr>
        <w:tc>
          <w:tcPr>
            <w:tcW w:w="3361" w:type="dxa"/>
            <w:tcBorders>
              <w:top w:val="nil" w:sz="6" w:space="0" w:color="auto"/>
              <w:left w:val="nil" w:sz="6" w:space="0" w:color="auto"/>
              <w:bottom w:val="single" w:sz="4" w:space="0" w:color="000000"/>
              <w:right w:val="nil" w:sz="6" w:space="0" w:color="auto"/>
            </w:tcBorders>
          </w:tcPr>
          <w:p>
            <w:pPr>
              <w:pStyle w:val="TableParagraph"/>
              <w:spacing w:line="182" w:lineRule="exact"/>
              <w:ind w:left="18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88" w:type="dxa"/>
            <w:tcBorders>
              <w:top w:val="nil" w:sz="6" w:space="0" w:color="auto"/>
              <w:left w:val="nil" w:sz="6" w:space="0" w:color="auto"/>
              <w:bottom w:val="single" w:sz="4" w:space="0" w:color="000000"/>
              <w:right w:val="nil" w:sz="6" w:space="0" w:color="auto"/>
            </w:tcBorders>
          </w:tcPr>
          <w:p>
            <w:pPr>
              <w:pStyle w:val="TableParagraph"/>
              <w:spacing w:line="182" w:lineRule="exact"/>
              <w:ind w:right="790"/>
              <w:jc w:val="right"/>
              <w:rPr>
                <w:rFonts w:ascii="宋体" w:hAnsi="宋体" w:cs="宋体" w:eastAsia="宋体" w:hint="default"/>
                <w:sz w:val="18"/>
                <w:szCs w:val="18"/>
              </w:rPr>
            </w:pPr>
            <w:r>
              <w:rPr>
                <w:rFonts w:ascii="宋体" w:hAnsi="宋体" w:cs="宋体" w:eastAsia="宋体" w:hint="default"/>
                <w:b/>
                <w:bCs/>
                <w:spacing w:val="-1"/>
                <w:sz w:val="18"/>
                <w:szCs w:val="18"/>
              </w:rPr>
              <w:t>本期发生额</w:t>
            </w:r>
            <w:r>
              <w:rPr>
                <w:rFonts w:ascii="宋体" w:hAnsi="宋体" w:cs="宋体" w:eastAsia="宋体" w:hint="default"/>
                <w:spacing w:val="-1"/>
                <w:sz w:val="18"/>
                <w:szCs w:val="18"/>
              </w:rPr>
            </w:r>
          </w:p>
        </w:tc>
        <w:tc>
          <w:tcPr>
            <w:tcW w:w="2559" w:type="dxa"/>
            <w:tcBorders>
              <w:top w:val="nil" w:sz="6" w:space="0" w:color="auto"/>
              <w:left w:val="nil" w:sz="6" w:space="0" w:color="auto"/>
              <w:bottom w:val="single" w:sz="4" w:space="0" w:color="000000"/>
              <w:right w:val="nil" w:sz="6" w:space="0" w:color="auto"/>
            </w:tcBorders>
          </w:tcPr>
          <w:p>
            <w:pPr>
              <w:pStyle w:val="TableParagraph"/>
              <w:spacing w:line="182" w:lineRule="exact"/>
              <w:ind w:left="79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38" w:hRule="exact"/>
        </w:trPr>
        <w:tc>
          <w:tcPr>
            <w:tcW w:w="336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77" w:right="0"/>
              <w:jc w:val="center"/>
              <w:rPr>
                <w:rFonts w:ascii="宋体" w:hAnsi="宋体" w:cs="宋体" w:eastAsia="宋体" w:hint="default"/>
                <w:sz w:val="18"/>
                <w:szCs w:val="18"/>
              </w:rPr>
            </w:pPr>
            <w:r>
              <w:rPr>
                <w:rFonts w:ascii="宋体" w:hAnsi="宋体" w:cs="宋体" w:eastAsia="宋体" w:hint="default"/>
                <w:sz w:val="18"/>
                <w:szCs w:val="18"/>
              </w:rPr>
              <w:t>关键管理人员报酬</w:t>
            </w:r>
          </w:p>
        </w:tc>
        <w:tc>
          <w:tcPr>
            <w:tcW w:w="258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766"/>
              <w:jc w:val="right"/>
              <w:rPr>
                <w:rFonts w:ascii="宋体" w:hAnsi="宋体" w:cs="宋体" w:eastAsia="宋体" w:hint="default"/>
                <w:sz w:val="18"/>
                <w:szCs w:val="18"/>
              </w:rPr>
            </w:pPr>
            <w:r>
              <w:rPr>
                <w:rFonts w:ascii="宋体" w:hAnsi="宋体" w:cs="宋体" w:eastAsia="宋体" w:hint="default"/>
                <w:sz w:val="18"/>
                <w:szCs w:val="18"/>
              </w:rPr>
              <w:t>378.20</w:t>
            </w:r>
            <w:r>
              <w:rPr>
                <w:rFonts w:ascii="宋体" w:hAnsi="宋体" w:cs="宋体" w:eastAsia="宋体" w:hint="default"/>
                <w:spacing w:val="-40"/>
                <w:sz w:val="18"/>
                <w:szCs w:val="18"/>
              </w:rPr>
              <w:t> </w:t>
            </w:r>
            <w:r>
              <w:rPr>
                <w:rFonts w:ascii="宋体" w:hAnsi="宋体" w:cs="宋体" w:eastAsia="宋体" w:hint="default"/>
                <w:sz w:val="18"/>
                <w:szCs w:val="18"/>
              </w:rPr>
              <w:t>万元</w:t>
            </w:r>
          </w:p>
        </w:tc>
        <w:tc>
          <w:tcPr>
            <w:tcW w:w="255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768" w:right="0"/>
              <w:jc w:val="left"/>
              <w:rPr>
                <w:rFonts w:ascii="宋体" w:hAnsi="宋体" w:cs="宋体" w:eastAsia="宋体" w:hint="default"/>
                <w:sz w:val="18"/>
                <w:szCs w:val="18"/>
              </w:rPr>
            </w:pPr>
            <w:r>
              <w:rPr>
                <w:rFonts w:ascii="宋体" w:hAnsi="宋体" w:cs="宋体" w:eastAsia="宋体" w:hint="default"/>
                <w:sz w:val="18"/>
                <w:szCs w:val="18"/>
              </w:rPr>
              <w:t>350.52</w:t>
            </w:r>
            <w:r>
              <w:rPr>
                <w:rFonts w:ascii="宋体" w:hAnsi="宋体" w:cs="宋体" w:eastAsia="宋体" w:hint="default"/>
                <w:spacing w:val="-40"/>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448" w:lineRule="auto"/>
        <w:ind w:left="655" w:right="8859"/>
        <w:jc w:val="left"/>
      </w:pPr>
      <w:r>
        <w:rPr>
          <w:rFonts w:ascii="宋体" w:hAnsi="宋体" w:cs="宋体" w:eastAsia="宋体" w:hint="default"/>
        </w:rPr>
        <w:t>8.</w:t>
      </w:r>
      <w:r>
        <w:rPr/>
        <w:t>其他关联交易</w:t>
      </w:r>
      <w:r>
        <w:rPr>
          <w:spacing w:val="-102"/>
        </w:rPr>
        <w:t> </w:t>
      </w:r>
      <w:r>
        <w:rPr>
          <w:spacing w:val="-102"/>
        </w:rPr>
      </w:r>
      <w:r>
        <w:rPr/>
        <w:t>无。</w:t>
      </w:r>
    </w:p>
    <w:p>
      <w:pPr>
        <w:pStyle w:val="BodyText"/>
        <w:spacing w:line="448" w:lineRule="auto" w:before="61"/>
        <w:ind w:left="655" w:right="7177"/>
        <w:jc w:val="left"/>
      </w:pPr>
      <w:bookmarkStart w:name="（七）关联方应收应付款项" w:id="264"/>
      <w:bookmarkEnd w:id="264"/>
      <w:r>
        <w:rPr/>
      </w:r>
      <w:r>
        <w:rPr>
          <w:spacing w:val="-1"/>
        </w:rPr>
        <w:t>（七）关联方应收应付款项</w:t>
      </w:r>
      <w:r>
        <w:rPr>
          <w:spacing w:val="-89"/>
        </w:rPr>
        <w:t> </w:t>
      </w:r>
      <w:r>
        <w:rPr>
          <w:spacing w:val="-89"/>
        </w:rPr>
      </w:r>
      <w:r>
        <w:rPr>
          <w:rFonts w:ascii="宋体" w:hAnsi="宋体" w:cs="宋体" w:eastAsia="宋体" w:hint="default"/>
        </w:rPr>
        <w:t>1.</w:t>
      </w:r>
      <w:r>
        <w:rPr/>
        <w:t>应收项目</w:t>
      </w:r>
    </w:p>
    <w:p>
      <w:pPr>
        <w:spacing w:after="0" w:line="448" w:lineRule="auto"/>
        <w:jc w:val="left"/>
        <w:sectPr>
          <w:pgSz w:w="11910" w:h="16840"/>
          <w:pgMar w:header="741" w:footer="979" w:top="1060" w:bottom="1160" w:left="900" w:right="0"/>
        </w:sectPr>
      </w:pPr>
    </w:p>
    <w:p>
      <w:pPr>
        <w:spacing w:line="240" w:lineRule="auto" w:before="3"/>
        <w:rPr>
          <w:rFonts w:ascii="宋体" w:hAnsi="宋体" w:cs="宋体" w:eastAsia="宋体" w:hint="default"/>
          <w:sz w:val="24"/>
          <w:szCs w:val="24"/>
        </w:rPr>
      </w:pPr>
    </w:p>
    <w:p>
      <w:pPr>
        <w:tabs>
          <w:tab w:pos="3008" w:val="left" w:leader="none"/>
        </w:tabs>
        <w:spacing w:before="0"/>
        <w:ind w:left="458" w:right="-15" w:firstLine="0"/>
        <w:jc w:val="left"/>
        <w:rPr>
          <w:rFonts w:ascii="宋体" w:hAnsi="宋体" w:cs="宋体" w:eastAsia="宋体" w:hint="default"/>
          <w:sz w:val="18"/>
          <w:szCs w:val="18"/>
        </w:rPr>
      </w:pPr>
      <w:r>
        <w:rPr>
          <w:rFonts w:ascii="宋体" w:hAnsi="宋体" w:cs="宋体" w:eastAsia="宋体" w:hint="default"/>
          <w:b/>
          <w:bCs/>
          <w:sz w:val="18"/>
          <w:szCs w:val="18"/>
        </w:rPr>
        <w:t>项目名称</w:t>
        <w:tab/>
        <w:t>关联方</w:t>
      </w:r>
      <w:r>
        <w:rPr>
          <w:rFonts w:ascii="宋体" w:hAnsi="宋体" w:cs="宋体" w:eastAsia="宋体" w:hint="default"/>
          <w:sz w:val="18"/>
          <w:szCs w:val="18"/>
        </w:rPr>
      </w:r>
    </w:p>
    <w:p>
      <w:pPr>
        <w:tabs>
          <w:tab w:pos="2468" w:val="left" w:leader="none"/>
        </w:tabs>
        <w:spacing w:before="120"/>
        <w:ind w:left="0" w:right="807"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期末金额</w:t>
        <w:tab/>
        <w:t>期初金额</w:t>
      </w:r>
      <w:r>
        <w:rPr>
          <w:rFonts w:ascii="宋体" w:hAnsi="宋体" w:cs="宋体" w:eastAsia="宋体" w:hint="default"/>
          <w:sz w:val="18"/>
          <w:szCs w:val="18"/>
        </w:rPr>
      </w:r>
    </w:p>
    <w:p>
      <w:pPr>
        <w:tabs>
          <w:tab w:pos="1238" w:val="left" w:leader="none"/>
          <w:tab w:pos="2472" w:val="left" w:leader="none"/>
          <w:tab w:pos="3697" w:val="left" w:leader="none"/>
        </w:tabs>
        <w:spacing w:before="158"/>
        <w:ind w:left="0" w:right="807" w:firstLine="0"/>
        <w:jc w:val="center"/>
        <w:rPr>
          <w:rFonts w:ascii="宋体" w:hAnsi="宋体" w:cs="宋体" w:eastAsia="宋体" w:hint="default"/>
          <w:sz w:val="18"/>
          <w:szCs w:val="18"/>
        </w:rPr>
      </w:pPr>
      <w:r>
        <w:rPr>
          <w:rFonts w:ascii="宋体" w:hAnsi="宋体" w:cs="宋体" w:eastAsia="宋体" w:hint="default"/>
          <w:b/>
          <w:bCs/>
          <w:sz w:val="18"/>
          <w:szCs w:val="18"/>
        </w:rPr>
        <w:t>账面余额</w:t>
        <w:tab/>
        <w:t>坏账准备</w:t>
        <w:tab/>
        <w:t>账面余额</w:t>
        <w:tab/>
        <w:t>坏账准备</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60" w:bottom="1160" w:left="900" w:right="0"/>
          <w:cols w:num="2" w:equalWidth="0">
            <w:col w:w="3556" w:space="1294"/>
            <w:col w:w="6160"/>
          </w:cols>
        </w:sectPr>
      </w:pPr>
    </w:p>
    <w:p>
      <w:pPr>
        <w:spacing w:line="240" w:lineRule="auto" w:before="0"/>
        <w:rPr>
          <w:rFonts w:ascii="宋体" w:hAnsi="宋体" w:cs="宋体" w:eastAsia="宋体" w:hint="default"/>
          <w:b/>
          <w:bCs/>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93.4pt;height:.5pt;mso-position-horizontal-relative:char;mso-position-vertical-relative:line" coordorigin="0,0" coordsize="9868,10">
            <v:group style="position:absolute;left:5;top:5;width:1393;height:2" coordorigin="5,5" coordsize="1393,2">
              <v:shape style="position:absolute;left:5;top:5;width:1393;height:2" coordorigin="5,5" coordsize="1393,0" path="m5,5l1397,5e" filled="false" stroked="true" strokeweight=".47998pt" strokecolor="#000000">
                <v:path arrowok="t"/>
              </v:shape>
            </v:group>
            <v:group style="position:absolute;left:1397;top:5;width:10;height:2" coordorigin="1397,5" coordsize="10,2">
              <v:shape style="position:absolute;left:1397;top:5;width:10;height:2" coordorigin="1397,5" coordsize="10,0" path="m1397,5l1407,5e" filled="false" stroked="true" strokeweight=".47998pt" strokecolor="#000000">
                <v:path arrowok="t"/>
              </v:shape>
            </v:group>
            <v:group style="position:absolute;left:1407;top:5;width:3520;height:2" coordorigin="1407,5" coordsize="3520,2">
              <v:shape style="position:absolute;left:1407;top:5;width:3520;height:2" coordorigin="1407,5" coordsize="3520,0" path="m1407,5l4927,5e" filled="false" stroked="true" strokeweight=".47998pt" strokecolor="#000000">
                <v:path arrowok="t"/>
              </v:shape>
            </v:group>
            <v:group style="position:absolute;left:4927;top:5;width:10;height:2" coordorigin="4927,5" coordsize="10,2">
              <v:shape style="position:absolute;left:4927;top:5;width:10;height:2" coordorigin="4927,5" coordsize="10,0" path="m4927,5l4936,5e" filled="false" stroked="true" strokeweight=".47998pt" strokecolor="#000000">
                <v:path arrowok="t"/>
              </v:shape>
            </v:group>
            <v:group style="position:absolute;left:4936;top:5;width:1244;height:2" coordorigin="4936,5" coordsize="1244,2">
              <v:shape style="position:absolute;left:4936;top:5;width:1244;height:2" coordorigin="4936,5" coordsize="1244,0" path="m4936,5l6180,5e" filled="false" stroked="true" strokeweight=".47998pt" strokecolor="#000000">
                <v:path arrowok="t"/>
              </v:shape>
            </v:group>
            <v:group style="position:absolute;left:6180;top:5;width:10;height:2" coordorigin="6180,5" coordsize="10,2">
              <v:shape style="position:absolute;left:6180;top:5;width:10;height:2" coordorigin="6180,5" coordsize="10,0" path="m6180,5l6190,5e" filled="false" stroked="true" strokeweight=".47998pt" strokecolor="#000000">
                <v:path arrowok="t"/>
              </v:shape>
            </v:group>
            <v:group style="position:absolute;left:6190;top:5;width:1220;height:2" coordorigin="6190,5" coordsize="1220,2">
              <v:shape style="position:absolute;left:6190;top:5;width:1220;height:2" coordorigin="6190,5" coordsize="1220,0" path="m6190,5l7409,5e" filled="false" stroked="true" strokeweight=".47998pt" strokecolor="#000000">
                <v:path arrowok="t"/>
              </v:shape>
            </v:group>
            <v:group style="position:absolute;left:7409;top:5;width:10;height:2" coordorigin="7409,5" coordsize="10,2">
              <v:shape style="position:absolute;left:7409;top:5;width:10;height:2" coordorigin="7409,5" coordsize="10,0" path="m7409,5l7419,5e" filled="false" stroked="true" strokeweight=".47998pt" strokecolor="#000000">
                <v:path arrowok="t"/>
              </v:shape>
            </v:group>
            <v:group style="position:absolute;left:7419;top:5;width:1220;height:2" coordorigin="7419,5" coordsize="1220,2">
              <v:shape style="position:absolute;left:7419;top:5;width:1220;height:2" coordorigin="7419,5" coordsize="1220,0" path="m7419,5l8639,5e" filled="false" stroked="true" strokeweight=".47998pt" strokecolor="#000000">
                <v:path arrowok="t"/>
              </v:shape>
            </v:group>
            <v:group style="position:absolute;left:8639;top:5;width:10;height:2" coordorigin="8639,5" coordsize="10,2">
              <v:shape style="position:absolute;left:8639;top:5;width:10;height:2" coordorigin="8639,5" coordsize="10,0" path="m8639,5l8648,5e" filled="false" stroked="true" strokeweight=".47998pt" strokecolor="#000000">
                <v:path arrowok="t"/>
              </v:shape>
            </v:group>
            <v:group style="position:absolute;left:8648;top:5;width:1215;height:2" coordorigin="8648,5" coordsize="1215,2">
              <v:shape style="position:absolute;left:8648;top:5;width:1215;height:2" coordorigin="8648,5" coordsize="1215,0" path="m8648,5l9863,5e" filled="false" stroked="true" strokeweight=".47998pt" strokecolor="#000000">
                <v:path arrowok="t"/>
              </v:shape>
            </v:group>
          </v:group>
        </w:pict>
      </w:r>
      <w:r>
        <w:rPr>
          <w:rFonts w:ascii="宋体" w:hAnsi="宋体" w:cs="宋体" w:eastAsia="宋体" w:hint="default"/>
          <w:sz w:val="2"/>
          <w:szCs w:val="2"/>
        </w:rPr>
      </w:r>
    </w:p>
    <w:p>
      <w:pPr>
        <w:tabs>
          <w:tab w:pos="1625" w:val="left" w:leader="none"/>
          <w:tab w:pos="5289" w:val="left" w:leader="none"/>
          <w:tab w:pos="6609" w:val="left" w:leader="none"/>
          <w:tab w:pos="7839" w:val="left" w:leader="none"/>
          <w:tab w:pos="9154" w:val="left" w:leader="none"/>
        </w:tabs>
        <w:spacing w:before="86"/>
        <w:ind w:left="233" w:right="0" w:firstLine="0"/>
        <w:jc w:val="left"/>
        <w:rPr>
          <w:rFonts w:ascii="宋体" w:hAnsi="宋体" w:cs="宋体" w:eastAsia="宋体" w:hint="default"/>
          <w:sz w:val="18"/>
          <w:szCs w:val="18"/>
        </w:rPr>
      </w:pPr>
      <w:r>
        <w:rPr>
          <w:rFonts w:ascii="宋体" w:hAnsi="宋体" w:cs="宋体" w:eastAsia="宋体" w:hint="default"/>
          <w:spacing w:val="-2"/>
          <w:sz w:val="18"/>
          <w:szCs w:val="18"/>
        </w:rPr>
        <w:t>应收账款</w:t>
        <w:tab/>
      </w:r>
      <w:r>
        <w:rPr>
          <w:rFonts w:ascii="宋体" w:hAnsi="宋体" w:cs="宋体" w:eastAsia="宋体" w:hint="default"/>
          <w:spacing w:val="-3"/>
          <w:sz w:val="18"/>
          <w:szCs w:val="18"/>
        </w:rPr>
        <w:t>上海证大喜马拉雅网络科技有限公司</w:t>
        <w:tab/>
      </w:r>
      <w:r>
        <w:rPr>
          <w:rFonts w:ascii="宋体" w:hAnsi="宋体" w:cs="宋体" w:eastAsia="宋体" w:hint="default"/>
          <w:spacing w:val="-1"/>
          <w:sz w:val="18"/>
          <w:szCs w:val="18"/>
        </w:rPr>
        <w:t>150,000.00</w:t>
        <w:tab/>
        <w:t>10,952.00</w:t>
        <w:tab/>
        <w:t>49,000.00</w:t>
        <w:tab/>
        <w:t>4,410.00</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655" w:right="1115"/>
        <w:jc w:val="left"/>
      </w:pPr>
      <w:r>
        <w:rPr/>
        <w:t>（</w:t>
      </w:r>
      <w:r>
        <w:rPr>
          <w:rFonts w:ascii="宋体" w:hAnsi="宋体" w:cs="宋体" w:eastAsia="宋体" w:hint="default"/>
        </w:rPr>
        <w:t>2</w:t>
      </w:r>
      <w:r>
        <w:rPr/>
        <w:t>）应付项目</w:t>
      </w:r>
    </w:p>
    <w:p>
      <w:pPr>
        <w:spacing w:line="240" w:lineRule="auto" w:before="3"/>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2194"/>
        <w:gridCol w:w="4293"/>
        <w:gridCol w:w="1767"/>
        <w:gridCol w:w="1561"/>
      </w:tblGrid>
      <w:tr>
        <w:trPr>
          <w:trHeight w:val="253" w:hRule="exact"/>
        </w:trPr>
        <w:tc>
          <w:tcPr>
            <w:tcW w:w="2194" w:type="dxa"/>
            <w:tcBorders>
              <w:top w:val="nil" w:sz="6" w:space="0" w:color="auto"/>
              <w:left w:val="nil" w:sz="6" w:space="0" w:color="auto"/>
              <w:bottom w:val="single" w:sz="4" w:space="0" w:color="000000"/>
              <w:right w:val="nil" w:sz="6" w:space="0" w:color="auto"/>
            </w:tcBorders>
          </w:tcPr>
          <w:p>
            <w:pPr>
              <w:pStyle w:val="TableParagraph"/>
              <w:spacing w:line="182" w:lineRule="exact"/>
              <w:ind w:right="665"/>
              <w:jc w:val="righ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293" w:type="dxa"/>
            <w:tcBorders>
              <w:top w:val="nil" w:sz="6" w:space="0" w:color="auto"/>
              <w:left w:val="nil" w:sz="6" w:space="0" w:color="auto"/>
              <w:bottom w:val="single" w:sz="4" w:space="0" w:color="000000"/>
              <w:right w:val="nil" w:sz="6" w:space="0" w:color="auto"/>
            </w:tcBorders>
          </w:tcPr>
          <w:p>
            <w:pPr>
              <w:pStyle w:val="TableParagraph"/>
              <w:spacing w:line="182" w:lineRule="exact"/>
              <w:ind w:left="106"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67" w:type="dxa"/>
            <w:tcBorders>
              <w:top w:val="nil" w:sz="6" w:space="0" w:color="auto"/>
              <w:left w:val="nil" w:sz="6" w:space="0" w:color="auto"/>
              <w:bottom w:val="single" w:sz="4" w:space="0" w:color="000000"/>
              <w:right w:val="nil" w:sz="6" w:space="0" w:color="auto"/>
            </w:tcBorders>
          </w:tcPr>
          <w:p>
            <w:pPr>
              <w:pStyle w:val="TableParagraph"/>
              <w:spacing w:line="182" w:lineRule="exact"/>
              <w:ind w:left="56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561" w:type="dxa"/>
            <w:tcBorders>
              <w:top w:val="nil" w:sz="6" w:space="0" w:color="auto"/>
              <w:left w:val="nil" w:sz="6" w:space="0" w:color="auto"/>
              <w:bottom w:val="single" w:sz="4" w:space="0" w:color="000000"/>
              <w:right w:val="nil" w:sz="6" w:space="0" w:color="auto"/>
            </w:tcBorders>
          </w:tcPr>
          <w:p>
            <w:pPr>
              <w:pStyle w:val="TableParagraph"/>
              <w:spacing w:line="182"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38" w:hRule="exact"/>
        </w:trPr>
        <w:tc>
          <w:tcPr>
            <w:tcW w:w="2194"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665"/>
              <w:jc w:val="right"/>
              <w:rPr>
                <w:rFonts w:ascii="宋体" w:hAnsi="宋体" w:cs="宋体" w:eastAsia="宋体" w:hint="default"/>
                <w:sz w:val="18"/>
                <w:szCs w:val="18"/>
              </w:rPr>
            </w:pPr>
            <w:r>
              <w:rPr>
                <w:rFonts w:ascii="宋体" w:hAnsi="宋体" w:cs="宋体" w:eastAsia="宋体" w:hint="default"/>
                <w:spacing w:val="-2"/>
                <w:sz w:val="18"/>
                <w:szCs w:val="18"/>
              </w:rPr>
              <w:t>应付账款</w:t>
            </w:r>
          </w:p>
        </w:tc>
        <w:tc>
          <w:tcPr>
            <w:tcW w:w="429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5" w:right="0"/>
              <w:jc w:val="center"/>
              <w:rPr>
                <w:rFonts w:ascii="宋体" w:hAnsi="宋体" w:cs="宋体" w:eastAsia="宋体" w:hint="default"/>
                <w:sz w:val="18"/>
                <w:szCs w:val="18"/>
              </w:rPr>
            </w:pPr>
            <w:r>
              <w:rPr>
                <w:rFonts w:ascii="宋体" w:hAnsi="宋体" w:cs="宋体" w:eastAsia="宋体" w:hint="default"/>
                <w:spacing w:val="-3"/>
                <w:sz w:val="18"/>
                <w:szCs w:val="18"/>
              </w:rPr>
              <w:t>深圳市达晨财智创业投资管理有限公司</w:t>
            </w:r>
          </w:p>
        </w:tc>
        <w:tc>
          <w:tcPr>
            <w:tcW w:w="176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874" w:right="-10"/>
              <w:jc w:val="left"/>
              <w:rPr>
                <w:rFonts w:ascii="宋体" w:hAnsi="宋体" w:cs="宋体" w:eastAsia="宋体" w:hint="default"/>
                <w:sz w:val="18"/>
                <w:szCs w:val="18"/>
              </w:rPr>
            </w:pPr>
            <w:r>
              <w:rPr>
                <w:rFonts w:ascii="宋体"/>
                <w:spacing w:val="-1"/>
                <w:sz w:val="18"/>
              </w:rPr>
              <w:t>222,000.00</w:t>
            </w:r>
          </w:p>
        </w:tc>
        <w:tc>
          <w:tcPr>
            <w:tcW w:w="1561" w:type="dxa"/>
            <w:tcBorders>
              <w:top w:val="single" w:sz="4"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448" w:lineRule="auto" w:before="36"/>
        <w:ind w:left="655" w:right="8239"/>
        <w:jc w:val="left"/>
      </w:pPr>
      <w:r>
        <w:rPr>
          <w:spacing w:val="-1"/>
        </w:rPr>
        <w:t>（八）关联方承诺事项</w:t>
      </w:r>
      <w:r>
        <w:rPr>
          <w:spacing w:val="-93"/>
        </w:rPr>
        <w:t> </w:t>
      </w:r>
      <w:r>
        <w:rPr>
          <w:spacing w:val="-93"/>
        </w:rPr>
      </w:r>
      <w:r>
        <w:rPr/>
        <w:t>无。</w:t>
      </w:r>
    </w:p>
    <w:p>
      <w:pPr>
        <w:spacing w:after="0" w:line="448" w:lineRule="auto"/>
        <w:jc w:val="left"/>
        <w:sectPr>
          <w:type w:val="continuous"/>
          <w:pgSz w:w="11910" w:h="16840"/>
          <w:pgMar w:top="1060" w:bottom="1160" w:left="900" w:right="0"/>
        </w:sectPr>
      </w:pPr>
    </w:p>
    <w:p>
      <w:pPr>
        <w:spacing w:line="240" w:lineRule="auto" w:before="1"/>
        <w:rPr>
          <w:rFonts w:ascii="宋体" w:hAnsi="宋体" w:cs="宋体" w:eastAsia="宋体" w:hint="default"/>
          <w:sz w:val="27"/>
          <w:szCs w:val="27"/>
        </w:rPr>
      </w:pPr>
    </w:p>
    <w:p>
      <w:pPr>
        <w:pStyle w:val="Heading2"/>
        <w:spacing w:line="240" w:lineRule="auto" w:before="26"/>
        <w:ind w:left="1153" w:right="0"/>
        <w:jc w:val="left"/>
        <w:rPr>
          <w:rFonts w:ascii="黑体" w:hAnsi="黑体" w:cs="黑体" w:eastAsia="黑体" w:hint="default"/>
          <w:b w:val="0"/>
          <w:bCs w:val="0"/>
        </w:rPr>
      </w:pPr>
      <w:bookmarkStart w:name="十二、股份支付" w:id="265"/>
      <w:bookmarkEnd w:id="265"/>
      <w:r>
        <w:rPr>
          <w:b w:val="0"/>
          <w:bCs w:val="0"/>
        </w:rPr>
      </w:r>
      <w:r>
        <w:rPr>
          <w:rFonts w:ascii="黑体" w:hAnsi="黑体" w:cs="黑体" w:eastAsia="黑体" w:hint="default"/>
        </w:rPr>
        <w:t>十二、股份支付</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240" w:lineRule="auto"/>
        <w:ind w:left="1095" w:right="0"/>
        <w:jc w:val="left"/>
      </w:pPr>
      <w:bookmarkStart w:name="（一）股份支付总体情况" w:id="266"/>
      <w:bookmarkEnd w:id="266"/>
      <w:r>
        <w:rPr/>
      </w:r>
      <w:r>
        <w:rPr/>
        <w:t>（一）股份支付总体情况</w:t>
      </w:r>
    </w:p>
    <w:p>
      <w:pPr>
        <w:spacing w:line="240" w:lineRule="auto" w:before="12"/>
        <w:rPr>
          <w:rFonts w:ascii="宋体" w:hAnsi="宋体" w:cs="宋体" w:eastAsia="宋体" w:hint="default"/>
          <w:sz w:val="26"/>
          <w:szCs w:val="26"/>
        </w:rPr>
      </w:pPr>
    </w:p>
    <w:tbl>
      <w:tblPr>
        <w:tblW w:w="0" w:type="auto"/>
        <w:jc w:val="left"/>
        <w:tblInd w:w="562" w:type="dxa"/>
        <w:tblLayout w:type="fixed"/>
        <w:tblCellMar>
          <w:top w:w="0" w:type="dxa"/>
          <w:left w:w="0" w:type="dxa"/>
          <w:bottom w:w="0" w:type="dxa"/>
          <w:right w:w="0" w:type="dxa"/>
        </w:tblCellMar>
        <w:tblLook w:val="01E0"/>
      </w:tblPr>
      <w:tblGrid>
        <w:gridCol w:w="5323"/>
        <w:gridCol w:w="4536"/>
      </w:tblGrid>
      <w:tr>
        <w:trPr>
          <w:trHeight w:val="253" w:hRule="exact"/>
        </w:trPr>
        <w:tc>
          <w:tcPr>
            <w:tcW w:w="5323" w:type="dxa"/>
            <w:tcBorders>
              <w:top w:val="nil" w:sz="6" w:space="0" w:color="auto"/>
              <w:left w:val="nil" w:sz="6" w:space="0" w:color="auto"/>
              <w:bottom w:val="single" w:sz="4" w:space="0" w:color="000000"/>
              <w:right w:val="nil" w:sz="6" w:space="0" w:color="auto"/>
            </w:tcBorders>
          </w:tcPr>
          <w:p>
            <w:pPr>
              <w:pStyle w:val="TableParagraph"/>
              <w:spacing w:line="182" w:lineRule="exact"/>
              <w:ind w:left="39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36" w:type="dxa"/>
            <w:tcBorders>
              <w:top w:val="nil" w:sz="6" w:space="0" w:color="auto"/>
              <w:left w:val="nil" w:sz="6" w:space="0" w:color="auto"/>
              <w:bottom w:val="single" w:sz="4" w:space="0" w:color="000000"/>
              <w:right w:val="nil" w:sz="6" w:space="0" w:color="auto"/>
            </w:tcBorders>
          </w:tcPr>
          <w:p>
            <w:pPr>
              <w:pStyle w:val="TableParagraph"/>
              <w:spacing w:line="182" w:lineRule="exact"/>
              <w:ind w:left="396"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r>
      <w:tr>
        <w:trPr>
          <w:trHeight w:val="446" w:hRule="exact"/>
        </w:trPr>
        <w:tc>
          <w:tcPr>
            <w:tcW w:w="532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53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5,605,058.21</w:t>
            </w:r>
          </w:p>
        </w:tc>
      </w:tr>
      <w:tr>
        <w:trPr>
          <w:trHeight w:val="398"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536" w:type="dxa"/>
            <w:tcBorders>
              <w:top w:val="nil" w:sz="6" w:space="0" w:color="auto"/>
              <w:left w:val="nil" w:sz="6" w:space="0" w:color="auto"/>
              <w:bottom w:val="nil" w:sz="6" w:space="0" w:color="auto"/>
              <w:right w:val="nil" w:sz="6" w:space="0" w:color="auto"/>
            </w:tcBorders>
          </w:tcPr>
          <w:p>
            <w:pPr/>
          </w:p>
        </w:tc>
      </w:tr>
      <w:tr>
        <w:trPr>
          <w:trHeight w:val="396"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2,136,315.59</w:t>
            </w:r>
          </w:p>
        </w:tc>
      </w:tr>
      <w:tr>
        <w:trPr>
          <w:trHeight w:val="396"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公司期末发行在外的股份期权价格的范围和合同剩余期限</w:t>
            </w:r>
          </w:p>
        </w:tc>
        <w:tc>
          <w:tcPr>
            <w:tcW w:w="4536" w:type="dxa"/>
            <w:tcBorders>
              <w:top w:val="nil" w:sz="6" w:space="0" w:color="auto"/>
              <w:left w:val="nil" w:sz="6" w:space="0" w:color="auto"/>
              <w:bottom w:val="nil" w:sz="6" w:space="0" w:color="auto"/>
              <w:right w:val="nil" w:sz="6" w:space="0" w:color="auto"/>
            </w:tcBorders>
          </w:tcPr>
          <w:p>
            <w:pPr/>
          </w:p>
        </w:tc>
      </w:tr>
      <w:tr>
        <w:trPr>
          <w:trHeight w:val="290" w:hRule="exact"/>
        </w:trPr>
        <w:tc>
          <w:tcPr>
            <w:tcW w:w="53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公司期末其他权益工具行权价格的范围和合同剩余期限</w:t>
            </w:r>
          </w:p>
        </w:tc>
        <w:tc>
          <w:tcPr>
            <w:tcW w:w="453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12" w:lineRule="auto" w:before="36"/>
        <w:ind w:left="673" w:right="1122" w:firstLine="422"/>
        <w:jc w:val="both"/>
        <w:rPr>
          <w:rFonts w:ascii="宋体" w:hAnsi="宋体" w:cs="宋体" w:eastAsia="宋体" w:hint="default"/>
        </w:rPr>
      </w:pPr>
      <w:r>
        <w:rPr>
          <w:rFonts w:ascii="宋体" w:hAnsi="宋体" w:cs="宋体" w:eastAsia="宋体" w:hint="default"/>
        </w:rPr>
        <w:t>1.</w:t>
      </w:r>
      <w:r>
        <w:rPr/>
        <w:t>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日召开了第二届董事会第九次会议，审议通过了《关于</w:t>
      </w:r>
      <w:r>
        <w:rPr>
          <w:rFonts w:ascii="宋体" w:hAnsi="宋体" w:cs="宋体" w:eastAsia="宋体" w:hint="default"/>
        </w:rPr>
        <w:t>2019</w:t>
      </w:r>
      <w:r>
        <w:rPr/>
        <w:t>年股票期权激励计</w:t>
      </w:r>
      <w:r>
        <w:rPr>
          <w:w w:val="100"/>
        </w:rPr>
        <w:t> </w:t>
      </w:r>
      <w:r>
        <w:rPr>
          <w:spacing w:val="-6"/>
        </w:rPr>
        <w:t>划授予相关事项的议案》，确定授予股票期权</w:t>
      </w:r>
      <w:r>
        <w:rPr>
          <w:rFonts w:ascii="宋体" w:hAnsi="宋体" w:cs="宋体" w:eastAsia="宋体" w:hint="default"/>
          <w:spacing w:val="-6"/>
        </w:rPr>
        <w:t>150</w:t>
      </w:r>
      <w:r>
        <w:rPr>
          <w:spacing w:val="-6"/>
        </w:rPr>
        <w:t>万份，行权价格为</w:t>
      </w:r>
      <w:r>
        <w:rPr>
          <w:rFonts w:ascii="宋体" w:hAnsi="宋体" w:cs="宋体" w:eastAsia="宋体" w:hint="default"/>
          <w:spacing w:val="-6"/>
        </w:rPr>
        <w:t>43.86</w:t>
      </w:r>
      <w:r>
        <w:rPr>
          <w:spacing w:val="-6"/>
        </w:rPr>
        <w:t>元</w:t>
      </w:r>
      <w:r>
        <w:rPr>
          <w:rFonts w:ascii="宋体" w:hAnsi="宋体" w:cs="宋体" w:eastAsia="宋体" w:hint="default"/>
          <w:spacing w:val="-6"/>
        </w:rPr>
        <w:t>/</w:t>
      </w:r>
      <w:r>
        <w:rPr>
          <w:spacing w:val="-6"/>
        </w:rPr>
        <w:t>股，授予日为</w:t>
      </w:r>
      <w:r>
        <w:rPr>
          <w:rFonts w:ascii="宋体" w:hAnsi="宋体" w:cs="宋体" w:eastAsia="宋体" w:hint="default"/>
          <w:spacing w:val="-6"/>
        </w:rPr>
        <w:t>2019</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26</w:t>
      </w:r>
      <w:r>
        <w:rPr>
          <w:spacing w:val="-6"/>
        </w:rPr>
        <w:t>日。</w:t>
      </w:r>
      <w:r>
        <w:rPr>
          <w:spacing w:val="-5"/>
        </w:rPr>
        <w:t> </w:t>
      </w:r>
      <w:r>
        <w:rPr/>
        <w:t>本次授予的股票期权行权期及各期行权时间安排如下表所示</w:t>
      </w:r>
      <w:r>
        <w:rPr>
          <w:rFonts w:ascii="宋体" w:hAnsi="宋体" w:cs="宋体" w:eastAsia="宋体" w:hint="default"/>
        </w:rPr>
        <w:t>:</w:t>
      </w:r>
    </w:p>
    <w:p>
      <w:pPr>
        <w:spacing w:line="240" w:lineRule="auto" w:before="5"/>
        <w:rPr>
          <w:rFonts w:ascii="宋体" w:hAnsi="宋体" w:cs="宋体" w:eastAsia="宋体" w:hint="default"/>
          <w:sz w:val="22"/>
          <w:szCs w:val="22"/>
        </w:rPr>
      </w:pPr>
    </w:p>
    <w:tbl>
      <w:tblPr>
        <w:tblW w:w="0" w:type="auto"/>
        <w:jc w:val="left"/>
        <w:tblInd w:w="562" w:type="dxa"/>
        <w:tblLayout w:type="fixed"/>
        <w:tblCellMar>
          <w:top w:w="0" w:type="dxa"/>
          <w:left w:w="0" w:type="dxa"/>
          <w:bottom w:w="0" w:type="dxa"/>
          <w:right w:w="0" w:type="dxa"/>
        </w:tblCellMar>
        <w:tblLook w:val="01E0"/>
      </w:tblPr>
      <w:tblGrid>
        <w:gridCol w:w="2223"/>
        <w:gridCol w:w="5054"/>
        <w:gridCol w:w="2581"/>
      </w:tblGrid>
      <w:tr>
        <w:trPr>
          <w:trHeight w:val="253" w:hRule="exact"/>
        </w:trPr>
        <w:tc>
          <w:tcPr>
            <w:tcW w:w="2223" w:type="dxa"/>
            <w:tcBorders>
              <w:top w:val="nil" w:sz="6" w:space="0" w:color="auto"/>
              <w:left w:val="nil" w:sz="6" w:space="0" w:color="auto"/>
              <w:bottom w:val="single" w:sz="4" w:space="0" w:color="000000"/>
              <w:right w:val="nil" w:sz="6" w:space="0" w:color="auto"/>
            </w:tcBorders>
          </w:tcPr>
          <w:p>
            <w:pPr>
              <w:pStyle w:val="TableParagraph"/>
              <w:spacing w:line="182" w:lineRule="exact"/>
              <w:ind w:left="960" w:right="0"/>
              <w:jc w:val="left"/>
              <w:rPr>
                <w:rFonts w:ascii="宋体" w:hAnsi="宋体" w:cs="宋体" w:eastAsia="宋体" w:hint="default"/>
                <w:sz w:val="18"/>
                <w:szCs w:val="18"/>
              </w:rPr>
            </w:pPr>
            <w:r>
              <w:rPr>
                <w:rFonts w:ascii="宋体" w:hAnsi="宋体" w:cs="宋体" w:eastAsia="宋体" w:hint="default"/>
                <w:b/>
                <w:bCs/>
                <w:sz w:val="18"/>
                <w:szCs w:val="18"/>
              </w:rPr>
              <w:t>行权安排</w:t>
            </w:r>
            <w:r>
              <w:rPr>
                <w:rFonts w:ascii="宋体" w:hAnsi="宋体" w:cs="宋体" w:eastAsia="宋体" w:hint="default"/>
                <w:sz w:val="18"/>
                <w:szCs w:val="18"/>
              </w:rPr>
            </w:r>
          </w:p>
        </w:tc>
        <w:tc>
          <w:tcPr>
            <w:tcW w:w="5054" w:type="dxa"/>
            <w:tcBorders>
              <w:top w:val="nil" w:sz="6" w:space="0" w:color="auto"/>
              <w:left w:val="nil" w:sz="6" w:space="0" w:color="auto"/>
              <w:bottom w:val="single" w:sz="4" w:space="0" w:color="000000"/>
              <w:right w:val="nil" w:sz="6" w:space="0" w:color="auto"/>
            </w:tcBorders>
          </w:tcPr>
          <w:p>
            <w:pPr>
              <w:pStyle w:val="TableParagraph"/>
              <w:spacing w:line="182" w:lineRule="exact"/>
              <w:ind w:left="2679" w:right="0"/>
              <w:jc w:val="left"/>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2581" w:type="dxa"/>
            <w:tcBorders>
              <w:top w:val="nil" w:sz="6" w:space="0" w:color="auto"/>
              <w:left w:val="nil" w:sz="6" w:space="0" w:color="auto"/>
              <w:bottom w:val="single" w:sz="4" w:space="0" w:color="000000"/>
              <w:right w:val="nil" w:sz="6" w:space="0" w:color="auto"/>
            </w:tcBorders>
          </w:tcPr>
          <w:p>
            <w:pPr>
              <w:pStyle w:val="TableParagraph"/>
              <w:spacing w:line="182" w:lineRule="exact"/>
              <w:ind w:left="1006" w:right="0"/>
              <w:jc w:val="left"/>
              <w:rPr>
                <w:rFonts w:ascii="宋体" w:hAnsi="宋体" w:cs="宋体" w:eastAsia="宋体" w:hint="default"/>
                <w:sz w:val="18"/>
                <w:szCs w:val="18"/>
              </w:rPr>
            </w:pPr>
            <w:r>
              <w:rPr>
                <w:rFonts w:ascii="宋体" w:hAnsi="宋体" w:cs="宋体" w:eastAsia="宋体" w:hint="default"/>
                <w:b/>
                <w:bCs/>
                <w:sz w:val="18"/>
                <w:szCs w:val="18"/>
              </w:rPr>
              <w:t>行权比例（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768" w:hRule="exact"/>
        </w:trPr>
        <w:tc>
          <w:tcPr>
            <w:tcW w:w="222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505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33" w:right="0"/>
              <w:jc w:val="left"/>
              <w:rPr>
                <w:rFonts w:ascii="宋体" w:hAnsi="宋体" w:cs="宋体" w:eastAsia="宋体" w:hint="default"/>
                <w:sz w:val="18"/>
                <w:szCs w:val="18"/>
              </w:rPr>
            </w:pPr>
            <w:r>
              <w:rPr>
                <w:rFonts w:ascii="宋体" w:hAnsi="宋体" w:cs="宋体" w:eastAsia="宋体" w:hint="default"/>
                <w:sz w:val="18"/>
                <w:szCs w:val="18"/>
              </w:rPr>
              <w:t>自授予日起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pacing w:val="-3"/>
                <w:sz w:val="18"/>
                <w:szCs w:val="18"/>
              </w:rPr>
              <w:t>个月后的首个交易日起至授予</w:t>
            </w:r>
          </w:p>
          <w:p>
            <w:pPr>
              <w:pStyle w:val="TableParagraph"/>
              <w:spacing w:line="240" w:lineRule="auto" w:before="125"/>
              <w:ind w:left="53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宋体" w:hAnsi="宋体" w:cs="宋体" w:eastAsia="宋体" w:hint="default"/>
                <w:sz w:val="18"/>
                <w:szCs w:val="18"/>
              </w:rPr>
              <w:t>24</w:t>
            </w:r>
            <w:r>
              <w:rPr>
                <w:rFonts w:ascii="宋体" w:hAnsi="宋体" w:cs="宋体" w:eastAsia="宋体" w:hint="default"/>
                <w:spacing w:val="-47"/>
                <w:sz w:val="18"/>
                <w:szCs w:val="18"/>
              </w:rPr>
              <w:t> </w:t>
            </w:r>
            <w:r>
              <w:rPr>
                <w:rFonts w:ascii="宋体" w:hAnsi="宋体" w:cs="宋体" w:eastAsia="宋体" w:hint="default"/>
                <w:spacing w:val="-3"/>
                <w:sz w:val="18"/>
                <w:szCs w:val="18"/>
              </w:rPr>
              <w:t>个月内的最后一个交易日止。</w:t>
            </w:r>
          </w:p>
        </w:tc>
        <w:tc>
          <w:tcPr>
            <w:tcW w:w="258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z w:val="18"/>
              </w:rPr>
              <w:t>40.00</w:t>
            </w:r>
          </w:p>
        </w:tc>
      </w:tr>
      <w:tr>
        <w:trPr>
          <w:trHeight w:val="720"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50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3" w:right="0"/>
              <w:jc w:val="left"/>
              <w:rPr>
                <w:rFonts w:ascii="宋体" w:hAnsi="宋体" w:cs="宋体" w:eastAsia="宋体" w:hint="default"/>
                <w:sz w:val="18"/>
                <w:szCs w:val="18"/>
              </w:rPr>
            </w:pPr>
            <w:r>
              <w:rPr>
                <w:rFonts w:ascii="宋体" w:hAnsi="宋体" w:cs="宋体" w:eastAsia="宋体" w:hint="default"/>
                <w:sz w:val="18"/>
                <w:szCs w:val="18"/>
              </w:rPr>
              <w:t>自授予日起 </w:t>
            </w:r>
            <w:r>
              <w:rPr>
                <w:rFonts w:ascii="宋体" w:hAnsi="宋体" w:cs="宋体" w:eastAsia="宋体" w:hint="default"/>
                <w:sz w:val="18"/>
                <w:szCs w:val="18"/>
              </w:rPr>
              <w:t>24</w:t>
            </w:r>
            <w:r>
              <w:rPr>
                <w:rFonts w:ascii="宋体" w:hAnsi="宋体" w:cs="宋体" w:eastAsia="宋体" w:hint="default"/>
                <w:spacing w:val="-50"/>
                <w:sz w:val="18"/>
                <w:szCs w:val="18"/>
              </w:rPr>
              <w:t> </w:t>
            </w:r>
            <w:r>
              <w:rPr>
                <w:rFonts w:ascii="宋体" w:hAnsi="宋体" w:cs="宋体" w:eastAsia="宋体" w:hint="default"/>
                <w:spacing w:val="-3"/>
                <w:sz w:val="18"/>
                <w:szCs w:val="18"/>
              </w:rPr>
              <w:t>个月后的首个交易日起至授予</w:t>
            </w:r>
          </w:p>
          <w:p>
            <w:pPr>
              <w:pStyle w:val="TableParagraph"/>
              <w:spacing w:line="240" w:lineRule="auto" w:before="124"/>
              <w:ind w:left="53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宋体" w:hAnsi="宋体" w:cs="宋体" w:eastAsia="宋体" w:hint="default"/>
                <w:sz w:val="18"/>
                <w:szCs w:val="18"/>
              </w:rPr>
              <w:t>36</w:t>
            </w:r>
            <w:r>
              <w:rPr>
                <w:rFonts w:ascii="宋体" w:hAnsi="宋体" w:cs="宋体" w:eastAsia="宋体" w:hint="default"/>
                <w:spacing w:val="-47"/>
                <w:sz w:val="18"/>
                <w:szCs w:val="18"/>
              </w:rPr>
              <w:t> </w:t>
            </w:r>
            <w:r>
              <w:rPr>
                <w:rFonts w:ascii="宋体" w:hAnsi="宋体" w:cs="宋体" w:eastAsia="宋体" w:hint="default"/>
                <w:spacing w:val="-3"/>
                <w:sz w:val="18"/>
                <w:szCs w:val="18"/>
              </w:rPr>
              <w:t>个月内的最后一个交易日止。</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z w:val="18"/>
              </w:rPr>
              <w:t>30.00</w:t>
            </w:r>
          </w:p>
        </w:tc>
      </w:tr>
      <w:tr>
        <w:trPr>
          <w:trHeight w:val="632" w:hRule="exact"/>
        </w:trPr>
        <w:tc>
          <w:tcPr>
            <w:tcW w:w="22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505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33" w:right="0"/>
              <w:jc w:val="left"/>
              <w:rPr>
                <w:rFonts w:ascii="宋体" w:hAnsi="宋体" w:cs="宋体" w:eastAsia="宋体" w:hint="default"/>
                <w:sz w:val="18"/>
                <w:szCs w:val="18"/>
              </w:rPr>
            </w:pPr>
            <w:r>
              <w:rPr>
                <w:rFonts w:ascii="宋体" w:hAnsi="宋体" w:cs="宋体" w:eastAsia="宋体" w:hint="default"/>
                <w:sz w:val="18"/>
                <w:szCs w:val="18"/>
              </w:rPr>
              <w:t>自授予日起 </w:t>
            </w:r>
            <w:r>
              <w:rPr>
                <w:rFonts w:ascii="宋体" w:hAnsi="宋体" w:cs="宋体" w:eastAsia="宋体" w:hint="default"/>
                <w:sz w:val="18"/>
                <w:szCs w:val="18"/>
              </w:rPr>
              <w:t>36</w:t>
            </w:r>
            <w:r>
              <w:rPr>
                <w:rFonts w:ascii="宋体" w:hAnsi="宋体" w:cs="宋体" w:eastAsia="宋体" w:hint="default"/>
                <w:spacing w:val="-50"/>
                <w:sz w:val="18"/>
                <w:szCs w:val="18"/>
              </w:rPr>
              <w:t> </w:t>
            </w:r>
            <w:r>
              <w:rPr>
                <w:rFonts w:ascii="宋体" w:hAnsi="宋体" w:cs="宋体" w:eastAsia="宋体" w:hint="default"/>
                <w:spacing w:val="-3"/>
                <w:sz w:val="18"/>
                <w:szCs w:val="18"/>
              </w:rPr>
              <w:t>个月后的首个交易日起至授予</w:t>
            </w:r>
          </w:p>
          <w:p>
            <w:pPr>
              <w:pStyle w:val="TableParagraph"/>
              <w:spacing w:line="240" w:lineRule="auto" w:before="125"/>
              <w:ind w:left="53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宋体" w:hAnsi="宋体" w:cs="宋体" w:eastAsia="宋体" w:hint="default"/>
                <w:sz w:val="18"/>
                <w:szCs w:val="18"/>
              </w:rPr>
              <w:t>48</w:t>
            </w:r>
            <w:r>
              <w:rPr>
                <w:rFonts w:ascii="宋体" w:hAnsi="宋体" w:cs="宋体" w:eastAsia="宋体" w:hint="default"/>
                <w:spacing w:val="-47"/>
                <w:sz w:val="18"/>
                <w:szCs w:val="18"/>
              </w:rPr>
              <w:t> </w:t>
            </w:r>
            <w:r>
              <w:rPr>
                <w:rFonts w:ascii="宋体" w:hAnsi="宋体" w:cs="宋体" w:eastAsia="宋体" w:hint="default"/>
                <w:spacing w:val="-3"/>
                <w:sz w:val="18"/>
                <w:szCs w:val="18"/>
              </w:rPr>
              <w:t>个月内的最后一个交易日止。</w:t>
            </w:r>
          </w:p>
        </w:tc>
        <w:tc>
          <w:tcPr>
            <w:tcW w:w="2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z w:val="18"/>
              </w:rPr>
              <w:t>30.00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309" w:lineRule="auto" w:before="36"/>
        <w:ind w:left="673" w:right="0" w:firstLine="422"/>
        <w:jc w:val="left"/>
      </w:pPr>
      <w:r>
        <w:rPr>
          <w:rFonts w:ascii="宋体" w:hAnsi="宋体" w:cs="宋体" w:eastAsia="宋体" w:hint="default"/>
          <w:spacing w:val="-2"/>
        </w:rPr>
        <w:t>2.</w:t>
      </w:r>
      <w:r>
        <w:rPr>
          <w:spacing w:val="-2"/>
        </w:rPr>
        <w:t>公司以</w:t>
      </w:r>
      <w:r>
        <w:rPr>
          <w:rFonts w:ascii="宋体" w:hAnsi="宋体" w:cs="宋体" w:eastAsia="宋体" w:hint="default"/>
          <w:spacing w:val="-2"/>
        </w:rPr>
        <w:t>Black-Scholes</w:t>
      </w:r>
      <w:r>
        <w:rPr>
          <w:spacing w:val="-2"/>
        </w:rPr>
        <w:t>模型（</w:t>
      </w:r>
      <w:r>
        <w:rPr>
          <w:rFonts w:ascii="宋体" w:hAnsi="宋体" w:cs="宋体" w:eastAsia="宋体" w:hint="default"/>
          <w:spacing w:val="-2"/>
        </w:rPr>
        <w:t>B-S</w:t>
      </w:r>
      <w:r>
        <w:rPr>
          <w:spacing w:val="-2"/>
        </w:rPr>
        <w:t>模型）计算股票期权的公允价值，并最终确认本计划的股份支付费</w:t>
      </w:r>
      <w:r>
        <w:rPr>
          <w:w w:val="100"/>
        </w:rPr>
        <w:t> </w:t>
      </w:r>
      <w:r>
        <w:rPr/>
        <w:t>用，本次激励计划授予的股票期权对各期会计成本的影响如下表所示：</w:t>
      </w:r>
    </w:p>
    <w:p>
      <w:pPr>
        <w:spacing w:line="240" w:lineRule="auto" w:before="2"/>
        <w:rPr>
          <w:rFonts w:ascii="宋体" w:hAnsi="宋体" w:cs="宋体" w:eastAsia="宋体"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1796"/>
        <w:gridCol w:w="1827"/>
        <w:gridCol w:w="1760"/>
        <w:gridCol w:w="1791"/>
        <w:gridCol w:w="1791"/>
        <w:gridCol w:w="1786"/>
      </w:tblGrid>
      <w:tr>
        <w:trPr>
          <w:trHeight w:val="594" w:hRule="exact"/>
        </w:trPr>
        <w:tc>
          <w:tcPr>
            <w:tcW w:w="1796"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授予的股票期权</w:t>
            </w:r>
            <w:r>
              <w:rPr>
                <w:rFonts w:ascii="宋体" w:hAnsi="宋体" w:cs="宋体" w:eastAsia="宋体" w:hint="default"/>
                <w:sz w:val="18"/>
                <w:szCs w:val="18"/>
              </w:rPr>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182" w:lineRule="exact"/>
              <w:ind w:right="29"/>
              <w:jc w:val="center"/>
              <w:rPr>
                <w:rFonts w:ascii="宋体" w:hAnsi="宋体" w:cs="宋体" w:eastAsia="宋体" w:hint="default"/>
                <w:sz w:val="18"/>
                <w:szCs w:val="18"/>
              </w:rPr>
            </w:pPr>
            <w:r>
              <w:rPr>
                <w:rFonts w:ascii="宋体" w:hAnsi="宋体" w:cs="宋体" w:eastAsia="宋体" w:hint="default"/>
                <w:b/>
                <w:bCs/>
                <w:sz w:val="18"/>
                <w:szCs w:val="18"/>
              </w:rPr>
              <w:t>需摊销的总费用</w:t>
            </w:r>
            <w:r>
              <w:rPr>
                <w:rFonts w:ascii="宋体" w:hAnsi="宋体" w:cs="宋体" w:eastAsia="宋体" w:hint="default"/>
                <w:sz w:val="18"/>
                <w:szCs w:val="18"/>
              </w:rPr>
            </w:r>
          </w:p>
          <w:p>
            <w:pPr>
              <w:pStyle w:val="TableParagraph"/>
              <w:spacing w:line="240" w:lineRule="auto" w:before="124"/>
              <w:ind w:right="29"/>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8"/>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0"/>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2020</w:t>
            </w:r>
            <w:r>
              <w:rPr>
                <w:rFonts w:ascii="宋体" w:hAnsi="宋体" w:cs="宋体" w:eastAsia="宋体" w:hint="default"/>
                <w:b/>
                <w:bCs/>
                <w:spacing w:val="-40"/>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2021</w:t>
            </w:r>
            <w:r>
              <w:rPr>
                <w:rFonts w:ascii="宋体" w:hAnsi="宋体" w:cs="宋体" w:eastAsia="宋体" w:hint="default"/>
                <w:b/>
                <w:bCs/>
                <w:spacing w:val="-39"/>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 w:right="0"/>
              <w:jc w:val="center"/>
              <w:rPr>
                <w:rFonts w:ascii="宋体" w:hAnsi="宋体" w:cs="宋体" w:eastAsia="宋体" w:hint="default"/>
                <w:sz w:val="18"/>
                <w:szCs w:val="18"/>
              </w:rPr>
            </w:pPr>
            <w:r>
              <w:rPr>
                <w:rFonts w:ascii="宋体" w:hAnsi="宋体" w:cs="宋体" w:eastAsia="宋体" w:hint="default"/>
                <w:b/>
                <w:bCs/>
                <w:sz w:val="18"/>
                <w:szCs w:val="18"/>
              </w:rPr>
              <w:t>2022</w:t>
            </w:r>
            <w:r>
              <w:rPr>
                <w:rFonts w:ascii="宋体" w:hAnsi="宋体" w:cs="宋体" w:eastAsia="宋体" w:hint="default"/>
                <w:b/>
                <w:bCs/>
                <w:spacing w:val="-40"/>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r>
      <w:tr>
        <w:trPr>
          <w:trHeight w:val="338" w:hRule="exact"/>
        </w:trPr>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55" w:right="0"/>
              <w:jc w:val="left"/>
              <w:rPr>
                <w:rFonts w:ascii="宋体" w:hAnsi="宋体" w:cs="宋体" w:eastAsia="宋体" w:hint="default"/>
                <w:sz w:val="18"/>
                <w:szCs w:val="18"/>
              </w:rPr>
            </w:pPr>
            <w:r>
              <w:rPr>
                <w:rFonts w:ascii="宋体"/>
                <w:sz w:val="18"/>
              </w:rPr>
              <w:t>1,500,000.00</w:t>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355" w:right="0"/>
              <w:jc w:val="left"/>
              <w:rPr>
                <w:rFonts w:ascii="宋体" w:hAnsi="宋体" w:cs="宋体" w:eastAsia="宋体" w:hint="default"/>
                <w:sz w:val="18"/>
                <w:szCs w:val="18"/>
              </w:rPr>
            </w:pPr>
            <w:r>
              <w:rPr>
                <w:rFonts w:ascii="宋体"/>
                <w:sz w:val="18"/>
              </w:rPr>
              <w:t>5,605,058.21</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3"/>
              <w:jc w:val="center"/>
              <w:rPr>
                <w:rFonts w:ascii="宋体" w:hAnsi="宋体" w:cs="宋体" w:eastAsia="宋体" w:hint="default"/>
                <w:sz w:val="18"/>
                <w:szCs w:val="18"/>
              </w:rPr>
            </w:pPr>
            <w:r>
              <w:rPr>
                <w:rFonts w:ascii="宋体"/>
                <w:sz w:val="18"/>
              </w:rPr>
              <w:t>2,147,464.03</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18"/>
                <w:szCs w:val="18"/>
              </w:rPr>
            </w:pPr>
            <w:r>
              <w:rPr>
                <w:rFonts w:ascii="宋体"/>
                <w:sz w:val="18"/>
              </w:rPr>
              <w:t>2,152,754.12</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
              <w:jc w:val="center"/>
              <w:rPr>
                <w:rFonts w:ascii="宋体" w:hAnsi="宋体" w:cs="宋体" w:eastAsia="宋体" w:hint="default"/>
                <w:sz w:val="18"/>
                <w:szCs w:val="18"/>
              </w:rPr>
            </w:pPr>
            <w:r>
              <w:rPr>
                <w:rFonts w:ascii="宋体"/>
                <w:sz w:val="18"/>
              </w:rPr>
              <w:t>1,049,730.40</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9" w:right="0"/>
              <w:jc w:val="center"/>
              <w:rPr>
                <w:rFonts w:ascii="宋体" w:hAnsi="宋体" w:cs="宋体" w:eastAsia="宋体" w:hint="default"/>
                <w:sz w:val="18"/>
                <w:szCs w:val="18"/>
              </w:rPr>
            </w:pPr>
            <w:r>
              <w:rPr>
                <w:rFonts w:ascii="宋体"/>
                <w:sz w:val="18"/>
              </w:rPr>
              <w:t>255,109.66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314" w:lineRule="auto" w:before="36"/>
        <w:ind w:left="673" w:right="1124" w:firstLine="422"/>
        <w:jc w:val="both"/>
      </w:pPr>
      <w:r>
        <w:rPr>
          <w:rFonts w:ascii="宋体" w:hAnsi="宋体" w:cs="宋体" w:eastAsia="宋体" w:hint="default"/>
        </w:rPr>
        <w:t>3.2019</w:t>
      </w:r>
      <w:r>
        <w:rPr/>
        <w:t>年</w:t>
      </w:r>
      <w:r>
        <w:rPr>
          <w:rFonts w:ascii="宋体" w:hAnsi="宋体" w:cs="宋体" w:eastAsia="宋体" w:hint="default"/>
        </w:rPr>
        <w:t>5</w:t>
      </w:r>
      <w:r>
        <w:rPr/>
        <w:t>月</w:t>
      </w:r>
      <w:r>
        <w:rPr>
          <w:rFonts w:ascii="宋体" w:hAnsi="宋体" w:cs="宋体" w:eastAsia="宋体" w:hint="default"/>
        </w:rPr>
        <w:t>17</w:t>
      </w:r>
      <w:r>
        <w:rPr/>
        <w:t>日召开的</w:t>
      </w:r>
      <w:r>
        <w:rPr>
          <w:rFonts w:ascii="宋体" w:hAnsi="宋体" w:cs="宋体" w:eastAsia="宋体" w:hint="default"/>
        </w:rPr>
        <w:t>2018</w:t>
      </w:r>
      <w:r>
        <w:rPr/>
        <w:t>年年度股东大会审议通过了《关于</w:t>
      </w:r>
      <w:r>
        <w:rPr>
          <w:rFonts w:ascii="宋体" w:hAnsi="宋体" w:cs="宋体" w:eastAsia="宋体" w:hint="default"/>
        </w:rPr>
        <w:t>2018</w:t>
      </w:r>
      <w:r>
        <w:rPr/>
        <w:t>年度利润分配预案的议案》。以</w:t>
      </w:r>
      <w:r>
        <w:rPr>
          <w:w w:val="100"/>
        </w:rPr>
        <w:t> </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68,000,000</w:t>
      </w:r>
      <w:r>
        <w:rPr/>
        <w:t>股为基数，向全体股东每</w:t>
      </w:r>
      <w:r>
        <w:rPr>
          <w:rFonts w:ascii="宋体" w:hAnsi="宋体" w:cs="宋体" w:eastAsia="宋体" w:hint="default"/>
        </w:rPr>
        <w:t>10</w:t>
      </w:r>
      <w:r>
        <w:rPr/>
        <w:t>股派发现金人民币</w:t>
      </w:r>
      <w:r>
        <w:rPr>
          <w:rFonts w:ascii="宋体" w:hAnsi="宋体" w:cs="宋体" w:eastAsia="宋体" w:hint="default"/>
        </w:rPr>
        <w:t>1</w:t>
      </w:r>
      <w:r>
        <w:rPr/>
        <w:t>元（含税），</w:t>
      </w:r>
      <w:r>
        <w:rPr>
          <w:spacing w:val="-31"/>
        </w:rPr>
        <w:t> </w:t>
      </w:r>
      <w:r>
        <w:rPr>
          <w:spacing w:val="-31"/>
        </w:rPr>
      </w:r>
      <w:r>
        <w:rPr>
          <w:spacing w:val="-2"/>
        </w:rPr>
        <w:t>合计派发现金股利为人民币</w:t>
      </w:r>
      <w:r>
        <w:rPr>
          <w:rFonts w:ascii="宋体" w:hAnsi="宋体" w:cs="宋体" w:eastAsia="宋体" w:hint="default"/>
          <w:spacing w:val="-2"/>
        </w:rPr>
        <w:t>6,800,000.00</w:t>
      </w:r>
      <w:r>
        <w:rPr>
          <w:spacing w:val="-2"/>
        </w:rPr>
        <w:t>元（含税）剩余未分配利润结转下年。同时，以资本公积金向全</w:t>
      </w:r>
      <w:r>
        <w:rPr>
          <w:spacing w:val="-20"/>
        </w:rPr>
        <w:t> </w:t>
      </w:r>
      <w:r>
        <w:rPr>
          <w:spacing w:val="-20"/>
        </w:rPr>
      </w:r>
      <w:r>
        <w:rPr/>
        <w:t>体股东每</w:t>
      </w:r>
      <w:r>
        <w:rPr>
          <w:rFonts w:ascii="宋体" w:hAnsi="宋体" w:cs="宋体" w:eastAsia="宋体" w:hint="default"/>
        </w:rPr>
        <w:t>10</w:t>
      </w:r>
      <w:r>
        <w:rPr/>
        <w:t>股转增</w:t>
      </w:r>
      <w:r>
        <w:rPr>
          <w:rFonts w:ascii="宋体" w:hAnsi="宋体" w:cs="宋体" w:eastAsia="宋体" w:hint="default"/>
        </w:rPr>
        <w:t>4</w:t>
      </w:r>
      <w:r>
        <w:rPr/>
        <w:t>股，转增股本</w:t>
      </w:r>
      <w:r>
        <w:rPr>
          <w:rFonts w:ascii="宋体" w:hAnsi="宋体" w:cs="宋体" w:eastAsia="宋体" w:hint="default"/>
        </w:rPr>
        <w:t>27,200,000</w:t>
      </w:r>
      <w:r>
        <w:rPr/>
        <w:t>股。公司股票期权激励计划参数做相应调整，授予股票期权</w:t>
      </w:r>
      <w:r>
        <w:rPr>
          <w:spacing w:val="-31"/>
        </w:rPr>
        <w:t> </w:t>
      </w:r>
      <w:r>
        <w:rPr>
          <w:spacing w:val="-31"/>
        </w:rPr>
      </w:r>
      <w:r>
        <w:rPr/>
        <w:t>总数量调整为</w:t>
      </w:r>
      <w:r>
        <w:rPr>
          <w:rFonts w:ascii="宋体" w:hAnsi="宋体" w:cs="宋体" w:eastAsia="宋体" w:hint="default"/>
        </w:rPr>
        <w:t>210</w:t>
      </w:r>
      <w:r>
        <w:rPr/>
        <w:t>万股，行权价格调整为</w:t>
      </w:r>
      <w:r>
        <w:rPr>
          <w:rFonts w:ascii="宋体" w:hAnsi="宋体" w:cs="宋体" w:eastAsia="宋体" w:hint="default"/>
        </w:rPr>
        <w:t>31.26</w:t>
      </w:r>
      <w:r>
        <w:rPr/>
        <w:t>元</w:t>
      </w:r>
      <w:r>
        <w:rPr>
          <w:rFonts w:ascii="宋体" w:hAnsi="宋体" w:cs="宋体" w:eastAsia="宋体" w:hint="default"/>
        </w:rPr>
        <w:t>/</w:t>
      </w:r>
      <w:r>
        <w:rPr/>
        <w:t>股。</w:t>
      </w:r>
    </w:p>
    <w:p>
      <w:pPr>
        <w:pStyle w:val="BodyText"/>
        <w:spacing w:line="314" w:lineRule="auto" w:before="179"/>
        <w:ind w:left="673" w:right="1124" w:firstLine="422"/>
        <w:jc w:val="both"/>
      </w:pPr>
      <w:r>
        <w:rPr>
          <w:rFonts w:ascii="宋体" w:hAnsi="宋体" w:cs="宋体" w:eastAsia="宋体" w:hint="default"/>
        </w:rPr>
        <w:t>4.2019</w:t>
      </w:r>
      <w:r>
        <w:rPr/>
        <w:t>年业绩水平未达到业绩考核目标，注销所有激励对象所获授的</w:t>
      </w:r>
      <w:r>
        <w:rPr>
          <w:rFonts w:ascii="宋体" w:hAnsi="宋体" w:cs="宋体" w:eastAsia="宋体" w:hint="default"/>
        </w:rPr>
        <w:t>600,000.00</w:t>
      </w:r>
      <w:r>
        <w:rPr/>
        <w:t>份股票期权；注销</w:t>
      </w:r>
      <w:r>
        <w:rPr>
          <w:rFonts w:ascii="宋体" w:hAnsi="宋体" w:cs="宋体" w:eastAsia="宋体" w:hint="default"/>
        </w:rPr>
        <w:t>4</w:t>
      </w:r>
      <w:r>
        <w:rPr>
          <w:rFonts w:ascii="宋体" w:hAnsi="宋体" w:cs="宋体" w:eastAsia="宋体" w:hint="default"/>
          <w:w w:val="100"/>
        </w:rPr>
        <w:t> </w:t>
      </w:r>
      <w:r>
        <w:rPr>
          <w:spacing w:val="-2"/>
        </w:rPr>
        <w:t>位已离职激励对象所获授的</w:t>
      </w:r>
      <w:r>
        <w:rPr>
          <w:rFonts w:ascii="宋体" w:hAnsi="宋体" w:cs="宋体" w:eastAsia="宋体" w:hint="default"/>
          <w:spacing w:val="-2"/>
        </w:rPr>
        <w:t>120,000.00</w:t>
      </w:r>
      <w:r>
        <w:rPr>
          <w:spacing w:val="-2"/>
        </w:rPr>
        <w:t>份股票期权。完成上述注销后的股票期权对各期会计成本的影响如</w:t>
      </w:r>
    </w:p>
    <w:p>
      <w:pPr>
        <w:spacing w:after="0" w:line="314" w:lineRule="auto"/>
        <w:jc w:val="both"/>
        <w:sectPr>
          <w:pgSz w:w="11910" w:h="16840"/>
          <w:pgMar w:header="741" w:footer="979" w:top="1060" w:bottom="1160" w:left="460" w:right="0"/>
        </w:sectPr>
      </w:pPr>
    </w:p>
    <w:p>
      <w:pPr>
        <w:spacing w:line="240" w:lineRule="auto" w:before="12"/>
        <w:rPr>
          <w:rFonts w:ascii="宋体" w:hAnsi="宋体" w:cs="宋体" w:eastAsia="宋体" w:hint="default"/>
          <w:sz w:val="28"/>
          <w:szCs w:val="28"/>
        </w:rPr>
      </w:pPr>
    </w:p>
    <w:p>
      <w:pPr>
        <w:pStyle w:val="BodyText"/>
        <w:spacing w:line="240" w:lineRule="auto" w:before="36"/>
        <w:ind w:left="673" w:right="0"/>
        <w:jc w:val="left"/>
      </w:pPr>
      <w:r>
        <w:rPr/>
        <w:t>下表所示：</w:t>
      </w:r>
    </w:p>
    <w:p>
      <w:pPr>
        <w:spacing w:line="240" w:lineRule="auto" w:before="10"/>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1796"/>
        <w:gridCol w:w="1827"/>
        <w:gridCol w:w="1760"/>
        <w:gridCol w:w="1791"/>
        <w:gridCol w:w="1791"/>
        <w:gridCol w:w="1786"/>
      </w:tblGrid>
      <w:tr>
        <w:trPr>
          <w:trHeight w:val="594" w:hRule="exact"/>
        </w:trPr>
        <w:tc>
          <w:tcPr>
            <w:tcW w:w="1796"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center"/>
              <w:rPr>
                <w:rFonts w:ascii="宋体" w:hAnsi="宋体" w:cs="宋体" w:eastAsia="宋体" w:hint="default"/>
                <w:sz w:val="18"/>
                <w:szCs w:val="18"/>
              </w:rPr>
            </w:pPr>
            <w:r>
              <w:rPr>
                <w:rFonts w:ascii="宋体" w:hAnsi="宋体" w:cs="宋体" w:eastAsia="宋体" w:hint="default"/>
                <w:b/>
                <w:bCs/>
                <w:sz w:val="18"/>
                <w:szCs w:val="18"/>
              </w:rPr>
              <w:t>授予的股票期权</w:t>
            </w:r>
            <w:r>
              <w:rPr>
                <w:rFonts w:ascii="宋体" w:hAnsi="宋体" w:cs="宋体" w:eastAsia="宋体" w:hint="default"/>
                <w:sz w:val="18"/>
                <w:szCs w:val="18"/>
              </w:rPr>
            </w: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182" w:lineRule="exact"/>
              <w:ind w:right="29"/>
              <w:jc w:val="center"/>
              <w:rPr>
                <w:rFonts w:ascii="宋体" w:hAnsi="宋体" w:cs="宋体" w:eastAsia="宋体" w:hint="default"/>
                <w:sz w:val="18"/>
                <w:szCs w:val="18"/>
              </w:rPr>
            </w:pPr>
            <w:r>
              <w:rPr>
                <w:rFonts w:ascii="宋体" w:hAnsi="宋体" w:cs="宋体" w:eastAsia="宋体" w:hint="default"/>
                <w:b/>
                <w:bCs/>
                <w:sz w:val="18"/>
                <w:szCs w:val="18"/>
              </w:rPr>
              <w:t>需摊销的总费用</w:t>
            </w:r>
            <w:r>
              <w:rPr>
                <w:rFonts w:ascii="宋体" w:hAnsi="宋体" w:cs="宋体" w:eastAsia="宋体" w:hint="default"/>
                <w:sz w:val="18"/>
                <w:szCs w:val="18"/>
              </w:rPr>
            </w:r>
          </w:p>
          <w:p>
            <w:pPr>
              <w:pStyle w:val="TableParagraph"/>
              <w:spacing w:line="240" w:lineRule="auto" w:before="125"/>
              <w:ind w:right="29"/>
              <w:jc w:val="center"/>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8"/>
              <w:jc w:val="center"/>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0"/>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2020</w:t>
            </w:r>
            <w:r>
              <w:rPr>
                <w:rFonts w:ascii="宋体" w:hAnsi="宋体" w:cs="宋体" w:eastAsia="宋体" w:hint="default"/>
                <w:b/>
                <w:bCs/>
                <w:spacing w:val="-40"/>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2021</w:t>
            </w:r>
            <w:r>
              <w:rPr>
                <w:rFonts w:ascii="宋体" w:hAnsi="宋体" w:cs="宋体" w:eastAsia="宋体" w:hint="default"/>
                <w:b/>
                <w:bCs/>
                <w:spacing w:val="-39"/>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 w:right="0"/>
              <w:jc w:val="center"/>
              <w:rPr>
                <w:rFonts w:ascii="宋体" w:hAnsi="宋体" w:cs="宋体" w:eastAsia="宋体" w:hint="default"/>
                <w:sz w:val="18"/>
                <w:szCs w:val="18"/>
              </w:rPr>
            </w:pPr>
            <w:r>
              <w:rPr>
                <w:rFonts w:ascii="宋体" w:hAnsi="宋体" w:cs="宋体" w:eastAsia="宋体" w:hint="default"/>
                <w:b/>
                <w:bCs/>
                <w:sz w:val="18"/>
                <w:szCs w:val="18"/>
              </w:rPr>
              <w:t>2022</w:t>
            </w:r>
            <w:r>
              <w:rPr>
                <w:rFonts w:ascii="宋体" w:hAnsi="宋体" w:cs="宋体" w:eastAsia="宋体" w:hint="default"/>
                <w:b/>
                <w:bCs/>
                <w:spacing w:val="-40"/>
                <w:sz w:val="18"/>
                <w:szCs w:val="18"/>
              </w:rPr>
              <w:t> </w:t>
            </w:r>
            <w:r>
              <w:rPr>
                <w:rFonts w:ascii="宋体" w:hAnsi="宋体" w:cs="宋体" w:eastAsia="宋体" w:hint="default"/>
                <w:b/>
                <w:bCs/>
                <w:sz w:val="18"/>
                <w:szCs w:val="18"/>
              </w:rPr>
              <w:t>年（元）</w:t>
            </w:r>
            <w:r>
              <w:rPr>
                <w:rFonts w:ascii="宋体" w:hAnsi="宋体" w:cs="宋体" w:eastAsia="宋体" w:hint="default"/>
                <w:sz w:val="18"/>
                <w:szCs w:val="18"/>
              </w:rPr>
            </w:r>
          </w:p>
        </w:tc>
      </w:tr>
      <w:tr>
        <w:trPr>
          <w:trHeight w:val="333" w:hRule="exact"/>
        </w:trPr>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446" w:right="0"/>
              <w:jc w:val="left"/>
              <w:rPr>
                <w:rFonts w:ascii="宋体" w:hAnsi="宋体" w:cs="宋体" w:eastAsia="宋体" w:hint="default"/>
                <w:sz w:val="18"/>
                <w:szCs w:val="18"/>
              </w:rPr>
            </w:pPr>
            <w:r>
              <w:rPr>
                <w:rFonts w:ascii="宋体"/>
                <w:sz w:val="18"/>
              </w:rPr>
              <w:t>780,000.00</w:t>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355" w:right="0"/>
              <w:jc w:val="left"/>
              <w:rPr>
                <w:rFonts w:ascii="宋体" w:hAnsi="宋体" w:cs="宋体" w:eastAsia="宋体" w:hint="default"/>
                <w:sz w:val="18"/>
                <w:szCs w:val="18"/>
              </w:rPr>
            </w:pPr>
            <w:r>
              <w:rPr>
                <w:rFonts w:ascii="宋体"/>
                <w:sz w:val="18"/>
              </w:rPr>
              <w:t>3,468,742.62</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33"/>
              <w:jc w:val="center"/>
              <w:rPr>
                <w:rFonts w:ascii="宋体" w:hAnsi="宋体" w:cs="宋体" w:eastAsia="宋体" w:hint="default"/>
                <w:sz w:val="18"/>
                <w:szCs w:val="18"/>
              </w:rPr>
            </w:pPr>
            <w:r>
              <w:rPr>
                <w:rFonts w:ascii="宋体"/>
                <w:sz w:val="18"/>
              </w:rPr>
              <w:t>935,152.49</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8"/>
                <w:szCs w:val="18"/>
              </w:rPr>
            </w:pPr>
            <w:r>
              <w:rPr>
                <w:rFonts w:ascii="宋体"/>
                <w:sz w:val="18"/>
              </w:rPr>
              <w:t>1,402,728.74</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8"/>
                <w:szCs w:val="18"/>
              </w:rPr>
            </w:pPr>
            <w:r>
              <w:rPr>
                <w:rFonts w:ascii="宋体"/>
                <w:sz w:val="18"/>
              </w:rPr>
              <w:t>909,766.34</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9" w:right="0"/>
              <w:jc w:val="center"/>
              <w:rPr>
                <w:rFonts w:ascii="宋体" w:hAnsi="宋体" w:cs="宋体" w:eastAsia="宋体" w:hint="default"/>
                <w:sz w:val="18"/>
                <w:szCs w:val="18"/>
              </w:rPr>
            </w:pPr>
            <w:r>
              <w:rPr>
                <w:rFonts w:ascii="宋体"/>
                <w:sz w:val="18"/>
              </w:rPr>
              <w:t>221,095.05</w:t>
            </w:r>
          </w:p>
        </w:tc>
      </w:tr>
    </w:tbl>
    <w:p>
      <w:pPr>
        <w:spacing w:line="240" w:lineRule="auto" w:before="7"/>
        <w:rPr>
          <w:rFonts w:ascii="宋体" w:hAnsi="宋体" w:cs="宋体" w:eastAsia="宋体" w:hint="default"/>
          <w:sz w:val="20"/>
          <w:szCs w:val="20"/>
        </w:rPr>
      </w:pPr>
    </w:p>
    <w:p>
      <w:pPr>
        <w:pStyle w:val="BodyText"/>
        <w:spacing w:line="240" w:lineRule="auto" w:before="36"/>
        <w:ind w:left="1095" w:right="0"/>
        <w:jc w:val="left"/>
      </w:pPr>
      <w:bookmarkStart w:name="（二）以权益结算的股份支付情况" w:id="267"/>
      <w:bookmarkEnd w:id="267"/>
      <w:r>
        <w:rPr/>
      </w:r>
      <w:r>
        <w:rPr/>
        <w:t>（二）以权益结算的股份支付情况</w:t>
      </w:r>
    </w:p>
    <w:p>
      <w:pPr>
        <w:spacing w:line="240" w:lineRule="auto" w:before="11"/>
        <w:rPr>
          <w:rFonts w:ascii="宋体" w:hAnsi="宋体" w:cs="宋体" w:eastAsia="宋体" w:hint="default"/>
          <w:sz w:val="26"/>
          <w:szCs w:val="26"/>
        </w:rPr>
      </w:pPr>
    </w:p>
    <w:tbl>
      <w:tblPr>
        <w:tblW w:w="0" w:type="auto"/>
        <w:jc w:val="left"/>
        <w:tblInd w:w="562" w:type="dxa"/>
        <w:tblLayout w:type="fixed"/>
        <w:tblCellMar>
          <w:top w:w="0" w:type="dxa"/>
          <w:left w:w="0" w:type="dxa"/>
          <w:bottom w:w="0" w:type="dxa"/>
          <w:right w:w="0" w:type="dxa"/>
        </w:tblCellMar>
        <w:tblLook w:val="01E0"/>
      </w:tblPr>
      <w:tblGrid>
        <w:gridCol w:w="4633"/>
        <w:gridCol w:w="5225"/>
      </w:tblGrid>
      <w:tr>
        <w:trPr>
          <w:trHeight w:val="253" w:hRule="exact"/>
        </w:trPr>
        <w:tc>
          <w:tcPr>
            <w:tcW w:w="4633" w:type="dxa"/>
            <w:tcBorders>
              <w:top w:val="nil" w:sz="6" w:space="0" w:color="auto"/>
              <w:left w:val="nil" w:sz="6" w:space="0" w:color="auto"/>
              <w:bottom w:val="single" w:sz="4" w:space="0" w:color="000000"/>
              <w:right w:val="nil" w:sz="6" w:space="0" w:color="auto"/>
            </w:tcBorders>
          </w:tcPr>
          <w:p>
            <w:pPr>
              <w:pStyle w:val="TableParagraph"/>
              <w:spacing w:line="182" w:lineRule="exact"/>
              <w:ind w:left="58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225" w:type="dxa"/>
            <w:tcBorders>
              <w:top w:val="nil" w:sz="6" w:space="0" w:color="auto"/>
              <w:left w:val="nil" w:sz="6" w:space="0" w:color="auto"/>
              <w:bottom w:val="single" w:sz="4" w:space="0" w:color="000000"/>
              <w:right w:val="nil" w:sz="6" w:space="0" w:color="auto"/>
            </w:tcBorders>
          </w:tcPr>
          <w:p>
            <w:pPr>
              <w:pStyle w:val="TableParagraph"/>
              <w:spacing w:line="182" w:lineRule="exact"/>
              <w:ind w:left="576"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r>
      <w:tr>
        <w:trPr>
          <w:trHeight w:val="436" w:hRule="exact"/>
        </w:trPr>
        <w:tc>
          <w:tcPr>
            <w:tcW w:w="463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522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575" w:right="0"/>
              <w:jc w:val="center"/>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2"/>
                <w:sz w:val="18"/>
                <w:szCs w:val="18"/>
              </w:rPr>
              <w:t> </w:t>
            </w:r>
            <w:r>
              <w:rPr>
                <w:rFonts w:ascii="宋体" w:hAnsi="宋体" w:cs="宋体" w:eastAsia="宋体" w:hint="default"/>
                <w:spacing w:val="-3"/>
                <w:sz w:val="18"/>
                <w:szCs w:val="18"/>
              </w:rPr>
              <w:t>模型计算股票期权的公允价值</w:t>
            </w:r>
          </w:p>
        </w:tc>
      </w:tr>
      <w:tr>
        <w:trPr>
          <w:trHeight w:val="73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5225" w:type="dxa"/>
            <w:tcBorders>
              <w:top w:val="nil" w:sz="6" w:space="0" w:color="auto"/>
              <w:left w:val="nil" w:sz="6" w:space="0" w:color="auto"/>
              <w:bottom w:val="nil" w:sz="6" w:space="0" w:color="auto"/>
              <w:right w:val="nil" w:sz="6" w:space="0" w:color="auto"/>
            </w:tcBorders>
          </w:tcPr>
          <w:p>
            <w:pPr>
              <w:pStyle w:val="TableParagraph"/>
              <w:spacing w:line="367" w:lineRule="auto" w:before="45"/>
              <w:ind w:left="1997" w:right="157" w:hanging="1258"/>
              <w:jc w:val="left"/>
              <w:rPr>
                <w:rFonts w:ascii="宋体" w:hAnsi="宋体" w:cs="宋体" w:eastAsia="宋体" w:hint="default"/>
                <w:sz w:val="18"/>
                <w:szCs w:val="18"/>
              </w:rPr>
            </w:pPr>
            <w:r>
              <w:rPr>
                <w:rFonts w:ascii="宋体" w:hAnsi="宋体" w:cs="宋体" w:eastAsia="宋体" w:hint="default"/>
                <w:spacing w:val="-3"/>
                <w:sz w:val="18"/>
                <w:szCs w:val="18"/>
              </w:rPr>
              <w:t>公司参照公司层面的业绩考核和个人层面的绩效考核两</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个方面考核结果来确认</w:t>
            </w:r>
          </w:p>
        </w:tc>
      </w:tr>
      <w:tr>
        <w:trPr>
          <w:trHeight w:val="389"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522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76"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6"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52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75" w:right="0"/>
              <w:jc w:val="center"/>
              <w:rPr>
                <w:rFonts w:ascii="宋体" w:hAnsi="宋体" w:cs="宋体" w:eastAsia="宋体" w:hint="default"/>
                <w:sz w:val="18"/>
                <w:szCs w:val="18"/>
              </w:rPr>
            </w:pPr>
            <w:r>
              <w:rPr>
                <w:rFonts w:ascii="宋体"/>
                <w:sz w:val="18"/>
              </w:rPr>
              <w:t>935,152.49</w:t>
            </w:r>
          </w:p>
        </w:tc>
      </w:tr>
      <w:tr>
        <w:trPr>
          <w:trHeight w:val="288" w:hRule="exact"/>
        </w:trPr>
        <w:tc>
          <w:tcPr>
            <w:tcW w:w="46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52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5" w:right="0"/>
              <w:jc w:val="center"/>
              <w:rPr>
                <w:rFonts w:ascii="宋体" w:hAnsi="宋体" w:cs="宋体" w:eastAsia="宋体" w:hint="default"/>
                <w:sz w:val="18"/>
                <w:szCs w:val="18"/>
              </w:rPr>
            </w:pPr>
            <w:r>
              <w:rPr>
                <w:rFonts w:ascii="宋体"/>
                <w:sz w:val="18"/>
              </w:rPr>
              <w:t>935,152.49</w:t>
            </w:r>
          </w:p>
        </w:tc>
      </w:tr>
    </w:tbl>
    <w:p>
      <w:pPr>
        <w:spacing w:line="240" w:lineRule="auto" w:before="6"/>
        <w:rPr>
          <w:rFonts w:ascii="宋体" w:hAnsi="宋体" w:cs="宋体" w:eastAsia="宋体" w:hint="default"/>
          <w:sz w:val="27"/>
          <w:szCs w:val="27"/>
        </w:rPr>
      </w:pPr>
    </w:p>
    <w:p>
      <w:pPr>
        <w:pStyle w:val="Heading2"/>
        <w:spacing w:line="240" w:lineRule="auto" w:before="26"/>
        <w:ind w:left="1153" w:right="0"/>
        <w:jc w:val="left"/>
        <w:rPr>
          <w:rFonts w:ascii="黑体" w:hAnsi="黑体" w:cs="黑体" w:eastAsia="黑体" w:hint="default"/>
          <w:b w:val="0"/>
          <w:bCs w:val="0"/>
        </w:rPr>
      </w:pPr>
      <w:bookmarkStart w:name="十三、承诺及或有事项" w:id="268"/>
      <w:bookmarkEnd w:id="268"/>
      <w:r>
        <w:rPr>
          <w:b w:val="0"/>
          <w:bCs w:val="0"/>
        </w:rPr>
      </w:r>
      <w:r>
        <w:rPr>
          <w:rFonts w:ascii="黑体" w:hAnsi="黑体" w:cs="黑体" w:eastAsia="黑体" w:hint="default"/>
        </w:rPr>
        <w:t>十三、承诺及或有事项</w:t>
      </w:r>
      <w:r>
        <w:rPr>
          <w:rFonts w:ascii="黑体" w:hAnsi="黑体" w:cs="黑体" w:eastAsia="黑体" w:hint="default"/>
          <w:b w:val="0"/>
          <w:bCs w:val="0"/>
        </w:rPr>
      </w:r>
    </w:p>
    <w:p>
      <w:pPr>
        <w:spacing w:line="240" w:lineRule="auto" w:before="9"/>
        <w:rPr>
          <w:rFonts w:ascii="黑体" w:hAnsi="黑体" w:cs="黑体" w:eastAsia="黑体" w:hint="default"/>
          <w:b/>
          <w:bCs/>
          <w:sz w:val="29"/>
          <w:szCs w:val="29"/>
        </w:rPr>
      </w:pPr>
    </w:p>
    <w:p>
      <w:pPr>
        <w:pStyle w:val="BodyText"/>
        <w:spacing w:line="453" w:lineRule="auto"/>
        <w:ind w:left="1095" w:right="8439"/>
        <w:jc w:val="left"/>
      </w:pPr>
      <w:bookmarkStart w:name="（一）重要承诺事项" w:id="269"/>
      <w:bookmarkEnd w:id="269"/>
      <w:r>
        <w:rPr/>
      </w:r>
      <w:r>
        <w:rPr/>
        <w:t>（一）重要承诺事项</w:t>
      </w:r>
      <w:r>
        <w:rPr>
          <w:spacing w:val="-100"/>
        </w:rPr>
        <w:t> </w:t>
      </w:r>
      <w:r>
        <w:rPr>
          <w:spacing w:val="-100"/>
        </w:rPr>
      </w:r>
      <w:r>
        <w:rPr/>
        <w:t>无。</w:t>
      </w:r>
    </w:p>
    <w:p>
      <w:pPr>
        <w:pStyle w:val="BodyText"/>
        <w:spacing w:line="453" w:lineRule="auto" w:before="52"/>
        <w:ind w:left="1095" w:right="8859"/>
        <w:jc w:val="left"/>
      </w:pPr>
      <w:bookmarkStart w:name="（二）或有事项" w:id="270"/>
      <w:bookmarkEnd w:id="270"/>
      <w:r>
        <w:rPr/>
      </w:r>
      <w:r>
        <w:rPr/>
        <w:t>（二）或有事项</w:t>
      </w:r>
      <w:r>
        <w:rPr>
          <w:spacing w:val="-102"/>
        </w:rPr>
        <w:t> </w:t>
      </w:r>
      <w:r>
        <w:rPr>
          <w:spacing w:val="-102"/>
        </w:rPr>
      </w:r>
      <w:r>
        <w:rPr/>
        <w:t>无。</w:t>
      </w:r>
    </w:p>
    <w:p>
      <w:pPr>
        <w:pStyle w:val="BodyText"/>
        <w:spacing w:line="453" w:lineRule="auto" w:before="52"/>
        <w:ind w:left="1095" w:right="9279"/>
        <w:jc w:val="left"/>
      </w:pPr>
      <w:bookmarkStart w:name="（三）其他" w:id="271"/>
      <w:bookmarkEnd w:id="271"/>
      <w:r>
        <w:rPr/>
      </w:r>
      <w:r>
        <w:rPr/>
        <w:t>（三）其他</w:t>
      </w:r>
      <w:r>
        <w:rPr>
          <w:spacing w:val="-99"/>
        </w:rPr>
        <w:t> </w:t>
      </w:r>
      <w:r>
        <w:rPr/>
        <w:t>无。</w:t>
      </w:r>
    </w:p>
    <w:p>
      <w:pPr>
        <w:pStyle w:val="Heading2"/>
        <w:spacing w:line="240" w:lineRule="auto" w:before="176"/>
        <w:ind w:left="1153" w:right="0"/>
        <w:jc w:val="left"/>
        <w:rPr>
          <w:rFonts w:ascii="黑体" w:hAnsi="黑体" w:cs="黑体" w:eastAsia="黑体" w:hint="default"/>
          <w:b w:val="0"/>
          <w:bCs w:val="0"/>
        </w:rPr>
      </w:pPr>
      <w:bookmarkStart w:name="十四、资产负债表日后事项" w:id="272"/>
      <w:bookmarkEnd w:id="272"/>
      <w:r>
        <w:rPr>
          <w:b w:val="0"/>
          <w:bCs w:val="0"/>
        </w:rPr>
      </w:r>
      <w:r>
        <w:rPr>
          <w:rFonts w:ascii="黑体" w:hAnsi="黑体" w:cs="黑体" w:eastAsia="黑体" w:hint="default"/>
        </w:rPr>
        <w:t>十四、资产负债表日后事项</w:t>
      </w:r>
      <w:r>
        <w:rPr>
          <w:rFonts w:ascii="黑体" w:hAnsi="黑体" w:cs="黑体" w:eastAsia="黑体" w:hint="default"/>
          <w:b w:val="0"/>
          <w:bCs w:val="0"/>
        </w:rPr>
      </w:r>
    </w:p>
    <w:p>
      <w:pPr>
        <w:spacing w:line="240" w:lineRule="auto" w:before="7"/>
        <w:rPr>
          <w:rFonts w:ascii="黑体" w:hAnsi="黑体" w:cs="黑体" w:eastAsia="黑体" w:hint="default"/>
          <w:b/>
          <w:bCs/>
          <w:sz w:val="28"/>
          <w:szCs w:val="28"/>
        </w:rPr>
      </w:pPr>
    </w:p>
    <w:p>
      <w:pPr>
        <w:pStyle w:val="BodyText"/>
        <w:spacing w:line="240" w:lineRule="auto"/>
        <w:ind w:left="1095" w:right="0"/>
        <w:jc w:val="left"/>
      </w:pPr>
      <w:r>
        <w:rPr/>
        <w:t>（一）关于</w:t>
      </w:r>
      <w:r>
        <w:rPr>
          <w:spacing w:val="-52"/>
        </w:rPr>
        <w:t> </w:t>
      </w:r>
      <w:r>
        <w:rPr>
          <w:rFonts w:ascii="宋体" w:hAnsi="宋体" w:cs="宋体" w:eastAsia="宋体" w:hint="default"/>
        </w:rPr>
        <w:t>2019</w:t>
      </w:r>
      <w:r>
        <w:rPr>
          <w:rFonts w:ascii="宋体" w:hAnsi="宋体" w:cs="宋体" w:eastAsia="宋体" w:hint="default"/>
          <w:spacing w:val="-52"/>
        </w:rPr>
        <w:t> </w:t>
      </w:r>
      <w:r>
        <w:rPr/>
        <w:t>年度利润分配预案</w:t>
      </w:r>
    </w:p>
    <w:p>
      <w:pPr>
        <w:spacing w:line="240" w:lineRule="auto" w:before="1"/>
        <w:rPr>
          <w:rFonts w:ascii="宋体" w:hAnsi="宋体" w:cs="宋体" w:eastAsia="宋体" w:hint="default"/>
          <w:sz w:val="16"/>
          <w:szCs w:val="16"/>
        </w:rPr>
      </w:pPr>
    </w:p>
    <w:p>
      <w:pPr>
        <w:pStyle w:val="BodyText"/>
        <w:spacing w:line="240" w:lineRule="auto"/>
        <w:ind w:left="1095" w:right="0"/>
        <w:jc w:val="left"/>
      </w:pPr>
      <w:r>
        <w:rPr/>
        <w:t>公司于</w:t>
      </w:r>
      <w:r>
        <w:rPr>
          <w:spacing w:val="-42"/>
        </w:rPr>
        <w:t> </w:t>
      </w:r>
      <w:r>
        <w:rPr>
          <w:rFonts w:ascii="宋体" w:hAnsi="宋体" w:cs="宋体" w:eastAsia="宋体" w:hint="default"/>
        </w:rPr>
        <w:t>2020</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47"/>
        </w:rPr>
        <w:t> </w:t>
      </w:r>
      <w:r>
        <w:rPr>
          <w:rFonts w:ascii="宋体" w:hAnsi="宋体" w:cs="宋体" w:eastAsia="宋体" w:hint="default"/>
        </w:rPr>
        <w:t>27</w:t>
      </w:r>
      <w:r>
        <w:rPr>
          <w:rFonts w:ascii="宋体" w:hAnsi="宋体" w:cs="宋体" w:eastAsia="宋体" w:hint="default"/>
          <w:spacing w:val="-42"/>
        </w:rPr>
        <w:t> </w:t>
      </w:r>
      <w:r>
        <w:rPr/>
        <w:t>日召开的第二届第二十二次董事会会议，审议通过了《关于</w:t>
      </w:r>
      <w:r>
        <w:rPr>
          <w:spacing w:val="-40"/>
        </w:rPr>
        <w:t> </w:t>
      </w:r>
      <w:r>
        <w:rPr>
          <w:rFonts w:ascii="宋体" w:hAnsi="宋体" w:cs="宋体" w:eastAsia="宋体" w:hint="default"/>
        </w:rPr>
        <w:t>2019</w:t>
      </w:r>
      <w:r>
        <w:rPr>
          <w:rFonts w:ascii="宋体" w:hAnsi="宋体" w:cs="宋体" w:eastAsia="宋体" w:hint="default"/>
          <w:spacing w:val="-42"/>
        </w:rPr>
        <w:t> </w:t>
      </w:r>
      <w:r>
        <w:rPr/>
        <w:t>年度利润分</w:t>
      </w:r>
    </w:p>
    <w:p>
      <w:pPr>
        <w:pStyle w:val="BodyText"/>
        <w:spacing w:line="240" w:lineRule="auto" w:before="56"/>
        <w:ind w:left="673" w:right="0"/>
        <w:jc w:val="left"/>
      </w:pPr>
      <w:r>
        <w:rPr>
          <w:w w:val="100"/>
        </w:rPr>
        <w:t>配预案的</w:t>
      </w:r>
      <w:r>
        <w:rPr>
          <w:spacing w:val="-5"/>
          <w:w w:val="100"/>
        </w:rPr>
        <w:t>议</w:t>
      </w:r>
      <w:r>
        <w:rPr>
          <w:w w:val="100"/>
        </w:rPr>
        <w:t>案</w:t>
      </w:r>
      <w:r>
        <w:rPr>
          <w:spacing w:val="-106"/>
          <w:w w:val="100"/>
        </w:rPr>
        <w:t>》</w:t>
      </w:r>
      <w:r>
        <w:rPr>
          <w:spacing w:val="-10"/>
          <w:w w:val="100"/>
        </w:rPr>
        <w:t>，</w:t>
      </w:r>
      <w:r>
        <w:rPr>
          <w:spacing w:val="-5"/>
          <w:w w:val="100"/>
        </w:rPr>
        <w:t>公</w:t>
      </w:r>
      <w:r>
        <w:rPr>
          <w:w w:val="100"/>
        </w:rPr>
        <w:t>司</w:t>
      </w:r>
      <w:r>
        <w:rPr>
          <w:spacing w:val="-52"/>
        </w:rPr>
        <w:t> </w:t>
      </w:r>
      <w:r>
        <w:rPr>
          <w:rFonts w:ascii="宋体" w:hAnsi="宋体" w:cs="宋体" w:eastAsia="宋体" w:hint="default"/>
          <w:w w:val="100"/>
        </w:rPr>
        <w:t>2019</w:t>
      </w:r>
      <w:r>
        <w:rPr>
          <w:rFonts w:ascii="宋体" w:hAnsi="宋体" w:cs="宋体" w:eastAsia="宋体" w:hint="default"/>
          <w:spacing w:val="-57"/>
        </w:rPr>
        <w:t> </w:t>
      </w:r>
      <w:r>
        <w:rPr>
          <w:w w:val="100"/>
        </w:rPr>
        <w:t>年度实</w:t>
      </w:r>
      <w:r>
        <w:rPr>
          <w:spacing w:val="-5"/>
          <w:w w:val="100"/>
        </w:rPr>
        <w:t>现</w:t>
      </w:r>
      <w:r>
        <w:rPr>
          <w:w w:val="100"/>
        </w:rPr>
        <w:t>归属于</w:t>
      </w:r>
      <w:r>
        <w:rPr>
          <w:spacing w:val="-5"/>
          <w:w w:val="100"/>
        </w:rPr>
        <w:t>上</w:t>
      </w:r>
      <w:r>
        <w:rPr>
          <w:w w:val="100"/>
        </w:rPr>
        <w:t>市公</w:t>
      </w:r>
      <w:r>
        <w:rPr>
          <w:spacing w:val="-5"/>
          <w:w w:val="100"/>
        </w:rPr>
        <w:t>司</w:t>
      </w:r>
      <w:r>
        <w:rPr>
          <w:w w:val="100"/>
        </w:rPr>
        <w:t>股东的净</w:t>
      </w:r>
      <w:r>
        <w:rPr>
          <w:spacing w:val="-5"/>
          <w:w w:val="100"/>
        </w:rPr>
        <w:t>利</w:t>
      </w:r>
      <w:r>
        <w:rPr>
          <w:w w:val="100"/>
        </w:rPr>
        <w:t>润为</w:t>
      </w:r>
      <w:r>
        <w:rPr>
          <w:spacing w:val="-51"/>
        </w:rPr>
        <w:t> </w:t>
      </w:r>
      <w:r>
        <w:rPr>
          <w:rFonts w:ascii="宋体" w:hAnsi="宋体" w:cs="宋体" w:eastAsia="宋体" w:hint="default"/>
          <w:w w:val="100"/>
        </w:rPr>
        <w:t>16,</w:t>
      </w:r>
      <w:r>
        <w:rPr>
          <w:rFonts w:ascii="宋体" w:hAnsi="宋体" w:cs="宋体" w:eastAsia="宋体" w:hint="default"/>
          <w:spacing w:val="-5"/>
          <w:w w:val="100"/>
        </w:rPr>
        <w:t>3</w:t>
      </w:r>
      <w:r>
        <w:rPr>
          <w:rFonts w:ascii="宋体" w:hAnsi="宋体" w:cs="宋体" w:eastAsia="宋体" w:hint="default"/>
          <w:w w:val="100"/>
        </w:rPr>
        <w:t>41,562.</w:t>
      </w:r>
      <w:r>
        <w:rPr>
          <w:rFonts w:ascii="宋体" w:hAnsi="宋体" w:cs="宋体" w:eastAsia="宋体" w:hint="default"/>
          <w:spacing w:val="-5"/>
          <w:w w:val="100"/>
        </w:rPr>
        <w:t>9</w:t>
      </w:r>
      <w:r>
        <w:rPr>
          <w:rFonts w:ascii="宋体" w:hAnsi="宋体" w:cs="宋体" w:eastAsia="宋体" w:hint="default"/>
          <w:w w:val="100"/>
        </w:rPr>
        <w:t>2</w:t>
      </w:r>
      <w:r>
        <w:rPr>
          <w:rFonts w:ascii="宋体" w:hAnsi="宋体" w:cs="宋体" w:eastAsia="宋体" w:hint="default"/>
          <w:spacing w:val="-52"/>
        </w:rPr>
        <w:t> </w:t>
      </w:r>
      <w:r>
        <w:rPr>
          <w:w w:val="100"/>
        </w:rPr>
        <w:t>元</w:t>
      </w:r>
      <w:r>
        <w:rPr>
          <w:spacing w:val="-15"/>
          <w:w w:val="100"/>
        </w:rPr>
        <w:t>，</w:t>
      </w:r>
      <w:r>
        <w:rPr>
          <w:w w:val="100"/>
        </w:rPr>
        <w:t>母公司</w:t>
      </w:r>
      <w:r>
        <w:rPr>
          <w:spacing w:val="-5"/>
          <w:w w:val="100"/>
        </w:rPr>
        <w:t>实</w:t>
      </w:r>
      <w:r>
        <w:rPr>
          <w:w w:val="100"/>
        </w:rPr>
        <w:t>现的净</w:t>
      </w:r>
    </w:p>
    <w:p>
      <w:pPr>
        <w:pStyle w:val="BodyText"/>
        <w:spacing w:line="240" w:lineRule="auto" w:before="52"/>
        <w:ind w:left="673" w:right="0"/>
        <w:jc w:val="left"/>
      </w:pPr>
      <w:r>
        <w:rPr/>
        <w:t>利润为</w:t>
      </w:r>
      <w:r>
        <w:rPr>
          <w:spacing w:val="-47"/>
        </w:rPr>
        <w:t> </w:t>
      </w:r>
      <w:r>
        <w:rPr>
          <w:rFonts w:ascii="宋体" w:hAnsi="宋体" w:cs="宋体" w:eastAsia="宋体" w:hint="default"/>
        </w:rPr>
        <w:t>8,745,586.50</w:t>
      </w:r>
      <w:r>
        <w:rPr>
          <w:rFonts w:ascii="宋体" w:hAnsi="宋体" w:cs="宋体" w:eastAsia="宋体" w:hint="default"/>
          <w:spacing w:val="-46"/>
        </w:rPr>
        <w:t> </w:t>
      </w:r>
      <w:r>
        <w:rPr/>
        <w:t>元。根据《公司章程》的有关规定，母公司应当提取利润的</w:t>
      </w:r>
      <w:r>
        <w:rPr>
          <w:spacing w:val="-44"/>
        </w:rPr>
        <w:t> </w:t>
      </w:r>
      <w:r>
        <w:rPr>
          <w:rFonts w:ascii="宋体" w:hAnsi="宋体" w:cs="宋体" w:eastAsia="宋体" w:hint="default"/>
        </w:rPr>
        <w:t>10%</w:t>
      </w:r>
      <w:r>
        <w:rPr/>
        <w:t>，即</w:t>
      </w:r>
      <w:r>
        <w:rPr>
          <w:spacing w:val="-46"/>
        </w:rPr>
        <w:t> </w:t>
      </w:r>
      <w:r>
        <w:rPr>
          <w:rFonts w:ascii="宋体" w:hAnsi="宋体" w:cs="宋体" w:eastAsia="宋体" w:hint="default"/>
        </w:rPr>
        <w:t>874,558.65</w:t>
      </w:r>
      <w:r>
        <w:rPr>
          <w:rFonts w:ascii="宋体" w:hAnsi="宋体" w:cs="宋体" w:eastAsia="宋体" w:hint="default"/>
          <w:spacing w:val="-47"/>
        </w:rPr>
        <w:t> </w:t>
      </w:r>
      <w:r>
        <w:rPr/>
        <w:t>元</w:t>
      </w:r>
    </w:p>
    <w:p>
      <w:pPr>
        <w:pStyle w:val="BodyText"/>
        <w:spacing w:line="240" w:lineRule="auto" w:before="56"/>
        <w:ind w:left="673" w:right="0"/>
        <w:jc w:val="left"/>
      </w:pPr>
      <w:r>
        <w:rPr/>
        <w:t>作为法定公积金。截至</w:t>
      </w:r>
      <w:r>
        <w:rPr>
          <w:spacing w:val="-51"/>
        </w:rPr>
        <w:t> </w:t>
      </w:r>
      <w:r>
        <w:rPr>
          <w:rFonts w:ascii="宋体" w:hAnsi="宋体" w:cs="宋体" w:eastAsia="宋体" w:hint="default"/>
        </w:rPr>
        <w:t>2019</w:t>
      </w:r>
      <w:r>
        <w:rPr>
          <w:rFonts w:ascii="宋体" w:hAnsi="宋体" w:cs="宋体" w:eastAsia="宋体" w:hint="default"/>
          <w:spacing w:val="-56"/>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6"/>
        </w:rPr>
        <w:t> </w:t>
      </w:r>
      <w:r>
        <w:rPr/>
        <w:t>日，母公司可供分配的利润为</w:t>
      </w:r>
      <w:r>
        <w:rPr>
          <w:spacing w:val="-51"/>
        </w:rPr>
        <w:t> </w:t>
      </w:r>
      <w:r>
        <w:rPr>
          <w:rFonts w:ascii="宋体" w:hAnsi="宋体" w:cs="宋体" w:eastAsia="宋体" w:hint="default"/>
        </w:rPr>
        <w:t>57,393,388.29</w:t>
      </w:r>
      <w:r>
        <w:rPr>
          <w:rFonts w:ascii="宋体" w:hAnsi="宋体" w:cs="宋体" w:eastAsia="宋体" w:hint="default"/>
          <w:spacing w:val="-51"/>
        </w:rPr>
        <w:t> </w:t>
      </w:r>
      <w:r>
        <w:rPr/>
        <w:t>元。</w:t>
      </w:r>
    </w:p>
    <w:p>
      <w:pPr>
        <w:spacing w:line="240" w:lineRule="auto" w:before="1"/>
        <w:rPr>
          <w:rFonts w:ascii="宋体" w:hAnsi="宋体" w:cs="宋体" w:eastAsia="宋体" w:hint="default"/>
          <w:sz w:val="16"/>
          <w:szCs w:val="16"/>
        </w:rPr>
      </w:pPr>
    </w:p>
    <w:p>
      <w:pPr>
        <w:pStyle w:val="BodyText"/>
        <w:spacing w:line="288" w:lineRule="auto"/>
        <w:ind w:left="673" w:right="0" w:firstLine="422"/>
        <w:jc w:val="left"/>
      </w:pPr>
      <w:r>
        <w:rPr/>
        <w:t>根据中国证监会鼓励企业现金分红，给予投资者稳定、合理回报的指导意见，在符合利润分配原则、</w:t>
      </w:r>
      <w:r>
        <w:rPr>
          <w:w w:val="100"/>
        </w:rPr>
        <w:t> </w:t>
      </w:r>
      <w:r>
        <w:rPr>
          <w:spacing w:val="-2"/>
        </w:rPr>
        <w:t>保证公司正常经营和长远发展的前提下，为了更好的兼顾股东的即期利益和长远利益，使公司的价值能够</w:t>
      </w:r>
      <w:r>
        <w:rPr>
          <w:spacing w:val="-33"/>
        </w:rPr>
        <w:t> </w:t>
      </w:r>
      <w:r>
        <w:rPr>
          <w:spacing w:val="-33"/>
        </w:rPr>
      </w:r>
      <w:r>
        <w:rPr>
          <w:spacing w:val="-3"/>
        </w:rPr>
        <w:t>更加公允、客观的体现，从长远角度回报投资者，使全体股东分享公司成长的经营成果，</w:t>
      </w:r>
      <w:r>
        <w:rPr>
          <w:rFonts w:ascii="宋体" w:hAnsi="宋体" w:cs="宋体" w:eastAsia="宋体" w:hint="default"/>
          <w:spacing w:val="-3"/>
        </w:rPr>
        <w:t>2019</w:t>
      </w:r>
      <w:r>
        <w:rPr>
          <w:rFonts w:ascii="宋体" w:hAnsi="宋体" w:cs="宋体" w:eastAsia="宋体" w:hint="default"/>
          <w:spacing w:val="-36"/>
        </w:rPr>
        <w:t> </w:t>
      </w:r>
      <w:r>
        <w:rPr/>
        <w:t>年度公司利</w:t>
      </w:r>
      <w:r>
        <w:rPr>
          <w:spacing w:val="-69"/>
        </w:rPr>
        <w:t> </w:t>
      </w:r>
      <w:r>
        <w:rPr>
          <w:spacing w:val="-69"/>
        </w:rPr>
      </w:r>
      <w:r>
        <w:rPr/>
        <w:t>润分配预案如下：以截至</w:t>
      </w:r>
      <w:r>
        <w:rPr>
          <w:spacing w:val="-42"/>
        </w:rPr>
        <w:t> </w:t>
      </w:r>
      <w:r>
        <w:rPr>
          <w:rFonts w:ascii="宋体" w:hAnsi="宋体" w:cs="宋体" w:eastAsia="宋体" w:hint="default"/>
        </w:rPr>
        <w:t>2019</w:t>
      </w:r>
      <w:r>
        <w:rPr>
          <w:rFonts w:ascii="宋体" w:hAnsi="宋体" w:cs="宋体" w:eastAsia="宋体" w:hint="default"/>
          <w:spacing w:val="-48"/>
        </w:rPr>
        <w:t> </w:t>
      </w:r>
      <w:r>
        <w:rPr/>
        <w:t>年</w:t>
      </w:r>
      <w:r>
        <w:rPr>
          <w:spacing w:val="-43"/>
        </w:rPr>
        <w:t> </w:t>
      </w:r>
      <w:r>
        <w:rPr>
          <w:rFonts w:ascii="宋体" w:hAnsi="宋体" w:cs="宋体" w:eastAsia="宋体" w:hint="default"/>
        </w:rPr>
        <w:t>12</w:t>
      </w:r>
      <w:r>
        <w:rPr>
          <w:rFonts w:ascii="宋体" w:hAnsi="宋体" w:cs="宋体" w:eastAsia="宋体" w:hint="default"/>
          <w:spacing w:val="-47"/>
        </w:rPr>
        <w:t> </w:t>
      </w:r>
      <w:r>
        <w:rPr/>
        <w:t>月</w:t>
      </w:r>
      <w:r>
        <w:rPr>
          <w:spacing w:val="-43"/>
        </w:rPr>
        <w:t> </w:t>
      </w:r>
      <w:r>
        <w:rPr>
          <w:rFonts w:ascii="宋体" w:hAnsi="宋体" w:cs="宋体" w:eastAsia="宋体" w:hint="default"/>
        </w:rPr>
        <w:t>31</w:t>
      </w:r>
      <w:r>
        <w:rPr>
          <w:rFonts w:ascii="宋体" w:hAnsi="宋体" w:cs="宋体" w:eastAsia="宋体" w:hint="default"/>
          <w:spacing w:val="-48"/>
        </w:rPr>
        <w:t> </w:t>
      </w:r>
      <w:r>
        <w:rPr/>
        <w:t>日公司总股本</w:t>
      </w:r>
      <w:r>
        <w:rPr>
          <w:spacing w:val="-43"/>
        </w:rPr>
        <w:t> </w:t>
      </w:r>
      <w:r>
        <w:rPr>
          <w:rFonts w:ascii="宋体" w:hAnsi="宋体" w:cs="宋体" w:eastAsia="宋体" w:hint="default"/>
        </w:rPr>
        <w:t>95,200,000</w:t>
      </w:r>
      <w:r>
        <w:rPr>
          <w:rFonts w:ascii="宋体" w:hAnsi="宋体" w:cs="宋体" w:eastAsia="宋体" w:hint="default"/>
          <w:spacing w:val="-47"/>
        </w:rPr>
        <w:t> </w:t>
      </w:r>
      <w:r>
        <w:rPr/>
        <w:t>股为基数，向全体股东每</w:t>
      </w:r>
      <w:r>
        <w:rPr>
          <w:spacing w:val="-42"/>
        </w:rPr>
        <w:t> </w:t>
      </w:r>
      <w:r>
        <w:rPr>
          <w:rFonts w:ascii="宋体" w:hAnsi="宋体" w:cs="宋体" w:eastAsia="宋体" w:hint="default"/>
        </w:rPr>
        <w:t>10</w:t>
      </w:r>
      <w:r>
        <w:rPr>
          <w:rFonts w:ascii="宋体" w:hAnsi="宋体" w:cs="宋体" w:eastAsia="宋体" w:hint="default"/>
          <w:spacing w:val="-43"/>
        </w:rPr>
        <w:t> </w:t>
      </w:r>
      <w:r>
        <w:rPr/>
        <w:t>股派发</w:t>
      </w:r>
      <w:r>
        <w:rPr>
          <w:w w:val="100"/>
        </w:rPr>
        <w:t> </w:t>
      </w:r>
      <w:r>
        <w:rPr>
          <w:spacing w:val="-1"/>
          <w:w w:val="100"/>
        </w:rPr>
        <w:t>现金股利人民币</w:t>
      </w:r>
      <w:r>
        <w:rPr>
          <w:spacing w:val="-49"/>
          <w:w w:val="100"/>
        </w:rPr>
        <w:t> </w:t>
      </w:r>
      <w:r>
        <w:rPr>
          <w:rFonts w:ascii="宋体" w:hAnsi="宋体" w:cs="宋体" w:eastAsia="宋体" w:hint="default"/>
          <w:w w:val="100"/>
        </w:rPr>
        <w:t>0.85</w:t>
      </w:r>
      <w:r>
        <w:rPr>
          <w:rFonts w:ascii="宋体" w:hAnsi="宋体" w:cs="宋体" w:eastAsia="宋体" w:hint="default"/>
          <w:spacing w:val="-55"/>
          <w:w w:val="100"/>
        </w:rPr>
        <w:t> </w:t>
      </w:r>
      <w:r>
        <w:rPr>
          <w:spacing w:val="-14"/>
          <w:w w:val="100"/>
        </w:rPr>
        <w:t>元（含税），合计派发现金股利为人民币</w:t>
      </w:r>
      <w:r>
        <w:rPr>
          <w:spacing w:val="-48"/>
          <w:w w:val="100"/>
        </w:rPr>
        <w:t> </w:t>
      </w:r>
      <w:r>
        <w:rPr>
          <w:rFonts w:ascii="宋体" w:hAnsi="宋体" w:cs="宋体" w:eastAsia="宋体" w:hint="default"/>
          <w:spacing w:val="-1"/>
          <w:w w:val="100"/>
        </w:rPr>
        <w:t>8,092,000.00</w:t>
      </w:r>
      <w:r>
        <w:rPr>
          <w:rFonts w:ascii="宋体" w:hAnsi="宋体" w:cs="宋体" w:eastAsia="宋体" w:hint="default"/>
          <w:spacing w:val="-50"/>
          <w:w w:val="100"/>
        </w:rPr>
        <w:t> </w:t>
      </w:r>
      <w:r>
        <w:rPr>
          <w:spacing w:val="-18"/>
          <w:w w:val="100"/>
        </w:rPr>
        <w:t>元（含税）。上述现金分红后，</w:t>
      </w:r>
      <w:r>
        <w:rPr>
          <w:spacing w:val="-97"/>
          <w:w w:val="100"/>
        </w:rPr>
        <w:t> </w:t>
      </w:r>
      <w:r>
        <w:rPr>
          <w:spacing w:val="-97"/>
          <w:w w:val="100"/>
        </w:rPr>
      </w:r>
      <w:r>
        <w:rPr/>
        <w:t>剩余未分配利润继续留存公司用于支持公司经营需要。本预案尚需提交公司</w:t>
      </w:r>
      <w:r>
        <w:rPr>
          <w:spacing w:val="-51"/>
        </w:rPr>
        <w:t> </w:t>
      </w:r>
      <w:r>
        <w:rPr>
          <w:rFonts w:ascii="宋体" w:hAnsi="宋体" w:cs="宋体" w:eastAsia="宋体" w:hint="default"/>
        </w:rPr>
        <w:t>2019</w:t>
      </w:r>
      <w:r>
        <w:rPr>
          <w:rFonts w:ascii="宋体" w:hAnsi="宋体" w:cs="宋体" w:eastAsia="宋体" w:hint="default"/>
          <w:spacing w:val="-53"/>
        </w:rPr>
        <w:t> </w:t>
      </w:r>
      <w:r>
        <w:rPr/>
        <w:t>年年度股东大会审议。</w:t>
      </w:r>
    </w:p>
    <w:p>
      <w:pPr>
        <w:spacing w:after="0" w:line="288" w:lineRule="auto"/>
        <w:jc w:val="left"/>
        <w:sectPr>
          <w:pgSz w:w="11910" w:h="16840"/>
          <w:pgMar w:header="741" w:footer="979" w:top="1060" w:bottom="1160" w:left="460" w:right="0"/>
        </w:sectPr>
      </w:pPr>
    </w:p>
    <w:p>
      <w:pPr>
        <w:spacing w:line="240" w:lineRule="auto" w:before="1"/>
        <w:rPr>
          <w:rFonts w:ascii="宋体" w:hAnsi="宋体" w:cs="宋体" w:eastAsia="宋体" w:hint="default"/>
          <w:sz w:val="27"/>
          <w:szCs w:val="27"/>
        </w:rPr>
      </w:pPr>
    </w:p>
    <w:p>
      <w:pPr>
        <w:pStyle w:val="Heading2"/>
        <w:spacing w:line="240" w:lineRule="auto" w:before="26"/>
        <w:ind w:left="693" w:right="1118"/>
        <w:jc w:val="left"/>
        <w:rPr>
          <w:rFonts w:ascii="黑体" w:hAnsi="黑体" w:cs="黑体" w:eastAsia="黑体" w:hint="default"/>
          <w:b w:val="0"/>
          <w:bCs w:val="0"/>
        </w:rPr>
      </w:pPr>
      <w:bookmarkStart w:name="十五、其他重要事项" w:id="273"/>
      <w:bookmarkEnd w:id="273"/>
      <w:r>
        <w:rPr>
          <w:b w:val="0"/>
          <w:bCs w:val="0"/>
        </w:rPr>
      </w:r>
      <w:r>
        <w:rPr>
          <w:rFonts w:ascii="黑体" w:hAnsi="黑体" w:cs="黑体" w:eastAsia="黑体" w:hint="default"/>
        </w:rPr>
        <w:t>十五、其他重要事项</w:t>
      </w:r>
      <w:r>
        <w:rPr>
          <w:rFonts w:ascii="黑体" w:hAnsi="黑体" w:cs="黑体" w:eastAsia="黑体" w:hint="default"/>
          <w:b w:val="0"/>
          <w:bCs w:val="0"/>
        </w:rPr>
      </w:r>
    </w:p>
    <w:p>
      <w:pPr>
        <w:spacing w:line="240" w:lineRule="auto" w:before="0"/>
        <w:rPr>
          <w:rFonts w:ascii="黑体" w:hAnsi="黑体" w:cs="黑体" w:eastAsia="黑体" w:hint="default"/>
          <w:b/>
          <w:bCs/>
          <w:sz w:val="30"/>
          <w:szCs w:val="30"/>
        </w:rPr>
      </w:pPr>
    </w:p>
    <w:p>
      <w:pPr>
        <w:pStyle w:val="BodyText"/>
        <w:spacing w:line="451" w:lineRule="auto"/>
        <w:ind w:left="635" w:right="6606"/>
        <w:jc w:val="left"/>
      </w:pPr>
      <w:bookmarkStart w:name="（一）租赁" w:id="274"/>
      <w:bookmarkEnd w:id="274"/>
      <w:r>
        <w:rPr/>
      </w:r>
      <w:r>
        <w:rPr/>
        <w:t>（一）租赁</w:t>
      </w:r>
      <w:r>
        <w:rPr>
          <w:spacing w:val="-99"/>
        </w:rPr>
        <w:t> </w:t>
      </w:r>
      <w:r>
        <w:rPr>
          <w:rFonts w:ascii="宋体" w:hAnsi="宋体" w:cs="宋体" w:eastAsia="宋体" w:hint="default"/>
          <w:spacing w:val="-1"/>
        </w:rPr>
        <w:t>1.</w:t>
      </w:r>
      <w:r>
        <w:rPr>
          <w:spacing w:val="-1"/>
        </w:rPr>
        <w:t>融资租赁出租人最低租赁收款额情况</w:t>
      </w:r>
      <w:r>
        <w:rPr>
          <w:spacing w:val="-82"/>
        </w:rPr>
        <w:t> </w:t>
      </w:r>
      <w:r>
        <w:rPr>
          <w:spacing w:val="-82"/>
        </w:rPr>
      </w:r>
      <w:r>
        <w:rPr/>
        <w:t>无。</w:t>
      </w:r>
    </w:p>
    <w:p>
      <w:pPr>
        <w:pStyle w:val="BodyText"/>
        <w:spacing w:line="448" w:lineRule="auto" w:before="58"/>
        <w:ind w:left="635" w:right="7024"/>
        <w:jc w:val="left"/>
      </w:pPr>
      <w:r>
        <w:rPr>
          <w:rFonts w:ascii="宋体" w:hAnsi="宋体" w:cs="宋体" w:eastAsia="宋体" w:hint="default"/>
          <w:spacing w:val="-1"/>
        </w:rPr>
        <w:t>2.</w:t>
      </w:r>
      <w:r>
        <w:rPr>
          <w:spacing w:val="-1"/>
        </w:rPr>
        <w:t>经营租赁出租人租出资产情况</w:t>
      </w:r>
      <w:r>
        <w:rPr>
          <w:spacing w:val="-89"/>
        </w:rPr>
        <w:t> </w:t>
      </w:r>
      <w:r>
        <w:rPr>
          <w:spacing w:val="-89"/>
        </w:rPr>
      </w:r>
      <w:r>
        <w:rPr/>
        <w:t>无。</w:t>
      </w:r>
    </w:p>
    <w:p>
      <w:pPr>
        <w:pStyle w:val="BodyText"/>
        <w:spacing w:line="448" w:lineRule="auto" w:before="61"/>
        <w:ind w:left="635" w:right="8649"/>
        <w:jc w:val="left"/>
      </w:pPr>
      <w:r>
        <w:rPr>
          <w:rFonts w:ascii="宋体" w:hAnsi="宋体" w:cs="宋体" w:eastAsia="宋体" w:hint="default"/>
        </w:rPr>
        <w:t>3.</w:t>
      </w:r>
      <w:r>
        <w:rPr/>
        <w:t>融资租赁承租人</w:t>
      </w:r>
      <w:r>
        <w:rPr>
          <w:spacing w:val="-101"/>
        </w:rPr>
        <w:t> </w:t>
      </w:r>
      <w:r>
        <w:rPr>
          <w:spacing w:val="-101"/>
        </w:rPr>
      </w:r>
      <w:r>
        <w:rPr/>
        <w:t>无。</w:t>
      </w:r>
    </w:p>
    <w:p>
      <w:pPr>
        <w:pStyle w:val="BodyText"/>
        <w:spacing w:line="240" w:lineRule="auto" w:before="61"/>
        <w:ind w:left="635" w:right="1118"/>
        <w:jc w:val="left"/>
      </w:pPr>
      <w:r>
        <w:rPr>
          <w:rFonts w:ascii="宋体" w:hAnsi="宋体" w:cs="宋体" w:eastAsia="宋体" w:hint="default"/>
        </w:rPr>
        <w:t>4.</w:t>
      </w:r>
      <w:r>
        <w:rPr/>
        <w:t>经营租赁承租人最低租赁付款额情况</w:t>
      </w:r>
    </w:p>
    <w:p>
      <w:pPr>
        <w:spacing w:line="240" w:lineRule="auto" w:before="11"/>
        <w:rPr>
          <w:rFonts w:ascii="宋体" w:hAnsi="宋体" w:cs="宋体" w:eastAsia="宋体" w:hint="default"/>
          <w:sz w:val="26"/>
          <w:szCs w:val="26"/>
        </w:rPr>
      </w:pPr>
    </w:p>
    <w:tbl>
      <w:tblPr>
        <w:tblW w:w="0" w:type="auto"/>
        <w:jc w:val="left"/>
        <w:tblInd w:w="213" w:type="dxa"/>
        <w:tblLayout w:type="fixed"/>
        <w:tblCellMar>
          <w:top w:w="0" w:type="dxa"/>
          <w:left w:w="0" w:type="dxa"/>
          <w:bottom w:w="0" w:type="dxa"/>
          <w:right w:w="0" w:type="dxa"/>
        </w:tblCellMar>
        <w:tblLook w:val="01E0"/>
      </w:tblPr>
      <w:tblGrid>
        <w:gridCol w:w="4790"/>
        <w:gridCol w:w="4857"/>
      </w:tblGrid>
      <w:tr>
        <w:trPr>
          <w:trHeight w:val="253" w:hRule="exact"/>
        </w:trPr>
        <w:tc>
          <w:tcPr>
            <w:tcW w:w="4790" w:type="dxa"/>
            <w:tcBorders>
              <w:top w:val="nil" w:sz="6" w:space="0" w:color="auto"/>
              <w:left w:val="nil" w:sz="6" w:space="0" w:color="auto"/>
              <w:bottom w:val="single" w:sz="4" w:space="0" w:color="000000"/>
              <w:right w:val="nil" w:sz="6" w:space="0" w:color="auto"/>
            </w:tcBorders>
          </w:tcPr>
          <w:p>
            <w:pPr>
              <w:pStyle w:val="TableParagraph"/>
              <w:spacing w:line="182" w:lineRule="exact"/>
              <w:ind w:left="151"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857" w:type="dxa"/>
            <w:tcBorders>
              <w:top w:val="nil" w:sz="6" w:space="0" w:color="auto"/>
              <w:left w:val="nil" w:sz="6" w:space="0" w:color="auto"/>
              <w:bottom w:val="single" w:sz="4" w:space="0" w:color="000000"/>
              <w:right w:val="nil" w:sz="6" w:space="0" w:color="auto"/>
            </w:tcBorders>
          </w:tcPr>
          <w:p>
            <w:pPr>
              <w:pStyle w:val="TableParagraph"/>
              <w:spacing w:line="182" w:lineRule="exact"/>
              <w:ind w:left="140" w:right="0"/>
              <w:jc w:val="center"/>
              <w:rPr>
                <w:rFonts w:ascii="宋体" w:hAnsi="宋体" w:cs="宋体" w:eastAsia="宋体" w:hint="default"/>
                <w:sz w:val="18"/>
                <w:szCs w:val="18"/>
              </w:rPr>
            </w:pPr>
            <w:r>
              <w:rPr>
                <w:rFonts w:ascii="宋体" w:hAnsi="宋体" w:cs="宋体" w:eastAsia="宋体" w:hint="default"/>
                <w:b/>
                <w:bCs/>
                <w:sz w:val="18"/>
                <w:szCs w:val="18"/>
              </w:rPr>
              <w:t>最低租赁付款额</w:t>
            </w:r>
            <w:r>
              <w:rPr>
                <w:rFonts w:ascii="宋体" w:hAnsi="宋体" w:cs="宋体" w:eastAsia="宋体" w:hint="default"/>
                <w:sz w:val="18"/>
                <w:szCs w:val="18"/>
              </w:rPr>
            </w:r>
          </w:p>
        </w:tc>
      </w:tr>
      <w:tr>
        <w:trPr>
          <w:trHeight w:val="443" w:hRule="exact"/>
        </w:trPr>
        <w:tc>
          <w:tcPr>
            <w:tcW w:w="479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5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3"/>
              <w:jc w:val="right"/>
              <w:rPr>
                <w:rFonts w:ascii="宋体" w:hAnsi="宋体" w:cs="宋体" w:eastAsia="宋体" w:hint="default"/>
                <w:sz w:val="18"/>
                <w:szCs w:val="18"/>
              </w:rPr>
            </w:pPr>
            <w:r>
              <w:rPr>
                <w:rFonts w:ascii="宋体"/>
                <w:spacing w:val="-1"/>
                <w:sz w:val="18"/>
              </w:rPr>
              <w:t>7,968,699.97</w:t>
            </w:r>
          </w:p>
        </w:tc>
      </w:tr>
      <w:tr>
        <w:trPr>
          <w:trHeight w:val="396"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
              <w:jc w:val="right"/>
              <w:rPr>
                <w:rFonts w:ascii="宋体" w:hAnsi="宋体" w:cs="宋体" w:eastAsia="宋体" w:hint="default"/>
                <w:sz w:val="18"/>
                <w:szCs w:val="18"/>
              </w:rPr>
            </w:pPr>
            <w:r>
              <w:rPr>
                <w:rFonts w:ascii="宋体"/>
                <w:spacing w:val="-1"/>
                <w:sz w:val="18"/>
              </w:rPr>
              <w:t>4,416,833.75</w:t>
            </w:r>
          </w:p>
        </w:tc>
      </w:tr>
      <w:tr>
        <w:trPr>
          <w:trHeight w:val="399"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right"/>
              <w:rPr>
                <w:rFonts w:ascii="宋体" w:hAnsi="宋体" w:cs="宋体" w:eastAsia="宋体" w:hint="default"/>
                <w:sz w:val="18"/>
                <w:szCs w:val="18"/>
              </w:rPr>
            </w:pPr>
            <w:r>
              <w:rPr>
                <w:rFonts w:ascii="宋体"/>
                <w:spacing w:val="-1"/>
                <w:sz w:val="18"/>
              </w:rPr>
              <w:t>5,639,239.09</w:t>
            </w:r>
          </w:p>
        </w:tc>
      </w:tr>
      <w:tr>
        <w:trPr>
          <w:trHeight w:val="396" w:hRule="exact"/>
        </w:trPr>
        <w:tc>
          <w:tcPr>
            <w:tcW w:w="47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right"/>
              <w:rPr>
                <w:rFonts w:ascii="宋体" w:hAnsi="宋体" w:cs="宋体" w:eastAsia="宋体" w:hint="default"/>
                <w:sz w:val="18"/>
                <w:szCs w:val="18"/>
              </w:rPr>
            </w:pPr>
            <w:r>
              <w:rPr>
                <w:rFonts w:ascii="宋体"/>
                <w:spacing w:val="-1"/>
                <w:sz w:val="18"/>
              </w:rPr>
              <w:t>6,153,558.51</w:t>
            </w:r>
          </w:p>
        </w:tc>
      </w:tr>
      <w:tr>
        <w:trPr>
          <w:trHeight w:val="288" w:hRule="exact"/>
        </w:trPr>
        <w:tc>
          <w:tcPr>
            <w:tcW w:w="4790" w:type="dxa"/>
            <w:tcBorders>
              <w:top w:val="nil" w:sz="6" w:space="0" w:color="auto"/>
              <w:left w:val="nil" w:sz="6" w:space="0" w:color="auto"/>
              <w:bottom w:val="nil" w:sz="6" w:space="0" w:color="auto"/>
              <w:right w:val="nil" w:sz="6" w:space="0" w:color="auto"/>
            </w:tcBorders>
          </w:tcPr>
          <w:p>
            <w:pPr>
              <w:pStyle w:val="TableParagraph"/>
              <w:tabs>
                <w:tab w:pos="578" w:val="left" w:leader="none"/>
              </w:tabs>
              <w:spacing w:line="240" w:lineRule="auto" w:before="52"/>
              <w:ind w:left="156"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w:t>
              <w:tab/>
              <w:t>计</w:t>
            </w:r>
            <w:r>
              <w:rPr>
                <w:rFonts w:ascii="宋体" w:hAnsi="宋体" w:cs="宋体" w:eastAsia="宋体" w:hint="default"/>
                <w:sz w:val="18"/>
                <w:szCs w:val="18"/>
              </w:rPr>
            </w:r>
          </w:p>
        </w:tc>
        <w:tc>
          <w:tcPr>
            <w:tcW w:w="48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
              <w:jc w:val="right"/>
              <w:rPr>
                <w:rFonts w:ascii="宋体" w:hAnsi="宋体" w:cs="宋体" w:eastAsia="宋体" w:hint="default"/>
                <w:sz w:val="18"/>
                <w:szCs w:val="18"/>
              </w:rPr>
            </w:pPr>
            <w:r>
              <w:rPr>
                <w:rFonts w:ascii="宋体"/>
                <w:w w:val="101"/>
                <w:sz w:val="18"/>
              </w:rPr>
            </w:r>
            <w:r>
              <w:rPr>
                <w:rFonts w:ascii="宋体"/>
                <w:spacing w:val="-1"/>
                <w:sz w:val="18"/>
                <w:u w:val="thick" w:color="000000"/>
              </w:rPr>
              <w:t>24,178,331.32</w:t>
            </w:r>
            <w:r>
              <w:rPr>
                <w:rFonts w:ascii="宋体"/>
                <w:spacing w:val="-1"/>
                <w:sz w:val="18"/>
              </w:rPr>
            </w:r>
          </w:p>
        </w:tc>
      </w:tr>
    </w:tbl>
    <w:p>
      <w:pPr>
        <w:spacing w:line="240" w:lineRule="auto" w:before="6"/>
        <w:rPr>
          <w:rFonts w:ascii="宋体" w:hAnsi="宋体" w:cs="宋体" w:eastAsia="宋体" w:hint="default"/>
          <w:sz w:val="27"/>
          <w:szCs w:val="27"/>
        </w:rPr>
      </w:pPr>
    </w:p>
    <w:p>
      <w:pPr>
        <w:pStyle w:val="Heading2"/>
        <w:spacing w:line="240" w:lineRule="auto" w:before="26"/>
        <w:ind w:left="693" w:right="1118"/>
        <w:jc w:val="left"/>
        <w:rPr>
          <w:rFonts w:ascii="黑体" w:hAnsi="黑体" w:cs="黑体" w:eastAsia="黑体" w:hint="default"/>
          <w:b w:val="0"/>
          <w:bCs w:val="0"/>
        </w:rPr>
      </w:pPr>
      <w:bookmarkStart w:name="十六、母公司财务报表项目注释" w:id="275"/>
      <w:bookmarkEnd w:id="275"/>
      <w:r>
        <w:rPr>
          <w:b w:val="0"/>
          <w:bCs w:val="0"/>
        </w:rPr>
      </w:r>
      <w:r>
        <w:rPr>
          <w:rFonts w:ascii="黑体" w:hAnsi="黑体" w:cs="黑体" w:eastAsia="黑体" w:hint="default"/>
        </w:rPr>
        <w:t>十六、母公司财务报表项目注释</w:t>
      </w:r>
      <w:r>
        <w:rPr>
          <w:rFonts w:ascii="黑体" w:hAnsi="黑体" w:cs="黑体" w:eastAsia="黑体" w:hint="default"/>
          <w:b w:val="0"/>
          <w:bCs w:val="0"/>
        </w:rPr>
      </w:r>
    </w:p>
    <w:p>
      <w:pPr>
        <w:spacing w:line="240" w:lineRule="auto" w:before="9"/>
        <w:rPr>
          <w:rFonts w:ascii="黑体" w:hAnsi="黑体" w:cs="黑体" w:eastAsia="黑体" w:hint="default"/>
          <w:b/>
          <w:bCs/>
          <w:sz w:val="29"/>
          <w:szCs w:val="29"/>
        </w:rPr>
      </w:pPr>
    </w:p>
    <w:p>
      <w:pPr>
        <w:pStyle w:val="BodyText"/>
        <w:spacing w:line="453" w:lineRule="auto"/>
        <w:ind w:left="635" w:right="8859"/>
        <w:jc w:val="left"/>
      </w:pPr>
      <w:bookmarkStart w:name="（一）应收账款" w:id="276"/>
      <w:bookmarkEnd w:id="276"/>
      <w:r>
        <w:rPr/>
      </w:r>
      <w:r>
        <w:rPr/>
        <w:t>（一）应收账款</w:t>
      </w:r>
      <w:r>
        <w:rPr>
          <w:spacing w:val="-102"/>
        </w:rPr>
        <w:t> </w:t>
      </w:r>
      <w:r>
        <w:rPr>
          <w:spacing w:val="-102"/>
        </w:rPr>
      </w:r>
      <w:r>
        <w:rPr>
          <w:rFonts w:ascii="宋体" w:hAnsi="宋体" w:cs="宋体" w:eastAsia="宋体" w:hint="default"/>
        </w:rPr>
        <w:t>1.</w:t>
      </w:r>
      <w:r>
        <w:rPr/>
        <w:t>按账龄披露</w:t>
      </w:r>
    </w:p>
    <w:p>
      <w:pPr>
        <w:spacing w:line="240" w:lineRule="auto" w:before="8"/>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5865"/>
        <w:gridCol w:w="3993"/>
      </w:tblGrid>
      <w:tr>
        <w:trPr>
          <w:trHeight w:val="253" w:hRule="exact"/>
        </w:trPr>
        <w:tc>
          <w:tcPr>
            <w:tcW w:w="5865" w:type="dxa"/>
            <w:tcBorders>
              <w:top w:val="nil" w:sz="6" w:space="0" w:color="auto"/>
              <w:left w:val="nil" w:sz="6" w:space="0" w:color="auto"/>
              <w:bottom w:val="single" w:sz="4" w:space="0" w:color="000000"/>
              <w:right w:val="nil" w:sz="6" w:space="0" w:color="auto"/>
            </w:tcBorders>
          </w:tcPr>
          <w:p>
            <w:pPr>
              <w:pStyle w:val="TableParagraph"/>
              <w:spacing w:line="182" w:lineRule="exact"/>
              <w:ind w:right="2190"/>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993" w:type="dxa"/>
            <w:tcBorders>
              <w:top w:val="nil" w:sz="6" w:space="0" w:color="auto"/>
              <w:left w:val="nil" w:sz="6" w:space="0" w:color="auto"/>
              <w:bottom w:val="single" w:sz="4" w:space="0" w:color="000000"/>
              <w:right w:val="nil" w:sz="6" w:space="0" w:color="auto"/>
            </w:tcBorders>
          </w:tcPr>
          <w:p>
            <w:pPr>
              <w:pStyle w:val="TableParagraph"/>
              <w:spacing w:line="182" w:lineRule="exact"/>
              <w:ind w:left="21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586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99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9"/>
              <w:jc w:val="right"/>
              <w:rPr>
                <w:rFonts w:ascii="宋体" w:hAnsi="宋体" w:cs="宋体" w:eastAsia="宋体" w:hint="default"/>
                <w:sz w:val="18"/>
                <w:szCs w:val="18"/>
              </w:rPr>
            </w:pPr>
            <w:r>
              <w:rPr>
                <w:rFonts w:ascii="宋体"/>
                <w:spacing w:val="-1"/>
                <w:sz w:val="18"/>
              </w:rPr>
              <w:t>9,230,589.72</w:t>
            </w:r>
          </w:p>
        </w:tc>
      </w:tr>
      <w:tr>
        <w:trPr>
          <w:trHeight w:val="389"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4,551,812.86</w:t>
            </w:r>
          </w:p>
        </w:tc>
      </w:tr>
      <w:tr>
        <w:trPr>
          <w:trHeight w:val="406"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5,913,002.30</w:t>
            </w:r>
          </w:p>
        </w:tc>
      </w:tr>
      <w:tr>
        <w:trPr>
          <w:trHeight w:val="298"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9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19,695,404.88</w:t>
            </w:r>
            <w:r>
              <w:rPr>
                <w:rFonts w:ascii="宋体"/>
                <w:spacing w:val="-1"/>
                <w:sz w:val="18"/>
              </w:rPr>
            </w:r>
          </w:p>
        </w:tc>
      </w:tr>
    </w:tbl>
    <w:p>
      <w:pPr>
        <w:spacing w:line="240" w:lineRule="auto" w:before="8"/>
        <w:rPr>
          <w:rFonts w:ascii="宋体" w:hAnsi="宋体" w:cs="宋体" w:eastAsia="宋体" w:hint="default"/>
          <w:sz w:val="20"/>
          <w:szCs w:val="20"/>
        </w:rPr>
      </w:pPr>
    </w:p>
    <w:p>
      <w:pPr>
        <w:pStyle w:val="BodyText"/>
        <w:spacing w:line="240" w:lineRule="auto" w:before="36"/>
        <w:ind w:left="635" w:right="1118"/>
        <w:jc w:val="left"/>
      </w:pPr>
      <w:r>
        <w:rPr>
          <w:rFonts w:ascii="宋体" w:hAnsi="宋体" w:cs="宋体" w:eastAsia="宋体" w:hint="default"/>
        </w:rPr>
        <w:t>2.</w:t>
      </w:r>
      <w:r>
        <w:rPr/>
        <w:t>按坏账计提方法分类披露</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4511"/>
        <w:gridCol w:w="1246"/>
        <w:gridCol w:w="1148"/>
        <w:gridCol w:w="1455"/>
        <w:gridCol w:w="1498"/>
      </w:tblGrid>
      <w:tr>
        <w:trPr>
          <w:trHeight w:val="295" w:hRule="exact"/>
        </w:trPr>
        <w:tc>
          <w:tcPr>
            <w:tcW w:w="4511"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182" w:lineRule="exact"/>
              <w:ind w:right="12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5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2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
              <w:jc w:val="righ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46" w:type="dxa"/>
            <w:tcBorders>
              <w:top w:val="nil" w:sz="6" w:space="0" w:color="auto"/>
              <w:left w:val="nil" w:sz="6" w:space="0" w:color="auto"/>
              <w:bottom w:val="nil" w:sz="6" w:space="0" w:color="auto"/>
              <w:right w:val="nil" w:sz="6" w:space="0" w:color="auto"/>
            </w:tcBorders>
          </w:tcPr>
          <w:p>
            <w:pPr/>
          </w:p>
        </w:tc>
        <w:tc>
          <w:tcPr>
            <w:tcW w:w="26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75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8" w:type="dxa"/>
            <w:tcBorders>
              <w:top w:val="nil" w:sz="6" w:space="0" w:color="auto"/>
              <w:left w:val="nil" w:sz="6" w:space="0" w:color="auto"/>
              <w:bottom w:val="nil" w:sz="6" w:space="0" w:color="auto"/>
              <w:right w:val="nil" w:sz="6" w:space="0" w:color="auto"/>
            </w:tcBorders>
          </w:tcPr>
          <w:p>
            <w:pPr/>
          </w:p>
        </w:tc>
      </w:tr>
      <w:tr>
        <w:trPr>
          <w:trHeight w:val="183"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170" w:lineRule="exact"/>
              <w:ind w:left="115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24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204" w:hRule="exact"/>
        </w:trPr>
        <w:tc>
          <w:tcPr>
            <w:tcW w:w="4511"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455" w:type="dxa"/>
            <w:vMerge w:val="restart"/>
            <w:tcBorders>
              <w:top w:val="nil" w:sz="6" w:space="0" w:color="auto"/>
              <w:left w:val="nil" w:sz="6" w:space="0" w:color="auto"/>
              <w:right w:val="nil" w:sz="6" w:space="0" w:color="auto"/>
            </w:tcBorders>
          </w:tcPr>
          <w:p>
            <w:pPr>
              <w:pStyle w:val="TableParagraph"/>
              <w:spacing w:line="218" w:lineRule="exact"/>
              <w:ind w:left="81"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124"/>
              <w:ind w:left="76"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98" w:type="dxa"/>
            <w:tcBorders>
              <w:top w:val="nil" w:sz="6" w:space="0" w:color="auto"/>
              <w:left w:val="nil" w:sz="6" w:space="0" w:color="auto"/>
              <w:bottom w:val="nil" w:sz="6" w:space="0" w:color="auto"/>
              <w:right w:val="nil" w:sz="6" w:space="0" w:color="auto"/>
            </w:tcBorders>
          </w:tcPr>
          <w:p>
            <w:pPr>
              <w:pStyle w:val="TableParagraph"/>
              <w:spacing w:line="194"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25" w:hRule="exact"/>
        </w:trPr>
        <w:tc>
          <w:tcPr>
            <w:tcW w:w="4511" w:type="dxa"/>
            <w:tcBorders>
              <w:top w:val="nil" w:sz="6" w:space="0" w:color="auto"/>
              <w:left w:val="nil" w:sz="6" w:space="0" w:color="auto"/>
              <w:bottom w:val="single" w:sz="4" w:space="0" w:color="000000"/>
              <w:right w:val="nil" w:sz="6" w:space="0" w:color="auto"/>
            </w:tcBorders>
          </w:tcPr>
          <w:p>
            <w:pPr>
              <w:pStyle w:val="TableParagraph"/>
              <w:spacing w:line="192" w:lineRule="exact"/>
              <w:ind w:right="783"/>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46" w:type="dxa"/>
            <w:tcBorders>
              <w:top w:val="nil" w:sz="6" w:space="0" w:color="auto"/>
              <w:left w:val="nil" w:sz="6" w:space="0" w:color="auto"/>
              <w:bottom w:val="single" w:sz="4" w:space="0" w:color="000000"/>
              <w:right w:val="nil" w:sz="6" w:space="0" w:color="auto"/>
            </w:tcBorders>
          </w:tcPr>
          <w:p>
            <w:pPr>
              <w:pStyle w:val="TableParagraph"/>
              <w:spacing w:line="192" w:lineRule="exact"/>
              <w:ind w:left="5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48" w:type="dxa"/>
            <w:tcBorders>
              <w:top w:val="nil" w:sz="6" w:space="0" w:color="auto"/>
              <w:left w:val="nil" w:sz="6" w:space="0" w:color="auto"/>
              <w:bottom w:val="single" w:sz="4" w:space="0" w:color="000000"/>
              <w:right w:val="nil" w:sz="6" w:space="0" w:color="auto"/>
            </w:tcBorders>
          </w:tcPr>
          <w:p>
            <w:pPr>
              <w:pStyle w:val="TableParagraph"/>
              <w:spacing w:line="192" w:lineRule="exact"/>
              <w:ind w:right="2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55" w:type="dxa"/>
            <w:vMerge/>
            <w:tcBorders>
              <w:left w:val="nil" w:sz="6" w:space="0" w:color="auto"/>
              <w:bottom w:val="single" w:sz="4" w:space="0" w:color="000000"/>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
        </w:tc>
      </w:tr>
      <w:tr>
        <w:trPr>
          <w:trHeight w:val="338" w:hRule="exact"/>
        </w:trPr>
        <w:tc>
          <w:tcPr>
            <w:tcW w:w="451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单项金额重大并单独计提坏账</w:t>
            </w:r>
          </w:p>
        </w:tc>
        <w:tc>
          <w:tcPr>
            <w:tcW w:w="1246" w:type="dxa"/>
            <w:tcBorders>
              <w:top w:val="single" w:sz="4" w:space="0" w:color="000000"/>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773" w:right="0" w:firstLine="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spacing w:line="240" w:lineRule="auto" w:before="8"/>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1" w:footer="979" w:top="1060" w:bottom="1160" w:left="900" w:right="0"/>
        </w:sectPr>
      </w:pPr>
    </w:p>
    <w:p>
      <w:pPr>
        <w:tabs>
          <w:tab w:pos="6633" w:val="left" w:leader="none"/>
        </w:tabs>
        <w:spacing w:line="197" w:lineRule="exact" w:before="46"/>
        <w:ind w:left="3854" w:right="-13" w:firstLine="0"/>
        <w:jc w:val="left"/>
        <w:rPr>
          <w:rFonts w:ascii="宋体" w:hAnsi="宋体" w:cs="宋体" w:eastAsia="宋体" w:hint="default"/>
          <w:sz w:val="18"/>
          <w:szCs w:val="18"/>
        </w:rPr>
      </w:pPr>
      <w:r>
        <w:rPr>
          <w:rFonts w:ascii="宋体" w:hAnsi="宋体" w:cs="宋体" w:eastAsia="宋体" w:hint="default"/>
          <w:b/>
          <w:bCs/>
          <w:sz w:val="18"/>
          <w:szCs w:val="18"/>
        </w:rPr>
        <w:t>账面余额</w:t>
        <w:tab/>
        <w:t>坏账准备</w:t>
      </w:r>
      <w:r>
        <w:rPr>
          <w:rFonts w:ascii="宋体" w:hAnsi="宋体" w:cs="宋体" w:eastAsia="宋体" w:hint="default"/>
          <w:sz w:val="18"/>
          <w:szCs w:val="18"/>
        </w:rPr>
      </w:r>
    </w:p>
    <w:p>
      <w:pPr>
        <w:spacing w:line="197" w:lineRule="exact" w:before="0"/>
        <w:ind w:left="1275" w:right="-13"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tabs>
          <w:tab w:pos="4684" w:val="left" w:leader="none"/>
          <w:tab w:pos="6259" w:val="left" w:leader="none"/>
        </w:tabs>
        <w:spacing w:before="0"/>
        <w:ind w:left="3483" w:right="-13" w:firstLine="0"/>
        <w:jc w:val="left"/>
        <w:rPr>
          <w:rFonts w:ascii="宋体" w:hAnsi="宋体" w:cs="宋体" w:eastAsia="宋体" w:hint="default"/>
          <w:sz w:val="18"/>
          <w:szCs w:val="18"/>
        </w:rPr>
      </w:pPr>
      <w:r>
        <w:rPr>
          <w:rFonts w:ascii="宋体" w:hAnsi="宋体" w:cs="宋体" w:eastAsia="宋体" w:hint="default"/>
          <w:b/>
          <w:bCs/>
          <w:sz w:val="18"/>
          <w:szCs w:val="18"/>
        </w:rPr>
        <w:t>金额</w:t>
        <w:tab/>
      </w: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tab/>
      </w:r>
      <w:r>
        <w:rPr>
          <w:rFonts w:ascii="宋体" w:hAnsi="宋体" w:cs="宋体" w:eastAsia="宋体" w:hint="default"/>
          <w:b/>
          <w:bCs/>
          <w:sz w:val="18"/>
          <w:szCs w:val="18"/>
        </w:rPr>
        <w:t>金额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5"/>
          <w:szCs w:val="15"/>
        </w:rPr>
      </w:pPr>
    </w:p>
    <w:p>
      <w:pPr>
        <w:spacing w:before="0"/>
        <w:ind w:left="27" w:right="0" w:firstLine="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spacing w:before="124"/>
        <w:ind w:left="22" w:right="0" w:firstLine="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3"/>
          <w:szCs w:val="13"/>
        </w:rPr>
      </w:pPr>
    </w:p>
    <w:p>
      <w:pPr>
        <w:spacing w:before="0"/>
        <w:ind w:left="603"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00" w:right="0"/>
          <w:cols w:num="3" w:equalWidth="0">
            <w:col w:w="7364" w:space="40"/>
            <w:col w:w="758" w:space="40"/>
            <w:col w:w="2808"/>
          </w:cols>
        </w:sectPr>
      </w:pPr>
    </w:p>
    <w:p>
      <w:pPr>
        <w:spacing w:line="240" w:lineRule="auto" w:before="7"/>
        <w:rPr>
          <w:rFonts w:ascii="宋体" w:hAnsi="宋体" w:cs="宋体" w:eastAsia="宋体" w:hint="default"/>
          <w:b/>
          <w:bCs/>
          <w:sz w:val="3"/>
          <w:szCs w:val="3"/>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93.4pt;height:.5pt;mso-position-horizontal-relative:char;mso-position-vertical-relative:line" coordorigin="0,0" coordsize="9868,10">
            <v:group style="position:absolute;left:5;top:5;width:2665;height:2" coordorigin="5,5" coordsize="2665,2">
              <v:shape style="position:absolute;left:5;top:5;width:2665;height:2" coordorigin="5,5" coordsize="2665,0" path="m5,5l2670,5e" filled="false" stroked="true" strokeweight=".48pt" strokecolor="#000000">
                <v:path arrowok="t"/>
              </v:shape>
            </v:group>
            <v:group style="position:absolute;left:2670;top:5;width:10;height:2" coordorigin="2670,5" coordsize="10,2">
              <v:shape style="position:absolute;left:2670;top:5;width:10;height:2" coordorigin="2670,5" coordsize="10,0" path="m2670,5l2679,5e" filled="false" stroked="true" strokeweight=".48pt" strokecolor="#000000">
                <v:path arrowok="t"/>
              </v:shape>
            </v:group>
            <v:group style="position:absolute;left:2679;top:5;width:1739;height:2" coordorigin="2679,5" coordsize="1739,2">
              <v:shape style="position:absolute;left:2679;top:5;width:1739;height:2" coordorigin="2679,5" coordsize="1739,0" path="m2679,5l4417,5e" filled="false" stroked="true" strokeweight=".48pt" strokecolor="#000000">
                <v:path arrowok="t"/>
              </v:shape>
            </v:group>
            <v:group style="position:absolute;left:4418;top:5;width:10;height:2" coordorigin="4418,5" coordsize="10,2">
              <v:shape style="position:absolute;left:4418;top:5;width:10;height:2" coordorigin="4418,5" coordsize="10,0" path="m4418,5l4427,5e" filled="false" stroked="true" strokeweight=".48pt" strokecolor="#000000">
                <v:path arrowok="t"/>
              </v:shape>
            </v:group>
            <v:group style="position:absolute;left:4427;top:5;width:1105;height:2" coordorigin="4427,5" coordsize="1105,2">
              <v:shape style="position:absolute;left:4427;top:5;width:1105;height:2" coordorigin="4427,5" coordsize="1105,0" path="m4427,5l5532,5e" filled="false" stroked="true" strokeweight=".48pt" strokecolor="#000000">
                <v:path arrowok="t"/>
              </v:shape>
            </v:group>
            <v:group style="position:absolute;left:5532;top:5;width:10;height:2" coordorigin="5532,5" coordsize="10,2">
              <v:shape style="position:absolute;left:5532;top:5;width:10;height:2" coordorigin="5532,5" coordsize="10,0" path="m5532,5l5541,5e" filled="false" stroked="true" strokeweight=".48pt" strokecolor="#000000">
                <v:path arrowok="t"/>
              </v:shape>
            </v:group>
            <v:group style="position:absolute;left:5541;top:5;width:1575;height:2" coordorigin="5541,5" coordsize="1575,2">
              <v:shape style="position:absolute;left:5541;top:5;width:1575;height:2" coordorigin="5541,5" coordsize="1575,0" path="m5541,5l7116,5e" filled="false" stroked="true" strokeweight=".48pt" strokecolor="#000000">
                <v:path arrowok="t"/>
              </v:shape>
            </v:group>
            <v:group style="position:absolute;left:7116;top:5;width:10;height:2" coordorigin="7116,5" coordsize="10,2">
              <v:shape style="position:absolute;left:7116;top:5;width:10;height:2" coordorigin="7116,5" coordsize="10,0" path="m7116,5l7126,5e" filled="false" stroked="true" strokeweight=".48pt" strokecolor="#000000">
                <v:path arrowok="t"/>
              </v:shape>
            </v:group>
            <v:group style="position:absolute;left:7126;top:5;width:1105;height:2" coordorigin="7126,5" coordsize="1105,2">
              <v:shape style="position:absolute;left:7126;top:5;width:1105;height:2" coordorigin="7126,5" coordsize="1105,0" path="m7126,5l8230,5e" filled="false" stroked="true" strokeweight=".48pt" strokecolor="#000000">
                <v:path arrowok="t"/>
              </v:shape>
            </v:group>
            <v:group style="position:absolute;left:8230;top:5;width:10;height:2" coordorigin="8230,5" coordsize="10,2">
              <v:shape style="position:absolute;left:8230;top:5;width:10;height:2" coordorigin="8230,5" coordsize="10,0" path="m8230,5l8240,5e" filled="false" stroked="true" strokeweight=".48pt" strokecolor="#000000">
                <v:path arrowok="t"/>
              </v:shape>
            </v:group>
            <v:group style="position:absolute;left:8240;top:5;width:1624;height:2" coordorigin="8240,5" coordsize="1624,2">
              <v:shape style="position:absolute;left:8240;top:5;width:1624;height:2" coordorigin="8240,5" coordsize="1624,0" path="m8240,5l9863,5e" filled="false" stroked="true" strokeweight=".48pt" strokecolor="#000000">
                <v:path arrowok="t"/>
              </v:shape>
            </v:group>
          </v:group>
        </w:pict>
      </w:r>
      <w:r>
        <w:rPr>
          <w:rFonts w:ascii="宋体" w:hAnsi="宋体" w:cs="宋体" w:eastAsia="宋体" w:hint="default"/>
          <w:sz w:val="2"/>
          <w:szCs w:val="2"/>
        </w:rPr>
      </w:r>
    </w:p>
    <w:p>
      <w:pPr>
        <w:spacing w:before="67"/>
        <w:ind w:left="233" w:right="1115" w:firstLine="0"/>
        <w:jc w:val="left"/>
        <w:rPr>
          <w:rFonts w:ascii="宋体" w:hAnsi="宋体" w:cs="宋体" w:eastAsia="宋体" w:hint="default"/>
          <w:sz w:val="18"/>
          <w:szCs w:val="18"/>
        </w:rPr>
      </w:pPr>
      <w:r>
        <w:rPr>
          <w:rFonts w:ascii="宋体" w:hAnsi="宋体" w:cs="宋体" w:eastAsia="宋体" w:hint="default"/>
          <w:spacing w:val="-3"/>
          <w:sz w:val="18"/>
          <w:szCs w:val="18"/>
        </w:rPr>
        <w:t>准备的应收账款</w:t>
      </w:r>
    </w:p>
    <w:p>
      <w:pPr>
        <w:spacing w:line="240" w:lineRule="auto" w:before="7"/>
        <w:rPr>
          <w:rFonts w:ascii="宋体" w:hAnsi="宋体" w:cs="宋体" w:eastAsia="宋体" w:hint="default"/>
          <w:sz w:val="8"/>
          <w:szCs w:val="8"/>
        </w:rPr>
      </w:pPr>
    </w:p>
    <w:p>
      <w:pPr>
        <w:spacing w:line="367" w:lineRule="auto" w:before="46"/>
        <w:ind w:left="233" w:right="8239" w:firstLine="0"/>
        <w:jc w:val="left"/>
        <w:rPr>
          <w:rFonts w:ascii="宋体" w:hAnsi="宋体" w:cs="宋体" w:eastAsia="宋体" w:hint="default"/>
          <w:sz w:val="18"/>
          <w:szCs w:val="18"/>
        </w:rPr>
      </w:pPr>
      <w:r>
        <w:rPr/>
        <w:pict>
          <v:shape style="position:absolute;margin-left:206.160004pt;margin-top:9.094229pt;width:334.6pt;height:83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078"/>
                    <w:gridCol w:w="1623"/>
                    <w:gridCol w:w="1056"/>
                    <w:gridCol w:w="1439"/>
                  </w:tblGrid>
                  <w:tr>
                    <w:trPr>
                      <w:trHeight w:val="551"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1"/>
                          <w:jc w:val="right"/>
                          <w:rPr>
                            <w:rFonts w:ascii="宋体" w:hAnsi="宋体" w:cs="宋体" w:eastAsia="宋体" w:hint="default"/>
                            <w:sz w:val="18"/>
                            <w:szCs w:val="18"/>
                          </w:rPr>
                        </w:pPr>
                        <w:r>
                          <w:rPr>
                            <w:rFonts w:ascii="宋体"/>
                            <w:spacing w:val="-1"/>
                            <w:sz w:val="18"/>
                          </w:rPr>
                          <w:t>15,042,604.88</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0"/>
                          <w:jc w:val="right"/>
                          <w:rPr>
                            <w:rFonts w:ascii="宋体" w:hAnsi="宋体" w:cs="宋体" w:eastAsia="宋体" w:hint="default"/>
                            <w:sz w:val="18"/>
                            <w:szCs w:val="18"/>
                          </w:rPr>
                        </w:pPr>
                        <w:r>
                          <w:rPr>
                            <w:rFonts w:ascii="宋体"/>
                            <w:sz w:val="18"/>
                          </w:rPr>
                          <w:t>76.38</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52" w:right="0"/>
                          <w:jc w:val="left"/>
                          <w:rPr>
                            <w:rFonts w:ascii="宋体" w:hAnsi="宋体" w:cs="宋体" w:eastAsia="宋体" w:hint="default"/>
                            <w:sz w:val="18"/>
                            <w:szCs w:val="18"/>
                          </w:rPr>
                        </w:pPr>
                        <w:r>
                          <w:rPr>
                            <w:rFonts w:ascii="宋体"/>
                            <w:sz w:val="18"/>
                          </w:rPr>
                          <w:t>2,002,935.71</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6"/>
                          <w:jc w:val="right"/>
                          <w:rPr>
                            <w:rFonts w:ascii="宋体" w:hAnsi="宋体" w:cs="宋体" w:eastAsia="宋体" w:hint="default"/>
                            <w:sz w:val="18"/>
                            <w:szCs w:val="18"/>
                          </w:rPr>
                        </w:pPr>
                        <w:r>
                          <w:rPr>
                            <w:rFonts w:ascii="宋体"/>
                            <w:sz w:val="18"/>
                          </w:rPr>
                          <w:t>13.32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1"/>
                            <w:sz w:val="18"/>
                          </w:rPr>
                          <w:t>13,039,669.17</w:t>
                        </w:r>
                      </w:p>
                    </w:tc>
                  </w:tr>
                  <w:tr>
                    <w:trPr>
                      <w:trHeight w:val="639"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81"/>
                          <w:jc w:val="right"/>
                          <w:rPr>
                            <w:rFonts w:ascii="宋体" w:hAnsi="宋体" w:cs="宋体" w:eastAsia="宋体" w:hint="default"/>
                            <w:sz w:val="18"/>
                            <w:szCs w:val="18"/>
                          </w:rPr>
                        </w:pPr>
                        <w:r>
                          <w:rPr>
                            <w:rFonts w:ascii="宋体"/>
                            <w:spacing w:val="-1"/>
                            <w:sz w:val="18"/>
                          </w:rPr>
                          <w:t>4,652,800.00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50"/>
                          <w:jc w:val="right"/>
                          <w:rPr>
                            <w:rFonts w:ascii="宋体" w:hAnsi="宋体" w:cs="宋体" w:eastAsia="宋体" w:hint="default"/>
                            <w:sz w:val="18"/>
                            <w:szCs w:val="18"/>
                          </w:rPr>
                        </w:pPr>
                        <w:r>
                          <w:rPr>
                            <w:rFonts w:ascii="宋体"/>
                            <w:sz w:val="18"/>
                          </w:rPr>
                          <w:t>23.62</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2" w:right="0"/>
                          <w:jc w:val="left"/>
                          <w:rPr>
                            <w:rFonts w:ascii="宋体" w:hAnsi="宋体" w:cs="宋体" w:eastAsia="宋体" w:hint="default"/>
                            <w:sz w:val="18"/>
                            <w:szCs w:val="18"/>
                          </w:rPr>
                        </w:pPr>
                        <w:r>
                          <w:rPr>
                            <w:rFonts w:ascii="宋体"/>
                            <w:sz w:val="18"/>
                          </w:rPr>
                          <w:t>4,652,800.00</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6"/>
                          <w:jc w:val="right"/>
                          <w:rPr>
                            <w:rFonts w:ascii="宋体" w:hAnsi="宋体" w:cs="宋体" w:eastAsia="宋体" w:hint="default"/>
                            <w:sz w:val="18"/>
                            <w:szCs w:val="18"/>
                          </w:rPr>
                        </w:pPr>
                        <w:r>
                          <w:rPr>
                            <w:rFonts w:ascii="宋体"/>
                            <w:spacing w:val="-1"/>
                            <w:sz w:val="18"/>
                          </w:rPr>
                          <w:t>100.00</w:t>
                        </w:r>
                      </w:p>
                    </w:tc>
                    <w:tc>
                      <w:tcPr>
                        <w:tcW w:w="1439" w:type="dxa"/>
                        <w:tcBorders>
                          <w:top w:val="nil" w:sz="6" w:space="0" w:color="auto"/>
                          <w:left w:val="nil" w:sz="6" w:space="0" w:color="auto"/>
                          <w:bottom w:val="nil" w:sz="6" w:space="0" w:color="auto"/>
                          <w:right w:val="nil" w:sz="6" w:space="0" w:color="auto"/>
                        </w:tcBorders>
                      </w:tcPr>
                      <w:p>
                        <w:pPr/>
                      </w:p>
                    </w:tc>
                  </w:tr>
                  <w:tr>
                    <w:trPr>
                      <w:trHeight w:val="470" w:hRule="exact"/>
                    </w:trPr>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81"/>
                          <w:jc w:val="right"/>
                          <w:rPr>
                            <w:rFonts w:ascii="宋体" w:hAnsi="宋体" w:cs="宋体" w:eastAsia="宋体" w:hint="default"/>
                            <w:sz w:val="18"/>
                            <w:szCs w:val="18"/>
                          </w:rPr>
                        </w:pPr>
                        <w:r>
                          <w:rPr>
                            <w:rFonts w:ascii="宋体"/>
                            <w:w w:val="101"/>
                            <w:sz w:val="18"/>
                          </w:rPr>
                        </w:r>
                        <w:r>
                          <w:rPr>
                            <w:rFonts w:ascii="宋体"/>
                            <w:spacing w:val="-1"/>
                            <w:sz w:val="18"/>
                            <w:u w:val="thick" w:color="000000"/>
                          </w:rPr>
                          <w:t>19,695,404.88</w:t>
                        </w:r>
                        <w:r>
                          <w:rPr>
                            <w:rFonts w:ascii="宋体"/>
                            <w:spacing w:val="-1"/>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50"/>
                          <w:jc w:val="right"/>
                          <w:rPr>
                            <w:rFonts w:ascii="宋体" w:hAnsi="宋体" w:cs="宋体" w:eastAsia="宋体" w:hint="default"/>
                            <w:sz w:val="18"/>
                            <w:szCs w:val="18"/>
                          </w:rPr>
                        </w:pPr>
                        <w:r>
                          <w:rPr>
                            <w:rFonts w:ascii="宋体"/>
                            <w:w w:val="101"/>
                            <w:sz w:val="18"/>
                          </w:rPr>
                        </w:r>
                        <w:r>
                          <w:rPr>
                            <w:rFonts w:ascii="宋体"/>
                            <w:spacing w:val="-1"/>
                            <w:sz w:val="18"/>
                            <w:u w:val="thick" w:color="000000"/>
                          </w:rPr>
                          <w:t>100.00</w:t>
                        </w:r>
                        <w:r>
                          <w:rPr>
                            <w:rFonts w:ascii="宋体"/>
                            <w:spacing w:val="-1"/>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2" w:right="0"/>
                          <w:jc w:val="left"/>
                          <w:rPr>
                            <w:rFonts w:ascii="宋体" w:hAnsi="宋体" w:cs="宋体" w:eastAsia="宋体" w:hint="default"/>
                            <w:sz w:val="18"/>
                            <w:szCs w:val="18"/>
                          </w:rPr>
                        </w:pPr>
                        <w:r>
                          <w:rPr>
                            <w:rFonts w:ascii="宋体"/>
                            <w:w w:val="101"/>
                            <w:sz w:val="18"/>
                          </w:rPr>
                        </w:r>
                        <w:r>
                          <w:rPr>
                            <w:rFonts w:ascii="宋体"/>
                            <w:sz w:val="18"/>
                            <w:u w:val="thick" w:color="000000"/>
                          </w:rPr>
                          <w:t>6,655,735.71</w:t>
                        </w:r>
                        <w:r>
                          <w:rPr>
                            <w:rFonts w:ascii="宋体"/>
                            <w:sz w:val="18"/>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31"/>
                          <w:jc w:val="right"/>
                          <w:rPr>
                            <w:rFonts w:ascii="宋体" w:hAnsi="宋体" w:cs="宋体" w:eastAsia="宋体" w:hint="default"/>
                            <w:sz w:val="18"/>
                            <w:szCs w:val="18"/>
                          </w:rPr>
                        </w:pPr>
                        <w:r>
                          <w:rPr>
                            <w:rFonts w:ascii="宋体"/>
                            <w:w w:val="101"/>
                            <w:sz w:val="18"/>
                          </w:rPr>
                          <w:t>-</w:t>
                        </w:r>
                        <w:r>
                          <w:rPr>
                            <w:rFonts w:ascii="宋体"/>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宋体" w:hAnsi="宋体" w:cs="宋体" w:eastAsia="宋体" w:hint="default"/>
                            <w:sz w:val="18"/>
                            <w:szCs w:val="18"/>
                          </w:rPr>
                        </w:pPr>
                        <w:r>
                          <w:rPr>
                            <w:rFonts w:ascii="宋体"/>
                            <w:w w:val="101"/>
                            <w:sz w:val="18"/>
                          </w:rPr>
                        </w:r>
                        <w:r>
                          <w:rPr>
                            <w:rFonts w:ascii="宋体"/>
                            <w:spacing w:val="-1"/>
                            <w:sz w:val="18"/>
                            <w:u w:val="thick" w:color="000000"/>
                          </w:rPr>
                          <w:t>13,039,669.17</w:t>
                        </w:r>
                        <w:r>
                          <w:rPr>
                            <w:rFonts w:ascii="宋体"/>
                            <w:spacing w:val="-1"/>
                            <w:sz w:val="18"/>
                          </w:rPr>
                        </w:r>
                      </w:p>
                    </w:tc>
                  </w:tr>
                </w:tbl>
                <w:p>
                  <w:pPr/>
                </w:p>
              </w:txbxContent>
            </v:textbox>
            <w10:wrap type="none"/>
          </v:shape>
        </w:pict>
      </w:r>
      <w:r>
        <w:rPr>
          <w:rFonts w:ascii="宋体" w:hAnsi="宋体" w:cs="宋体" w:eastAsia="宋体" w:hint="default"/>
          <w:spacing w:val="-3"/>
          <w:sz w:val="18"/>
          <w:szCs w:val="18"/>
        </w:rPr>
        <w:t>按账龄组合计提坏账准备的应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收账款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单项金额不重大但单独计提坏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账准备的应收账款</w:t>
      </w:r>
    </w:p>
    <w:p>
      <w:pPr>
        <w:spacing w:before="48"/>
        <w:ind w:left="1275" w:right="1115"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p>
      <w:pPr>
        <w:pStyle w:val="BodyText"/>
        <w:spacing w:line="240" w:lineRule="auto" w:before="104"/>
        <w:ind w:left="655" w:right="1115"/>
        <w:jc w:val="left"/>
      </w:pPr>
      <w:r>
        <w:rPr/>
        <w:t>（续上表）</w:t>
      </w:r>
    </w:p>
    <w:p>
      <w:pPr>
        <w:spacing w:line="240" w:lineRule="auto" w:before="3"/>
        <w:rPr>
          <w:rFonts w:ascii="宋体" w:hAnsi="宋体" w:cs="宋体" w:eastAsia="宋体" w:hint="default"/>
          <w:sz w:val="19"/>
          <w:szCs w:val="19"/>
        </w:rPr>
      </w:pPr>
    </w:p>
    <w:p>
      <w:pPr>
        <w:spacing w:before="46"/>
        <w:ind w:left="1879" w:right="0"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12"/>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060" w:bottom="1160" w:left="900" w:right="0"/>
        </w:sectPr>
      </w:pPr>
    </w:p>
    <w:p>
      <w:pPr>
        <w:tabs>
          <w:tab w:pos="6763" w:val="left" w:leader="none"/>
        </w:tabs>
        <w:spacing w:line="202" w:lineRule="exact" w:before="46"/>
        <w:ind w:left="4266" w:right="0" w:firstLine="0"/>
        <w:jc w:val="left"/>
        <w:rPr>
          <w:rFonts w:ascii="宋体" w:hAnsi="宋体" w:cs="宋体" w:eastAsia="宋体" w:hint="default"/>
          <w:sz w:val="18"/>
          <w:szCs w:val="18"/>
        </w:rPr>
      </w:pPr>
      <w:r>
        <w:rPr>
          <w:rFonts w:ascii="宋体" w:hAnsi="宋体" w:cs="宋体" w:eastAsia="宋体" w:hint="default"/>
          <w:b/>
          <w:bCs/>
          <w:sz w:val="18"/>
          <w:szCs w:val="18"/>
        </w:rPr>
        <w:t>账面余额</w:t>
        <w:tab/>
        <w:t>坏账准备</w:t>
      </w:r>
      <w:r>
        <w:rPr>
          <w:rFonts w:ascii="宋体" w:hAnsi="宋体" w:cs="宋体" w:eastAsia="宋体" w:hint="default"/>
          <w:sz w:val="18"/>
          <w:szCs w:val="18"/>
        </w:rPr>
      </w:r>
    </w:p>
    <w:p>
      <w:pPr>
        <w:spacing w:line="194" w:lineRule="exact" w:before="0"/>
        <w:ind w:left="1390" w:right="0"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02"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tabs>
          <w:tab w:pos="5049" w:val="left" w:leader="none"/>
          <w:tab w:pos="6422" w:val="left" w:leader="none"/>
        </w:tabs>
        <w:spacing w:line="180" w:lineRule="exact" w:before="0"/>
        <w:ind w:left="3983" w:right="0" w:firstLine="0"/>
        <w:jc w:val="left"/>
        <w:rPr>
          <w:rFonts w:ascii="宋体" w:hAnsi="宋体" w:cs="宋体" w:eastAsia="宋体" w:hint="default"/>
          <w:sz w:val="18"/>
          <w:szCs w:val="18"/>
        </w:rPr>
      </w:pPr>
      <w:r>
        <w:rPr>
          <w:rFonts w:ascii="宋体" w:hAnsi="宋体" w:cs="宋体" w:eastAsia="宋体" w:hint="default"/>
          <w:b/>
          <w:bCs/>
          <w:sz w:val="18"/>
          <w:szCs w:val="18"/>
        </w:rPr>
        <w:t>金额</w:t>
        <w:tab/>
      </w:r>
      <w:r>
        <w:rPr>
          <w:rFonts w:ascii="宋体" w:hAnsi="宋体" w:cs="宋体" w:eastAsia="宋体" w:hint="default"/>
          <w:b/>
          <w:bCs/>
          <w:spacing w:val="-2"/>
          <w:sz w:val="18"/>
          <w:szCs w:val="18"/>
        </w:rPr>
        <w:t>比例（</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w:t>
        <w:tab/>
      </w:r>
      <w:r>
        <w:rPr>
          <w:rFonts w:ascii="宋体" w:hAnsi="宋体" w:cs="宋体" w:eastAsia="宋体" w:hint="default"/>
          <w:b/>
          <w:bCs/>
          <w:sz w:val="18"/>
          <w:szCs w:val="18"/>
        </w:rPr>
        <w:t>金额</w:t>
      </w:r>
      <w:r>
        <w:rPr>
          <w:rFonts w:ascii="宋体" w:hAnsi="宋体" w:cs="宋体" w:eastAsia="宋体" w:hint="default"/>
          <w:sz w:val="18"/>
          <w:szCs w:val="18"/>
        </w:rPr>
      </w:r>
    </w:p>
    <w:p>
      <w:pPr>
        <w:spacing w:line="207" w:lineRule="exact" w:before="0"/>
        <w:ind w:left="0" w:right="132" w:firstLine="0"/>
        <w:jc w:val="righ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3"/>
          <w:szCs w:val="13"/>
        </w:rPr>
      </w:pPr>
    </w:p>
    <w:p>
      <w:pPr>
        <w:spacing w:before="0"/>
        <w:ind w:left="526"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00" w:right="0"/>
          <w:cols w:num="2" w:equalWidth="0">
            <w:col w:w="8214" w:space="40"/>
            <w:col w:w="2756"/>
          </w:cols>
        </w:sectPr>
      </w:pPr>
    </w:p>
    <w:p>
      <w:pPr>
        <w:spacing w:line="240" w:lineRule="auto" w:before="7"/>
        <w:rPr>
          <w:rFonts w:ascii="宋体" w:hAnsi="宋体" w:cs="宋体" w:eastAsia="宋体" w:hint="default"/>
          <w:b/>
          <w:bCs/>
          <w:sz w:val="3"/>
          <w:szCs w:val="3"/>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87.4pt;height:.5pt;mso-position-horizontal-relative:char;mso-position-vertical-relative:line" coordorigin="0,0" coordsize="9748,10">
            <v:group style="position:absolute;left:5;top:5;width:3198;height:2" coordorigin="5,5" coordsize="3198,2">
              <v:shape style="position:absolute;left:5;top:5;width:3198;height:2" coordorigin="5,5" coordsize="3198,0" path="m5,5l3203,5e" filled="false" stroked="true" strokeweight=".47998pt" strokecolor="#000000">
                <v:path arrowok="t"/>
              </v:shape>
            </v:group>
            <v:group style="position:absolute;left:3203;top:5;width:10;height:2" coordorigin="3203,5" coordsize="10,2">
              <v:shape style="position:absolute;left:3203;top:5;width:10;height:2" coordorigin="3203,5" coordsize="10,0" path="m3203,5l3212,5e" filled="false" stroked="true" strokeweight=".47998pt" strokecolor="#000000">
                <v:path arrowok="t"/>
              </v:shape>
            </v:group>
            <v:group style="position:absolute;left:3212;top:5;width:1547;height:2" coordorigin="3212,5" coordsize="1547,2">
              <v:shape style="position:absolute;left:3212;top:5;width:1547;height:2" coordorigin="3212,5" coordsize="1547,0" path="m3212,5l4759,5e" filled="false" stroked="true" strokeweight=".47998pt" strokecolor="#000000">
                <v:path arrowok="t"/>
              </v:shape>
            </v:group>
            <v:group style="position:absolute;left:4759;top:5;width:10;height:2" coordorigin="4759,5" coordsize="10,2">
              <v:shape style="position:absolute;left:4759;top:5;width:10;height:2" coordorigin="4759,5" coordsize="10,0" path="m4759,5l4768,5e" filled="false" stroked="true" strokeweight=".47998pt" strokecolor="#000000">
                <v:path arrowok="t"/>
              </v:shape>
            </v:group>
            <v:group style="position:absolute;left:4768;top:5;width:927;height:2" coordorigin="4768,5" coordsize="927,2">
              <v:shape style="position:absolute;left:4768;top:5;width:927;height:2" coordorigin="4768,5" coordsize="927,0" path="m4768,5l5695,5e" filled="false" stroked="true" strokeweight=".47998pt" strokecolor="#000000">
                <v:path arrowok="t"/>
              </v:shape>
            </v:group>
            <v:group style="position:absolute;left:5695;top:5;width:10;height:2" coordorigin="5695,5" coordsize="10,2">
              <v:shape style="position:absolute;left:5695;top:5;width:10;height:2" coordorigin="5695,5" coordsize="10,0" path="m5695,5l5704,5e" filled="false" stroked="true" strokeweight=".47998pt" strokecolor="#000000">
                <v:path arrowok="t"/>
              </v:shape>
            </v:group>
            <v:group style="position:absolute;left:5704;top:5;width:1441;height:2" coordorigin="5704,5" coordsize="1441,2">
              <v:shape style="position:absolute;left:5704;top:5;width:1441;height:2" coordorigin="5704,5" coordsize="1441,0" path="m5704,5l7145,5e" filled="false" stroked="true" strokeweight=".47998pt" strokecolor="#000000">
                <v:path arrowok="t"/>
              </v:shape>
            </v:group>
            <v:group style="position:absolute;left:7145;top:5;width:10;height:2" coordorigin="7145,5" coordsize="10,2">
              <v:shape style="position:absolute;left:7145;top:5;width:10;height:2" coordorigin="7145,5" coordsize="10,0" path="m7145,5l7155,5e" filled="false" stroked="true" strokeweight=".47998pt" strokecolor="#000000">
                <v:path arrowok="t"/>
              </v:shape>
            </v:group>
            <v:group style="position:absolute;left:7155;top:5;width:1037;height:2" coordorigin="7155,5" coordsize="1037,2">
              <v:shape style="position:absolute;left:7155;top:5;width:1037;height:2" coordorigin="7155,5" coordsize="1037,0" path="m7155,5l8192,5e" filled="false" stroked="true" strokeweight=".47998pt" strokecolor="#000000">
                <v:path arrowok="t"/>
              </v:shape>
            </v:group>
            <v:group style="position:absolute;left:8192;top:5;width:10;height:2" coordorigin="8192,5" coordsize="10,2">
              <v:shape style="position:absolute;left:8192;top:5;width:10;height:2" coordorigin="8192,5" coordsize="10,0" path="m8192,5l8201,5e" filled="false" stroked="true" strokeweight=".47998pt" strokecolor="#000000">
                <v:path arrowok="t"/>
              </v:shape>
            </v:group>
            <v:group style="position:absolute;left:8201;top:5;width:1542;height:2" coordorigin="8201,5" coordsize="1542,2">
              <v:shape style="position:absolute;left:8201;top:5;width:1542;height:2" coordorigin="8201,5" coordsize="1542,0" path="m8201,5l9743,5e" filled="false" stroked="true" strokeweight=".47998pt" strokecolor="#000000">
                <v:path arrowok="t"/>
              </v:shape>
            </v:group>
          </v:group>
        </w:pict>
      </w:r>
      <w:r>
        <w:rPr>
          <w:rFonts w:ascii="宋体" w:hAnsi="宋体" w:cs="宋体" w:eastAsia="宋体" w:hint="default"/>
          <w:sz w:val="2"/>
          <w:szCs w:val="2"/>
        </w:rPr>
      </w:r>
    </w:p>
    <w:p>
      <w:pPr>
        <w:spacing w:line="367" w:lineRule="auto" w:before="67"/>
        <w:ind w:left="295" w:right="7177" w:firstLine="0"/>
        <w:jc w:val="left"/>
        <w:rPr>
          <w:rFonts w:ascii="宋体" w:hAnsi="宋体" w:cs="宋体" w:eastAsia="宋体" w:hint="default"/>
          <w:sz w:val="18"/>
          <w:szCs w:val="18"/>
        </w:rPr>
      </w:pPr>
      <w:r>
        <w:rPr>
          <w:rFonts w:ascii="宋体" w:hAnsi="宋体" w:cs="宋体" w:eastAsia="宋体" w:hint="default"/>
          <w:spacing w:val="-3"/>
          <w:sz w:val="18"/>
          <w:szCs w:val="18"/>
        </w:rPr>
        <w:t>单项金额重大并单独计提坏账准备的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应收账款</w:t>
      </w:r>
    </w:p>
    <w:p>
      <w:pPr>
        <w:spacing w:before="48"/>
        <w:ind w:left="295" w:right="1115" w:firstLine="0"/>
        <w:jc w:val="left"/>
        <w:rPr>
          <w:rFonts w:ascii="宋体" w:hAnsi="宋体" w:cs="宋体" w:eastAsia="宋体" w:hint="default"/>
          <w:sz w:val="18"/>
          <w:szCs w:val="18"/>
        </w:rPr>
      </w:pPr>
      <w:r>
        <w:rPr/>
        <w:pict>
          <v:shape style="position:absolute;margin-left:226.350006pt;margin-top:.074205pt;width:311.3pt;height:75.1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8"/>
                    <w:gridCol w:w="924"/>
                    <w:gridCol w:w="1517"/>
                    <w:gridCol w:w="977"/>
                    <w:gridCol w:w="1398"/>
                  </w:tblGrid>
                  <w:tr>
                    <w:trPr>
                      <w:trHeight w:val="470"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4"/>
                          <w:jc w:val="right"/>
                          <w:rPr>
                            <w:rFonts w:ascii="宋体" w:hAnsi="宋体" w:cs="宋体" w:eastAsia="宋体" w:hint="default"/>
                            <w:sz w:val="18"/>
                            <w:szCs w:val="18"/>
                          </w:rPr>
                        </w:pPr>
                        <w:r>
                          <w:rPr>
                            <w:rFonts w:ascii="宋体"/>
                            <w:spacing w:val="-1"/>
                            <w:sz w:val="18"/>
                          </w:rPr>
                          <w:t>21,483,532.56</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83"/>
                          <w:jc w:val="right"/>
                          <w:rPr>
                            <w:rFonts w:ascii="宋体" w:hAnsi="宋体" w:cs="宋体" w:eastAsia="宋体" w:hint="default"/>
                            <w:sz w:val="18"/>
                            <w:szCs w:val="18"/>
                          </w:rPr>
                        </w:pPr>
                        <w:r>
                          <w:rPr>
                            <w:rFonts w:ascii="宋体"/>
                            <w:sz w:val="18"/>
                          </w:rPr>
                          <w:t>98.11</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5"/>
                          <w:jc w:val="right"/>
                          <w:rPr>
                            <w:rFonts w:ascii="宋体" w:hAnsi="宋体" w:cs="宋体" w:eastAsia="宋体" w:hint="default"/>
                            <w:sz w:val="18"/>
                            <w:szCs w:val="18"/>
                          </w:rPr>
                        </w:pPr>
                        <w:r>
                          <w:rPr>
                            <w:rFonts w:ascii="宋体"/>
                            <w:spacing w:val="-1"/>
                            <w:sz w:val="18"/>
                          </w:rPr>
                          <w:t>4,043,842.78</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85"/>
                          <w:jc w:val="right"/>
                          <w:rPr>
                            <w:rFonts w:ascii="宋体" w:hAnsi="宋体" w:cs="宋体" w:eastAsia="宋体" w:hint="default"/>
                            <w:sz w:val="18"/>
                            <w:szCs w:val="18"/>
                          </w:rPr>
                        </w:pPr>
                        <w:r>
                          <w:rPr>
                            <w:rFonts w:ascii="宋体"/>
                            <w:sz w:val="18"/>
                          </w:rPr>
                          <w:t>18.82</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1"/>
                            <w:sz w:val="18"/>
                          </w:rPr>
                          <w:t>17,439,689.78</w:t>
                        </w:r>
                      </w:p>
                    </w:tc>
                  </w:tr>
                  <w:tr>
                    <w:trPr>
                      <w:trHeight w:val="559"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4"/>
                          <w:jc w:val="right"/>
                          <w:rPr>
                            <w:rFonts w:ascii="宋体" w:hAnsi="宋体" w:cs="宋体" w:eastAsia="宋体" w:hint="default"/>
                            <w:sz w:val="18"/>
                            <w:szCs w:val="18"/>
                          </w:rPr>
                        </w:pPr>
                        <w:r>
                          <w:rPr>
                            <w:rFonts w:ascii="宋体"/>
                            <w:spacing w:val="-1"/>
                            <w:sz w:val="18"/>
                          </w:rPr>
                          <w:t>414,666.66</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83"/>
                          <w:jc w:val="right"/>
                          <w:rPr>
                            <w:rFonts w:ascii="宋体" w:hAnsi="宋体" w:cs="宋体" w:eastAsia="宋体" w:hint="default"/>
                            <w:sz w:val="18"/>
                            <w:szCs w:val="18"/>
                          </w:rPr>
                        </w:pPr>
                        <w:r>
                          <w:rPr>
                            <w:rFonts w:ascii="宋体"/>
                            <w:sz w:val="18"/>
                          </w:rPr>
                          <w:t>1.89</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45"/>
                          <w:jc w:val="right"/>
                          <w:rPr>
                            <w:rFonts w:ascii="宋体" w:hAnsi="宋体" w:cs="宋体" w:eastAsia="宋体" w:hint="default"/>
                            <w:sz w:val="18"/>
                            <w:szCs w:val="18"/>
                          </w:rPr>
                        </w:pPr>
                        <w:r>
                          <w:rPr>
                            <w:rFonts w:ascii="宋体"/>
                            <w:spacing w:val="-1"/>
                            <w:sz w:val="18"/>
                          </w:rPr>
                          <w:t>414,666.66</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85"/>
                          <w:jc w:val="right"/>
                          <w:rPr>
                            <w:rFonts w:ascii="宋体" w:hAnsi="宋体" w:cs="宋体" w:eastAsia="宋体" w:hint="default"/>
                            <w:sz w:val="18"/>
                            <w:szCs w:val="18"/>
                          </w:rPr>
                        </w:pPr>
                        <w:r>
                          <w:rPr>
                            <w:rFonts w:ascii="宋体"/>
                            <w:spacing w:val="-1"/>
                            <w:sz w:val="18"/>
                          </w:rPr>
                          <w:t>100.00</w:t>
                        </w:r>
                      </w:p>
                    </w:tc>
                    <w:tc>
                      <w:tcPr>
                        <w:tcW w:w="1398" w:type="dxa"/>
                        <w:tcBorders>
                          <w:top w:val="nil" w:sz="6" w:space="0" w:color="auto"/>
                          <w:left w:val="nil" w:sz="6" w:space="0" w:color="auto"/>
                          <w:bottom w:val="nil" w:sz="6" w:space="0" w:color="auto"/>
                          <w:right w:val="nil" w:sz="6" w:space="0" w:color="auto"/>
                        </w:tcBorders>
                      </w:tcPr>
                      <w:p>
                        <w:pPr/>
                      </w:p>
                    </w:tc>
                  </w:tr>
                  <w:tr>
                    <w:trPr>
                      <w:trHeight w:val="472"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4"/>
                          <w:jc w:val="right"/>
                          <w:rPr>
                            <w:rFonts w:ascii="宋体" w:hAnsi="宋体" w:cs="宋体" w:eastAsia="宋体" w:hint="default"/>
                            <w:sz w:val="18"/>
                            <w:szCs w:val="18"/>
                          </w:rPr>
                        </w:pPr>
                        <w:r>
                          <w:rPr>
                            <w:rFonts w:ascii="宋体"/>
                            <w:w w:val="101"/>
                            <w:sz w:val="18"/>
                          </w:rPr>
                        </w:r>
                        <w:r>
                          <w:rPr>
                            <w:rFonts w:ascii="宋体"/>
                            <w:spacing w:val="-1"/>
                            <w:sz w:val="18"/>
                            <w:u w:val="thick" w:color="000000"/>
                          </w:rPr>
                          <w:t>21,898,199.22</w:t>
                        </w:r>
                        <w:r>
                          <w:rPr>
                            <w:rFonts w:ascii="宋体"/>
                            <w:spacing w:val="-1"/>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82"/>
                          <w:jc w:val="right"/>
                          <w:rPr>
                            <w:rFonts w:ascii="宋体" w:hAnsi="宋体" w:cs="宋体" w:eastAsia="宋体" w:hint="default"/>
                            <w:sz w:val="18"/>
                            <w:szCs w:val="18"/>
                          </w:rPr>
                        </w:pPr>
                        <w:r>
                          <w:rPr>
                            <w:rFonts w:ascii="宋体"/>
                            <w:w w:val="101"/>
                            <w:sz w:val="18"/>
                          </w:rPr>
                        </w:r>
                        <w:r>
                          <w:rPr>
                            <w:rFonts w:ascii="宋体"/>
                            <w:spacing w:val="-1"/>
                            <w:sz w:val="18"/>
                            <w:u w:val="thick" w:color="000000"/>
                          </w:rPr>
                          <w:t>100.00</w:t>
                        </w:r>
                        <w:r>
                          <w:rPr>
                            <w:rFonts w:ascii="宋体"/>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45"/>
                          <w:jc w:val="right"/>
                          <w:rPr>
                            <w:rFonts w:ascii="宋体" w:hAnsi="宋体" w:cs="宋体" w:eastAsia="宋体" w:hint="default"/>
                            <w:sz w:val="18"/>
                            <w:szCs w:val="18"/>
                          </w:rPr>
                        </w:pPr>
                        <w:r>
                          <w:rPr>
                            <w:rFonts w:ascii="宋体"/>
                            <w:w w:val="101"/>
                            <w:sz w:val="18"/>
                          </w:rPr>
                        </w:r>
                        <w:r>
                          <w:rPr>
                            <w:rFonts w:ascii="宋体"/>
                            <w:spacing w:val="-1"/>
                            <w:sz w:val="18"/>
                            <w:u w:val="thick" w:color="000000"/>
                          </w:rPr>
                          <w:t>4,458,509.44</w:t>
                        </w:r>
                        <w:r>
                          <w:rPr>
                            <w:rFonts w:ascii="宋体"/>
                            <w:spacing w:val="-1"/>
                            <w:sz w:val="18"/>
                          </w:rPr>
                        </w:r>
                      </w:p>
                    </w:tc>
                    <w:tc>
                      <w:tcPr>
                        <w:tcW w:w="977"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宋体" w:hAnsi="宋体" w:cs="宋体" w:eastAsia="宋体" w:hint="default"/>
                            <w:sz w:val="18"/>
                            <w:szCs w:val="18"/>
                          </w:rPr>
                        </w:pPr>
                        <w:r>
                          <w:rPr>
                            <w:rFonts w:ascii="宋体"/>
                            <w:w w:val="101"/>
                            <w:sz w:val="18"/>
                          </w:rPr>
                        </w:r>
                        <w:r>
                          <w:rPr>
                            <w:rFonts w:ascii="宋体"/>
                            <w:spacing w:val="-1"/>
                            <w:sz w:val="18"/>
                            <w:u w:val="thick" w:color="000000"/>
                          </w:rPr>
                          <w:t>17,439,689.78</w:t>
                        </w:r>
                        <w:r>
                          <w:rPr>
                            <w:rFonts w:ascii="宋体"/>
                            <w:spacing w:val="-1"/>
                            <w:sz w:val="18"/>
                          </w:rPr>
                        </w:r>
                      </w:p>
                    </w:tc>
                  </w:tr>
                </w:tbl>
                <w:p>
                  <w:pPr/>
                </w:p>
              </w:txbxContent>
            </v:textbox>
            <w10:wrap type="none"/>
          </v:shape>
        </w:pict>
      </w:r>
      <w:r>
        <w:rPr>
          <w:rFonts w:ascii="宋体" w:hAnsi="宋体" w:cs="宋体" w:eastAsia="宋体" w:hint="default"/>
          <w:spacing w:val="-3"/>
          <w:sz w:val="18"/>
          <w:szCs w:val="18"/>
        </w:rPr>
        <w:t>按账龄组合计提坏账准备的应收账款</w:t>
      </w:r>
    </w:p>
    <w:p>
      <w:pPr>
        <w:spacing w:line="367" w:lineRule="auto" w:before="143"/>
        <w:ind w:left="295" w:right="7177" w:firstLine="0"/>
        <w:jc w:val="left"/>
        <w:rPr>
          <w:rFonts w:ascii="宋体" w:hAnsi="宋体" w:cs="宋体" w:eastAsia="宋体" w:hint="default"/>
          <w:sz w:val="18"/>
          <w:szCs w:val="18"/>
        </w:rPr>
      </w:pPr>
      <w:r>
        <w:rPr>
          <w:rFonts w:ascii="宋体" w:hAnsi="宋体" w:cs="宋体" w:eastAsia="宋体" w:hint="default"/>
          <w:spacing w:val="-3"/>
          <w:sz w:val="18"/>
          <w:szCs w:val="18"/>
        </w:rPr>
        <w:t>单项金额不重大但单独计提坏账准备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的应收账款</w:t>
      </w:r>
    </w:p>
    <w:p>
      <w:pPr>
        <w:spacing w:before="48"/>
        <w:ind w:left="1606" w:right="1115" w:firstLine="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p>
      <w:pPr>
        <w:spacing w:line="240" w:lineRule="auto" w:before="3"/>
        <w:rPr>
          <w:rFonts w:ascii="宋体" w:hAnsi="宋体" w:cs="宋体" w:eastAsia="宋体" w:hint="default"/>
          <w:sz w:val="20"/>
          <w:szCs w:val="20"/>
        </w:rPr>
      </w:pPr>
    </w:p>
    <w:p>
      <w:pPr>
        <w:pStyle w:val="BodyText"/>
        <w:spacing w:line="240" w:lineRule="auto" w:before="36"/>
        <w:ind w:left="655" w:right="1115"/>
        <w:jc w:val="left"/>
      </w:pPr>
      <w:r>
        <w:rPr/>
        <w:t>（</w:t>
      </w:r>
      <w:r>
        <w:rPr>
          <w:rFonts w:ascii="宋体" w:hAnsi="宋体" w:cs="宋体" w:eastAsia="宋体" w:hint="default"/>
        </w:rPr>
        <w:t>1</w:t>
      </w:r>
      <w:r>
        <w:rPr/>
        <w:t>）组合中，按账龄分析法计提坏账准备的应收账款</w:t>
      </w:r>
    </w:p>
    <w:p>
      <w:pPr>
        <w:spacing w:line="240" w:lineRule="auto" w:before="3"/>
        <w:rPr>
          <w:rFonts w:ascii="宋体" w:hAnsi="宋体" w:cs="宋体" w:eastAsia="宋体" w:hint="default"/>
          <w:sz w:val="27"/>
          <w:szCs w:val="27"/>
        </w:rPr>
      </w:pPr>
    </w:p>
    <w:tbl>
      <w:tblPr>
        <w:tblW w:w="0" w:type="auto"/>
        <w:jc w:val="left"/>
        <w:tblInd w:w="122" w:type="dxa"/>
        <w:tblLayout w:type="fixed"/>
        <w:tblCellMar>
          <w:top w:w="0" w:type="dxa"/>
          <w:left w:w="0" w:type="dxa"/>
          <w:bottom w:w="0" w:type="dxa"/>
          <w:right w:w="0" w:type="dxa"/>
        </w:tblCellMar>
        <w:tblLook w:val="01E0"/>
      </w:tblPr>
      <w:tblGrid>
        <w:gridCol w:w="3219"/>
        <w:gridCol w:w="2641"/>
        <w:gridCol w:w="2293"/>
        <w:gridCol w:w="1705"/>
      </w:tblGrid>
      <w:tr>
        <w:trPr>
          <w:trHeight w:val="248" w:hRule="exact"/>
        </w:trPr>
        <w:tc>
          <w:tcPr>
            <w:tcW w:w="3219" w:type="dxa"/>
            <w:tcBorders>
              <w:top w:val="nil" w:sz="6" w:space="0" w:color="auto"/>
              <w:left w:val="nil" w:sz="6" w:space="0" w:color="auto"/>
              <w:bottom w:val="single" w:sz="4" w:space="0" w:color="000000"/>
              <w:right w:val="nil" w:sz="6" w:space="0" w:color="auto"/>
            </w:tcBorders>
          </w:tcPr>
          <w:p>
            <w:pPr>
              <w:pStyle w:val="TableParagraph"/>
              <w:spacing w:line="182" w:lineRule="exact"/>
              <w:ind w:right="1143"/>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641" w:type="dxa"/>
            <w:tcBorders>
              <w:top w:val="nil" w:sz="6" w:space="0" w:color="auto"/>
              <w:left w:val="nil" w:sz="6" w:space="0" w:color="auto"/>
              <w:bottom w:val="single" w:sz="4" w:space="0" w:color="000000"/>
              <w:right w:val="nil" w:sz="6" w:space="0" w:color="auto"/>
            </w:tcBorders>
          </w:tcPr>
          <w:p>
            <w:pPr>
              <w:pStyle w:val="TableParagraph"/>
              <w:spacing w:line="182" w:lineRule="exact"/>
              <w:ind w:left="11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93" w:type="dxa"/>
            <w:tcBorders>
              <w:top w:val="nil" w:sz="6" w:space="0" w:color="auto"/>
              <w:left w:val="nil" w:sz="6" w:space="0" w:color="auto"/>
              <w:bottom w:val="single" w:sz="4" w:space="0" w:color="000000"/>
              <w:right w:val="nil" w:sz="6" w:space="0" w:color="auto"/>
            </w:tcBorders>
          </w:tcPr>
          <w:p>
            <w:pPr>
              <w:pStyle w:val="TableParagraph"/>
              <w:spacing w:line="182" w:lineRule="exact"/>
              <w:ind w:left="281"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c>
          <w:tcPr>
            <w:tcW w:w="1705" w:type="dxa"/>
            <w:tcBorders>
              <w:top w:val="nil" w:sz="6" w:space="0" w:color="auto"/>
              <w:left w:val="nil" w:sz="6" w:space="0" w:color="auto"/>
              <w:bottom w:val="single" w:sz="4" w:space="0" w:color="000000"/>
              <w:right w:val="nil" w:sz="6" w:space="0" w:color="auto"/>
            </w:tcBorders>
          </w:tcPr>
          <w:p>
            <w:pPr>
              <w:pStyle w:val="TableParagraph"/>
              <w:spacing w:line="182"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3219"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64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79"/>
              <w:jc w:val="right"/>
              <w:rPr>
                <w:rFonts w:ascii="宋体" w:hAnsi="宋体" w:cs="宋体" w:eastAsia="宋体" w:hint="default"/>
                <w:sz w:val="18"/>
                <w:szCs w:val="18"/>
              </w:rPr>
            </w:pPr>
            <w:r>
              <w:rPr>
                <w:rFonts w:ascii="宋体"/>
                <w:spacing w:val="-1"/>
                <w:sz w:val="18"/>
              </w:rPr>
              <w:t>9,230,589.72</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09"/>
              <w:jc w:val="right"/>
              <w:rPr>
                <w:rFonts w:ascii="宋体" w:hAnsi="宋体" w:cs="宋体" w:eastAsia="宋体" w:hint="default"/>
                <w:sz w:val="18"/>
                <w:szCs w:val="18"/>
              </w:rPr>
            </w:pPr>
            <w:r>
              <w:rPr>
                <w:rFonts w:ascii="宋体"/>
                <w:spacing w:val="-1"/>
                <w:sz w:val="18"/>
              </w:rPr>
              <w:t>295,201.79</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4"/>
              <w:jc w:val="right"/>
              <w:rPr>
                <w:rFonts w:ascii="宋体" w:hAnsi="宋体" w:cs="宋体" w:eastAsia="宋体" w:hint="default"/>
                <w:sz w:val="18"/>
                <w:szCs w:val="18"/>
              </w:rPr>
            </w:pPr>
            <w:r>
              <w:rPr>
                <w:rFonts w:ascii="宋体"/>
                <w:sz w:val="18"/>
              </w:rPr>
              <w:t>3.20</w:t>
            </w:r>
          </w:p>
        </w:tc>
      </w:tr>
      <w:tr>
        <w:trPr>
          <w:trHeight w:val="399"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9"/>
              <w:jc w:val="right"/>
              <w:rPr>
                <w:rFonts w:ascii="宋体" w:hAnsi="宋体" w:cs="宋体" w:eastAsia="宋体" w:hint="default"/>
                <w:sz w:val="18"/>
                <w:szCs w:val="18"/>
              </w:rPr>
            </w:pPr>
            <w:r>
              <w:rPr>
                <w:rFonts w:ascii="宋体"/>
                <w:spacing w:val="-1"/>
                <w:sz w:val="18"/>
              </w:rPr>
              <w:t>3,951,812.86</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9"/>
              <w:jc w:val="right"/>
              <w:rPr>
                <w:rFonts w:ascii="宋体" w:hAnsi="宋体" w:cs="宋体" w:eastAsia="宋体" w:hint="default"/>
                <w:sz w:val="18"/>
                <w:szCs w:val="18"/>
              </w:rPr>
            </w:pPr>
            <w:r>
              <w:rPr>
                <w:rFonts w:ascii="宋体"/>
                <w:spacing w:val="-1"/>
                <w:sz w:val="18"/>
              </w:rPr>
              <w:t>441,534.49</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4"/>
              <w:jc w:val="right"/>
              <w:rPr>
                <w:rFonts w:ascii="宋体" w:hAnsi="宋体" w:cs="宋体" w:eastAsia="宋体" w:hint="default"/>
                <w:sz w:val="18"/>
                <w:szCs w:val="18"/>
              </w:rPr>
            </w:pPr>
            <w:r>
              <w:rPr>
                <w:rFonts w:ascii="宋体"/>
                <w:sz w:val="18"/>
              </w:rPr>
              <w:t>11.17</w:t>
            </w:r>
          </w:p>
        </w:tc>
      </w:tr>
      <w:tr>
        <w:trPr>
          <w:trHeight w:val="408"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9"/>
              <w:jc w:val="right"/>
              <w:rPr>
                <w:rFonts w:ascii="宋体" w:hAnsi="宋体" w:cs="宋体" w:eastAsia="宋体" w:hint="default"/>
                <w:sz w:val="18"/>
                <w:szCs w:val="18"/>
              </w:rPr>
            </w:pPr>
            <w:r>
              <w:rPr>
                <w:rFonts w:ascii="宋体"/>
                <w:spacing w:val="-1"/>
                <w:sz w:val="18"/>
              </w:rPr>
              <w:t>1,860,202.30</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9"/>
              <w:jc w:val="right"/>
              <w:rPr>
                <w:rFonts w:ascii="宋体" w:hAnsi="宋体" w:cs="宋体" w:eastAsia="宋体" w:hint="default"/>
                <w:sz w:val="18"/>
                <w:szCs w:val="18"/>
              </w:rPr>
            </w:pPr>
            <w:r>
              <w:rPr>
                <w:rFonts w:ascii="宋体"/>
                <w:spacing w:val="-1"/>
                <w:sz w:val="18"/>
              </w:rPr>
              <w:t>1,266,199.43</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4"/>
              <w:jc w:val="right"/>
              <w:rPr>
                <w:rFonts w:ascii="宋体" w:hAnsi="宋体" w:cs="宋体" w:eastAsia="宋体" w:hint="default"/>
                <w:sz w:val="18"/>
                <w:szCs w:val="18"/>
              </w:rPr>
            </w:pPr>
            <w:r>
              <w:rPr>
                <w:rFonts w:ascii="宋体"/>
                <w:sz w:val="18"/>
              </w:rPr>
              <w:t>68.07</w:t>
            </w:r>
          </w:p>
        </w:tc>
      </w:tr>
      <w:tr>
        <w:trPr>
          <w:trHeight w:val="2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3"/>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9"/>
              <w:jc w:val="right"/>
              <w:rPr>
                <w:rFonts w:ascii="宋体" w:hAnsi="宋体" w:cs="宋体" w:eastAsia="宋体" w:hint="default"/>
                <w:sz w:val="18"/>
                <w:szCs w:val="18"/>
              </w:rPr>
            </w:pPr>
            <w:r>
              <w:rPr>
                <w:rFonts w:ascii="宋体"/>
                <w:w w:val="101"/>
                <w:sz w:val="18"/>
              </w:rPr>
            </w:r>
            <w:r>
              <w:rPr>
                <w:rFonts w:ascii="宋体"/>
                <w:spacing w:val="-1"/>
                <w:sz w:val="18"/>
                <w:u w:val="thick" w:color="000000"/>
              </w:rPr>
              <w:t>15,042,604.88</w:t>
            </w:r>
            <w:r>
              <w:rPr>
                <w:rFonts w:ascii="宋体"/>
                <w:spacing w:val="-1"/>
                <w:sz w:val="18"/>
              </w:rPr>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9"/>
              <w:jc w:val="right"/>
              <w:rPr>
                <w:rFonts w:ascii="宋体" w:hAnsi="宋体" w:cs="宋体" w:eastAsia="宋体" w:hint="default"/>
                <w:sz w:val="18"/>
                <w:szCs w:val="18"/>
              </w:rPr>
            </w:pPr>
            <w:r>
              <w:rPr>
                <w:rFonts w:ascii="宋体"/>
                <w:w w:val="101"/>
                <w:sz w:val="18"/>
              </w:rPr>
            </w:r>
            <w:r>
              <w:rPr>
                <w:rFonts w:ascii="宋体"/>
                <w:spacing w:val="-1"/>
                <w:sz w:val="18"/>
                <w:u w:val="thick" w:color="000000"/>
              </w:rPr>
              <w:t>2,002,935.71</w:t>
            </w:r>
            <w:r>
              <w:rPr>
                <w:rFonts w:ascii="宋体"/>
                <w:spacing w:val="-1"/>
                <w:sz w:val="18"/>
              </w:rPr>
            </w:r>
          </w:p>
        </w:tc>
        <w:tc>
          <w:tcPr>
            <w:tcW w:w="1705"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20"/>
          <w:szCs w:val="20"/>
        </w:rPr>
      </w:pPr>
    </w:p>
    <w:p>
      <w:pPr>
        <w:pStyle w:val="BodyText"/>
        <w:spacing w:line="240" w:lineRule="auto" w:before="36"/>
        <w:ind w:left="655" w:right="1115"/>
        <w:jc w:val="left"/>
      </w:pPr>
      <w:r>
        <w:rPr/>
        <w:t>（</w:t>
      </w:r>
      <w:r>
        <w:rPr>
          <w:rFonts w:ascii="宋体" w:hAnsi="宋体" w:cs="宋体" w:eastAsia="宋体" w:hint="default"/>
        </w:rPr>
        <w:t>2</w:t>
      </w:r>
      <w:r>
        <w:rPr/>
        <w:t>）单项金额不重大但单项计提坏账准备的应收账款</w:t>
      </w:r>
    </w:p>
    <w:p>
      <w:pPr>
        <w:spacing w:line="240" w:lineRule="auto" w:before="10"/>
        <w:rPr>
          <w:rFonts w:ascii="宋体" w:hAnsi="宋体" w:cs="宋体" w:eastAsia="宋体" w:hint="default"/>
          <w:sz w:val="25"/>
          <w:szCs w:val="25"/>
        </w:rPr>
      </w:pPr>
    </w:p>
    <w:tbl>
      <w:tblPr>
        <w:tblW w:w="0" w:type="auto"/>
        <w:jc w:val="left"/>
        <w:tblInd w:w="574" w:type="dxa"/>
        <w:tblLayout w:type="fixed"/>
        <w:tblCellMar>
          <w:top w:w="0" w:type="dxa"/>
          <w:left w:w="0" w:type="dxa"/>
          <w:bottom w:w="0" w:type="dxa"/>
          <w:right w:w="0" w:type="dxa"/>
        </w:tblCellMar>
        <w:tblLook w:val="01E0"/>
      </w:tblPr>
      <w:tblGrid>
        <w:gridCol w:w="2876"/>
        <w:gridCol w:w="1664"/>
        <w:gridCol w:w="1560"/>
        <w:gridCol w:w="1446"/>
        <w:gridCol w:w="1414"/>
      </w:tblGrid>
      <w:tr>
        <w:trPr>
          <w:trHeight w:val="598" w:hRule="exact"/>
        </w:trPr>
        <w:tc>
          <w:tcPr>
            <w:tcW w:w="2876"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62"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124"/>
              <w:ind w:left="42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182" w:lineRule="exact"/>
              <w:ind w:right="146"/>
              <w:jc w:val="center"/>
              <w:rPr>
                <w:rFonts w:ascii="宋体" w:hAnsi="宋体" w:cs="宋体" w:eastAsia="宋体" w:hint="default"/>
                <w:sz w:val="18"/>
                <w:szCs w:val="18"/>
              </w:rPr>
            </w:pPr>
            <w:r>
              <w:rPr>
                <w:rFonts w:ascii="宋体" w:hAnsi="宋体" w:cs="宋体" w:eastAsia="宋体" w:hint="default"/>
                <w:b/>
                <w:bCs/>
                <w:sz w:val="18"/>
                <w:szCs w:val="18"/>
              </w:rPr>
              <w:t>坏账准备期</w:t>
            </w:r>
            <w:r>
              <w:rPr>
                <w:rFonts w:ascii="宋体" w:hAnsi="宋体" w:cs="宋体" w:eastAsia="宋体" w:hint="default"/>
                <w:sz w:val="18"/>
                <w:szCs w:val="18"/>
              </w:rPr>
            </w:r>
          </w:p>
          <w:p>
            <w:pPr>
              <w:pStyle w:val="TableParagraph"/>
              <w:spacing w:line="240" w:lineRule="auto" w:before="124"/>
              <w:ind w:right="142"/>
              <w:jc w:val="center"/>
              <w:rPr>
                <w:rFonts w:ascii="宋体" w:hAnsi="宋体" w:cs="宋体" w:eastAsia="宋体" w:hint="default"/>
                <w:sz w:val="18"/>
                <w:szCs w:val="18"/>
              </w:rPr>
            </w:pPr>
            <w:r>
              <w:rPr>
                <w:rFonts w:ascii="宋体" w:hAnsi="宋体" w:cs="宋体" w:eastAsia="宋体" w:hint="default"/>
                <w:b/>
                <w:bCs/>
                <w:sz w:val="18"/>
                <w:szCs w:val="18"/>
              </w:rPr>
              <w:t>末余额</w:t>
            </w:r>
            <w:r>
              <w:rPr>
                <w:rFonts w:ascii="宋体" w:hAnsi="宋体" w:cs="宋体" w:eastAsia="宋体" w:hint="default"/>
                <w:sz w:val="18"/>
                <w:szCs w:val="18"/>
              </w:rPr>
            </w: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36"/>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4"/>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39" w:hRule="exact"/>
        </w:trPr>
        <w:tc>
          <w:tcPr>
            <w:tcW w:w="2876"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北京易后台财税科技有限公司</w:t>
            </w:r>
          </w:p>
        </w:tc>
        <w:tc>
          <w:tcPr>
            <w:tcW w:w="166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250"/>
              <w:jc w:val="right"/>
              <w:rPr>
                <w:rFonts w:ascii="宋体" w:hAnsi="宋体" w:cs="宋体" w:eastAsia="宋体" w:hint="default"/>
                <w:sz w:val="18"/>
                <w:szCs w:val="18"/>
              </w:rPr>
            </w:pPr>
            <w:r>
              <w:rPr>
                <w:rFonts w:ascii="宋体"/>
                <w:spacing w:val="-1"/>
                <w:sz w:val="18"/>
              </w:rPr>
              <w:t>902,000.00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110"/>
              <w:jc w:val="right"/>
              <w:rPr>
                <w:rFonts w:ascii="宋体" w:hAnsi="宋体" w:cs="宋体" w:eastAsia="宋体" w:hint="default"/>
                <w:sz w:val="18"/>
                <w:szCs w:val="18"/>
              </w:rPr>
            </w:pPr>
            <w:r>
              <w:rPr>
                <w:rFonts w:ascii="宋体"/>
                <w:spacing w:val="-1"/>
                <w:sz w:val="18"/>
              </w:rPr>
              <w:t>902,000.00</w:t>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33"/>
              <w:jc w:val="center"/>
              <w:rPr>
                <w:rFonts w:ascii="宋体" w:hAnsi="宋体" w:cs="宋体" w:eastAsia="宋体" w:hint="default"/>
                <w:sz w:val="18"/>
                <w:szCs w:val="18"/>
              </w:rPr>
            </w:pPr>
            <w:r>
              <w:rPr>
                <w:rFonts w:ascii="宋体"/>
                <w:sz w:val="18"/>
              </w:rPr>
              <w:t>100.00</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24"/>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6"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5" w:right="0"/>
              <w:jc w:val="left"/>
              <w:rPr>
                <w:rFonts w:ascii="宋体" w:hAnsi="宋体" w:cs="宋体" w:eastAsia="宋体" w:hint="default"/>
                <w:sz w:val="18"/>
                <w:szCs w:val="18"/>
              </w:rPr>
            </w:pPr>
            <w:r>
              <w:rPr>
                <w:rFonts w:ascii="宋体" w:hAnsi="宋体" w:cs="宋体" w:eastAsia="宋体" w:hint="default"/>
                <w:spacing w:val="-3"/>
                <w:sz w:val="18"/>
                <w:szCs w:val="18"/>
              </w:rPr>
              <w:t>新疆软件园有限责任公司</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0"/>
              <w:jc w:val="right"/>
              <w:rPr>
                <w:rFonts w:ascii="宋体" w:hAnsi="宋体" w:cs="宋体" w:eastAsia="宋体" w:hint="default"/>
                <w:sz w:val="18"/>
                <w:szCs w:val="18"/>
              </w:rPr>
            </w:pPr>
            <w:r>
              <w:rPr>
                <w:rFonts w:ascii="宋体"/>
                <w:spacing w:val="-1"/>
                <w:sz w:val="18"/>
              </w:rPr>
              <w:t>600,000.00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0"/>
              <w:jc w:val="right"/>
              <w:rPr>
                <w:rFonts w:ascii="宋体" w:hAnsi="宋体" w:cs="宋体" w:eastAsia="宋体" w:hint="default"/>
                <w:sz w:val="18"/>
                <w:szCs w:val="18"/>
              </w:rPr>
            </w:pPr>
            <w:r>
              <w:rPr>
                <w:rFonts w:ascii="宋体"/>
                <w:spacing w:val="-1"/>
                <w:sz w:val="18"/>
              </w:rPr>
              <w:t>600,000.00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center"/>
              <w:rPr>
                <w:rFonts w:ascii="宋体" w:hAnsi="宋体" w:cs="宋体" w:eastAsia="宋体" w:hint="default"/>
                <w:sz w:val="18"/>
                <w:szCs w:val="18"/>
              </w:rPr>
            </w:pPr>
            <w:r>
              <w:rPr>
                <w:rFonts w:ascii="宋体"/>
                <w:sz w:val="18"/>
              </w:rPr>
              <w:t>100.00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上海财华保网络科技有限公司</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0"/>
              <w:jc w:val="right"/>
              <w:rPr>
                <w:rFonts w:ascii="宋体" w:hAnsi="宋体" w:cs="宋体" w:eastAsia="宋体" w:hint="default"/>
                <w:sz w:val="18"/>
                <w:szCs w:val="18"/>
              </w:rPr>
            </w:pPr>
            <w:r>
              <w:rPr>
                <w:rFonts w:ascii="宋体"/>
                <w:spacing w:val="-1"/>
                <w:sz w:val="18"/>
              </w:rPr>
              <w:t>300,000.00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宋体" w:hAnsi="宋体" w:cs="宋体" w:eastAsia="宋体" w:hint="default"/>
                <w:sz w:val="18"/>
                <w:szCs w:val="18"/>
              </w:rPr>
            </w:pPr>
            <w:r>
              <w:rPr>
                <w:rFonts w:ascii="宋体"/>
                <w:spacing w:val="-1"/>
                <w:sz w:val="18"/>
              </w:rPr>
              <w:t>300,000.00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center"/>
              <w:rPr>
                <w:rFonts w:ascii="宋体" w:hAnsi="宋体" w:cs="宋体" w:eastAsia="宋体" w:hint="default"/>
                <w:sz w:val="18"/>
                <w:szCs w:val="18"/>
              </w:rPr>
            </w:pPr>
            <w:r>
              <w:rPr>
                <w:rFonts w:ascii="宋体"/>
                <w:sz w:val="18"/>
              </w:rPr>
              <w:t>100.00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00" w:hRule="exact"/>
        </w:trPr>
        <w:tc>
          <w:tcPr>
            <w:tcW w:w="287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pacing w:val="-3"/>
                <w:sz w:val="18"/>
                <w:szCs w:val="18"/>
              </w:rPr>
              <w:t>空间家有限公司</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0"/>
              <w:jc w:val="right"/>
              <w:rPr>
                <w:rFonts w:ascii="宋体" w:hAnsi="宋体" w:cs="宋体" w:eastAsia="宋体" w:hint="default"/>
                <w:sz w:val="18"/>
                <w:szCs w:val="18"/>
              </w:rPr>
            </w:pPr>
            <w:r>
              <w:rPr>
                <w:rFonts w:ascii="宋体"/>
                <w:spacing w:val="-1"/>
                <w:sz w:val="18"/>
              </w:rPr>
              <w:t>251,200.00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宋体" w:hAnsi="宋体" w:cs="宋体" w:eastAsia="宋体" w:hint="default"/>
                <w:sz w:val="18"/>
                <w:szCs w:val="18"/>
              </w:rPr>
            </w:pPr>
            <w:r>
              <w:rPr>
                <w:rFonts w:ascii="宋体"/>
                <w:spacing w:val="-1"/>
                <w:sz w:val="18"/>
              </w:rPr>
              <w:t>251,200.00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center"/>
              <w:rPr>
                <w:rFonts w:ascii="宋体" w:hAnsi="宋体" w:cs="宋体" w:eastAsia="宋体" w:hint="default"/>
                <w:sz w:val="18"/>
                <w:szCs w:val="18"/>
              </w:rPr>
            </w:pPr>
            <w:r>
              <w:rPr>
                <w:rFonts w:ascii="宋体"/>
                <w:sz w:val="18"/>
              </w:rPr>
              <w:t>100.00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center"/>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center"/>
        <w:rPr>
          <w:rFonts w:ascii="宋体" w:hAnsi="宋体" w:cs="宋体" w:eastAsia="宋体" w:hint="default"/>
          <w:sz w:val="18"/>
          <w:szCs w:val="18"/>
        </w:rPr>
        <w:sectPr>
          <w:type w:val="continuous"/>
          <w:pgSz w:w="11910" w:h="16840"/>
          <w:pgMar w:top="1060" w:bottom="1160" w:left="9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639" w:type="dxa"/>
        <w:tblLayout w:type="fixed"/>
        <w:tblCellMar>
          <w:top w:w="0" w:type="dxa"/>
          <w:left w:w="0" w:type="dxa"/>
          <w:bottom w:w="0" w:type="dxa"/>
          <w:right w:w="0" w:type="dxa"/>
        </w:tblCellMar>
        <w:tblLook w:val="01E0"/>
      </w:tblPr>
      <w:tblGrid>
        <w:gridCol w:w="3014"/>
        <w:gridCol w:w="1681"/>
        <w:gridCol w:w="1664"/>
        <w:gridCol w:w="1124"/>
        <w:gridCol w:w="1595"/>
      </w:tblGrid>
      <w:tr>
        <w:trPr>
          <w:trHeight w:val="300"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spacing w:val="-3"/>
                <w:sz w:val="18"/>
                <w:szCs w:val="18"/>
              </w:rPr>
              <w:t>北京保康朗德文化传媒有限公司</w:t>
            </w:r>
          </w:p>
        </w:tc>
        <w:tc>
          <w:tcPr>
            <w:tcW w:w="1681" w:type="dxa"/>
            <w:tcBorders>
              <w:top w:val="nil" w:sz="6" w:space="0" w:color="auto"/>
              <w:left w:val="nil" w:sz="6" w:space="0" w:color="auto"/>
              <w:bottom w:val="nil" w:sz="6" w:space="0" w:color="auto"/>
              <w:right w:val="nil" w:sz="6" w:space="0" w:color="auto"/>
            </w:tcBorders>
          </w:tcPr>
          <w:p>
            <w:pPr>
              <w:pStyle w:val="TableParagraph"/>
              <w:spacing w:line="182" w:lineRule="exact"/>
              <w:ind w:right="310"/>
              <w:jc w:val="right"/>
              <w:rPr>
                <w:rFonts w:ascii="宋体" w:hAnsi="宋体" w:cs="宋体" w:eastAsia="宋体" w:hint="default"/>
                <w:sz w:val="18"/>
                <w:szCs w:val="18"/>
              </w:rPr>
            </w:pPr>
            <w:r>
              <w:rPr>
                <w:rFonts w:ascii="宋体"/>
                <w:spacing w:val="-1"/>
                <w:sz w:val="18"/>
              </w:rPr>
              <w:t>250,000.00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182" w:lineRule="exact"/>
              <w:ind w:right="274"/>
              <w:jc w:val="right"/>
              <w:rPr>
                <w:rFonts w:ascii="宋体" w:hAnsi="宋体" w:cs="宋体" w:eastAsia="宋体" w:hint="default"/>
                <w:sz w:val="18"/>
                <w:szCs w:val="18"/>
              </w:rPr>
            </w:pPr>
            <w:r>
              <w:rPr>
                <w:rFonts w:ascii="宋体"/>
                <w:spacing w:val="-1"/>
                <w:sz w:val="18"/>
              </w:rPr>
              <w:t>250,000.00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01" w:lineRule="exact"/>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01" w:lineRule="exact"/>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396"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pacing w:val="-3"/>
                <w:sz w:val="18"/>
                <w:szCs w:val="18"/>
              </w:rPr>
              <w:t>广州千千氏工艺品有限公司</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0"/>
              <w:jc w:val="right"/>
              <w:rPr>
                <w:rFonts w:ascii="宋体" w:hAnsi="宋体" w:cs="宋体" w:eastAsia="宋体" w:hint="default"/>
                <w:sz w:val="18"/>
                <w:szCs w:val="18"/>
              </w:rPr>
            </w:pPr>
            <w:r>
              <w:rPr>
                <w:rFonts w:ascii="宋体"/>
                <w:spacing w:val="-1"/>
                <w:sz w:val="18"/>
              </w:rPr>
              <w:t>250,000.00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4"/>
              <w:jc w:val="right"/>
              <w:rPr>
                <w:rFonts w:ascii="宋体" w:hAnsi="宋体" w:cs="宋体" w:eastAsia="宋体" w:hint="default"/>
                <w:sz w:val="18"/>
                <w:szCs w:val="18"/>
              </w:rPr>
            </w:pPr>
            <w:r>
              <w:rPr>
                <w:rFonts w:ascii="宋体"/>
                <w:spacing w:val="-1"/>
                <w:sz w:val="18"/>
              </w:rPr>
              <w:t>250,000.00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397"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0" w:right="0"/>
              <w:jc w:val="left"/>
              <w:rPr>
                <w:rFonts w:ascii="宋体" w:hAnsi="宋体" w:cs="宋体" w:eastAsia="宋体" w:hint="default"/>
                <w:sz w:val="18"/>
                <w:szCs w:val="18"/>
              </w:rPr>
            </w:pPr>
            <w:r>
              <w:rPr>
                <w:rFonts w:ascii="宋体" w:hAnsi="宋体" w:cs="宋体" w:eastAsia="宋体" w:hint="default"/>
                <w:spacing w:val="-3"/>
                <w:sz w:val="18"/>
                <w:szCs w:val="18"/>
              </w:rPr>
              <w:t>奇飞翔艺（北京）软件有限公司</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10"/>
              <w:jc w:val="right"/>
              <w:rPr>
                <w:rFonts w:ascii="宋体" w:hAnsi="宋体" w:cs="宋体" w:eastAsia="宋体" w:hint="default"/>
                <w:sz w:val="18"/>
                <w:szCs w:val="18"/>
              </w:rPr>
            </w:pPr>
            <w:r>
              <w:rPr>
                <w:rFonts w:ascii="宋体"/>
                <w:spacing w:val="-1"/>
                <w:sz w:val="18"/>
              </w:rPr>
              <w:t>200,000.00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74"/>
              <w:jc w:val="right"/>
              <w:rPr>
                <w:rFonts w:ascii="宋体" w:hAnsi="宋体" w:cs="宋体" w:eastAsia="宋体" w:hint="default"/>
                <w:sz w:val="18"/>
                <w:szCs w:val="18"/>
              </w:rPr>
            </w:pPr>
            <w:r>
              <w:rPr>
                <w:rFonts w:ascii="宋体"/>
                <w:spacing w:val="-1"/>
                <w:sz w:val="18"/>
              </w:rPr>
              <w:t>200,000.00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398"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pacing w:val="-3"/>
                <w:sz w:val="18"/>
                <w:szCs w:val="18"/>
              </w:rPr>
              <w:t>上海思亮信息技术股份有限公司</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0"/>
              <w:jc w:val="right"/>
              <w:rPr>
                <w:rFonts w:ascii="宋体" w:hAnsi="宋体" w:cs="宋体" w:eastAsia="宋体" w:hint="default"/>
                <w:sz w:val="18"/>
                <w:szCs w:val="18"/>
              </w:rPr>
            </w:pPr>
            <w:r>
              <w:rPr>
                <w:rFonts w:ascii="宋体"/>
                <w:spacing w:val="-1"/>
                <w:sz w:val="18"/>
              </w:rPr>
              <w:t>200,000.00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4"/>
              <w:jc w:val="right"/>
              <w:rPr>
                <w:rFonts w:ascii="宋体" w:hAnsi="宋体" w:cs="宋体" w:eastAsia="宋体" w:hint="default"/>
                <w:sz w:val="18"/>
                <w:szCs w:val="18"/>
              </w:rPr>
            </w:pPr>
            <w:r>
              <w:rPr>
                <w:rFonts w:ascii="宋体"/>
                <w:spacing w:val="-1"/>
                <w:sz w:val="18"/>
              </w:rPr>
              <w:t>200,000.00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398"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pacing w:val="-3"/>
                <w:sz w:val="18"/>
                <w:szCs w:val="18"/>
              </w:rPr>
              <w:t>无锡中关村软件园发展有限公司</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0"/>
              <w:jc w:val="right"/>
              <w:rPr>
                <w:rFonts w:ascii="宋体" w:hAnsi="宋体" w:cs="宋体" w:eastAsia="宋体" w:hint="default"/>
                <w:sz w:val="18"/>
                <w:szCs w:val="18"/>
              </w:rPr>
            </w:pPr>
            <w:r>
              <w:rPr>
                <w:rFonts w:ascii="宋体"/>
                <w:spacing w:val="-1"/>
                <w:sz w:val="18"/>
              </w:rPr>
              <w:t>189,600.00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4"/>
              <w:jc w:val="right"/>
              <w:rPr>
                <w:rFonts w:ascii="宋体" w:hAnsi="宋体" w:cs="宋体" w:eastAsia="宋体" w:hint="default"/>
                <w:sz w:val="18"/>
                <w:szCs w:val="18"/>
              </w:rPr>
            </w:pPr>
            <w:r>
              <w:rPr>
                <w:rFonts w:ascii="宋体"/>
                <w:spacing w:val="-1"/>
                <w:sz w:val="18"/>
              </w:rPr>
              <w:t>189,600.00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403"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pacing w:val="-3"/>
                <w:sz w:val="18"/>
                <w:szCs w:val="18"/>
              </w:rPr>
              <w:t>北京新汽联科技有限公司</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10"/>
              <w:jc w:val="right"/>
              <w:rPr>
                <w:rFonts w:ascii="宋体" w:hAnsi="宋体" w:cs="宋体" w:eastAsia="宋体" w:hint="default"/>
                <w:sz w:val="18"/>
                <w:szCs w:val="18"/>
              </w:rPr>
            </w:pPr>
            <w:r>
              <w:rPr>
                <w:rFonts w:ascii="宋体"/>
                <w:spacing w:val="-1"/>
                <w:sz w:val="18"/>
              </w:rPr>
              <w:t>150,000.00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4"/>
              <w:jc w:val="right"/>
              <w:rPr>
                <w:rFonts w:ascii="宋体" w:hAnsi="宋体" w:cs="宋体" w:eastAsia="宋体" w:hint="default"/>
                <w:sz w:val="18"/>
                <w:szCs w:val="18"/>
              </w:rPr>
            </w:pPr>
            <w:r>
              <w:rPr>
                <w:rFonts w:ascii="宋体"/>
                <w:spacing w:val="-1"/>
                <w:sz w:val="18"/>
              </w:rPr>
              <w:t>150,000.00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399"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5"/>
              <w:jc w:val="right"/>
              <w:rPr>
                <w:rFonts w:ascii="宋体" w:hAnsi="宋体" w:cs="宋体" w:eastAsia="宋体" w:hint="default"/>
                <w:sz w:val="18"/>
                <w:szCs w:val="18"/>
              </w:rPr>
            </w:pPr>
            <w:r>
              <w:rPr>
                <w:rFonts w:ascii="宋体"/>
                <w:spacing w:val="-1"/>
                <w:sz w:val="18"/>
              </w:rPr>
              <w:t>1,360,000.00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宋体" w:hAnsi="宋体" w:cs="宋体" w:eastAsia="宋体" w:hint="default"/>
                <w:sz w:val="18"/>
                <w:szCs w:val="18"/>
              </w:rPr>
            </w:pPr>
            <w:r>
              <w:rPr>
                <w:rFonts w:ascii="宋体"/>
                <w:spacing w:val="-1"/>
                <w:sz w:val="18"/>
              </w:rPr>
              <w:t>1,360,000.00</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71" w:right="0"/>
              <w:jc w:val="left"/>
              <w:rPr>
                <w:rFonts w:ascii="宋体" w:hAnsi="宋体" w:cs="宋体" w:eastAsia="宋体" w:hint="default"/>
                <w:sz w:val="18"/>
                <w:szCs w:val="18"/>
              </w:rPr>
            </w:pPr>
            <w:r>
              <w:rPr>
                <w:rFonts w:ascii="宋体"/>
                <w:sz w:val="18"/>
              </w:rPr>
              <w:t>100.00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宋体" w:hAnsi="宋体" w:cs="宋体" w:eastAsia="宋体" w:hint="default"/>
                <w:sz w:val="18"/>
                <w:szCs w:val="18"/>
              </w:rPr>
            </w:pPr>
            <w:r>
              <w:rPr>
                <w:rFonts w:ascii="宋体" w:hAnsi="宋体" w:cs="宋体" w:eastAsia="宋体" w:hint="default"/>
                <w:spacing w:val="-2"/>
                <w:sz w:val="18"/>
                <w:szCs w:val="18"/>
              </w:rPr>
              <w:t>预计无法收回</w:t>
            </w:r>
          </w:p>
        </w:tc>
      </w:tr>
      <w:tr>
        <w:trPr>
          <w:trHeight w:val="291" w:hRule="exact"/>
        </w:trPr>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3"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5"/>
              <w:jc w:val="right"/>
              <w:rPr>
                <w:rFonts w:ascii="宋体" w:hAnsi="宋体" w:cs="宋体" w:eastAsia="宋体" w:hint="default"/>
                <w:sz w:val="18"/>
                <w:szCs w:val="18"/>
              </w:rPr>
            </w:pPr>
            <w:r>
              <w:rPr>
                <w:rFonts w:ascii="宋体"/>
                <w:w w:val="101"/>
                <w:sz w:val="18"/>
              </w:rPr>
            </w:r>
            <w:r>
              <w:rPr>
                <w:rFonts w:ascii="宋体"/>
                <w:spacing w:val="-1"/>
                <w:sz w:val="18"/>
                <w:u w:val="thick" w:color="000000"/>
              </w:rPr>
              <w:t>4,652,800.00</w:t>
            </w:r>
            <w:r>
              <w:rPr>
                <w:rFonts w:ascii="宋体"/>
                <w:spacing w:val="-1"/>
                <w:sz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宋体" w:hAnsi="宋体" w:cs="宋体" w:eastAsia="宋体" w:hint="default"/>
                <w:sz w:val="18"/>
                <w:szCs w:val="18"/>
              </w:rPr>
            </w:pPr>
            <w:r>
              <w:rPr>
                <w:rFonts w:ascii="宋体"/>
                <w:w w:val="101"/>
                <w:sz w:val="18"/>
              </w:rPr>
            </w:r>
            <w:r>
              <w:rPr>
                <w:rFonts w:ascii="宋体"/>
                <w:spacing w:val="-1"/>
                <w:sz w:val="18"/>
                <w:u w:val="thick" w:color="000000"/>
              </w:rPr>
              <w:t>4,652,800.00</w:t>
            </w:r>
            <w:r>
              <w:rPr>
                <w:rFonts w:ascii="宋体"/>
                <w:spacing w:val="-1"/>
                <w:sz w:val="18"/>
              </w:rPr>
            </w:r>
          </w:p>
        </w:tc>
        <w:tc>
          <w:tcPr>
            <w:tcW w:w="1124"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815" w:right="62"/>
        <w:jc w:val="left"/>
      </w:pPr>
      <w:r>
        <w:rPr>
          <w:rFonts w:ascii="宋体" w:hAnsi="宋体" w:cs="宋体" w:eastAsia="宋体" w:hint="default"/>
        </w:rPr>
        <w:t>3.</w:t>
      </w:r>
      <w:r>
        <w:rPr/>
        <w:t>坏账准备的情况</w:t>
      </w:r>
    </w:p>
    <w:p>
      <w:pPr>
        <w:spacing w:line="240" w:lineRule="auto" w:before="3"/>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414"/>
        <w:gridCol w:w="1585"/>
        <w:gridCol w:w="2629"/>
        <w:gridCol w:w="2591"/>
      </w:tblGrid>
      <w:tr>
        <w:trPr>
          <w:trHeight w:val="394" w:hRule="exact"/>
        </w:trPr>
        <w:tc>
          <w:tcPr>
            <w:tcW w:w="3414" w:type="dxa"/>
            <w:tcBorders>
              <w:top w:val="nil" w:sz="6" w:space="0" w:color="auto"/>
              <w:left w:val="nil" w:sz="6" w:space="0" w:color="auto"/>
              <w:bottom w:val="nil" w:sz="6" w:space="0" w:color="auto"/>
              <w:right w:val="nil" w:sz="6" w:space="0" w:color="auto"/>
            </w:tcBorders>
          </w:tcPr>
          <w:p>
            <w:pPr>
              <w:pStyle w:val="TableParagraph"/>
              <w:tabs>
                <w:tab w:pos="2424" w:val="left" w:leader="none"/>
              </w:tabs>
              <w:spacing w:line="240" w:lineRule="auto" w:before="148"/>
              <w:ind w:left="835" w:right="0"/>
              <w:jc w:val="left"/>
              <w:rPr>
                <w:rFonts w:ascii="宋体" w:hAnsi="宋体" w:cs="宋体" w:eastAsia="宋体" w:hint="default"/>
                <w:sz w:val="18"/>
                <w:szCs w:val="18"/>
              </w:rPr>
            </w:pPr>
            <w:r>
              <w:rPr>
                <w:rFonts w:ascii="宋体" w:hAnsi="宋体" w:cs="宋体" w:eastAsia="宋体" w:hint="default"/>
                <w:b/>
                <w:bCs/>
                <w:sz w:val="18"/>
                <w:szCs w:val="18"/>
              </w:rPr>
              <w:t>类别</w:t>
              <w:tab/>
              <w:t>期初余额</w:t>
            </w:r>
            <w:r>
              <w:rPr>
                <w:rFonts w:ascii="宋体" w:hAnsi="宋体" w:cs="宋体" w:eastAsia="宋体" w:hint="default"/>
                <w:sz w:val="18"/>
                <w:szCs w:val="18"/>
              </w:rPr>
            </w:r>
          </w:p>
        </w:tc>
        <w:tc>
          <w:tcPr>
            <w:tcW w:w="1585"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Style w:val="TableParagraph"/>
              <w:spacing w:line="182" w:lineRule="exact"/>
              <w:ind w:left="609"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5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62" w:hRule="exact"/>
        </w:trPr>
        <w:tc>
          <w:tcPr>
            <w:tcW w:w="3414" w:type="dxa"/>
            <w:tcBorders>
              <w:top w:val="nil" w:sz="6" w:space="0" w:color="auto"/>
              <w:left w:val="nil" w:sz="6" w:space="0" w:color="auto"/>
              <w:bottom w:val="single" w:sz="4" w:space="0" w:color="000000"/>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192" w:lineRule="exact"/>
              <w:ind w:left="696"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2629" w:type="dxa"/>
            <w:tcBorders>
              <w:top w:val="nil" w:sz="6" w:space="0" w:color="auto"/>
              <w:left w:val="nil" w:sz="6" w:space="0" w:color="auto"/>
              <w:bottom w:val="single" w:sz="4" w:space="0" w:color="000000"/>
              <w:right w:val="nil" w:sz="6" w:space="0" w:color="auto"/>
            </w:tcBorders>
          </w:tcPr>
          <w:p>
            <w:pPr>
              <w:pStyle w:val="TableParagraph"/>
              <w:tabs>
                <w:tab w:pos="1522" w:val="left" w:leader="none"/>
              </w:tabs>
              <w:spacing w:line="192" w:lineRule="exact"/>
              <w:ind w:left="235" w:right="0"/>
              <w:jc w:val="left"/>
              <w:rPr>
                <w:rFonts w:ascii="宋体" w:hAnsi="宋体" w:cs="宋体" w:eastAsia="宋体" w:hint="default"/>
                <w:sz w:val="18"/>
                <w:szCs w:val="18"/>
              </w:rPr>
            </w:pPr>
            <w:r>
              <w:rPr>
                <w:rFonts w:ascii="宋体" w:hAnsi="宋体" w:cs="宋体" w:eastAsia="宋体" w:hint="default"/>
                <w:b/>
                <w:bCs/>
                <w:spacing w:val="-1"/>
                <w:sz w:val="18"/>
                <w:szCs w:val="18"/>
              </w:rPr>
              <w:t>收回或转回</w:t>
              <w:tab/>
              <w:t>转销或核销</w:t>
            </w:r>
            <w:r>
              <w:rPr>
                <w:rFonts w:ascii="宋体" w:hAnsi="宋体" w:cs="宋体" w:eastAsia="宋体" w:hint="default"/>
                <w:spacing w:val="-1"/>
                <w:sz w:val="18"/>
                <w:szCs w:val="18"/>
              </w:rPr>
            </w:r>
          </w:p>
        </w:tc>
        <w:tc>
          <w:tcPr>
            <w:tcW w:w="2591" w:type="dxa"/>
            <w:tcBorders>
              <w:top w:val="nil" w:sz="6" w:space="0" w:color="auto"/>
              <w:left w:val="nil" w:sz="6" w:space="0" w:color="auto"/>
              <w:bottom w:val="single" w:sz="4" w:space="0" w:color="000000"/>
              <w:right w:val="nil" w:sz="6" w:space="0" w:color="auto"/>
            </w:tcBorders>
          </w:tcPr>
          <w:p>
            <w:pPr>
              <w:pStyle w:val="TableParagraph"/>
              <w:spacing w:line="192" w:lineRule="exact"/>
              <w:ind w:left="199"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r>
      <w:tr>
        <w:trPr>
          <w:trHeight w:val="446" w:hRule="exact"/>
        </w:trPr>
        <w:tc>
          <w:tcPr>
            <w:tcW w:w="3414" w:type="dxa"/>
            <w:tcBorders>
              <w:top w:val="single" w:sz="4" w:space="0" w:color="000000"/>
              <w:left w:val="nil" w:sz="6" w:space="0" w:color="auto"/>
              <w:bottom w:val="nil" w:sz="6" w:space="0" w:color="auto"/>
              <w:right w:val="nil" w:sz="6" w:space="0" w:color="auto"/>
            </w:tcBorders>
          </w:tcPr>
          <w:p>
            <w:pPr>
              <w:pStyle w:val="TableParagraph"/>
              <w:tabs>
                <w:tab w:pos="2055" w:val="left" w:leader="none"/>
              </w:tabs>
              <w:spacing w:line="240" w:lineRule="auto" w:before="97"/>
              <w:ind w:right="-24"/>
              <w:jc w:val="right"/>
              <w:rPr>
                <w:rFonts w:ascii="宋体" w:hAnsi="宋体" w:cs="宋体" w:eastAsia="宋体" w:hint="default"/>
                <w:sz w:val="18"/>
                <w:szCs w:val="18"/>
              </w:rPr>
            </w:pPr>
            <w:r>
              <w:rPr>
                <w:rFonts w:ascii="宋体" w:hAnsi="宋体" w:cs="宋体" w:eastAsia="宋体" w:hint="default"/>
                <w:spacing w:val="-2"/>
                <w:sz w:val="18"/>
                <w:szCs w:val="18"/>
              </w:rPr>
              <w:t>应收账款坏账准备</w:t>
              <w:tab/>
            </w:r>
            <w:r>
              <w:rPr>
                <w:rFonts w:ascii="宋体" w:hAnsi="宋体" w:cs="宋体" w:eastAsia="宋体" w:hint="default"/>
                <w:spacing w:val="-1"/>
                <w:sz w:val="18"/>
                <w:szCs w:val="18"/>
              </w:rPr>
              <w:t>4,458,509.44</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55"/>
              <w:jc w:val="right"/>
              <w:rPr>
                <w:rFonts w:ascii="宋体" w:hAnsi="宋体" w:cs="宋体" w:eastAsia="宋体" w:hint="default"/>
                <w:sz w:val="18"/>
                <w:szCs w:val="18"/>
              </w:rPr>
            </w:pPr>
            <w:r>
              <w:rPr>
                <w:rFonts w:ascii="宋体"/>
                <w:spacing w:val="-1"/>
                <w:sz w:val="18"/>
              </w:rPr>
              <w:t>2,197,226.27</w:t>
            </w:r>
          </w:p>
        </w:tc>
        <w:tc>
          <w:tcPr>
            <w:tcW w:w="2629" w:type="dxa"/>
            <w:tcBorders>
              <w:top w:val="single" w:sz="4" w:space="0" w:color="000000"/>
              <w:left w:val="nil" w:sz="6" w:space="0" w:color="auto"/>
              <w:bottom w:val="nil" w:sz="6" w:space="0" w:color="auto"/>
              <w:right w:val="nil" w:sz="6" w:space="0" w:color="auto"/>
            </w:tcBorders>
          </w:tcPr>
          <w:p>
            <w:pPr/>
          </w:p>
        </w:tc>
        <w:tc>
          <w:tcPr>
            <w:tcW w:w="2591"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99"/>
              <w:jc w:val="right"/>
              <w:rPr>
                <w:rFonts w:ascii="宋体" w:hAnsi="宋体" w:cs="宋体" w:eastAsia="宋体" w:hint="default"/>
                <w:sz w:val="18"/>
                <w:szCs w:val="18"/>
              </w:rPr>
            </w:pPr>
            <w:r>
              <w:rPr>
                <w:rFonts w:ascii="宋体"/>
                <w:spacing w:val="-1"/>
                <w:sz w:val="18"/>
              </w:rPr>
              <w:t>6,655,735.71</w:t>
            </w:r>
          </w:p>
        </w:tc>
      </w:tr>
      <w:tr>
        <w:trPr>
          <w:trHeight w:val="290" w:hRule="exact"/>
        </w:trPr>
        <w:tc>
          <w:tcPr>
            <w:tcW w:w="3414" w:type="dxa"/>
            <w:tcBorders>
              <w:top w:val="nil" w:sz="6" w:space="0" w:color="auto"/>
              <w:left w:val="nil" w:sz="6" w:space="0" w:color="auto"/>
              <w:bottom w:val="nil" w:sz="6" w:space="0" w:color="auto"/>
              <w:right w:val="nil" w:sz="6" w:space="0" w:color="auto"/>
            </w:tcBorders>
          </w:tcPr>
          <w:p>
            <w:pPr>
              <w:pStyle w:val="TableParagraph"/>
              <w:tabs>
                <w:tab w:pos="1517" w:val="left" w:leader="none"/>
              </w:tabs>
              <w:spacing w:line="240" w:lineRule="auto" w:before="54"/>
              <w:ind w:right="-24"/>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tab/>
            </w:r>
            <w:r>
              <w:rPr>
                <w:rFonts w:ascii="宋体" w:hAnsi="宋体" w:cs="宋体" w:eastAsia="宋体" w:hint="default"/>
                <w:sz w:val="18"/>
                <w:szCs w:val="18"/>
              </w:rPr>
            </w:r>
            <w:r>
              <w:rPr>
                <w:rFonts w:ascii="宋体" w:hAnsi="宋体" w:cs="宋体" w:eastAsia="宋体" w:hint="default"/>
                <w:spacing w:val="-1"/>
                <w:sz w:val="18"/>
                <w:szCs w:val="18"/>
                <w:u w:val="thick" w:color="000000"/>
              </w:rPr>
              <w:t>4,458,509.44</w:t>
            </w:r>
            <w:r>
              <w:rPr>
                <w:rFonts w:ascii="宋体" w:hAnsi="宋体" w:cs="宋体" w:eastAsia="宋体" w:hint="default"/>
                <w:spacing w:val="-1"/>
                <w:sz w:val="18"/>
                <w:szCs w:val="18"/>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宋体" w:hAnsi="宋体" w:cs="宋体" w:eastAsia="宋体" w:hint="default"/>
                <w:sz w:val="18"/>
                <w:szCs w:val="18"/>
              </w:rPr>
            </w:pPr>
            <w:r>
              <w:rPr>
                <w:rFonts w:ascii="宋体"/>
                <w:w w:val="101"/>
                <w:sz w:val="18"/>
              </w:rPr>
            </w:r>
            <w:r>
              <w:rPr>
                <w:rFonts w:ascii="宋体"/>
                <w:spacing w:val="-1"/>
                <w:sz w:val="18"/>
                <w:u w:val="thick" w:color="000000"/>
              </w:rPr>
              <w:t>2,197,226.27</w:t>
            </w:r>
            <w:r>
              <w:rPr>
                <w:rFonts w:ascii="宋体"/>
                <w:spacing w:val="-1"/>
                <w:sz w:val="18"/>
              </w:rPr>
            </w:r>
          </w:p>
        </w:tc>
        <w:tc>
          <w:tcPr>
            <w:tcW w:w="2629" w:type="dxa"/>
            <w:tcBorders>
              <w:top w:val="nil" w:sz="6" w:space="0" w:color="auto"/>
              <w:left w:val="nil" w:sz="6" w:space="0" w:color="auto"/>
              <w:bottom w:val="nil" w:sz="6" w:space="0" w:color="auto"/>
              <w:right w:val="nil" w:sz="6" w:space="0" w:color="auto"/>
            </w:tcBorders>
          </w:tcPr>
          <w:p>
            <w:pP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6,655,735.71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36"/>
        <w:ind w:left="815" w:right="62"/>
        <w:jc w:val="left"/>
      </w:pPr>
      <w:r>
        <w:rPr>
          <w:rFonts w:ascii="宋体" w:hAnsi="宋体" w:cs="宋体" w:eastAsia="宋体" w:hint="default"/>
        </w:rPr>
        <w:t>4.</w:t>
      </w:r>
      <w:r>
        <w:rPr/>
        <w:t>按欠款方归集的期末应收账款金额前五名情况</w:t>
      </w:r>
    </w:p>
    <w:p>
      <w:pPr>
        <w:spacing w:line="240" w:lineRule="auto" w:before="10"/>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459"/>
        <w:gridCol w:w="1544"/>
        <w:gridCol w:w="1628"/>
        <w:gridCol w:w="1066"/>
        <w:gridCol w:w="1052"/>
        <w:gridCol w:w="1436"/>
      </w:tblGrid>
      <w:tr>
        <w:trPr>
          <w:trHeight w:val="594" w:hRule="exact"/>
        </w:trPr>
        <w:tc>
          <w:tcPr>
            <w:tcW w:w="345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32"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348"/>
              <w:jc w:val="righ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9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60"/>
              <w:jc w:val="right"/>
              <w:rPr>
                <w:rFonts w:ascii="宋体" w:hAnsi="宋体" w:cs="宋体" w:eastAsia="宋体" w:hint="default"/>
                <w:sz w:val="18"/>
                <w:szCs w:val="18"/>
              </w:rPr>
            </w:pPr>
            <w:r>
              <w:rPr>
                <w:rFonts w:ascii="宋体" w:hAnsi="宋体" w:cs="宋体" w:eastAsia="宋体" w:hint="default"/>
                <w:b/>
                <w:bCs/>
                <w:spacing w:val="-5"/>
                <w:sz w:val="18"/>
                <w:szCs w:val="18"/>
              </w:rPr>
              <w:t>比例（</w:t>
            </w:r>
            <w:r>
              <w:rPr>
                <w:rFonts w:ascii="宋体" w:hAnsi="宋体" w:cs="宋体" w:eastAsia="宋体" w:hint="default"/>
                <w:b/>
                <w:bCs/>
                <w:spacing w:val="-5"/>
                <w:sz w:val="18"/>
                <w:szCs w:val="18"/>
              </w:rPr>
              <w:t>%</w:t>
            </w:r>
            <w:r>
              <w:rPr>
                <w:rFonts w:ascii="宋体" w:hAnsi="宋体" w:cs="宋体" w:eastAsia="宋体" w:hint="default"/>
                <w:b/>
                <w:bCs/>
                <w:spacing w:val="-5"/>
                <w:sz w:val="18"/>
                <w:szCs w:val="18"/>
              </w:rPr>
              <w:t>）</w:t>
            </w:r>
            <w:r>
              <w:rPr>
                <w:rFonts w:ascii="宋体" w:hAnsi="宋体" w:cs="宋体" w:eastAsia="宋体" w:hint="default"/>
                <w:spacing w:val="-5"/>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182" w:lineRule="exact"/>
              <w:ind w:right="41"/>
              <w:jc w:val="center"/>
              <w:rPr>
                <w:rFonts w:ascii="宋体" w:hAnsi="宋体" w:cs="宋体" w:eastAsia="宋体" w:hint="default"/>
                <w:sz w:val="18"/>
                <w:szCs w:val="18"/>
              </w:rPr>
            </w:pPr>
            <w:r>
              <w:rPr>
                <w:rFonts w:ascii="宋体" w:hAnsi="宋体" w:cs="宋体" w:eastAsia="宋体" w:hint="default"/>
                <w:b/>
                <w:bCs/>
                <w:sz w:val="18"/>
                <w:szCs w:val="18"/>
              </w:rPr>
              <w:t>坏账准备期末余</w:t>
            </w:r>
            <w:r>
              <w:rPr>
                <w:rFonts w:ascii="宋体" w:hAnsi="宋体" w:cs="宋体" w:eastAsia="宋体" w:hint="default"/>
                <w:sz w:val="18"/>
                <w:szCs w:val="18"/>
              </w:rPr>
            </w:r>
          </w:p>
          <w:p>
            <w:pPr>
              <w:pStyle w:val="TableParagraph"/>
              <w:spacing w:line="240" w:lineRule="auto" w:before="124"/>
              <w:ind w:right="51"/>
              <w:jc w:val="center"/>
              <w:rPr>
                <w:rFonts w:ascii="宋体" w:hAnsi="宋体" w:cs="宋体" w:eastAsia="宋体" w:hint="default"/>
                <w:sz w:val="18"/>
                <w:szCs w:val="18"/>
              </w:rPr>
            </w:pPr>
            <w:r>
              <w:rPr>
                <w:rFonts w:ascii="宋体" w:hAnsi="宋体" w:cs="宋体" w:eastAsia="宋体" w:hint="default"/>
                <w:b/>
                <w:bCs/>
                <w:w w:val="100"/>
                <w:sz w:val="18"/>
                <w:szCs w:val="18"/>
              </w:rPr>
              <w:t>额</w:t>
            </w:r>
            <w:r>
              <w:rPr>
                <w:rFonts w:ascii="宋体" w:hAnsi="宋体" w:cs="宋体" w:eastAsia="宋体" w:hint="default"/>
                <w:w w:val="100"/>
                <w:sz w:val="18"/>
                <w:szCs w:val="18"/>
              </w:rPr>
            </w:r>
          </w:p>
        </w:tc>
      </w:tr>
      <w:tr>
        <w:trPr>
          <w:trHeight w:val="777" w:hRule="exact"/>
        </w:trPr>
        <w:tc>
          <w:tcPr>
            <w:tcW w:w="345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3"/>
                <w:sz w:val="18"/>
                <w:szCs w:val="18"/>
              </w:rPr>
              <w:t>重庆高新技术产业开发区管理委员会</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367" w:lineRule="auto" w:before="78"/>
              <w:ind w:left="468" w:right="348"/>
              <w:jc w:val="left"/>
              <w:rPr>
                <w:rFonts w:ascii="宋体" w:hAnsi="宋体" w:cs="宋体" w:eastAsia="宋体" w:hint="default"/>
                <w:sz w:val="18"/>
                <w:szCs w:val="18"/>
              </w:rPr>
            </w:pPr>
            <w:r>
              <w:rPr>
                <w:rFonts w:ascii="宋体" w:hAnsi="宋体" w:cs="宋体" w:eastAsia="宋体" w:hint="default"/>
                <w:spacing w:val="-2"/>
                <w:sz w:val="18"/>
                <w:szCs w:val="18"/>
              </w:rPr>
              <w:t>培训业务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公关业务</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0"/>
              <w:jc w:val="right"/>
              <w:rPr>
                <w:rFonts w:ascii="宋体" w:hAnsi="宋体" w:cs="宋体" w:eastAsia="宋体" w:hint="default"/>
                <w:sz w:val="18"/>
                <w:szCs w:val="18"/>
              </w:rPr>
            </w:pPr>
            <w:r>
              <w:rPr>
                <w:rFonts w:ascii="宋体"/>
                <w:spacing w:val="-1"/>
                <w:sz w:val="18"/>
              </w:rPr>
              <w:t>4,116,666.65</w:t>
            </w:r>
          </w:p>
        </w:tc>
        <w:tc>
          <w:tcPr>
            <w:tcW w:w="106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18"/>
                <w:szCs w:val="18"/>
              </w:rPr>
            </w:pPr>
            <w:r>
              <w:rPr>
                <w:rFonts w:ascii="宋体"/>
                <w:sz w:val="18"/>
              </w:rPr>
              <w:t>20.90</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120,333.33</w:t>
            </w:r>
          </w:p>
        </w:tc>
      </w:tr>
      <w:tr>
        <w:trPr>
          <w:trHeight w:val="386"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pacing w:val="-3"/>
                <w:sz w:val="18"/>
                <w:szCs w:val="18"/>
              </w:rPr>
              <w:t>沈阳金融商贸开发区管理委员会</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48"/>
              <w:jc w:val="right"/>
              <w:rPr>
                <w:rFonts w:ascii="宋体" w:hAnsi="宋体" w:cs="宋体" w:eastAsia="宋体" w:hint="default"/>
                <w:sz w:val="18"/>
                <w:szCs w:val="18"/>
              </w:rPr>
            </w:pPr>
            <w:r>
              <w:rPr>
                <w:rFonts w:ascii="宋体" w:hAnsi="宋体" w:cs="宋体" w:eastAsia="宋体" w:hint="default"/>
                <w:spacing w:val="-2"/>
                <w:sz w:val="18"/>
                <w:szCs w:val="18"/>
              </w:rPr>
              <w:t>培训业务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90"/>
              <w:jc w:val="right"/>
              <w:rPr>
                <w:rFonts w:ascii="宋体" w:hAnsi="宋体" w:cs="宋体" w:eastAsia="宋体" w:hint="default"/>
                <w:sz w:val="18"/>
                <w:szCs w:val="18"/>
              </w:rPr>
            </w:pPr>
            <w:r>
              <w:rPr>
                <w:rFonts w:ascii="宋体"/>
                <w:spacing w:val="-1"/>
                <w:sz w:val="18"/>
              </w:rPr>
              <w:t>2,600,000.00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41" w:right="0"/>
              <w:jc w:val="left"/>
              <w:rPr>
                <w:rFonts w:ascii="宋体" w:hAnsi="宋体" w:cs="宋体" w:eastAsia="宋体" w:hint="default"/>
                <w:sz w:val="18"/>
                <w:szCs w:val="18"/>
              </w:rPr>
            </w:pPr>
            <w:r>
              <w:rPr>
                <w:rFonts w:ascii="宋体"/>
                <w:sz w:val="18"/>
              </w:rPr>
              <w:t>13.20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140,000.00</w:t>
            </w:r>
          </w:p>
        </w:tc>
      </w:tr>
      <w:tr>
        <w:trPr>
          <w:trHeight w:val="396"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神木市人民政府</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8"/>
              <w:jc w:val="right"/>
              <w:rPr>
                <w:rFonts w:ascii="宋体" w:hAnsi="宋体" w:cs="宋体" w:eastAsia="宋体" w:hint="default"/>
                <w:sz w:val="18"/>
                <w:szCs w:val="18"/>
              </w:rPr>
            </w:pPr>
            <w:r>
              <w:rPr>
                <w:rFonts w:ascii="宋体" w:hAnsi="宋体" w:cs="宋体" w:eastAsia="宋体" w:hint="default"/>
                <w:spacing w:val="-2"/>
                <w:sz w:val="18"/>
                <w:szCs w:val="18"/>
              </w:rPr>
              <w:t>培训业务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1,076,923.08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1"/>
              <w:jc w:val="right"/>
              <w:rPr>
                <w:rFonts w:ascii="宋体" w:hAnsi="宋体" w:cs="宋体" w:eastAsia="宋体" w:hint="default"/>
                <w:sz w:val="18"/>
                <w:szCs w:val="18"/>
              </w:rPr>
            </w:pPr>
            <w:r>
              <w:rPr>
                <w:rFonts w:ascii="宋体"/>
                <w:sz w:val="18"/>
              </w:rPr>
              <w:t>5.47</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21,538.46</w:t>
            </w:r>
          </w:p>
        </w:tc>
      </w:tr>
      <w:tr>
        <w:trPr>
          <w:trHeight w:val="399"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pacing w:val="-3"/>
                <w:sz w:val="18"/>
                <w:szCs w:val="18"/>
              </w:rPr>
              <w:t>南京亚信云互联网信息科技有限公司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8"/>
              <w:jc w:val="right"/>
              <w:rPr>
                <w:rFonts w:ascii="宋体" w:hAnsi="宋体" w:cs="宋体" w:eastAsia="宋体" w:hint="default"/>
                <w:sz w:val="18"/>
                <w:szCs w:val="18"/>
              </w:rPr>
            </w:pPr>
            <w:r>
              <w:rPr>
                <w:rFonts w:ascii="宋体" w:hAnsi="宋体" w:cs="宋体" w:eastAsia="宋体" w:hint="default"/>
                <w:spacing w:val="-2"/>
                <w:sz w:val="18"/>
                <w:szCs w:val="18"/>
              </w:rPr>
              <w:t>公关业务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宋体" w:hAnsi="宋体" w:cs="宋体" w:eastAsia="宋体" w:hint="default"/>
                <w:sz w:val="18"/>
                <w:szCs w:val="18"/>
              </w:rPr>
            </w:pPr>
            <w:r>
              <w:rPr>
                <w:rFonts w:ascii="宋体"/>
                <w:spacing w:val="-1"/>
                <w:sz w:val="18"/>
              </w:rPr>
              <w:t>1,020,000.00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宋体" w:hAnsi="宋体" w:cs="宋体" w:eastAsia="宋体" w:hint="default"/>
                <w:sz w:val="18"/>
                <w:szCs w:val="18"/>
              </w:rPr>
            </w:pPr>
            <w:r>
              <w:rPr>
                <w:rFonts w:ascii="宋体"/>
                <w:sz w:val="18"/>
              </w:rPr>
              <w:t>5.18</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91,800.00</w:t>
            </w:r>
          </w:p>
        </w:tc>
      </w:tr>
      <w:tr>
        <w:trPr>
          <w:trHeight w:val="396"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北京易后台财税科技有限公司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48"/>
              <w:jc w:val="right"/>
              <w:rPr>
                <w:rFonts w:ascii="宋体" w:hAnsi="宋体" w:cs="宋体" w:eastAsia="宋体" w:hint="default"/>
                <w:sz w:val="18"/>
                <w:szCs w:val="18"/>
              </w:rPr>
            </w:pPr>
            <w:r>
              <w:rPr>
                <w:rFonts w:ascii="宋体" w:hAnsi="宋体" w:cs="宋体" w:eastAsia="宋体" w:hint="default"/>
                <w:spacing w:val="-2"/>
                <w:sz w:val="18"/>
                <w:szCs w:val="18"/>
              </w:rPr>
              <w:t>公关业务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0"/>
              <w:jc w:val="right"/>
              <w:rPr>
                <w:rFonts w:ascii="宋体" w:hAnsi="宋体" w:cs="宋体" w:eastAsia="宋体" w:hint="default"/>
                <w:sz w:val="18"/>
                <w:szCs w:val="18"/>
              </w:rPr>
            </w:pPr>
            <w:r>
              <w:rPr>
                <w:rFonts w:ascii="宋体"/>
                <w:spacing w:val="-1"/>
                <w:sz w:val="18"/>
              </w:rPr>
              <w:t>902,000.00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1"/>
              <w:jc w:val="right"/>
              <w:rPr>
                <w:rFonts w:ascii="宋体" w:hAnsi="宋体" w:cs="宋体" w:eastAsia="宋体" w:hint="default"/>
                <w:sz w:val="18"/>
                <w:szCs w:val="18"/>
              </w:rPr>
            </w:pPr>
            <w:r>
              <w:rPr>
                <w:rFonts w:ascii="宋体"/>
                <w:sz w:val="18"/>
              </w:rPr>
              <w:t>4.58</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9"/>
              <w:jc w:val="right"/>
              <w:rPr>
                <w:rFonts w:ascii="宋体" w:hAnsi="宋体" w:cs="宋体" w:eastAsia="宋体" w:hint="default"/>
                <w:sz w:val="18"/>
                <w:szCs w:val="18"/>
              </w:rPr>
            </w:pPr>
            <w:r>
              <w:rPr>
                <w:rFonts w:ascii="宋体"/>
                <w:spacing w:val="-1"/>
                <w:sz w:val="18"/>
              </w:rPr>
              <w:t>902,000.00</w:t>
            </w:r>
          </w:p>
        </w:tc>
      </w:tr>
      <w:tr>
        <w:trPr>
          <w:trHeight w:val="288" w:hRule="exact"/>
        </w:trPr>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54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w w:val="101"/>
                <w:sz w:val="18"/>
              </w:rPr>
            </w:r>
            <w:r>
              <w:rPr>
                <w:rFonts w:ascii="宋体"/>
                <w:spacing w:val="-1"/>
                <w:sz w:val="18"/>
                <w:u w:val="thick" w:color="000000"/>
              </w:rPr>
              <w:t>9,715,589.73</w:t>
            </w:r>
            <w:r>
              <w:rPr>
                <w:rFonts w:ascii="宋体"/>
                <w:spacing w:val="-1"/>
                <w:sz w:val="18"/>
              </w:rPr>
            </w:r>
          </w:p>
        </w:tc>
        <w:tc>
          <w:tcPr>
            <w:tcW w:w="1066"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41" w:right="0"/>
              <w:jc w:val="left"/>
              <w:rPr>
                <w:rFonts w:ascii="宋体" w:hAnsi="宋体" w:cs="宋体" w:eastAsia="宋体" w:hint="default"/>
                <w:sz w:val="18"/>
                <w:szCs w:val="18"/>
              </w:rPr>
            </w:pPr>
            <w:r>
              <w:rPr>
                <w:rFonts w:ascii="宋体"/>
                <w:w w:val="101"/>
                <w:sz w:val="18"/>
              </w:rPr>
            </w:r>
            <w:r>
              <w:rPr>
                <w:rFonts w:ascii="宋体"/>
                <w:sz w:val="18"/>
                <w:u w:val="thick" w:color="000000"/>
              </w:rPr>
              <w:t>49.33</w:t>
            </w:r>
            <w:r>
              <w:rPr>
                <w:rFonts w:ascii="宋体"/>
                <w:sz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1,275,671.79</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09" w:lineRule="auto" w:before="36"/>
        <w:ind w:left="393" w:right="1122" w:firstLine="422"/>
        <w:jc w:val="left"/>
      </w:pPr>
      <w:r>
        <w:rPr>
          <w:spacing w:val="-2"/>
        </w:rPr>
        <w:t>注</w:t>
      </w:r>
      <w:r>
        <w:rPr>
          <w:rFonts w:ascii="宋体" w:hAnsi="宋体" w:cs="宋体" w:eastAsia="宋体" w:hint="default"/>
          <w:spacing w:val="-2"/>
        </w:rPr>
        <w:t>1</w:t>
      </w:r>
      <w:r>
        <w:rPr>
          <w:spacing w:val="-2"/>
        </w:rPr>
        <w:t>：重庆高新技术产业开发区管理委员会期末余额</w:t>
      </w:r>
      <w:r>
        <w:rPr>
          <w:rFonts w:ascii="宋体" w:hAnsi="宋体" w:cs="宋体" w:eastAsia="宋体" w:hint="default"/>
          <w:spacing w:val="-2"/>
        </w:rPr>
        <w:t>4,116,666.65</w:t>
      </w:r>
      <w:r>
        <w:rPr>
          <w:spacing w:val="-2"/>
        </w:rPr>
        <w:t>元，其中账龄</w:t>
      </w:r>
      <w:r>
        <w:rPr>
          <w:rFonts w:ascii="宋体" w:hAnsi="宋体" w:cs="宋体" w:eastAsia="宋体" w:hint="default"/>
          <w:spacing w:val="-2"/>
        </w:rPr>
        <w:t>1</w:t>
      </w:r>
      <w:r>
        <w:rPr>
          <w:spacing w:val="-2"/>
        </w:rPr>
        <w:t>年以内</w:t>
      </w:r>
      <w:r>
        <w:rPr>
          <w:rFonts w:ascii="宋体" w:hAnsi="宋体" w:cs="宋体" w:eastAsia="宋体" w:hint="default"/>
          <w:spacing w:val="-2"/>
        </w:rPr>
        <w:t>3,166,666.65</w:t>
      </w:r>
      <w:r>
        <w:rPr>
          <w:rFonts w:ascii="宋体" w:hAnsi="宋体" w:cs="宋体" w:eastAsia="宋体" w:hint="default"/>
          <w:w w:val="100"/>
        </w:rPr>
        <w:t> </w:t>
      </w:r>
      <w:r>
        <w:rPr/>
        <w:t>元，</w:t>
      </w:r>
      <w:r>
        <w:rPr>
          <w:rFonts w:ascii="宋体" w:hAnsi="宋体" w:cs="宋体" w:eastAsia="宋体" w:hint="default"/>
        </w:rPr>
        <w:t>1-2</w:t>
      </w:r>
      <w:r>
        <w:rPr/>
        <w:t>年</w:t>
      </w:r>
      <w:r>
        <w:rPr>
          <w:rFonts w:ascii="宋体" w:hAnsi="宋体" w:cs="宋体" w:eastAsia="宋体" w:hint="default"/>
        </w:rPr>
        <w:t>950,000.00</w:t>
      </w:r>
      <w:r>
        <w:rPr/>
        <w:t>元。</w:t>
      </w:r>
    </w:p>
    <w:p>
      <w:pPr>
        <w:spacing w:line="240" w:lineRule="auto" w:before="13"/>
        <w:rPr>
          <w:rFonts w:ascii="宋体" w:hAnsi="宋体" w:cs="宋体" w:eastAsia="宋体" w:hint="default"/>
          <w:sz w:val="13"/>
          <w:szCs w:val="13"/>
        </w:rPr>
      </w:pPr>
    </w:p>
    <w:p>
      <w:pPr>
        <w:pStyle w:val="BodyText"/>
        <w:spacing w:line="309" w:lineRule="auto"/>
        <w:ind w:left="393" w:right="62" w:firstLine="422"/>
        <w:jc w:val="left"/>
      </w:pPr>
      <w:r>
        <w:rPr>
          <w:spacing w:val="-4"/>
        </w:rPr>
        <w:t>注</w:t>
      </w:r>
      <w:r>
        <w:rPr>
          <w:rFonts w:ascii="宋体" w:hAnsi="宋体" w:cs="宋体" w:eastAsia="宋体" w:hint="default"/>
          <w:spacing w:val="-4"/>
        </w:rPr>
        <w:t>2</w:t>
      </w:r>
      <w:r>
        <w:rPr>
          <w:spacing w:val="-4"/>
        </w:rPr>
        <w:t>：沈阳金融商贸开发区管理委员会期末余额</w:t>
      </w:r>
      <w:r>
        <w:rPr>
          <w:rFonts w:ascii="宋体" w:hAnsi="宋体" w:cs="宋体" w:eastAsia="宋体" w:hint="default"/>
          <w:spacing w:val="-4"/>
        </w:rPr>
        <w:t>2,600,000.00</w:t>
      </w:r>
      <w:r>
        <w:rPr>
          <w:spacing w:val="-4"/>
        </w:rPr>
        <w:t>元，其中账龄</w:t>
      </w:r>
      <w:r>
        <w:rPr>
          <w:rFonts w:ascii="宋体" w:hAnsi="宋体" w:cs="宋体" w:eastAsia="宋体" w:hint="default"/>
          <w:spacing w:val="-4"/>
        </w:rPr>
        <w:t>1</w:t>
      </w:r>
      <w:r>
        <w:rPr>
          <w:spacing w:val="-4"/>
        </w:rPr>
        <w:t>年以内</w:t>
      </w:r>
      <w:r>
        <w:rPr>
          <w:rFonts w:ascii="宋体" w:hAnsi="宋体" w:cs="宋体" w:eastAsia="宋体" w:hint="default"/>
          <w:spacing w:val="-4"/>
        </w:rPr>
        <w:t>400,000.00</w:t>
      </w:r>
      <w:r>
        <w:rPr>
          <w:spacing w:val="-4"/>
        </w:rPr>
        <w:t>元，</w:t>
      </w:r>
      <w:r>
        <w:rPr>
          <w:rFonts w:ascii="宋体" w:hAnsi="宋体" w:cs="宋体" w:eastAsia="宋体" w:hint="default"/>
          <w:spacing w:val="-4"/>
        </w:rPr>
        <w:t>1-2</w:t>
      </w:r>
      <w:r>
        <w:rPr>
          <w:rFonts w:ascii="宋体" w:hAnsi="宋体" w:cs="宋体" w:eastAsia="宋体" w:hint="default"/>
          <w:w w:val="100"/>
        </w:rPr>
        <w:t> </w:t>
      </w:r>
      <w:r>
        <w:rPr/>
        <w:t>年</w:t>
      </w:r>
      <w:r>
        <w:rPr>
          <w:rFonts w:ascii="宋体" w:hAnsi="宋体" w:cs="宋体" w:eastAsia="宋体" w:hint="default"/>
        </w:rPr>
        <w:t>2,200,000.00</w:t>
      </w:r>
      <w:r>
        <w:rPr/>
        <w:t>元。</w:t>
      </w:r>
    </w:p>
    <w:p>
      <w:pPr>
        <w:spacing w:line="240" w:lineRule="auto" w:before="13"/>
        <w:rPr>
          <w:rFonts w:ascii="宋体" w:hAnsi="宋体" w:cs="宋体" w:eastAsia="宋体" w:hint="default"/>
          <w:sz w:val="13"/>
          <w:szCs w:val="13"/>
        </w:rPr>
      </w:pPr>
    </w:p>
    <w:p>
      <w:pPr>
        <w:pStyle w:val="BodyText"/>
        <w:spacing w:line="448" w:lineRule="auto"/>
        <w:ind w:left="815" w:right="8649"/>
        <w:jc w:val="left"/>
      </w:pPr>
      <w:bookmarkStart w:name="（二）其他应收款" w:id="277"/>
      <w:bookmarkEnd w:id="277"/>
      <w:r>
        <w:rPr/>
      </w:r>
      <w:r>
        <w:rPr/>
        <w:t>（二）其他应收款</w:t>
      </w:r>
      <w:r>
        <w:rPr>
          <w:spacing w:val="-101"/>
        </w:rPr>
        <w:t> </w:t>
      </w:r>
      <w:r>
        <w:rPr>
          <w:spacing w:val="-101"/>
        </w:rPr>
      </w:r>
      <w:r>
        <w:rPr>
          <w:rFonts w:ascii="宋体" w:hAnsi="宋体" w:cs="宋体" w:eastAsia="宋体" w:hint="default"/>
        </w:rPr>
        <w:t>1.</w:t>
      </w:r>
      <w:r>
        <w:rPr/>
        <w:t>总表情况</w:t>
      </w:r>
    </w:p>
    <w:p>
      <w:pPr>
        <w:pStyle w:val="BodyText"/>
        <w:spacing w:line="240" w:lineRule="auto" w:before="61"/>
        <w:ind w:left="815" w:right="62"/>
        <w:jc w:val="left"/>
      </w:pPr>
      <w:r>
        <w:rPr/>
        <w:t>（</w:t>
      </w:r>
      <w:r>
        <w:rPr>
          <w:rFonts w:ascii="宋体" w:hAnsi="宋体" w:cs="宋体" w:eastAsia="宋体" w:hint="default"/>
        </w:rPr>
        <w:t>1</w:t>
      </w:r>
      <w:r>
        <w:rPr/>
        <w:t>）分类列示</w:t>
      </w:r>
    </w:p>
    <w:p>
      <w:pPr>
        <w:spacing w:after="0" w:line="240" w:lineRule="auto"/>
        <w:jc w:val="left"/>
        <w:sectPr>
          <w:pgSz w:w="11910" w:h="16840"/>
          <w:pgMar w:header="741" w:footer="979" w:top="1060" w:bottom="1160" w:left="74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3219"/>
        <w:gridCol w:w="3354"/>
        <w:gridCol w:w="3285"/>
      </w:tblGrid>
      <w:tr>
        <w:trPr>
          <w:trHeight w:val="272" w:hRule="exact"/>
        </w:trPr>
        <w:tc>
          <w:tcPr>
            <w:tcW w:w="3219" w:type="dxa"/>
            <w:tcBorders>
              <w:top w:val="nil" w:sz="6" w:space="0" w:color="auto"/>
              <w:left w:val="nil" w:sz="6" w:space="0" w:color="auto"/>
              <w:bottom w:val="single" w:sz="4" w:space="0" w:color="000000"/>
              <w:right w:val="nil" w:sz="6" w:space="0" w:color="auto"/>
            </w:tcBorders>
          </w:tcPr>
          <w:p>
            <w:pPr>
              <w:pStyle w:val="TableParagraph"/>
              <w:spacing w:line="182"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4" w:type="dxa"/>
            <w:tcBorders>
              <w:top w:val="nil" w:sz="6" w:space="0" w:color="auto"/>
              <w:left w:val="nil" w:sz="6" w:space="0" w:color="auto"/>
              <w:bottom w:val="single" w:sz="4" w:space="0" w:color="000000"/>
              <w:right w:val="nil" w:sz="6" w:space="0" w:color="auto"/>
            </w:tcBorders>
          </w:tcPr>
          <w:p>
            <w:pPr>
              <w:pStyle w:val="TableParagraph"/>
              <w:spacing w:line="201" w:lineRule="exact"/>
              <w:ind w:left="6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85" w:type="dxa"/>
            <w:tcBorders>
              <w:top w:val="nil" w:sz="6" w:space="0" w:color="auto"/>
              <w:left w:val="nil" w:sz="6" w:space="0" w:color="auto"/>
              <w:bottom w:val="single" w:sz="4" w:space="0" w:color="000000"/>
              <w:right w:val="nil" w:sz="6" w:space="0" w:color="auto"/>
            </w:tcBorders>
          </w:tcPr>
          <w:p>
            <w:pPr>
              <w:pStyle w:val="TableParagraph"/>
              <w:spacing w:line="201"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27" w:hRule="exact"/>
        </w:trPr>
        <w:tc>
          <w:tcPr>
            <w:tcW w:w="321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69"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3354" w:type="dxa"/>
            <w:tcBorders>
              <w:top w:val="single" w:sz="4" w:space="0" w:color="000000"/>
              <w:left w:val="nil" w:sz="6" w:space="0" w:color="auto"/>
              <w:bottom w:val="nil" w:sz="6" w:space="0" w:color="auto"/>
              <w:right w:val="nil" w:sz="6" w:space="0" w:color="auto"/>
            </w:tcBorders>
          </w:tcPr>
          <w:p>
            <w:pPr/>
          </w:p>
        </w:tc>
        <w:tc>
          <w:tcPr>
            <w:tcW w:w="3285"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54" w:type="dxa"/>
            <w:tcBorders>
              <w:top w:val="nil" w:sz="6" w:space="0" w:color="auto"/>
              <w:left w:val="nil" w:sz="6" w:space="0" w:color="auto"/>
              <w:bottom w:val="nil" w:sz="6" w:space="0" w:color="auto"/>
              <w:right w:val="nil" w:sz="6" w:space="0" w:color="auto"/>
            </w:tcBorders>
          </w:tcPr>
          <w:p>
            <w:pPr/>
          </w:p>
        </w:tc>
        <w:tc>
          <w:tcPr>
            <w:tcW w:w="3285" w:type="dxa"/>
            <w:tcBorders>
              <w:top w:val="nil" w:sz="6" w:space="0" w:color="auto"/>
              <w:left w:val="nil" w:sz="6" w:space="0" w:color="auto"/>
              <w:bottom w:val="nil" w:sz="6" w:space="0" w:color="auto"/>
              <w:right w:val="nil" w:sz="6" w:space="0" w:color="auto"/>
            </w:tcBorders>
          </w:tcPr>
          <w:p>
            <w:pPr/>
          </w:p>
        </w:tc>
      </w:tr>
      <w:tr>
        <w:trPr>
          <w:trHeight w:val="396"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4"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 w:right="0"/>
              <w:jc w:val="center"/>
              <w:rPr>
                <w:rFonts w:ascii="宋体" w:hAnsi="宋体" w:cs="宋体" w:eastAsia="宋体" w:hint="default"/>
                <w:sz w:val="18"/>
                <w:szCs w:val="18"/>
              </w:rPr>
            </w:pPr>
            <w:r>
              <w:rPr>
                <w:rFonts w:ascii="宋体"/>
                <w:sz w:val="18"/>
              </w:rPr>
              <w:t>29,563,748.22</w:t>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 w:right="0"/>
              <w:jc w:val="center"/>
              <w:rPr>
                <w:rFonts w:ascii="宋体" w:hAnsi="宋体" w:cs="宋体" w:eastAsia="宋体" w:hint="default"/>
                <w:sz w:val="18"/>
                <w:szCs w:val="18"/>
              </w:rPr>
            </w:pPr>
            <w:r>
              <w:rPr>
                <w:rFonts w:ascii="宋体"/>
                <w:sz w:val="18"/>
              </w:rPr>
              <w:t>37,674,138.39</w:t>
            </w:r>
          </w:p>
        </w:tc>
      </w:tr>
      <w:tr>
        <w:trPr>
          <w:trHeight w:val="2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4"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4" w:right="0"/>
              <w:jc w:val="center"/>
              <w:rPr>
                <w:rFonts w:ascii="宋体" w:hAnsi="宋体" w:cs="宋体" w:eastAsia="宋体" w:hint="default"/>
                <w:sz w:val="18"/>
                <w:szCs w:val="18"/>
              </w:rPr>
            </w:pPr>
            <w:r>
              <w:rPr>
                <w:rFonts w:ascii="宋体"/>
                <w:w w:val="101"/>
                <w:sz w:val="18"/>
              </w:rPr>
            </w:r>
            <w:r>
              <w:rPr>
                <w:rFonts w:ascii="宋体"/>
                <w:sz w:val="18"/>
                <w:u w:val="thick" w:color="000000"/>
              </w:rPr>
              <w:t>29,563,748.22</w:t>
            </w:r>
            <w:r>
              <w:rPr>
                <w:rFonts w:ascii="宋体"/>
                <w:sz w:val="18"/>
              </w:rPr>
            </w: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w w:val="101"/>
                <w:sz w:val="18"/>
              </w:rPr>
            </w:r>
            <w:r>
              <w:rPr>
                <w:rFonts w:ascii="宋体"/>
                <w:sz w:val="18"/>
                <w:u w:val="thick" w:color="000000"/>
              </w:rPr>
              <w:t>37,674,138.39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451" w:lineRule="auto" w:before="36"/>
        <w:ind w:left="635" w:right="9069"/>
        <w:jc w:val="left"/>
      </w:pPr>
      <w:r>
        <w:rPr>
          <w:rFonts w:ascii="宋体" w:hAnsi="宋体" w:cs="宋体" w:eastAsia="宋体" w:hint="default"/>
        </w:rPr>
        <w:t>2.</w:t>
      </w:r>
      <w:r>
        <w:rPr/>
        <w:t>应收利息</w:t>
      </w:r>
      <w:r>
        <w:rPr>
          <w:spacing w:val="-99"/>
        </w:rPr>
        <w:t> </w:t>
      </w:r>
      <w:r>
        <w:rPr/>
        <w:t>无。</w:t>
      </w:r>
      <w:r>
        <w:rPr>
          <w:spacing w:val="-103"/>
        </w:rPr>
        <w:t> </w:t>
      </w:r>
      <w:r>
        <w:rPr>
          <w:rFonts w:ascii="宋体" w:hAnsi="宋体" w:cs="宋体" w:eastAsia="宋体" w:hint="default"/>
        </w:rPr>
        <w:t>3.</w:t>
      </w:r>
      <w:r>
        <w:rPr/>
        <w:t>应收股利</w:t>
      </w:r>
      <w:r>
        <w:rPr>
          <w:spacing w:val="-99"/>
        </w:rPr>
        <w:t> </w:t>
      </w:r>
      <w:r>
        <w:rPr/>
        <w:t>无。</w:t>
      </w:r>
      <w:r>
        <w:rPr>
          <w:spacing w:val="-103"/>
        </w:rPr>
        <w:t> </w:t>
      </w:r>
      <w:r>
        <w:rPr>
          <w:rFonts w:ascii="宋体" w:hAnsi="宋体" w:cs="宋体" w:eastAsia="宋体" w:hint="default"/>
        </w:rPr>
        <w:t>4.</w:t>
      </w:r>
      <w:r>
        <w:rPr/>
        <w:t>其他应收款</w:t>
      </w:r>
    </w:p>
    <w:p>
      <w:pPr>
        <w:pStyle w:val="BodyText"/>
        <w:spacing w:line="240" w:lineRule="auto" w:before="58"/>
        <w:ind w:left="635" w:right="1118"/>
        <w:jc w:val="left"/>
      </w:pPr>
      <w:r>
        <w:rPr/>
        <w:t>（</w:t>
      </w:r>
      <w:r>
        <w:rPr>
          <w:rFonts w:ascii="宋体" w:hAnsi="宋体" w:cs="宋体" w:eastAsia="宋体" w:hint="default"/>
        </w:rPr>
        <w:t>1</w:t>
      </w:r>
      <w:r>
        <w:rPr/>
        <w:t>）按账龄披露</w:t>
      </w:r>
    </w:p>
    <w:p>
      <w:pPr>
        <w:spacing w:line="240" w:lineRule="auto" w:before="11"/>
        <w:rPr>
          <w:rFonts w:ascii="宋体" w:hAnsi="宋体" w:cs="宋体" w:eastAsia="宋体" w:hint="default"/>
          <w:sz w:val="26"/>
          <w:szCs w:val="26"/>
        </w:rPr>
      </w:pPr>
    </w:p>
    <w:tbl>
      <w:tblPr>
        <w:tblW w:w="0" w:type="auto"/>
        <w:jc w:val="left"/>
        <w:tblInd w:w="102" w:type="dxa"/>
        <w:tblLayout w:type="fixed"/>
        <w:tblCellMar>
          <w:top w:w="0" w:type="dxa"/>
          <w:left w:w="0" w:type="dxa"/>
          <w:bottom w:w="0" w:type="dxa"/>
          <w:right w:w="0" w:type="dxa"/>
        </w:tblCellMar>
        <w:tblLook w:val="01E0"/>
      </w:tblPr>
      <w:tblGrid>
        <w:gridCol w:w="5865"/>
        <w:gridCol w:w="3993"/>
      </w:tblGrid>
      <w:tr>
        <w:trPr>
          <w:trHeight w:val="253" w:hRule="exact"/>
        </w:trPr>
        <w:tc>
          <w:tcPr>
            <w:tcW w:w="5865" w:type="dxa"/>
            <w:tcBorders>
              <w:top w:val="nil" w:sz="6" w:space="0" w:color="auto"/>
              <w:left w:val="nil" w:sz="6" w:space="0" w:color="auto"/>
              <w:bottom w:val="single" w:sz="4" w:space="0" w:color="000000"/>
              <w:right w:val="nil" w:sz="6" w:space="0" w:color="auto"/>
            </w:tcBorders>
          </w:tcPr>
          <w:p>
            <w:pPr>
              <w:pStyle w:val="TableParagraph"/>
              <w:spacing w:line="182" w:lineRule="exact"/>
              <w:ind w:right="2190"/>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993" w:type="dxa"/>
            <w:tcBorders>
              <w:top w:val="nil" w:sz="6" w:space="0" w:color="auto"/>
              <w:left w:val="nil" w:sz="6" w:space="0" w:color="auto"/>
              <w:bottom w:val="single" w:sz="4" w:space="0" w:color="000000"/>
              <w:right w:val="nil" w:sz="6" w:space="0" w:color="auto"/>
            </w:tcBorders>
          </w:tcPr>
          <w:p>
            <w:pPr>
              <w:pStyle w:val="TableParagraph"/>
              <w:spacing w:line="182" w:lineRule="exact"/>
              <w:ind w:left="219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6" w:hRule="exact"/>
        </w:trPr>
        <w:tc>
          <w:tcPr>
            <w:tcW w:w="586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993"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99"/>
              <w:jc w:val="right"/>
              <w:rPr>
                <w:rFonts w:ascii="宋体" w:hAnsi="宋体" w:cs="宋体" w:eastAsia="宋体" w:hint="default"/>
                <w:sz w:val="18"/>
                <w:szCs w:val="18"/>
              </w:rPr>
            </w:pPr>
            <w:r>
              <w:rPr>
                <w:rFonts w:ascii="宋体"/>
                <w:spacing w:val="-1"/>
                <w:sz w:val="18"/>
              </w:rPr>
              <w:t>6,598,922.47</w:t>
            </w:r>
          </w:p>
        </w:tc>
      </w:tr>
      <w:tr>
        <w:trPr>
          <w:trHeight w:val="386"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spacing w:val="-1"/>
                <w:sz w:val="18"/>
              </w:rPr>
              <w:t>22,374,980.75</w:t>
            </w:r>
          </w:p>
        </w:tc>
      </w:tr>
      <w:tr>
        <w:trPr>
          <w:trHeight w:val="406"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spacing w:val="-1"/>
                <w:sz w:val="18"/>
              </w:rPr>
              <w:t>632,405.00</w:t>
            </w:r>
          </w:p>
        </w:tc>
      </w:tr>
      <w:tr>
        <w:trPr>
          <w:trHeight w:val="300" w:hRule="exact"/>
        </w:trPr>
        <w:tc>
          <w:tcPr>
            <w:tcW w:w="58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9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9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29,606,308.22</w:t>
            </w:r>
            <w:r>
              <w:rPr>
                <w:rFonts w:ascii="宋体"/>
                <w:spacing w:val="-1"/>
                <w:sz w:val="18"/>
              </w:rPr>
            </w:r>
          </w:p>
        </w:tc>
      </w:tr>
    </w:tbl>
    <w:p>
      <w:pPr>
        <w:spacing w:line="240" w:lineRule="auto" w:before="3"/>
        <w:rPr>
          <w:rFonts w:ascii="宋体" w:hAnsi="宋体" w:cs="宋体" w:eastAsia="宋体" w:hint="default"/>
          <w:sz w:val="20"/>
          <w:szCs w:val="20"/>
        </w:rPr>
      </w:pPr>
    </w:p>
    <w:p>
      <w:pPr>
        <w:pStyle w:val="BodyText"/>
        <w:spacing w:line="240" w:lineRule="auto" w:before="36"/>
        <w:ind w:left="635" w:right="1118"/>
        <w:jc w:val="left"/>
      </w:pPr>
      <w:r>
        <w:rPr/>
        <w:t>（</w:t>
      </w:r>
      <w:r>
        <w:rPr>
          <w:rFonts w:ascii="宋体" w:hAnsi="宋体" w:cs="宋体" w:eastAsia="宋体" w:hint="default"/>
        </w:rPr>
        <w:t>2</w:t>
      </w:r>
      <w:r>
        <w:rPr/>
        <w:t>）按款项性质分类情况</w:t>
      </w:r>
    </w:p>
    <w:p>
      <w:pPr>
        <w:spacing w:line="240" w:lineRule="auto" w:before="3"/>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824"/>
        <w:gridCol w:w="3719"/>
        <w:gridCol w:w="2315"/>
      </w:tblGrid>
      <w:tr>
        <w:trPr>
          <w:trHeight w:val="253" w:hRule="exact"/>
        </w:trPr>
        <w:tc>
          <w:tcPr>
            <w:tcW w:w="3824" w:type="dxa"/>
            <w:tcBorders>
              <w:top w:val="nil" w:sz="6" w:space="0" w:color="auto"/>
              <w:left w:val="nil" w:sz="6" w:space="0" w:color="auto"/>
              <w:bottom w:val="single" w:sz="4" w:space="0" w:color="000000"/>
              <w:right w:val="nil" w:sz="6" w:space="0" w:color="auto"/>
            </w:tcBorders>
          </w:tcPr>
          <w:p>
            <w:pPr>
              <w:pStyle w:val="TableParagraph"/>
              <w:spacing w:line="182" w:lineRule="exact"/>
              <w:ind w:left="400"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9" w:type="dxa"/>
            <w:tcBorders>
              <w:top w:val="nil" w:sz="6" w:space="0" w:color="auto"/>
              <w:left w:val="nil" w:sz="6" w:space="0" w:color="auto"/>
              <w:bottom w:val="single" w:sz="4" w:space="0" w:color="000000"/>
              <w:right w:val="nil" w:sz="6" w:space="0" w:color="auto"/>
            </w:tcBorders>
          </w:tcPr>
          <w:p>
            <w:pPr>
              <w:pStyle w:val="TableParagraph"/>
              <w:spacing w:line="182" w:lineRule="exact"/>
              <w:ind w:left="64" w:right="0"/>
              <w:jc w:val="center"/>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315" w:type="dxa"/>
            <w:tcBorders>
              <w:top w:val="nil" w:sz="6" w:space="0" w:color="auto"/>
              <w:left w:val="nil" w:sz="6" w:space="0" w:color="auto"/>
              <w:bottom w:val="single" w:sz="4" w:space="0" w:color="000000"/>
              <w:right w:val="nil" w:sz="6" w:space="0" w:color="auto"/>
            </w:tcBorders>
          </w:tcPr>
          <w:p>
            <w:pPr>
              <w:pStyle w:val="TableParagraph"/>
              <w:spacing w:line="182"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期初账面余额</w:t>
            </w:r>
            <w:r>
              <w:rPr>
                <w:rFonts w:ascii="宋体" w:hAnsi="宋体" w:cs="宋体" w:eastAsia="宋体" w:hint="default"/>
                <w:sz w:val="18"/>
                <w:szCs w:val="18"/>
              </w:rPr>
            </w:r>
          </w:p>
        </w:tc>
      </w:tr>
      <w:tr>
        <w:trPr>
          <w:trHeight w:val="441" w:hRule="exact"/>
        </w:trPr>
        <w:tc>
          <w:tcPr>
            <w:tcW w:w="382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10"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71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39"/>
              <w:jc w:val="right"/>
              <w:rPr>
                <w:rFonts w:ascii="宋体" w:hAnsi="宋体" w:cs="宋体" w:eastAsia="宋体" w:hint="default"/>
                <w:sz w:val="18"/>
                <w:szCs w:val="18"/>
              </w:rPr>
            </w:pPr>
            <w:r>
              <w:rPr>
                <w:rFonts w:ascii="宋体"/>
                <w:spacing w:val="-1"/>
                <w:sz w:val="18"/>
              </w:rPr>
              <w:t>27,306,474.21</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99"/>
              <w:jc w:val="right"/>
              <w:rPr>
                <w:rFonts w:ascii="宋体" w:hAnsi="宋体" w:cs="宋体" w:eastAsia="宋体" w:hint="default"/>
                <w:sz w:val="18"/>
                <w:szCs w:val="18"/>
              </w:rPr>
            </w:pPr>
            <w:r>
              <w:rPr>
                <w:rFonts w:ascii="宋体"/>
                <w:spacing w:val="-1"/>
                <w:sz w:val="18"/>
              </w:rPr>
              <w:t>34,671,518.01</w:t>
            </w:r>
          </w:p>
        </w:tc>
      </w:tr>
      <w:tr>
        <w:trPr>
          <w:trHeight w:val="399"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9"/>
              <w:jc w:val="right"/>
              <w:rPr>
                <w:rFonts w:ascii="宋体" w:hAnsi="宋体" w:cs="宋体" w:eastAsia="宋体" w:hint="default"/>
                <w:sz w:val="18"/>
                <w:szCs w:val="18"/>
              </w:rPr>
            </w:pPr>
            <w:r>
              <w:rPr>
                <w:rFonts w:ascii="宋体"/>
                <w:spacing w:val="-1"/>
                <w:sz w:val="18"/>
              </w:rPr>
              <w:t>2,220,861.71</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2,972,606.08</w:t>
            </w:r>
          </w:p>
        </w:tc>
      </w:tr>
      <w:tr>
        <w:trPr>
          <w:trHeight w:val="408"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9"/>
              <w:jc w:val="right"/>
              <w:rPr>
                <w:rFonts w:ascii="宋体" w:hAnsi="宋体" w:cs="宋体" w:eastAsia="宋体" w:hint="default"/>
                <w:sz w:val="18"/>
                <w:szCs w:val="18"/>
              </w:rPr>
            </w:pPr>
            <w:r>
              <w:rPr>
                <w:rFonts w:ascii="宋体"/>
                <w:spacing w:val="-1"/>
                <w:sz w:val="18"/>
              </w:rPr>
              <w:t>78,972.30</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9"/>
              <w:jc w:val="right"/>
              <w:rPr>
                <w:rFonts w:ascii="宋体" w:hAnsi="宋体" w:cs="宋体" w:eastAsia="宋体" w:hint="default"/>
                <w:sz w:val="18"/>
                <w:szCs w:val="18"/>
              </w:rPr>
            </w:pPr>
            <w:r>
              <w:rPr>
                <w:rFonts w:ascii="宋体"/>
                <w:spacing w:val="-1"/>
                <w:sz w:val="18"/>
              </w:rPr>
              <w:t>30,014.30</w:t>
            </w:r>
          </w:p>
        </w:tc>
      </w:tr>
      <w:tr>
        <w:trPr>
          <w:trHeight w:val="281" w:hRule="exact"/>
        </w:trPr>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00"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71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439"/>
              <w:jc w:val="right"/>
              <w:rPr>
                <w:rFonts w:ascii="宋体" w:hAnsi="宋体" w:cs="宋体" w:eastAsia="宋体" w:hint="default"/>
                <w:sz w:val="18"/>
                <w:szCs w:val="18"/>
              </w:rPr>
            </w:pPr>
            <w:r>
              <w:rPr>
                <w:rFonts w:ascii="宋体"/>
                <w:w w:val="101"/>
                <w:sz w:val="18"/>
              </w:rPr>
            </w:r>
            <w:r>
              <w:rPr>
                <w:rFonts w:ascii="宋体"/>
                <w:spacing w:val="-1"/>
                <w:sz w:val="18"/>
                <w:u w:val="thick" w:color="000000"/>
              </w:rPr>
              <w:t>29,606,308.22</w:t>
            </w:r>
            <w:r>
              <w:rPr>
                <w:rFonts w:ascii="宋体"/>
                <w:spacing w:val="-1"/>
                <w:sz w:val="18"/>
              </w:rPr>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宋体" w:hAnsi="宋体" w:cs="宋体" w:eastAsia="宋体" w:hint="default"/>
                <w:sz w:val="18"/>
                <w:szCs w:val="18"/>
              </w:rPr>
            </w:pPr>
            <w:r>
              <w:rPr>
                <w:rFonts w:ascii="宋体"/>
                <w:w w:val="101"/>
                <w:sz w:val="18"/>
              </w:rPr>
            </w:r>
            <w:r>
              <w:rPr>
                <w:rFonts w:ascii="宋体"/>
                <w:spacing w:val="-1"/>
                <w:sz w:val="18"/>
                <w:u w:val="thick" w:color="000000"/>
              </w:rPr>
              <w:t>37,674,138.39</w:t>
            </w:r>
            <w:r>
              <w:rPr>
                <w:rFonts w:ascii="宋体"/>
                <w:spacing w:val="-1"/>
                <w:sz w:val="18"/>
              </w:rPr>
            </w:r>
          </w:p>
        </w:tc>
      </w:tr>
    </w:tbl>
    <w:p>
      <w:pPr>
        <w:spacing w:line="240" w:lineRule="auto" w:before="2"/>
        <w:rPr>
          <w:rFonts w:ascii="宋体" w:hAnsi="宋体" w:cs="宋体" w:eastAsia="宋体" w:hint="default"/>
          <w:sz w:val="20"/>
          <w:szCs w:val="20"/>
        </w:rPr>
      </w:pPr>
    </w:p>
    <w:p>
      <w:pPr>
        <w:pStyle w:val="BodyText"/>
        <w:spacing w:line="240" w:lineRule="auto" w:before="36"/>
        <w:ind w:left="635" w:right="1118"/>
        <w:jc w:val="left"/>
      </w:pPr>
      <w:r>
        <w:rPr/>
        <w:t>（</w:t>
      </w:r>
      <w:r>
        <w:rPr>
          <w:rFonts w:ascii="宋体" w:hAnsi="宋体" w:cs="宋体" w:eastAsia="宋体" w:hint="default"/>
        </w:rPr>
        <w:t>3</w:t>
      </w:r>
      <w:r>
        <w:rPr/>
        <w:t>）坏账准备计提情况</w:t>
      </w:r>
    </w:p>
    <w:p>
      <w:pPr>
        <w:spacing w:line="240" w:lineRule="auto" w:before="8"/>
        <w:rPr>
          <w:rFonts w:ascii="宋体" w:hAnsi="宋体" w:cs="宋体" w:eastAsia="宋体" w:hint="default"/>
          <w:sz w:val="19"/>
          <w:szCs w:val="19"/>
        </w:rPr>
      </w:pPr>
    </w:p>
    <w:p>
      <w:pPr>
        <w:tabs>
          <w:tab w:pos="4673" w:val="left" w:leader="none"/>
          <w:tab w:pos="6801" w:val="left" w:leader="none"/>
        </w:tabs>
        <w:spacing w:before="46"/>
        <w:ind w:left="2787" w:right="1118" w:firstLine="0"/>
        <w:jc w:val="left"/>
        <w:rPr>
          <w:rFonts w:ascii="宋体" w:hAnsi="宋体" w:cs="宋体" w:eastAsia="宋体" w:hint="default"/>
          <w:sz w:val="18"/>
          <w:szCs w:val="18"/>
        </w:rPr>
      </w:pPr>
      <w:r>
        <w:rPr>
          <w:rFonts w:ascii="宋体" w:hAnsi="宋体" w:cs="宋体" w:eastAsia="宋体" w:hint="default"/>
          <w:b/>
          <w:bCs/>
          <w:sz w:val="18"/>
          <w:szCs w:val="18"/>
        </w:rPr>
        <w:t>第一阶段</w:t>
        <w:tab/>
        <w:t>第二阶段</w:t>
        <w:tab/>
        <w:t>第三阶段</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1" w:footer="979" w:top="1060" w:bottom="1160" w:left="920" w:right="0"/>
        </w:sectPr>
      </w:pPr>
    </w:p>
    <w:p>
      <w:pPr>
        <w:spacing w:before="124"/>
        <w:ind w:left="890" w:right="-14" w:firstLine="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p>
      <w:pPr>
        <w:spacing w:line="367" w:lineRule="auto" w:before="139"/>
        <w:ind w:left="1127" w:right="-18" w:hanging="312"/>
        <w:jc w:val="left"/>
        <w:rPr>
          <w:rFonts w:ascii="宋体" w:hAnsi="宋体" w:cs="宋体" w:eastAsia="宋体" w:hint="default"/>
          <w:sz w:val="18"/>
          <w:szCs w:val="18"/>
        </w:rPr>
      </w:pPr>
      <w:r>
        <w:rPr/>
        <w:br w:type="column"/>
      </w:r>
      <w:r>
        <w:rPr>
          <w:rFonts w:ascii="宋体" w:hAnsi="宋体" w:cs="宋体" w:eastAsia="宋体" w:hint="default"/>
          <w:b/>
          <w:bCs/>
          <w:sz w:val="18"/>
          <w:szCs w:val="18"/>
        </w:rPr>
        <w:t>未来</w:t>
      </w:r>
      <w:r>
        <w:rPr>
          <w:rFonts w:ascii="宋体" w:hAnsi="宋体" w:cs="宋体" w:eastAsia="宋体" w:hint="default"/>
          <w:b/>
          <w:bCs/>
          <w:spacing w:val="-42"/>
          <w:sz w:val="18"/>
          <w:szCs w:val="18"/>
        </w:rPr>
        <w:t> </w:t>
      </w:r>
      <w:r>
        <w:rPr>
          <w:rFonts w:ascii="宋体" w:hAnsi="宋体" w:cs="宋体" w:eastAsia="宋体" w:hint="default"/>
          <w:b/>
          <w:bCs/>
          <w:sz w:val="18"/>
          <w:szCs w:val="18"/>
        </w:rPr>
        <w:t>12</w:t>
      </w:r>
      <w:r>
        <w:rPr>
          <w:rFonts w:ascii="宋体" w:hAnsi="宋体" w:cs="宋体" w:eastAsia="宋体" w:hint="default"/>
          <w:b/>
          <w:bCs/>
          <w:spacing w:val="-42"/>
          <w:sz w:val="18"/>
          <w:szCs w:val="18"/>
        </w:rPr>
        <w:t> </w:t>
      </w:r>
      <w:r>
        <w:rPr>
          <w:rFonts w:ascii="宋体" w:hAnsi="宋体" w:cs="宋体" w:eastAsia="宋体" w:hint="default"/>
          <w:b/>
          <w:bCs/>
          <w:spacing w:val="-3"/>
          <w:sz w:val="18"/>
          <w:szCs w:val="18"/>
        </w:rPr>
        <w:t>个月预期</w:t>
      </w:r>
      <w:r>
        <w:rPr>
          <w:rFonts w:ascii="宋体" w:hAnsi="宋体" w:cs="宋体" w:eastAsia="宋体" w:hint="default"/>
          <w:b/>
          <w:bCs/>
          <w:spacing w:val="-5"/>
          <w:w w:val="100"/>
          <w:sz w:val="18"/>
          <w:szCs w:val="18"/>
        </w:rPr>
        <w:t> </w:t>
      </w:r>
      <w:r>
        <w:rPr>
          <w:rFonts w:ascii="宋体" w:hAnsi="宋体" w:cs="宋体" w:eastAsia="宋体" w:hint="default"/>
          <w:b/>
          <w:bCs/>
          <w:sz w:val="18"/>
          <w:szCs w:val="18"/>
        </w:rPr>
        <w:t>信用损失</w:t>
      </w:r>
      <w:r>
        <w:rPr>
          <w:rFonts w:ascii="宋体" w:hAnsi="宋体" w:cs="宋体" w:eastAsia="宋体" w:hint="default"/>
          <w:sz w:val="18"/>
          <w:szCs w:val="18"/>
        </w:rPr>
      </w:r>
    </w:p>
    <w:p>
      <w:pPr>
        <w:spacing w:line="367" w:lineRule="auto" w:before="139"/>
        <w:ind w:left="267" w:right="0" w:firstLine="0"/>
        <w:jc w:val="left"/>
        <w:rPr>
          <w:rFonts w:ascii="宋体" w:hAnsi="宋体" w:cs="宋体" w:eastAsia="宋体" w:hint="default"/>
          <w:sz w:val="18"/>
          <w:szCs w:val="18"/>
        </w:rPr>
      </w:pPr>
      <w:r>
        <w:rPr>
          <w:spacing w:val="-2"/>
        </w:rPr>
        <w:br w:type="column"/>
      </w:r>
      <w:r>
        <w:rPr>
          <w:rFonts w:ascii="宋体" w:hAnsi="宋体" w:cs="宋体" w:eastAsia="宋体" w:hint="default"/>
          <w:b/>
          <w:bCs/>
          <w:spacing w:val="-2"/>
          <w:sz w:val="18"/>
          <w:szCs w:val="18"/>
        </w:rPr>
        <w:t>整个存续期预期信用损</w:t>
      </w:r>
      <w:r>
        <w:rPr>
          <w:rFonts w:ascii="宋体" w:hAnsi="宋体" w:cs="宋体" w:eastAsia="宋体" w:hint="default"/>
          <w:b/>
          <w:bCs/>
          <w:spacing w:val="-69"/>
          <w:sz w:val="18"/>
          <w:szCs w:val="18"/>
        </w:rPr>
        <w:t> </w:t>
      </w:r>
      <w:r>
        <w:rPr>
          <w:rFonts w:ascii="宋体" w:hAnsi="宋体" w:cs="宋体" w:eastAsia="宋体" w:hint="default"/>
          <w:b/>
          <w:bCs/>
          <w:spacing w:val="-69"/>
          <w:sz w:val="18"/>
          <w:szCs w:val="18"/>
        </w:rPr>
      </w:r>
      <w:r>
        <w:rPr>
          <w:rFonts w:ascii="宋体" w:hAnsi="宋体" w:cs="宋体" w:eastAsia="宋体" w:hint="default"/>
          <w:b/>
          <w:bCs/>
          <w:spacing w:val="-2"/>
          <w:sz w:val="18"/>
          <w:szCs w:val="18"/>
        </w:rPr>
        <w:t>失（未发生信用减值）</w:t>
      </w:r>
      <w:r>
        <w:rPr>
          <w:rFonts w:ascii="宋体" w:hAnsi="宋体" w:cs="宋体" w:eastAsia="宋体" w:hint="default"/>
          <w:spacing w:val="-2"/>
          <w:sz w:val="18"/>
          <w:szCs w:val="18"/>
        </w:rPr>
      </w:r>
    </w:p>
    <w:p>
      <w:pPr>
        <w:tabs>
          <w:tab w:pos="2889" w:val="left" w:leader="none"/>
        </w:tabs>
        <w:spacing w:line="362" w:lineRule="auto" w:before="129"/>
        <w:ind w:left="277" w:right="1741" w:firstLine="0"/>
        <w:jc w:val="left"/>
        <w:rPr>
          <w:rFonts w:ascii="宋体" w:hAnsi="宋体" w:cs="宋体" w:eastAsia="宋体" w:hint="default"/>
          <w:sz w:val="18"/>
          <w:szCs w:val="18"/>
        </w:rPr>
      </w:pPr>
      <w:r>
        <w:rPr>
          <w:spacing w:val="-2"/>
        </w:rPr>
        <w:br w:type="column"/>
      </w:r>
      <w:r>
        <w:rPr>
          <w:rFonts w:ascii="宋体" w:hAnsi="宋体" w:cs="宋体" w:eastAsia="宋体" w:hint="default"/>
          <w:b/>
          <w:bCs/>
          <w:spacing w:val="-2"/>
          <w:sz w:val="18"/>
          <w:szCs w:val="18"/>
        </w:rPr>
        <w:t>整个存续期预期信用损</w:t>
        <w:tab/>
      </w:r>
      <w:r>
        <w:rPr>
          <w:rFonts w:ascii="宋体" w:hAnsi="宋体" w:cs="宋体" w:eastAsia="宋体" w:hint="default"/>
          <w:b/>
          <w:bCs/>
          <w:position w:val="1"/>
          <w:sz w:val="18"/>
          <w:szCs w:val="18"/>
        </w:rPr>
        <w:t>合计</w:t>
      </w:r>
      <w:r>
        <w:rPr>
          <w:rFonts w:ascii="宋体" w:hAnsi="宋体" w:cs="宋体" w:eastAsia="宋体" w:hint="default"/>
          <w:b/>
          <w:bCs/>
          <w:spacing w:val="-88"/>
          <w:position w:val="1"/>
          <w:sz w:val="18"/>
          <w:szCs w:val="18"/>
        </w:rPr>
        <w:t> </w:t>
      </w:r>
      <w:r>
        <w:rPr>
          <w:rFonts w:ascii="宋体" w:hAnsi="宋体" w:cs="宋体" w:eastAsia="宋体" w:hint="default"/>
          <w:b/>
          <w:bCs/>
          <w:spacing w:val="-88"/>
          <w:position w:val="1"/>
          <w:sz w:val="18"/>
          <w:szCs w:val="18"/>
        </w:rPr>
      </w:r>
      <w:r>
        <w:rPr>
          <w:rFonts w:ascii="宋体" w:hAnsi="宋体" w:cs="宋体" w:eastAsia="宋体" w:hint="default"/>
          <w:b/>
          <w:bCs/>
          <w:sz w:val="18"/>
          <w:szCs w:val="18"/>
        </w:rPr>
        <w:t>失（已发生信用减值）</w:t>
      </w:r>
      <w:r>
        <w:rPr>
          <w:rFonts w:ascii="宋体" w:hAnsi="宋体" w:cs="宋体" w:eastAsia="宋体" w:hint="default"/>
          <w:sz w:val="18"/>
          <w:szCs w:val="18"/>
        </w:rPr>
      </w:r>
    </w:p>
    <w:p>
      <w:pPr>
        <w:spacing w:after="0" w:line="362" w:lineRule="auto"/>
        <w:jc w:val="left"/>
        <w:rPr>
          <w:rFonts w:ascii="宋体" w:hAnsi="宋体" w:cs="宋体" w:eastAsia="宋体" w:hint="default"/>
          <w:sz w:val="18"/>
          <w:szCs w:val="18"/>
        </w:rPr>
        <w:sectPr>
          <w:type w:val="continuous"/>
          <w:pgSz w:w="11910" w:h="16840"/>
          <w:pgMar w:top="1060" w:bottom="1160" w:left="920" w:right="0"/>
          <w:cols w:num="4" w:equalWidth="0">
            <w:col w:w="1620" w:space="40"/>
            <w:col w:w="2169" w:space="40"/>
            <w:col w:w="2078" w:space="40"/>
            <w:col w:w="5003"/>
          </w:cols>
        </w:sectPr>
      </w:pPr>
    </w:p>
    <w:p>
      <w:pPr>
        <w:spacing w:before="58"/>
        <w:ind w:left="323" w:right="1118" w:firstLine="0"/>
        <w:jc w:val="left"/>
        <w:rPr>
          <w:rFonts w:ascii="宋体" w:hAnsi="宋体" w:cs="宋体" w:eastAsia="宋体" w:hint="default"/>
          <w:sz w:val="18"/>
          <w:szCs w:val="18"/>
        </w:rPr>
      </w:pPr>
      <w:r>
        <w:rPr/>
        <w:pict>
          <v:group style="position:absolute;margin-left:56.424011pt;margin-top:-2.428259pt;width:482.6pt;height:.5pt;mso-position-horizontal-relative:page;mso-position-vertical-relative:paragraph;z-index:-924160" coordorigin="1128,-49" coordsize="9652,10">
            <v:group style="position:absolute;left:1133;top:-44;width:2080;height:2" coordorigin="1133,-44" coordsize="2080,2">
              <v:shape style="position:absolute;left:1133;top:-44;width:2080;height:2" coordorigin="1133,-44" coordsize="2080,0" path="m1133,-44l3213,-44e" filled="false" stroked="true" strokeweight=".47998pt" strokecolor="#000000">
                <v:path arrowok="t"/>
              </v:shape>
            </v:group>
            <v:group style="position:absolute;left:3213;top:-44;width:10;height:2" coordorigin="3213,-44" coordsize="10,2">
              <v:shape style="position:absolute;left:3213;top:-44;width:10;height:2" coordorigin="3213,-44" coordsize="10,0" path="m3213,-44l3222,-44e" filled="false" stroked="true" strokeweight=".47998pt" strokecolor="#000000">
                <v:path arrowok="t"/>
              </v:shape>
            </v:group>
            <v:group style="position:absolute;left:3222;top:-44;width:1705;height:2" coordorigin="3222,-44" coordsize="1705,2">
              <v:shape style="position:absolute;left:3222;top:-44;width:1705;height:2" coordorigin="3222,-44" coordsize="1705,0" path="m3222,-44l4927,-44e" filled="false" stroked="true" strokeweight=".47998pt" strokecolor="#000000">
                <v:path arrowok="t"/>
              </v:shape>
            </v:group>
            <v:group style="position:absolute;left:4927;top:-44;width:10;height:2" coordorigin="4927,-44" coordsize="10,2">
              <v:shape style="position:absolute;left:4927;top:-44;width:10;height:2" coordorigin="4927,-44" coordsize="10,0" path="m4927,-44l4936,-44e" filled="false" stroked="true" strokeweight=".47998pt" strokecolor="#000000">
                <v:path arrowok="t"/>
              </v:shape>
            </v:group>
            <v:group style="position:absolute;left:4936;top:-44;width:2056;height:2" coordorigin="4936,-44" coordsize="2056,2">
              <v:shape style="position:absolute;left:4936;top:-44;width:2056;height:2" coordorigin="4936,-44" coordsize="2056,0" path="m4936,-44l6992,-44e" filled="false" stroked="true" strokeweight=".47998pt" strokecolor="#000000">
                <v:path arrowok="t"/>
              </v:shape>
            </v:group>
            <v:group style="position:absolute;left:6992;top:-44;width:10;height:2" coordorigin="6992,-44" coordsize="10,2">
              <v:shape style="position:absolute;left:6992;top:-44;width:10;height:2" coordorigin="6992,-44" coordsize="10,0" path="m6992,-44l7001,-44e" filled="false" stroked="true" strokeweight=".47998pt" strokecolor="#000000">
                <v:path arrowok="t"/>
              </v:shape>
            </v:group>
            <v:group style="position:absolute;left:7001;top:-44;width:2175;height:2" coordorigin="7001,-44" coordsize="2175,2">
              <v:shape style="position:absolute;left:7001;top:-44;width:2175;height:2" coordorigin="7001,-44" coordsize="2175,0" path="m7001,-44l9176,-44e" filled="false" stroked="true" strokeweight=".47998pt" strokecolor="#000000">
                <v:path arrowok="t"/>
              </v:shape>
            </v:group>
            <v:group style="position:absolute;left:9176;top:-44;width:10;height:2" coordorigin="9176,-44" coordsize="10,2">
              <v:shape style="position:absolute;left:9176;top:-44;width:10;height:2" coordorigin="9176,-44" coordsize="10,0" path="m9176,-44l9186,-44e" filled="false" stroked="true" strokeweight=".47998pt" strokecolor="#000000">
                <v:path arrowok="t"/>
              </v:shape>
            </v:group>
            <v:group style="position:absolute;left:9186;top:-44;width:1590;height:2" coordorigin="9186,-44" coordsize="1590,2">
              <v:shape style="position:absolute;left:9186;top:-44;width:1590;height:2" coordorigin="9186,-44" coordsize="1590,0" path="m9186,-44l10776,-44e" filled="false" stroked="true" strokeweight=".47998pt" strokecolor="#000000">
                <v:path arrowok="t"/>
              </v:shape>
            </v:group>
            <w10:wrap type="none"/>
          </v:group>
        </w:pict>
      </w:r>
      <w:r>
        <w:rPr>
          <w:rFonts w:ascii="宋体" w:hAnsi="宋体" w:cs="宋体" w:eastAsia="宋体" w:hint="default"/>
          <w:b/>
          <w:bCs/>
          <w:sz w:val="18"/>
          <w:szCs w:val="18"/>
        </w:rPr>
        <w:t>2019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1"/>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日余额</w:t>
      </w:r>
      <w:r>
        <w:rPr>
          <w:rFonts w:ascii="宋体" w:hAnsi="宋体" w:cs="宋体" w:eastAsia="宋体" w:hint="default"/>
          <w:sz w:val="18"/>
          <w:szCs w:val="18"/>
        </w:rPr>
      </w:r>
    </w:p>
    <w:p>
      <w:pPr>
        <w:spacing w:line="367" w:lineRule="auto" w:before="143"/>
        <w:ind w:left="323" w:right="8788" w:firstLine="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2"/>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日其他应</w:t>
      </w:r>
      <w:r>
        <w:rPr>
          <w:rFonts w:ascii="宋体" w:hAnsi="宋体" w:cs="宋体" w:eastAsia="宋体" w:hint="default"/>
          <w:b/>
          <w:bCs/>
          <w:w w:val="100"/>
          <w:sz w:val="18"/>
          <w:szCs w:val="18"/>
        </w:rPr>
        <w:t> </w:t>
      </w:r>
      <w:r>
        <w:rPr>
          <w:rFonts w:ascii="宋体" w:hAnsi="宋体" w:cs="宋体" w:eastAsia="宋体" w:hint="default"/>
          <w:b/>
          <w:bCs/>
          <w:sz w:val="18"/>
          <w:szCs w:val="18"/>
        </w:rPr>
        <w:t>收款账面余额在本期</w:t>
      </w:r>
      <w:r>
        <w:rPr>
          <w:rFonts w:ascii="宋体" w:hAnsi="宋体" w:cs="宋体" w:eastAsia="宋体" w:hint="default"/>
          <w:sz w:val="18"/>
          <w:szCs w:val="18"/>
        </w:rPr>
      </w:r>
    </w:p>
    <w:p>
      <w:pPr>
        <w:spacing w:before="48"/>
        <w:ind w:left="323" w:right="1118" w:firstLine="0"/>
        <w:jc w:val="left"/>
        <w:rPr>
          <w:rFonts w:ascii="宋体" w:hAnsi="宋体" w:cs="宋体" w:eastAsia="宋体" w:hint="default"/>
          <w:sz w:val="18"/>
          <w:szCs w:val="18"/>
        </w:rPr>
      </w:pPr>
      <w:r>
        <w:rPr>
          <w:rFonts w:ascii="宋体" w:hAnsi="宋体" w:cs="宋体" w:eastAsia="宋体" w:hint="default"/>
          <w:b/>
          <w:bCs/>
          <w:sz w:val="18"/>
          <w:szCs w:val="18"/>
        </w:rPr>
        <w:t>——转入第二阶段</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tbl>
      <w:tblPr>
        <w:tblW w:w="0" w:type="auto"/>
        <w:jc w:val="left"/>
        <w:tblInd w:w="1023" w:type="dxa"/>
        <w:tblLayout w:type="fixed"/>
        <w:tblCellMar>
          <w:top w:w="0" w:type="dxa"/>
          <w:left w:w="0" w:type="dxa"/>
          <w:bottom w:w="0" w:type="dxa"/>
          <w:right w:w="0" w:type="dxa"/>
        </w:tblCellMar>
        <w:tblLook w:val="01E0"/>
      </w:tblPr>
      <w:tblGrid>
        <w:gridCol w:w="2339"/>
        <w:gridCol w:w="3642"/>
        <w:gridCol w:w="3561"/>
      </w:tblGrid>
      <w:tr>
        <w:trPr>
          <w:trHeight w:val="29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——转入第三阶段</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396"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——转回第二阶段</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396"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b/>
                <w:bCs/>
                <w:sz w:val="18"/>
                <w:szCs w:val="18"/>
              </w:rPr>
              <w:t>——转回第一阶段</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398"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0" w:right="0"/>
              <w:jc w:val="left"/>
              <w:rPr>
                <w:rFonts w:ascii="宋体" w:hAnsi="宋体" w:cs="宋体" w:eastAsia="宋体" w:hint="default"/>
                <w:sz w:val="18"/>
                <w:szCs w:val="18"/>
              </w:rPr>
            </w:pPr>
            <w:r>
              <w:rPr>
                <w:rFonts w:ascii="宋体"/>
                <w:sz w:val="18"/>
              </w:rPr>
              <w:t>42,560.00</w:t>
            </w:r>
          </w:p>
        </w:tc>
        <w:tc>
          <w:tcPr>
            <w:tcW w:w="35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宋体" w:hAnsi="宋体" w:cs="宋体" w:eastAsia="宋体" w:hint="default"/>
                <w:sz w:val="18"/>
                <w:szCs w:val="18"/>
              </w:rPr>
            </w:pPr>
            <w:r>
              <w:rPr>
                <w:rFonts w:ascii="宋体"/>
                <w:spacing w:val="-1"/>
                <w:sz w:val="18"/>
              </w:rPr>
              <w:t>42,560.00</w:t>
            </w:r>
          </w:p>
        </w:tc>
      </w:tr>
      <w:tr>
        <w:trPr>
          <w:trHeight w:val="396"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本期转回</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396"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b/>
                <w:bCs/>
                <w:sz w:val="18"/>
                <w:szCs w:val="18"/>
              </w:rPr>
              <w:t>本期转销</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399"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本期核销</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399"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nil" w:sz="6" w:space="0" w:color="auto"/>
              <w:right w:val="nil" w:sz="6" w:space="0" w:color="auto"/>
            </w:tcBorders>
          </w:tcPr>
          <w:p>
            <w:pPr/>
          </w:p>
        </w:tc>
      </w:tr>
      <w:tr>
        <w:trPr>
          <w:trHeight w:val="290" w:hRule="exact"/>
        </w:trPr>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日余额</w:t>
            </w:r>
            <w:r>
              <w:rPr>
                <w:rFonts w:ascii="宋体" w:hAnsi="宋体" w:cs="宋体" w:eastAsia="宋体" w:hint="default"/>
                <w:sz w:val="18"/>
                <w:szCs w:val="18"/>
              </w:rPr>
            </w:r>
          </w:p>
        </w:tc>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0" w:right="0"/>
              <w:jc w:val="left"/>
              <w:rPr>
                <w:rFonts w:ascii="宋体" w:hAnsi="宋体" w:cs="宋体" w:eastAsia="宋体" w:hint="default"/>
                <w:sz w:val="18"/>
                <w:szCs w:val="18"/>
              </w:rPr>
            </w:pPr>
            <w:r>
              <w:rPr>
                <w:rFonts w:ascii="宋体"/>
                <w:sz w:val="18"/>
              </w:rPr>
              <w:t>42,560.00</w:t>
            </w:r>
          </w:p>
        </w:tc>
        <w:tc>
          <w:tcPr>
            <w:tcW w:w="35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宋体" w:hAnsi="宋体" w:cs="宋体" w:eastAsia="宋体" w:hint="default"/>
                <w:sz w:val="18"/>
                <w:szCs w:val="18"/>
              </w:rPr>
            </w:pPr>
            <w:r>
              <w:rPr>
                <w:rFonts w:ascii="宋体"/>
                <w:spacing w:val="-1"/>
                <w:sz w:val="18"/>
              </w:rPr>
              <w:t>42,560.00</w:t>
            </w:r>
          </w:p>
        </w:tc>
      </w:tr>
    </w:tbl>
    <w:p>
      <w:pPr>
        <w:spacing w:line="240" w:lineRule="auto" w:before="10"/>
        <w:rPr>
          <w:rFonts w:ascii="宋体" w:hAnsi="宋体" w:cs="宋体" w:eastAsia="宋体" w:hint="default"/>
          <w:b/>
          <w:bCs/>
          <w:sz w:val="4"/>
          <w:szCs w:val="4"/>
        </w:rPr>
      </w:pPr>
    </w:p>
    <w:p>
      <w:pPr>
        <w:pStyle w:val="BodyText"/>
        <w:spacing w:line="240" w:lineRule="auto" w:before="36"/>
        <w:ind w:left="1430" w:right="1122"/>
        <w:jc w:val="left"/>
      </w:pPr>
      <w:r>
        <w:rPr/>
        <w:t>（</w:t>
      </w:r>
      <w:r>
        <w:rPr>
          <w:rFonts w:ascii="宋体" w:hAnsi="宋体" w:cs="宋体" w:eastAsia="宋体" w:hint="default"/>
        </w:rPr>
        <w:t>4</w:t>
      </w:r>
      <w:r>
        <w:rPr/>
        <w:t>）坏账准备的情况</w:t>
      </w:r>
    </w:p>
    <w:p>
      <w:pPr>
        <w:spacing w:line="240" w:lineRule="auto" w:before="3"/>
        <w:rPr>
          <w:rFonts w:ascii="宋体" w:hAnsi="宋体" w:cs="宋体" w:eastAsia="宋体" w:hint="default"/>
          <w:sz w:val="27"/>
          <w:szCs w:val="27"/>
        </w:rPr>
      </w:pPr>
    </w:p>
    <w:tbl>
      <w:tblPr>
        <w:tblW w:w="0" w:type="auto"/>
        <w:jc w:val="left"/>
        <w:tblInd w:w="1002" w:type="dxa"/>
        <w:tblLayout w:type="fixed"/>
        <w:tblCellMar>
          <w:top w:w="0" w:type="dxa"/>
          <w:left w:w="0" w:type="dxa"/>
          <w:bottom w:w="0" w:type="dxa"/>
          <w:right w:w="0" w:type="dxa"/>
        </w:tblCellMar>
        <w:tblLook w:val="01E0"/>
      </w:tblPr>
      <w:tblGrid>
        <w:gridCol w:w="725"/>
        <w:gridCol w:w="2699"/>
        <w:gridCol w:w="1983"/>
        <w:gridCol w:w="1638"/>
        <w:gridCol w:w="2814"/>
      </w:tblGrid>
      <w:tr>
        <w:trPr>
          <w:trHeight w:val="190" w:hRule="exact"/>
        </w:trPr>
        <w:tc>
          <w:tcPr>
            <w:tcW w:w="725"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
        </w:tc>
        <w:tc>
          <w:tcPr>
            <w:tcW w:w="3621"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1426" w:right="0"/>
              <w:jc w:val="left"/>
              <w:rPr>
                <w:rFonts w:ascii="宋体" w:hAnsi="宋体" w:cs="宋体" w:eastAsia="宋体" w:hint="default"/>
                <w:sz w:val="18"/>
                <w:szCs w:val="18"/>
              </w:rPr>
            </w:pPr>
            <w:r>
              <w:rPr>
                <w:rFonts w:ascii="宋体" w:hAnsi="宋体" w:cs="宋体" w:eastAsia="宋体" w:hint="default"/>
                <w:b/>
                <w:bCs/>
                <w:sz w:val="18"/>
                <w:szCs w:val="18"/>
              </w:rPr>
              <w:t>本期变动金额</w:t>
            </w:r>
            <w:r>
              <w:rPr>
                <w:rFonts w:ascii="宋体" w:hAnsi="宋体" w:cs="宋体" w:eastAsia="宋体" w:hint="default"/>
                <w:sz w:val="18"/>
                <w:szCs w:val="18"/>
              </w:rPr>
            </w:r>
          </w:p>
        </w:tc>
        <w:tc>
          <w:tcPr>
            <w:tcW w:w="2814" w:type="dxa"/>
            <w:tcBorders>
              <w:top w:val="nil" w:sz="6" w:space="0" w:color="auto"/>
              <w:left w:val="nil" w:sz="6" w:space="0" w:color="auto"/>
              <w:bottom w:val="nil" w:sz="6" w:space="0" w:color="auto"/>
              <w:right w:val="nil" w:sz="6" w:space="0" w:color="auto"/>
            </w:tcBorders>
          </w:tcPr>
          <w:p>
            <w:pPr/>
          </w:p>
        </w:tc>
      </w:tr>
      <w:tr>
        <w:trPr>
          <w:trHeight w:val="190"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699" w:type="dxa"/>
            <w:tcBorders>
              <w:top w:val="nil" w:sz="6" w:space="0" w:color="auto"/>
              <w:left w:val="nil" w:sz="6" w:space="0" w:color="auto"/>
              <w:bottom w:val="nil" w:sz="6" w:space="0" w:color="auto"/>
              <w:right w:val="nil" w:sz="6" w:space="0" w:color="auto"/>
            </w:tcBorders>
          </w:tcPr>
          <w:p>
            <w:pPr>
              <w:pStyle w:val="TableParagraph"/>
              <w:spacing w:line="190" w:lineRule="exact"/>
              <w:ind w:left="6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83"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
        </w:tc>
        <w:tc>
          <w:tcPr>
            <w:tcW w:w="2814" w:type="dxa"/>
            <w:tcBorders>
              <w:top w:val="nil" w:sz="6" w:space="0" w:color="auto"/>
              <w:left w:val="nil" w:sz="6" w:space="0" w:color="auto"/>
              <w:bottom w:val="nil" w:sz="6" w:space="0" w:color="auto"/>
              <w:right w:val="nil" w:sz="6" w:space="0" w:color="auto"/>
            </w:tcBorders>
          </w:tcPr>
          <w:p>
            <w:pPr>
              <w:pStyle w:val="TableParagraph"/>
              <w:spacing w:line="190" w:lineRule="exact"/>
              <w:ind w:right="329"/>
              <w:jc w:val="righ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67" w:hRule="exact"/>
        </w:trPr>
        <w:tc>
          <w:tcPr>
            <w:tcW w:w="725" w:type="dxa"/>
            <w:tcBorders>
              <w:top w:val="nil" w:sz="6" w:space="0" w:color="auto"/>
              <w:left w:val="nil" w:sz="6" w:space="0" w:color="auto"/>
              <w:bottom w:val="single" w:sz="4" w:space="0" w:color="000000"/>
              <w:right w:val="nil" w:sz="6" w:space="0" w:color="auto"/>
            </w:tcBorders>
          </w:tcPr>
          <w:p>
            <w:pPr/>
          </w:p>
        </w:tc>
        <w:tc>
          <w:tcPr>
            <w:tcW w:w="2699" w:type="dxa"/>
            <w:tcBorders>
              <w:top w:val="nil" w:sz="6" w:space="0" w:color="auto"/>
              <w:left w:val="nil" w:sz="6" w:space="0" w:color="auto"/>
              <w:bottom w:val="single" w:sz="4" w:space="0" w:color="000000"/>
              <w:right w:val="nil" w:sz="6" w:space="0" w:color="auto"/>
            </w:tcBorders>
          </w:tcPr>
          <w:p>
            <w:pPr>
              <w:pStyle w:val="TableParagraph"/>
              <w:spacing w:line="196" w:lineRule="exact"/>
              <w:ind w:right="223"/>
              <w:jc w:val="righ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983" w:type="dxa"/>
            <w:tcBorders>
              <w:top w:val="nil" w:sz="6" w:space="0" w:color="auto"/>
              <w:left w:val="nil" w:sz="6" w:space="0" w:color="auto"/>
              <w:bottom w:val="single" w:sz="4" w:space="0" w:color="000000"/>
              <w:right w:val="nil" w:sz="6" w:space="0" w:color="auto"/>
            </w:tcBorders>
          </w:tcPr>
          <w:p>
            <w:pPr>
              <w:pStyle w:val="TableParagraph"/>
              <w:spacing w:line="196"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收回或转回</w:t>
            </w:r>
            <w:r>
              <w:rPr>
                <w:rFonts w:ascii="宋体" w:hAnsi="宋体" w:cs="宋体" w:eastAsia="宋体" w:hint="default"/>
                <w:sz w:val="18"/>
                <w:szCs w:val="18"/>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196" w:lineRule="exact"/>
              <w:ind w:left="384" w:right="0"/>
              <w:jc w:val="left"/>
              <w:rPr>
                <w:rFonts w:ascii="宋体" w:hAnsi="宋体" w:cs="宋体" w:eastAsia="宋体" w:hint="default"/>
                <w:sz w:val="18"/>
                <w:szCs w:val="18"/>
              </w:rPr>
            </w:pPr>
            <w:r>
              <w:rPr>
                <w:rFonts w:ascii="宋体" w:hAnsi="宋体" w:cs="宋体" w:eastAsia="宋体" w:hint="default"/>
                <w:b/>
                <w:bCs/>
                <w:sz w:val="18"/>
                <w:szCs w:val="18"/>
              </w:rPr>
              <w:t>转销或核销</w:t>
            </w:r>
            <w:r>
              <w:rPr>
                <w:rFonts w:ascii="宋体" w:hAnsi="宋体" w:cs="宋体" w:eastAsia="宋体" w:hint="default"/>
                <w:sz w:val="18"/>
                <w:szCs w:val="18"/>
              </w:rPr>
            </w:r>
          </w:p>
        </w:tc>
        <w:tc>
          <w:tcPr>
            <w:tcW w:w="2814" w:type="dxa"/>
            <w:tcBorders>
              <w:top w:val="nil" w:sz="6" w:space="0" w:color="auto"/>
              <w:left w:val="nil" w:sz="6" w:space="0" w:color="auto"/>
              <w:bottom w:val="single" w:sz="4" w:space="0" w:color="000000"/>
              <w:right w:val="nil" w:sz="6" w:space="0" w:color="auto"/>
            </w:tcBorders>
          </w:tcPr>
          <w:p>
            <w:pPr>
              <w:pStyle w:val="TableParagraph"/>
              <w:spacing w:line="182"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r>
      <w:tr>
        <w:trPr>
          <w:trHeight w:val="436" w:hRule="exact"/>
        </w:trPr>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hAnsi="宋体" w:cs="宋体" w:eastAsia="宋体" w:hint="default"/>
                <w:sz w:val="18"/>
                <w:szCs w:val="18"/>
              </w:rPr>
              <w:t>其他</w:t>
            </w:r>
          </w:p>
        </w:tc>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right"/>
              <w:rPr>
                <w:rFonts w:ascii="宋体" w:hAnsi="宋体" w:cs="宋体" w:eastAsia="宋体" w:hint="default"/>
                <w:sz w:val="18"/>
                <w:szCs w:val="18"/>
              </w:rPr>
            </w:pPr>
            <w:r>
              <w:rPr>
                <w:rFonts w:ascii="宋体"/>
                <w:spacing w:val="-1"/>
                <w:sz w:val="18"/>
              </w:rPr>
              <w:t>42,560.00</w:t>
            </w:r>
          </w:p>
        </w:tc>
        <w:tc>
          <w:tcPr>
            <w:tcW w:w="1983" w:type="dxa"/>
            <w:tcBorders>
              <w:top w:val="single" w:sz="4" w:space="0" w:color="000000"/>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nil" w:sz="6" w:space="0" w:color="auto"/>
              <w:right w:val="nil" w:sz="6" w:space="0" w:color="auto"/>
            </w:tcBorders>
          </w:tcPr>
          <w:p>
            <w:pPr/>
          </w:p>
        </w:tc>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6"/>
              <w:jc w:val="right"/>
              <w:rPr>
                <w:rFonts w:ascii="宋体" w:hAnsi="宋体" w:cs="宋体" w:eastAsia="宋体" w:hint="default"/>
                <w:sz w:val="18"/>
                <w:szCs w:val="18"/>
              </w:rPr>
            </w:pPr>
            <w:r>
              <w:rPr>
                <w:rFonts w:ascii="宋体"/>
                <w:spacing w:val="-1"/>
                <w:sz w:val="18"/>
              </w:rPr>
              <w:t>42,560.00</w:t>
            </w:r>
          </w:p>
        </w:tc>
      </w:tr>
      <w:tr>
        <w:trPr>
          <w:trHeight w:val="308" w:hRule="exact"/>
        </w:trPr>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69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18"/>
                <w:szCs w:val="18"/>
              </w:rPr>
            </w:pPr>
            <w:r>
              <w:rPr>
                <w:rFonts w:ascii="宋体"/>
                <w:w w:val="101"/>
                <w:sz w:val="18"/>
              </w:rPr>
            </w:r>
            <w:r>
              <w:rPr>
                <w:rFonts w:ascii="宋体"/>
                <w:spacing w:val="-1"/>
                <w:sz w:val="18"/>
                <w:u w:val="single" w:color="000000"/>
              </w:rPr>
              <w:t>42,560.00</w:t>
            </w:r>
            <w:r>
              <w:rPr>
                <w:rFonts w:ascii="宋体"/>
                <w:spacing w:val="-1"/>
                <w:sz w:val="18"/>
              </w:rPr>
            </w:r>
          </w:p>
        </w:tc>
        <w:tc>
          <w:tcPr>
            <w:tcW w:w="1983"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
        </w:tc>
        <w:tc>
          <w:tcPr>
            <w:tcW w:w="281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86"/>
              <w:jc w:val="right"/>
              <w:rPr>
                <w:rFonts w:ascii="宋体" w:hAnsi="宋体" w:cs="宋体" w:eastAsia="宋体" w:hint="default"/>
                <w:sz w:val="18"/>
                <w:szCs w:val="18"/>
              </w:rPr>
            </w:pPr>
            <w:r>
              <w:rPr>
                <w:rFonts w:ascii="宋体"/>
                <w:w w:val="101"/>
                <w:sz w:val="18"/>
              </w:rPr>
            </w:r>
            <w:r>
              <w:rPr>
                <w:rFonts w:ascii="宋体"/>
                <w:spacing w:val="-1"/>
                <w:sz w:val="18"/>
                <w:u w:val="single" w:color="000000"/>
              </w:rPr>
              <w:t>42,560.00</w:t>
            </w:r>
            <w:r>
              <w:rPr>
                <w:rFonts w:ascii="宋体"/>
                <w:spacing w:val="-1"/>
                <w:sz w:val="18"/>
              </w:rPr>
            </w:r>
          </w:p>
        </w:tc>
      </w:tr>
    </w:tbl>
    <w:p>
      <w:pPr>
        <w:spacing w:line="240" w:lineRule="auto" w:before="3"/>
        <w:rPr>
          <w:rFonts w:ascii="宋体" w:hAnsi="宋体" w:cs="宋体" w:eastAsia="宋体" w:hint="default"/>
          <w:sz w:val="19"/>
          <w:szCs w:val="19"/>
        </w:rPr>
      </w:pPr>
    </w:p>
    <w:p>
      <w:pPr>
        <w:pStyle w:val="BodyText"/>
        <w:spacing w:line="240" w:lineRule="auto" w:before="36"/>
        <w:ind w:left="1430" w:right="1122"/>
        <w:jc w:val="left"/>
      </w:pPr>
      <w:r>
        <w:rPr/>
        <w:t>（</w:t>
      </w:r>
      <w:r>
        <w:rPr>
          <w:rFonts w:ascii="宋体" w:hAnsi="宋体" w:cs="宋体" w:eastAsia="宋体" w:hint="default"/>
        </w:rPr>
        <w:t>5</w:t>
      </w:r>
      <w:r>
        <w:rPr/>
        <w:t>）按欠款方归集的期末余额前五名的其他应收款情况</w:t>
      </w:r>
    </w:p>
    <w:p>
      <w:pPr>
        <w:spacing w:line="240" w:lineRule="auto" w:before="10"/>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351"/>
        <w:gridCol w:w="2324"/>
        <w:gridCol w:w="1724"/>
        <w:gridCol w:w="819"/>
        <w:gridCol w:w="1541"/>
        <w:gridCol w:w="1870"/>
      </w:tblGrid>
      <w:tr>
        <w:trPr>
          <w:trHeight w:val="594" w:hRule="exact"/>
        </w:trPr>
        <w:tc>
          <w:tcPr>
            <w:tcW w:w="335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5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24"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left="57"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724"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left="41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819"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41" w:type="dxa"/>
            <w:tcBorders>
              <w:top w:val="nil" w:sz="6" w:space="0" w:color="auto"/>
              <w:left w:val="nil" w:sz="6" w:space="0" w:color="auto"/>
              <w:bottom w:val="single" w:sz="6" w:space="0" w:color="000000"/>
              <w:right w:val="nil" w:sz="6" w:space="0" w:color="auto"/>
            </w:tcBorders>
          </w:tcPr>
          <w:p>
            <w:pPr>
              <w:pStyle w:val="TableParagraph"/>
              <w:spacing w:line="182" w:lineRule="exact"/>
              <w:ind w:left="69" w:right="0" w:firstLine="91"/>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870"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left="11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sz w:val="18"/>
                <w:szCs w:val="18"/>
              </w:rPr>
            </w:r>
          </w:p>
        </w:tc>
      </w:tr>
      <w:tr>
        <w:trPr>
          <w:trHeight w:val="431" w:hRule="exact"/>
        </w:trPr>
        <w:tc>
          <w:tcPr>
            <w:tcW w:w="3351"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0"/>
              <w:jc w:val="left"/>
              <w:rPr>
                <w:rFonts w:ascii="宋体" w:hAnsi="宋体" w:cs="宋体" w:eastAsia="宋体" w:hint="default"/>
                <w:sz w:val="18"/>
                <w:szCs w:val="18"/>
              </w:rPr>
            </w:pPr>
            <w:r>
              <w:rPr>
                <w:rFonts w:ascii="宋体" w:hAnsi="宋体" w:cs="宋体" w:eastAsia="宋体" w:hint="default"/>
                <w:spacing w:val="-3"/>
                <w:sz w:val="18"/>
                <w:szCs w:val="18"/>
              </w:rPr>
              <w:t>北京创闻天下科技有限公司</w:t>
            </w:r>
          </w:p>
        </w:tc>
        <w:tc>
          <w:tcPr>
            <w:tcW w:w="2324"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left="52" w:right="0"/>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24"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right="65"/>
              <w:jc w:val="right"/>
              <w:rPr>
                <w:rFonts w:ascii="宋体" w:hAnsi="宋体" w:cs="宋体" w:eastAsia="宋体" w:hint="default"/>
                <w:sz w:val="18"/>
                <w:szCs w:val="18"/>
              </w:rPr>
            </w:pPr>
            <w:r>
              <w:rPr>
                <w:rFonts w:ascii="宋体"/>
                <w:spacing w:val="-1"/>
                <w:sz w:val="18"/>
              </w:rPr>
              <w:t>17,253,934.41</w:t>
            </w:r>
          </w:p>
        </w:tc>
        <w:tc>
          <w:tcPr>
            <w:tcW w:w="819"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right="1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541"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right="192"/>
              <w:jc w:val="right"/>
              <w:rPr>
                <w:rFonts w:ascii="宋体" w:hAnsi="宋体" w:cs="宋体" w:eastAsia="宋体" w:hint="default"/>
                <w:sz w:val="18"/>
                <w:szCs w:val="18"/>
              </w:rPr>
            </w:pPr>
            <w:r>
              <w:rPr>
                <w:rFonts w:ascii="宋体"/>
                <w:sz w:val="18"/>
              </w:rPr>
              <w:t>58.28</w:t>
            </w:r>
          </w:p>
        </w:tc>
        <w:tc>
          <w:tcPr>
            <w:tcW w:w="1870" w:type="dxa"/>
            <w:tcBorders>
              <w:top w:val="single" w:sz="6" w:space="0" w:color="000000"/>
              <w:left w:val="nil" w:sz="6" w:space="0" w:color="auto"/>
              <w:bottom w:val="nil" w:sz="6" w:space="0" w:color="auto"/>
              <w:right w:val="nil" w:sz="6" w:space="0" w:color="auto"/>
            </w:tcBorders>
          </w:tcPr>
          <w:p>
            <w:pPr/>
          </w:p>
        </w:tc>
      </w:tr>
      <w:tr>
        <w:trPr>
          <w:trHeight w:val="399"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 w:right="0"/>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
              <w:jc w:val="right"/>
              <w:rPr>
                <w:rFonts w:ascii="宋体" w:hAnsi="宋体" w:cs="宋体" w:eastAsia="宋体" w:hint="default"/>
                <w:sz w:val="18"/>
                <w:szCs w:val="18"/>
              </w:rPr>
            </w:pPr>
            <w:r>
              <w:rPr>
                <w:rFonts w:ascii="宋体"/>
                <w:spacing w:val="-1"/>
                <w:sz w:val="18"/>
              </w:rPr>
              <w:t>2,329,031.46</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2"/>
              <w:jc w:val="right"/>
              <w:rPr>
                <w:rFonts w:ascii="宋体" w:hAnsi="宋体" w:cs="宋体" w:eastAsia="宋体" w:hint="default"/>
                <w:sz w:val="18"/>
                <w:szCs w:val="18"/>
              </w:rPr>
            </w:pPr>
            <w:r>
              <w:rPr>
                <w:rFonts w:ascii="宋体"/>
                <w:sz w:val="18"/>
              </w:rPr>
              <w:t>7.87</w:t>
            </w:r>
          </w:p>
        </w:tc>
        <w:tc>
          <w:tcPr>
            <w:tcW w:w="1870" w:type="dxa"/>
            <w:tcBorders>
              <w:top w:val="nil" w:sz="6" w:space="0" w:color="auto"/>
              <w:left w:val="nil" w:sz="6" w:space="0" w:color="auto"/>
              <w:bottom w:val="nil" w:sz="6" w:space="0" w:color="auto"/>
              <w:right w:val="nil" w:sz="6" w:space="0" w:color="auto"/>
            </w:tcBorders>
          </w:tcPr>
          <w:p>
            <w:pPr/>
          </w:p>
        </w:tc>
      </w:tr>
      <w:tr>
        <w:trPr>
          <w:trHeight w:val="396"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北京京城电通投资管理有限责任公司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
              <w:jc w:val="right"/>
              <w:rPr>
                <w:rFonts w:ascii="宋体" w:hAnsi="宋体" w:cs="宋体" w:eastAsia="宋体" w:hint="default"/>
                <w:sz w:val="18"/>
                <w:szCs w:val="18"/>
              </w:rPr>
            </w:pPr>
            <w:r>
              <w:rPr>
                <w:rFonts w:ascii="宋体"/>
                <w:spacing w:val="-1"/>
                <w:sz w:val="18"/>
              </w:rPr>
              <w:t>1,860,742.38</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2"/>
              <w:jc w:val="right"/>
              <w:rPr>
                <w:rFonts w:ascii="宋体" w:hAnsi="宋体" w:cs="宋体" w:eastAsia="宋体" w:hint="default"/>
                <w:sz w:val="18"/>
                <w:szCs w:val="18"/>
              </w:rPr>
            </w:pPr>
            <w:r>
              <w:rPr>
                <w:rFonts w:ascii="宋体"/>
                <w:sz w:val="18"/>
              </w:rPr>
              <w:t>6.28</w:t>
            </w:r>
          </w:p>
        </w:tc>
        <w:tc>
          <w:tcPr>
            <w:tcW w:w="1870" w:type="dxa"/>
            <w:tcBorders>
              <w:top w:val="nil" w:sz="6" w:space="0" w:color="auto"/>
              <w:left w:val="nil" w:sz="6" w:space="0" w:color="auto"/>
              <w:bottom w:val="nil" w:sz="6" w:space="0" w:color="auto"/>
              <w:right w:val="nil" w:sz="6" w:space="0" w:color="auto"/>
            </w:tcBorders>
          </w:tcPr>
          <w:p>
            <w:pPr/>
          </w:p>
        </w:tc>
      </w:tr>
      <w:tr>
        <w:trPr>
          <w:trHeight w:val="396"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3"/>
                <w:sz w:val="18"/>
                <w:szCs w:val="18"/>
              </w:rPr>
              <w:t>北京佳沃世纪企业管理咨询有限公司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2" w:right="0"/>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
              <w:jc w:val="right"/>
              <w:rPr>
                <w:rFonts w:ascii="宋体" w:hAnsi="宋体" w:cs="宋体" w:eastAsia="宋体" w:hint="default"/>
                <w:sz w:val="18"/>
                <w:szCs w:val="18"/>
              </w:rPr>
            </w:pPr>
            <w:r>
              <w:rPr>
                <w:rFonts w:ascii="宋体"/>
                <w:spacing w:val="-1"/>
                <w:sz w:val="18"/>
              </w:rPr>
              <w:t>1,608,385.42</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2"/>
              <w:jc w:val="right"/>
              <w:rPr>
                <w:rFonts w:ascii="宋体" w:hAnsi="宋体" w:cs="宋体" w:eastAsia="宋体" w:hint="default"/>
                <w:sz w:val="18"/>
                <w:szCs w:val="18"/>
              </w:rPr>
            </w:pPr>
            <w:r>
              <w:rPr>
                <w:rFonts w:ascii="宋体"/>
                <w:sz w:val="18"/>
              </w:rPr>
              <w:t>5.43</w:t>
            </w:r>
          </w:p>
        </w:tc>
        <w:tc>
          <w:tcPr>
            <w:tcW w:w="1870" w:type="dxa"/>
            <w:tcBorders>
              <w:top w:val="nil" w:sz="6" w:space="0" w:color="auto"/>
              <w:left w:val="nil" w:sz="6" w:space="0" w:color="auto"/>
              <w:bottom w:val="nil" w:sz="6" w:space="0" w:color="auto"/>
              <w:right w:val="nil" w:sz="6" w:space="0" w:color="auto"/>
            </w:tcBorders>
          </w:tcPr>
          <w:p>
            <w:pPr/>
          </w:p>
        </w:tc>
      </w:tr>
      <w:tr>
        <w:trPr>
          <w:trHeight w:val="406"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2" w:right="0"/>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
              <w:jc w:val="right"/>
              <w:rPr>
                <w:rFonts w:ascii="宋体" w:hAnsi="宋体" w:cs="宋体" w:eastAsia="宋体" w:hint="default"/>
                <w:sz w:val="18"/>
                <w:szCs w:val="18"/>
              </w:rPr>
            </w:pPr>
            <w:r>
              <w:rPr>
                <w:rFonts w:ascii="宋体"/>
                <w:spacing w:val="-1"/>
                <w:sz w:val="18"/>
              </w:rPr>
              <w:t>1,604,810.00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2"/>
              <w:jc w:val="right"/>
              <w:rPr>
                <w:rFonts w:ascii="宋体" w:hAnsi="宋体" w:cs="宋体" w:eastAsia="宋体" w:hint="default"/>
                <w:sz w:val="18"/>
                <w:szCs w:val="18"/>
              </w:rPr>
            </w:pPr>
            <w:r>
              <w:rPr>
                <w:rFonts w:ascii="宋体"/>
                <w:sz w:val="18"/>
              </w:rPr>
              <w:t>5.42</w:t>
            </w:r>
          </w:p>
        </w:tc>
        <w:tc>
          <w:tcPr>
            <w:tcW w:w="1870" w:type="dxa"/>
            <w:tcBorders>
              <w:top w:val="nil" w:sz="6" w:space="0" w:color="auto"/>
              <w:left w:val="nil" w:sz="6" w:space="0" w:color="auto"/>
              <w:bottom w:val="nil" w:sz="6" w:space="0" w:color="auto"/>
              <w:right w:val="nil" w:sz="6" w:space="0" w:color="auto"/>
            </w:tcBorders>
          </w:tcPr>
          <w:p>
            <w:pPr/>
          </w:p>
        </w:tc>
      </w:tr>
      <w:tr>
        <w:trPr>
          <w:trHeight w:val="317" w:hRule="exact"/>
        </w:trPr>
        <w:tc>
          <w:tcPr>
            <w:tcW w:w="335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3"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32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5"/>
              <w:jc w:val="right"/>
              <w:rPr>
                <w:rFonts w:ascii="宋体" w:hAnsi="宋体" w:cs="宋体" w:eastAsia="宋体" w:hint="default"/>
                <w:sz w:val="18"/>
                <w:szCs w:val="18"/>
              </w:rPr>
            </w:pPr>
            <w:r>
              <w:rPr>
                <w:rFonts w:ascii="宋体"/>
                <w:w w:val="101"/>
                <w:sz w:val="18"/>
              </w:rPr>
            </w:r>
            <w:r>
              <w:rPr>
                <w:rFonts w:ascii="宋体"/>
                <w:spacing w:val="-1"/>
                <w:sz w:val="18"/>
                <w:u w:val="thick" w:color="000000"/>
              </w:rPr>
              <w:t>24,656,903.67</w:t>
            </w:r>
            <w:r>
              <w:rPr>
                <w:rFonts w:ascii="宋体"/>
                <w:spacing w:val="-1"/>
                <w:sz w:val="18"/>
              </w:rPr>
            </w:r>
          </w:p>
        </w:tc>
        <w:tc>
          <w:tcPr>
            <w:tcW w:w="81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2"/>
              <w:jc w:val="right"/>
              <w:rPr>
                <w:rFonts w:ascii="宋体" w:hAnsi="宋体" w:cs="宋体" w:eastAsia="宋体" w:hint="default"/>
                <w:sz w:val="18"/>
                <w:szCs w:val="18"/>
              </w:rPr>
            </w:pPr>
            <w:r>
              <w:rPr>
                <w:rFonts w:ascii="宋体"/>
                <w:w w:val="101"/>
                <w:sz w:val="18"/>
              </w:rPr>
            </w:r>
            <w:r>
              <w:rPr>
                <w:rFonts w:ascii="宋体"/>
                <w:sz w:val="18"/>
                <w:u w:val="thick" w:color="000000"/>
              </w:rPr>
              <w:t>83.28</w:t>
            </w:r>
            <w:r>
              <w:rPr>
                <w:rFonts w:ascii="宋体"/>
                <w:sz w:val="18"/>
              </w:rPr>
            </w:r>
          </w:p>
        </w:tc>
        <w:tc>
          <w:tcPr>
            <w:tcW w:w="187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09" w:lineRule="auto"/>
        <w:ind w:left="1113" w:right="1122" w:firstLine="422"/>
        <w:jc w:val="left"/>
      </w:pPr>
      <w:r>
        <w:rPr/>
        <w:t>注</w:t>
      </w:r>
      <w:r>
        <w:rPr>
          <w:rFonts w:ascii="宋体" w:hAnsi="宋体" w:cs="宋体" w:eastAsia="宋体" w:hint="default"/>
        </w:rPr>
        <w:t>1</w:t>
      </w:r>
      <w:r>
        <w:rPr/>
        <w:t>：北京创闻天下科技有限公司期末余额为</w:t>
      </w:r>
      <w:r>
        <w:rPr>
          <w:rFonts w:ascii="宋体" w:hAnsi="宋体" w:cs="宋体" w:eastAsia="宋体" w:hint="default"/>
        </w:rPr>
        <w:t>17,253,934.41</w:t>
      </w:r>
      <w:r>
        <w:rPr/>
        <w:t>元。其中账龄</w:t>
      </w:r>
      <w:r>
        <w:rPr>
          <w:rFonts w:ascii="宋体" w:hAnsi="宋体" w:cs="宋体" w:eastAsia="宋体" w:hint="default"/>
        </w:rPr>
        <w:t>1-2</w:t>
      </w:r>
      <w:r>
        <w:rPr/>
        <w:t>年</w:t>
      </w:r>
      <w:r>
        <w:rPr>
          <w:rFonts w:ascii="宋体" w:hAnsi="宋体" w:cs="宋体" w:eastAsia="宋体" w:hint="default"/>
        </w:rPr>
        <w:t>16,743,575.24</w:t>
      </w:r>
      <w:r>
        <w:rPr/>
        <w:t>元，</w:t>
      </w:r>
      <w:r>
        <w:rPr>
          <w:rFonts w:ascii="宋体" w:hAnsi="宋体" w:cs="宋体" w:eastAsia="宋体" w:hint="default"/>
        </w:rPr>
        <w:t>2</w:t>
      </w:r>
      <w:r>
        <w:rPr>
          <w:rFonts w:ascii="宋体" w:hAnsi="宋体" w:cs="宋体" w:eastAsia="宋体" w:hint="default"/>
          <w:w w:val="100"/>
        </w:rPr>
        <w:t> </w:t>
      </w:r>
      <w:r>
        <w:rPr/>
        <w:t>年以上</w:t>
      </w:r>
      <w:r>
        <w:rPr>
          <w:rFonts w:ascii="宋体" w:hAnsi="宋体" w:cs="宋体" w:eastAsia="宋体" w:hint="default"/>
        </w:rPr>
        <w:t>510,359.17</w:t>
      </w:r>
      <w:r>
        <w:rPr/>
        <w:t>元；</w:t>
      </w:r>
    </w:p>
    <w:p>
      <w:pPr>
        <w:spacing w:line="240" w:lineRule="auto" w:before="13"/>
        <w:rPr>
          <w:rFonts w:ascii="宋体" w:hAnsi="宋体" w:cs="宋体" w:eastAsia="宋体" w:hint="default"/>
          <w:sz w:val="13"/>
          <w:szCs w:val="13"/>
        </w:rPr>
      </w:pPr>
    </w:p>
    <w:p>
      <w:pPr>
        <w:pStyle w:val="BodyText"/>
        <w:spacing w:line="309" w:lineRule="auto"/>
        <w:ind w:left="1113" w:right="1122" w:firstLine="422"/>
        <w:jc w:val="left"/>
      </w:pPr>
      <w:r>
        <w:rPr>
          <w:spacing w:val="-2"/>
        </w:rPr>
        <w:t>注</w:t>
      </w:r>
      <w:r>
        <w:rPr>
          <w:rFonts w:ascii="宋体" w:hAnsi="宋体" w:cs="宋体" w:eastAsia="宋体" w:hint="default"/>
          <w:spacing w:val="-2"/>
        </w:rPr>
        <w:t>2</w:t>
      </w:r>
      <w:r>
        <w:rPr>
          <w:spacing w:val="-2"/>
        </w:rPr>
        <w:t>：北京京城电通投资管理有限责任公司期末余额为</w:t>
      </w:r>
      <w:r>
        <w:rPr>
          <w:rFonts w:ascii="宋体" w:hAnsi="宋体" w:cs="宋体" w:eastAsia="宋体" w:hint="default"/>
          <w:spacing w:val="-2"/>
        </w:rPr>
        <w:t>1,860,742.38</w:t>
      </w:r>
      <w:r>
        <w:rPr>
          <w:spacing w:val="-2"/>
        </w:rPr>
        <w:t>元。其中账龄</w:t>
      </w:r>
      <w:r>
        <w:rPr>
          <w:rFonts w:ascii="宋体" w:hAnsi="宋体" w:cs="宋体" w:eastAsia="宋体" w:hint="default"/>
          <w:spacing w:val="-2"/>
        </w:rPr>
        <w:t>1</w:t>
      </w:r>
      <w:r>
        <w:rPr>
          <w:spacing w:val="-2"/>
        </w:rPr>
        <w:t>年以内</w:t>
      </w:r>
      <w:r>
        <w:rPr>
          <w:rFonts w:ascii="宋体" w:hAnsi="宋体" w:cs="宋体" w:eastAsia="宋体" w:hint="default"/>
          <w:spacing w:val="-2"/>
        </w:rPr>
        <w:t>171,431.13</w:t>
      </w:r>
      <w:r>
        <w:rPr>
          <w:rFonts w:ascii="宋体" w:hAnsi="宋体" w:cs="宋体" w:eastAsia="宋体" w:hint="default"/>
          <w:w w:val="100"/>
        </w:rPr>
        <w:t> </w:t>
      </w:r>
      <w:r>
        <w:rPr/>
        <w:t>元，</w:t>
      </w:r>
      <w:r>
        <w:rPr>
          <w:rFonts w:ascii="宋体" w:hAnsi="宋体" w:cs="宋体" w:eastAsia="宋体" w:hint="default"/>
        </w:rPr>
        <w:t>1-2</w:t>
      </w:r>
      <w:r>
        <w:rPr/>
        <w:t>年</w:t>
      </w:r>
      <w:r>
        <w:rPr>
          <w:rFonts w:ascii="宋体" w:hAnsi="宋体" w:cs="宋体" w:eastAsia="宋体" w:hint="default"/>
        </w:rPr>
        <w:t>1,689,311.25</w:t>
      </w:r>
      <w:r>
        <w:rPr/>
        <w:t>元。</w:t>
      </w:r>
    </w:p>
    <w:p>
      <w:pPr>
        <w:spacing w:line="240" w:lineRule="auto" w:before="13"/>
        <w:rPr>
          <w:rFonts w:ascii="宋体" w:hAnsi="宋体" w:cs="宋体" w:eastAsia="宋体" w:hint="default"/>
          <w:sz w:val="13"/>
          <w:szCs w:val="13"/>
        </w:rPr>
      </w:pPr>
    </w:p>
    <w:p>
      <w:pPr>
        <w:pStyle w:val="BodyText"/>
        <w:spacing w:line="240" w:lineRule="auto"/>
        <w:ind w:left="1535" w:right="1122"/>
        <w:jc w:val="left"/>
      </w:pPr>
      <w:bookmarkStart w:name="（三）长期股权投资" w:id="278"/>
      <w:bookmarkEnd w:id="278"/>
      <w:r>
        <w:rPr/>
      </w:r>
      <w:r>
        <w:rPr/>
        <w:t>（三）长期股权投资</w:t>
      </w:r>
    </w:p>
    <w:p>
      <w:pPr>
        <w:spacing w:line="240" w:lineRule="auto" w:before="3"/>
        <w:rPr>
          <w:rFonts w:ascii="宋体" w:hAnsi="宋体" w:cs="宋体" w:eastAsia="宋体" w:hint="default"/>
          <w:sz w:val="19"/>
          <w:szCs w:val="19"/>
        </w:rPr>
      </w:pPr>
    </w:p>
    <w:p>
      <w:pPr>
        <w:tabs>
          <w:tab w:pos="6831" w:val="left" w:leader="none"/>
        </w:tabs>
        <w:spacing w:line="216" w:lineRule="exact" w:before="46"/>
        <w:ind w:left="2452" w:right="0" w:firstLine="0"/>
        <w:jc w:val="center"/>
        <w:rPr>
          <w:rFonts w:ascii="宋体" w:hAnsi="宋体" w:cs="宋体" w:eastAsia="宋体" w:hint="default"/>
          <w:sz w:val="18"/>
          <w:szCs w:val="18"/>
        </w:rPr>
      </w:pPr>
      <w:r>
        <w:rPr>
          <w:rFonts w:ascii="宋体" w:hAnsi="宋体" w:cs="宋体" w:eastAsia="宋体" w:hint="default"/>
          <w:b/>
          <w:bCs/>
          <w:sz w:val="18"/>
          <w:szCs w:val="18"/>
        </w:rPr>
        <w:t>期末余额</w:t>
        <w:tab/>
        <w:t>期初余额</w:t>
      </w:r>
      <w:r>
        <w:rPr>
          <w:rFonts w:ascii="宋体" w:hAnsi="宋体" w:cs="宋体" w:eastAsia="宋体" w:hint="default"/>
          <w:sz w:val="18"/>
          <w:szCs w:val="18"/>
        </w:rPr>
      </w:r>
    </w:p>
    <w:p>
      <w:pPr>
        <w:spacing w:line="199" w:lineRule="exact" w:before="0"/>
        <w:ind w:left="1372" w:right="1122"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3797" w:val="left" w:leader="none"/>
          <w:tab w:pos="5185" w:val="left" w:leader="none"/>
          <w:tab w:pos="6831" w:val="left" w:leader="none"/>
          <w:tab w:pos="8176" w:val="left" w:leader="none"/>
          <w:tab w:pos="9520" w:val="left" w:leader="none"/>
        </w:tabs>
        <w:spacing w:line="219" w:lineRule="exact" w:before="0"/>
        <w:ind w:left="2400" w:right="0" w:firstLine="0"/>
        <w:jc w:val="center"/>
        <w:rPr>
          <w:rFonts w:ascii="宋体" w:hAnsi="宋体" w:cs="宋体" w:eastAsia="宋体" w:hint="default"/>
          <w:sz w:val="18"/>
          <w:szCs w:val="18"/>
        </w:rPr>
      </w:pPr>
      <w:r>
        <w:rPr>
          <w:rFonts w:ascii="宋体" w:hAnsi="宋体" w:cs="宋体" w:eastAsia="宋体" w:hint="default"/>
          <w:b/>
          <w:bCs/>
          <w:sz w:val="18"/>
          <w:szCs w:val="18"/>
        </w:rPr>
        <w:t>账面余额</w:t>
        <w:tab/>
        <w:t>减值准备</w:t>
        <w:tab/>
        <w:t>账面价值</w:t>
        <w:tab/>
        <w:t>账面余额</w:t>
        <w:tab/>
        <w:t>减值准备</w:t>
        <w:tab/>
        <w:t>账面价值</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p>
      <w:pPr>
        <w:spacing w:line="20" w:lineRule="exact"/>
        <w:ind w:left="364" w:right="0" w:firstLine="0"/>
        <w:rPr>
          <w:rFonts w:ascii="宋体" w:hAnsi="宋体" w:cs="宋体" w:eastAsia="宋体" w:hint="default"/>
          <w:sz w:val="2"/>
          <w:szCs w:val="2"/>
        </w:rPr>
      </w:pPr>
      <w:r>
        <w:rPr>
          <w:rFonts w:ascii="宋体" w:hAnsi="宋体" w:cs="宋体" w:eastAsia="宋体" w:hint="default"/>
          <w:sz w:val="2"/>
          <w:szCs w:val="2"/>
        </w:rPr>
        <w:pict>
          <v:group style="width:557.050pt;height:.5pt;mso-position-horizontal-relative:char;mso-position-vertical-relative:line" coordorigin="0,0" coordsize="11141,10">
            <v:group style="position:absolute;left:5;top:5;width:2363;height:2" coordorigin="5,5" coordsize="2363,2">
              <v:shape style="position:absolute;left:5;top:5;width:2363;height:2" coordorigin="5,5" coordsize="2363,0" path="m5,5l2367,5e" filled="false" stroked="true" strokeweight=".48004pt" strokecolor="#000000">
                <v:path arrowok="t"/>
              </v:shape>
            </v:group>
            <v:group style="position:absolute;left:2367;top:5;width:10;height:2" coordorigin="2367,5" coordsize="10,2">
              <v:shape style="position:absolute;left:2367;top:5;width:10;height:2" coordorigin="2367,5" coordsize="10,0" path="m2367,5l2377,5e" filled="false" stroked="true" strokeweight=".48004pt" strokecolor="#000000">
                <v:path arrowok="t"/>
              </v:shape>
            </v:group>
            <v:group style="position:absolute;left:2377;top:5;width:1686;height:2" coordorigin="2377,5" coordsize="1686,2">
              <v:shape style="position:absolute;left:2377;top:5;width:1686;height:2" coordorigin="2377,5" coordsize="1686,0" path="m2377,5l4063,5e" filled="false" stroked="true" strokeweight=".48004pt" strokecolor="#000000">
                <v:path arrowok="t"/>
              </v:shape>
            </v:group>
            <v:group style="position:absolute;left:4063;top:5;width:10;height:2" coordorigin="4063,5" coordsize="10,2">
              <v:shape style="position:absolute;left:4063;top:5;width:10;height:2" coordorigin="4063,5" coordsize="10,0" path="m4063,5l4072,5e" filled="false" stroked="true" strokeweight=".48004pt" strokecolor="#000000">
                <v:path arrowok="t"/>
              </v:shape>
            </v:group>
            <v:group style="position:absolute;left:4072;top:5;width:1085;height:2" coordorigin="4072,5" coordsize="1085,2">
              <v:shape style="position:absolute;left:4072;top:5;width:1085;height:2" coordorigin="4072,5" coordsize="1085,0" path="m4072,5l5157,5e" filled="false" stroked="true" strokeweight=".48004pt" strokecolor="#000000">
                <v:path arrowok="t"/>
              </v:shape>
            </v:group>
            <v:group style="position:absolute;left:5157;top:5;width:10;height:2" coordorigin="5157,5" coordsize="10,2">
              <v:shape style="position:absolute;left:5157;top:5;width:10;height:2" coordorigin="5157,5" coordsize="10,0" path="m5157,5l5167,5e" filled="false" stroked="true" strokeweight=".48004pt" strokecolor="#000000">
                <v:path arrowok="t"/>
              </v:shape>
            </v:group>
            <v:group style="position:absolute;left:5167;top:5;width:1686;height:2" coordorigin="5167,5" coordsize="1686,2">
              <v:shape style="position:absolute;left:5167;top:5;width:1686;height:2" coordorigin="5167,5" coordsize="1686,0" path="m5167,5l6853,5e" filled="false" stroked="true" strokeweight=".48004pt" strokecolor="#000000">
                <v:path arrowok="t"/>
              </v:shape>
            </v:group>
            <v:group style="position:absolute;left:6852;top:5;width:10;height:2" coordorigin="6852,5" coordsize="10,2">
              <v:shape style="position:absolute;left:6852;top:5;width:10;height:2" coordorigin="6852,5" coordsize="10,0" path="m6852,5l6862,5e" filled="false" stroked="true" strokeweight=".48004pt" strokecolor="#000000">
                <v:path arrowok="t"/>
              </v:shape>
            </v:group>
            <v:group style="position:absolute;left:6862;top:5;width:1585;height:2" coordorigin="6862,5" coordsize="1585,2">
              <v:shape style="position:absolute;left:6862;top:5;width:1585;height:2" coordorigin="6862,5" coordsize="1585,0" path="m6862,5l8446,5e" filled="false" stroked="true" strokeweight=".48004pt" strokecolor="#000000">
                <v:path arrowok="t"/>
              </v:shape>
            </v:group>
            <v:group style="position:absolute;left:8447;top:5;width:10;height:2" coordorigin="8447,5" coordsize="10,2">
              <v:shape style="position:absolute;left:8447;top:5;width:10;height:2" coordorigin="8447,5" coordsize="10,0" path="m8447,5l8456,5e" filled="false" stroked="true" strokeweight=".48004pt" strokecolor="#000000">
                <v:path arrowok="t"/>
              </v:shape>
            </v:group>
            <v:group style="position:absolute;left:8456;top:5;width:1086;height:2" coordorigin="8456,5" coordsize="1086,2">
              <v:shape style="position:absolute;left:8456;top:5;width:1086;height:2" coordorigin="8456,5" coordsize="1086,0" path="m8456,5l9541,5e" filled="false" stroked="true" strokeweight=".48004pt" strokecolor="#000000">
                <v:path arrowok="t"/>
              </v:shape>
            </v:group>
            <v:group style="position:absolute;left:9541;top:5;width:10;height:2" coordorigin="9541,5" coordsize="10,2">
              <v:shape style="position:absolute;left:9541;top:5;width:10;height:2" coordorigin="9541,5" coordsize="10,0" path="m9541,5l9551,5e" filled="false" stroked="true" strokeweight=".48004pt" strokecolor="#000000">
                <v:path arrowok="t"/>
              </v:shape>
            </v:group>
            <v:group style="position:absolute;left:9551;top:5;width:1585;height:2" coordorigin="9551,5" coordsize="1585,2">
              <v:shape style="position:absolute;left:9551;top:5;width:1585;height:2" coordorigin="9551,5" coordsize="1585,0" path="m9551,5l11135,5e" filled="false" stroked="true" strokeweight=".48004pt" strokecolor="#000000">
                <v:path arrowok="t"/>
              </v:shape>
            </v:group>
          </v:group>
        </w:pict>
      </w:r>
      <w:r>
        <w:rPr>
          <w:rFonts w:ascii="宋体" w:hAnsi="宋体" w:cs="宋体" w:eastAsia="宋体" w:hint="default"/>
          <w:sz w:val="2"/>
          <w:szCs w:val="2"/>
        </w:rPr>
      </w:r>
    </w:p>
    <w:p>
      <w:pPr>
        <w:tabs>
          <w:tab w:pos="3062" w:val="left" w:leader="none"/>
          <w:tab w:pos="5847" w:val="left" w:leader="none"/>
          <w:tab w:pos="7528" w:val="left" w:leader="none"/>
          <w:tab w:pos="10217" w:val="left" w:leader="none"/>
        </w:tabs>
        <w:spacing w:before="86"/>
        <w:ind w:left="479" w:right="0" w:firstLine="0"/>
        <w:jc w:val="left"/>
        <w:rPr>
          <w:rFonts w:ascii="宋体" w:hAnsi="宋体" w:cs="宋体" w:eastAsia="宋体" w:hint="default"/>
          <w:sz w:val="18"/>
          <w:szCs w:val="18"/>
        </w:rPr>
      </w:pPr>
      <w:r>
        <w:rPr>
          <w:rFonts w:ascii="宋体" w:hAnsi="宋体" w:cs="宋体" w:eastAsia="宋体" w:hint="default"/>
          <w:spacing w:val="-2"/>
          <w:sz w:val="18"/>
          <w:szCs w:val="18"/>
        </w:rPr>
        <w:t>对子公司投资</w:t>
        <w:tab/>
      </w:r>
      <w:r>
        <w:rPr>
          <w:rFonts w:ascii="宋体" w:hAnsi="宋体" w:cs="宋体" w:eastAsia="宋体" w:hint="default"/>
          <w:spacing w:val="-2"/>
          <w:sz w:val="18"/>
          <w:szCs w:val="18"/>
        </w:rPr>
        <w:t>134,876,115.03</w:t>
        <w:tab/>
        <w:t>134,876,115.03</w:t>
        <w:tab/>
      </w:r>
      <w:r>
        <w:rPr>
          <w:rFonts w:ascii="宋体" w:hAnsi="宋体" w:cs="宋体" w:eastAsia="宋体" w:hint="default"/>
          <w:spacing w:val="-1"/>
          <w:sz w:val="18"/>
          <w:szCs w:val="18"/>
        </w:rPr>
        <w:t>75,435,996.52</w:t>
        <w:tab/>
        <w:t>75,435,996.52</w:t>
      </w:r>
    </w:p>
    <w:p>
      <w:pPr>
        <w:spacing w:line="240" w:lineRule="auto" w:before="12"/>
        <w:rPr>
          <w:rFonts w:ascii="宋体" w:hAnsi="宋体" w:cs="宋体" w:eastAsia="宋体" w:hint="default"/>
          <w:sz w:val="8"/>
          <w:szCs w:val="8"/>
        </w:rPr>
      </w:pPr>
    </w:p>
    <w:p>
      <w:pPr>
        <w:tabs>
          <w:tab w:pos="3149" w:val="left" w:leader="none"/>
          <w:tab w:pos="5934" w:val="left" w:leader="none"/>
        </w:tabs>
        <w:spacing w:before="46"/>
        <w:ind w:left="479" w:right="1122" w:firstLine="0"/>
        <w:jc w:val="left"/>
        <w:rPr>
          <w:rFonts w:ascii="宋体" w:hAnsi="宋体" w:cs="宋体" w:eastAsia="宋体" w:hint="default"/>
          <w:sz w:val="18"/>
          <w:szCs w:val="18"/>
        </w:rPr>
      </w:pPr>
      <w:r>
        <w:rPr>
          <w:rFonts w:ascii="宋体" w:hAnsi="宋体" w:cs="宋体" w:eastAsia="宋体" w:hint="default"/>
          <w:spacing w:val="-2"/>
          <w:sz w:val="18"/>
          <w:szCs w:val="18"/>
        </w:rPr>
        <w:t>对联营、合营企业投资</w:t>
        <w:tab/>
      </w:r>
      <w:r>
        <w:rPr>
          <w:rFonts w:ascii="宋体" w:hAnsi="宋体" w:cs="宋体" w:eastAsia="宋体" w:hint="default"/>
          <w:spacing w:val="-1"/>
          <w:sz w:val="18"/>
          <w:szCs w:val="18"/>
        </w:rPr>
        <w:t>25,502,286.16</w:t>
        <w:tab/>
        <w:t>25,502,286.16</w:t>
      </w:r>
    </w:p>
    <w:p>
      <w:pPr>
        <w:spacing w:after="0"/>
        <w:jc w:val="left"/>
        <w:rPr>
          <w:rFonts w:ascii="宋体" w:hAnsi="宋体" w:cs="宋体" w:eastAsia="宋体" w:hint="default"/>
          <w:sz w:val="18"/>
          <w:szCs w:val="18"/>
        </w:rPr>
        <w:sectPr>
          <w:pgSz w:w="11910" w:h="16840"/>
          <w:pgMar w:header="741" w:footer="979" w:top="1060" w:bottom="1160" w:left="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792" w:type="dxa"/>
        <w:tblLayout w:type="fixed"/>
        <w:tblCellMar>
          <w:top w:w="0" w:type="dxa"/>
          <w:left w:w="0" w:type="dxa"/>
          <w:bottom w:w="0" w:type="dxa"/>
          <w:right w:w="0" w:type="dxa"/>
        </w:tblCellMar>
        <w:tblLook w:val="01E0"/>
      </w:tblPr>
      <w:tblGrid>
        <w:gridCol w:w="365"/>
        <w:gridCol w:w="1325"/>
        <w:gridCol w:w="1263"/>
        <w:gridCol w:w="1523"/>
        <w:gridCol w:w="1263"/>
        <w:gridCol w:w="418"/>
        <w:gridCol w:w="1176"/>
        <w:gridCol w:w="1513"/>
        <w:gridCol w:w="1176"/>
      </w:tblGrid>
      <w:tr>
        <w:trPr>
          <w:trHeight w:val="198" w:hRule="exact"/>
        </w:trPr>
        <w:tc>
          <w:tcPr>
            <w:tcW w:w="365" w:type="dxa"/>
            <w:tcBorders>
              <w:top w:val="nil" w:sz="6" w:space="0" w:color="auto"/>
              <w:left w:val="nil" w:sz="6" w:space="0" w:color="auto"/>
              <w:bottom w:val="single" w:sz="13"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13"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spacing w:val="-2"/>
                <w:sz w:val="18"/>
              </w:rPr>
              <w:t>160,378,401.19</w:t>
            </w:r>
          </w:p>
        </w:tc>
        <w:tc>
          <w:tcPr>
            <w:tcW w:w="1523"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13"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spacing w:val="-2"/>
                <w:sz w:val="18"/>
              </w:rPr>
              <w:t>160,378,401.19</w:t>
            </w:r>
          </w:p>
        </w:tc>
        <w:tc>
          <w:tcPr>
            <w:tcW w:w="418"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3"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spacing w:val="-1"/>
                <w:sz w:val="18"/>
              </w:rPr>
              <w:t>75,435,996.52</w:t>
            </w:r>
          </w:p>
        </w:tc>
        <w:tc>
          <w:tcPr>
            <w:tcW w:w="151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3"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spacing w:val="-1"/>
                <w:sz w:val="18"/>
              </w:rPr>
              <w:t>75,435,996.52</w:t>
            </w:r>
          </w:p>
        </w:tc>
      </w:tr>
    </w:tbl>
    <w:p>
      <w:pPr>
        <w:spacing w:line="240" w:lineRule="auto" w:before="10"/>
        <w:rPr>
          <w:rFonts w:ascii="宋体" w:hAnsi="宋体" w:cs="宋体" w:eastAsia="宋体" w:hint="default"/>
          <w:sz w:val="17"/>
          <w:szCs w:val="17"/>
        </w:rPr>
      </w:pPr>
    </w:p>
    <w:p>
      <w:pPr>
        <w:pStyle w:val="BodyText"/>
        <w:spacing w:line="240" w:lineRule="auto" w:before="36"/>
        <w:ind w:left="955" w:right="0"/>
        <w:jc w:val="left"/>
      </w:pPr>
      <w:r>
        <w:rPr>
          <w:rFonts w:ascii="宋体" w:hAnsi="宋体" w:cs="宋体" w:eastAsia="宋体" w:hint="default"/>
        </w:rPr>
        <w:t>1.</w:t>
      </w:r>
      <w:r>
        <w:rPr>
          <w:rFonts w:ascii="宋体" w:hAnsi="宋体" w:cs="宋体" w:eastAsia="宋体" w:hint="default"/>
          <w:spacing w:val="47"/>
        </w:rPr>
        <w:t> </w:t>
      </w:r>
      <w:r>
        <w:rPr/>
        <w:t>对子公司投资</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1" w:footer="979" w:top="1060" w:bottom="1160" w:left="600" w:right="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tabs>
          <w:tab w:pos="3543" w:val="left" w:leader="none"/>
          <w:tab w:pos="4936" w:val="left" w:leader="none"/>
          <w:tab w:pos="6275" w:val="left" w:leader="none"/>
          <w:tab w:pos="7664" w:val="left" w:leader="none"/>
        </w:tabs>
        <w:spacing w:before="0"/>
        <w:ind w:left="1210" w:right="-13" w:firstLine="0"/>
        <w:jc w:val="left"/>
        <w:rPr>
          <w:rFonts w:ascii="宋体" w:hAnsi="宋体" w:cs="宋体" w:eastAsia="宋体" w:hint="default"/>
          <w:sz w:val="18"/>
          <w:szCs w:val="18"/>
        </w:rPr>
      </w:pPr>
      <w:r>
        <w:rPr>
          <w:rFonts w:ascii="宋体" w:hAnsi="宋体" w:cs="宋体" w:eastAsia="宋体" w:hint="default"/>
          <w:b/>
          <w:bCs/>
          <w:spacing w:val="-1"/>
          <w:sz w:val="18"/>
          <w:szCs w:val="18"/>
        </w:rPr>
        <w:t>被投资单位</w:t>
        <w:tab/>
      </w:r>
      <w:r>
        <w:rPr>
          <w:rFonts w:ascii="宋体" w:hAnsi="宋体" w:cs="宋体" w:eastAsia="宋体" w:hint="default"/>
          <w:b/>
          <w:bCs/>
          <w:sz w:val="18"/>
          <w:szCs w:val="18"/>
        </w:rPr>
        <w:t>期初余额</w:t>
        <w:tab/>
        <w:t>本期增加</w:t>
        <w:tab/>
        <w:t>本期减少</w:t>
        <w:tab/>
        <w:t>期末余额</w:t>
      </w:r>
      <w:r>
        <w:rPr>
          <w:rFonts w:ascii="宋体" w:hAnsi="宋体" w:cs="宋体" w:eastAsia="宋体" w:hint="default"/>
          <w:sz w:val="18"/>
          <w:szCs w:val="18"/>
        </w:rPr>
      </w:r>
    </w:p>
    <w:p>
      <w:pPr>
        <w:spacing w:line="240" w:lineRule="auto" w:before="2"/>
        <w:rPr>
          <w:rFonts w:ascii="宋体" w:hAnsi="宋体" w:cs="宋体" w:eastAsia="宋体" w:hint="default"/>
          <w:b/>
          <w:bCs/>
          <w:sz w:val="17"/>
          <w:szCs w:val="17"/>
        </w:rPr>
      </w:pPr>
      <w:r>
        <w:rPr/>
        <w:br w:type="column"/>
      </w:r>
      <w:r>
        <w:rPr>
          <w:rFonts w:ascii="宋体"/>
          <w:b/>
          <w:sz w:val="17"/>
        </w:rPr>
      </w:r>
    </w:p>
    <w:p>
      <w:pPr>
        <w:spacing w:before="0"/>
        <w:ind w:left="464" w:right="-13" w:firstLine="0"/>
        <w:jc w:val="left"/>
        <w:rPr>
          <w:rFonts w:ascii="宋体" w:hAnsi="宋体" w:cs="宋体" w:eastAsia="宋体" w:hint="default"/>
          <w:sz w:val="18"/>
          <w:szCs w:val="18"/>
        </w:rPr>
      </w:pPr>
      <w:r>
        <w:rPr/>
        <w:pict>
          <v:shape style="position:absolute;margin-left:35.784pt;margin-top:20.674192pt;width:523.9pt;height:341.1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9"/>
                    <w:gridCol w:w="1393"/>
                    <w:gridCol w:w="1388"/>
                    <w:gridCol w:w="1296"/>
                    <w:gridCol w:w="1489"/>
                    <w:gridCol w:w="1032"/>
                    <w:gridCol w:w="780"/>
                  </w:tblGrid>
                  <w:tr>
                    <w:trPr>
                      <w:trHeight w:val="421" w:hRule="exact"/>
                    </w:trPr>
                    <w:tc>
                      <w:tcPr>
                        <w:tcW w:w="8665" w:type="dxa"/>
                        <w:gridSpan w:val="5"/>
                        <w:tcBorders>
                          <w:top w:val="nil" w:sz="6" w:space="0" w:color="auto"/>
                          <w:left w:val="nil" w:sz="6" w:space="0" w:color="auto"/>
                          <w:bottom w:val="single" w:sz="8" w:space="0" w:color="000000"/>
                          <w:right w:val="nil" w:sz="6" w:space="0" w:color="auto"/>
                        </w:tcBorders>
                      </w:tcPr>
                      <w:p>
                        <w:pPr/>
                      </w:p>
                    </w:tc>
                    <w:tc>
                      <w:tcPr>
                        <w:tcW w:w="1032" w:type="dxa"/>
                        <w:tcBorders>
                          <w:top w:val="nil" w:sz="6" w:space="0" w:color="auto"/>
                          <w:left w:val="nil" w:sz="6" w:space="0" w:color="auto"/>
                          <w:bottom w:val="single" w:sz="8" w:space="0" w:color="000000"/>
                          <w:right w:val="nil" w:sz="6" w:space="0" w:color="auto"/>
                        </w:tcBorders>
                      </w:tcPr>
                      <w:p>
                        <w:pPr>
                          <w:pStyle w:val="TableParagraph"/>
                          <w:spacing w:line="182"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780" w:type="dxa"/>
                        <w:tcBorders>
                          <w:top w:val="nil" w:sz="6" w:space="0" w:color="auto"/>
                          <w:left w:val="nil" w:sz="6" w:space="0" w:color="auto"/>
                          <w:bottom w:val="single" w:sz="8" w:space="0" w:color="000000"/>
                          <w:right w:val="nil" w:sz="6" w:space="0" w:color="auto"/>
                        </w:tcBorders>
                      </w:tcPr>
                      <w:p>
                        <w:pPr>
                          <w:pStyle w:val="TableParagraph"/>
                          <w:spacing w:line="240" w:lineRule="auto" w:before="129"/>
                          <w:ind w:left="184"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451" w:hRule="exact"/>
                    </w:trPr>
                    <w:tc>
                      <w:tcPr>
                        <w:tcW w:w="309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北京创业未来传媒技术有限公司</w:t>
                        </w:r>
                      </w:p>
                    </w:tc>
                    <w:tc>
                      <w:tcPr>
                        <w:tcW w:w="1393"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06"/>
                          <w:jc w:val="right"/>
                          <w:rPr>
                            <w:rFonts w:ascii="宋体" w:hAnsi="宋体" w:cs="宋体" w:eastAsia="宋体" w:hint="default"/>
                            <w:sz w:val="18"/>
                            <w:szCs w:val="18"/>
                          </w:rPr>
                        </w:pPr>
                        <w:r>
                          <w:rPr>
                            <w:rFonts w:ascii="宋体"/>
                            <w:spacing w:val="-1"/>
                            <w:sz w:val="18"/>
                          </w:rPr>
                          <w:t>20,204,095.94</w:t>
                        </w:r>
                      </w:p>
                    </w:tc>
                    <w:tc>
                      <w:tcPr>
                        <w:tcW w:w="1388"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96" w:right="0"/>
                          <w:jc w:val="center"/>
                          <w:rPr>
                            <w:rFonts w:ascii="宋体" w:hAnsi="宋体" w:cs="宋体" w:eastAsia="宋体" w:hint="default"/>
                            <w:sz w:val="18"/>
                            <w:szCs w:val="18"/>
                          </w:rPr>
                        </w:pPr>
                        <w:r>
                          <w:rPr>
                            <w:rFonts w:ascii="宋体"/>
                            <w:sz w:val="18"/>
                          </w:rPr>
                          <w:t>5,499,983.69</w:t>
                        </w:r>
                      </w:p>
                    </w:tc>
                    <w:tc>
                      <w:tcPr>
                        <w:tcW w:w="1296" w:type="dxa"/>
                        <w:tcBorders>
                          <w:top w:val="single" w:sz="8" w:space="0" w:color="000000"/>
                          <w:left w:val="nil" w:sz="6" w:space="0" w:color="auto"/>
                          <w:bottom w:val="nil" w:sz="6" w:space="0" w:color="auto"/>
                          <w:right w:val="nil" w:sz="6" w:space="0" w:color="auto"/>
                        </w:tcBorders>
                      </w:tcPr>
                      <w:p>
                        <w:pPr/>
                      </w:p>
                    </w:tc>
                    <w:tc>
                      <w:tcPr>
                        <w:tcW w:w="1489"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right="116"/>
                          <w:jc w:val="right"/>
                          <w:rPr>
                            <w:rFonts w:ascii="宋体" w:hAnsi="宋体" w:cs="宋体" w:eastAsia="宋体" w:hint="default"/>
                            <w:sz w:val="18"/>
                            <w:szCs w:val="18"/>
                          </w:rPr>
                        </w:pPr>
                        <w:r>
                          <w:rPr>
                            <w:rFonts w:ascii="宋体"/>
                            <w:spacing w:val="-1"/>
                            <w:sz w:val="18"/>
                          </w:rPr>
                          <w:t>25,704,079.63</w:t>
                        </w:r>
                      </w:p>
                    </w:tc>
                    <w:tc>
                      <w:tcPr>
                        <w:tcW w:w="1032" w:type="dxa"/>
                        <w:tcBorders>
                          <w:top w:val="single" w:sz="8" w:space="0" w:color="000000"/>
                          <w:left w:val="nil" w:sz="6" w:space="0" w:color="auto"/>
                          <w:bottom w:val="nil" w:sz="6" w:space="0" w:color="auto"/>
                          <w:right w:val="nil" w:sz="6" w:space="0" w:color="auto"/>
                        </w:tcBorders>
                      </w:tcPr>
                      <w:p>
                        <w:pPr/>
                      </w:p>
                    </w:tc>
                    <w:tc>
                      <w:tcPr>
                        <w:tcW w:w="780" w:type="dxa"/>
                        <w:tcBorders>
                          <w:top w:val="single" w:sz="8" w:space="0" w:color="000000"/>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北京佳沃世纪企业管理咨询有限公司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1,296,592.00</w:t>
                        </w:r>
                      </w:p>
                    </w:tc>
                    <w:tc>
                      <w:tcPr>
                        <w:tcW w:w="138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1,296,592.00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pacing w:val="-3"/>
                            <w:sz w:val="18"/>
                            <w:szCs w:val="18"/>
                          </w:rPr>
                          <w:t>南京创业未来信息技术有限公司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667,000.00</w:t>
                        </w:r>
                      </w:p>
                    </w:tc>
                    <w:tc>
                      <w:tcPr>
                        <w:tcW w:w="138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5"/>
                          <w:jc w:val="right"/>
                          <w:rPr>
                            <w:rFonts w:ascii="宋体" w:hAnsi="宋体" w:cs="宋体" w:eastAsia="宋体" w:hint="default"/>
                            <w:sz w:val="18"/>
                            <w:szCs w:val="18"/>
                          </w:rPr>
                        </w:pPr>
                        <w:r>
                          <w:rPr>
                            <w:rFonts w:ascii="宋体"/>
                            <w:spacing w:val="-1"/>
                            <w:sz w:val="18"/>
                          </w:rPr>
                          <w:t>667,000.00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广州创润信息科技有限公司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670,000.00</w:t>
                        </w:r>
                      </w:p>
                    </w:tc>
                    <w:tc>
                      <w:tcPr>
                        <w:tcW w:w="138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670,000.00</w:t>
                        </w:r>
                      </w:p>
                    </w:tc>
                    <w:tc>
                      <w:tcPr>
                        <w:tcW w:w="148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北京黑马创投科技有限公司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13,786,246.95</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6" w:right="0"/>
                          <w:jc w:val="center"/>
                          <w:rPr>
                            <w:rFonts w:ascii="宋体" w:hAnsi="宋体" w:cs="宋体" w:eastAsia="宋体" w:hint="default"/>
                            <w:sz w:val="18"/>
                            <w:szCs w:val="18"/>
                          </w:rPr>
                        </w:pPr>
                        <w:r>
                          <w:rPr>
                            <w:rFonts w:ascii="宋体"/>
                            <w:sz w:val="18"/>
                          </w:rPr>
                          <w:t>1,629,270.44</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15,415,517.39</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pacing w:val="-3"/>
                            <w:sz w:val="18"/>
                            <w:szCs w:val="18"/>
                          </w:rPr>
                          <w:t>青岛黑马创业服务有限公司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1,731,232.18</w:t>
                        </w:r>
                      </w:p>
                    </w:tc>
                    <w:tc>
                      <w:tcPr>
                        <w:tcW w:w="138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1,731,232.18</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成都创业未来信息技术有限公司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7,760,829.45</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6" w:right="0"/>
                          <w:jc w:val="center"/>
                          <w:rPr>
                            <w:rFonts w:ascii="宋体" w:hAnsi="宋体" w:cs="宋体" w:eastAsia="宋体" w:hint="default"/>
                            <w:sz w:val="18"/>
                            <w:szCs w:val="18"/>
                          </w:rPr>
                        </w:pPr>
                        <w:r>
                          <w:rPr>
                            <w:rFonts w:ascii="宋体"/>
                            <w:sz w:val="18"/>
                          </w:rPr>
                          <w:t>4,000,864.38</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11,761,693.83</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北京爱代言科技有限公司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1,000,000.00</w:t>
                        </w:r>
                      </w:p>
                    </w:tc>
                    <w:tc>
                      <w:tcPr>
                        <w:tcW w:w="138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1,000,000.00</w:t>
                        </w:r>
                      </w:p>
                    </w:tc>
                    <w:tc>
                      <w:tcPr>
                        <w:tcW w:w="1489"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北京创闻天下科技有限公司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640,000.00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sz w:val="18"/>
                          </w:rPr>
                          <w:t>12,500,000.00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13,140,000.00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北京协同创新黑马投资管理有限公司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pacing w:val="-1"/>
                            <w:sz w:val="18"/>
                          </w:rPr>
                          <w:t>1,530,000.00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sz w:val="18"/>
                          </w:rPr>
                          <w:t>3,570,000.00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5,100,000.00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上海简即科技有限公司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2,050,000.00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sz w:val="18"/>
                          </w:rPr>
                          <w:t>15,610,000.00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17,660,000.00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嘉兴致新投资管理有限公司</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pacing w:val="-1"/>
                            <w:sz w:val="18"/>
                          </w:rPr>
                          <w:t>24,100,000.00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sz w:val="18"/>
                          </w:rPr>
                          <w:t>10,000,000.00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34,100,000.00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pacing w:val="-3"/>
                            <w:sz w:val="18"/>
                            <w:szCs w:val="18"/>
                          </w:rPr>
                          <w:t>创业黑马（广州）科技有限公司</w:t>
                        </w:r>
                      </w:p>
                    </w:tc>
                    <w:tc>
                      <w:tcPr>
                        <w:tcW w:w="1393"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sz w:val="18"/>
                          </w:rPr>
                          <w:t>6,300,000.00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6,300,000.00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青岛黑马加速科技有限公司</w:t>
                        </w:r>
                      </w:p>
                    </w:tc>
                    <w:tc>
                      <w:tcPr>
                        <w:tcW w:w="1393"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6" w:right="0"/>
                          <w:jc w:val="center"/>
                          <w:rPr>
                            <w:rFonts w:ascii="宋体" w:hAnsi="宋体" w:cs="宋体" w:eastAsia="宋体" w:hint="default"/>
                            <w:sz w:val="18"/>
                            <w:szCs w:val="18"/>
                          </w:rPr>
                        </w:pPr>
                        <w:r>
                          <w:rPr>
                            <w:rFonts w:ascii="宋体"/>
                            <w:sz w:val="18"/>
                          </w:rPr>
                          <w:t>1,000,000.00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1,000,000.00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黑马加速（重庆）科技有限公司</w:t>
                        </w:r>
                      </w:p>
                    </w:tc>
                    <w:tc>
                      <w:tcPr>
                        <w:tcW w:w="1393" w:type="dxa"/>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6" w:right="0"/>
                          <w:jc w:val="center"/>
                          <w:rPr>
                            <w:rFonts w:ascii="宋体" w:hAnsi="宋体" w:cs="宋体" w:eastAsia="宋体" w:hint="default"/>
                            <w:sz w:val="18"/>
                            <w:szCs w:val="18"/>
                          </w:rPr>
                        </w:pPr>
                        <w:r>
                          <w:rPr>
                            <w:rFonts w:ascii="宋体"/>
                            <w:sz w:val="18"/>
                          </w:rPr>
                          <w:t>1,000,000.00</w:t>
                        </w:r>
                      </w:p>
                    </w:tc>
                    <w:tc>
                      <w:tcPr>
                        <w:tcW w:w="1296"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spacing w:val="-1"/>
                            <w:sz w:val="18"/>
                          </w:rPr>
                          <w:t>1,000,000.00</w:t>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r>
                    <w:trPr>
                      <w:trHeight w:val="39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w w:val="101"/>
                            <w:sz w:val="18"/>
                          </w:rPr>
                        </w:r>
                        <w:r>
                          <w:rPr>
                            <w:rFonts w:ascii="宋体"/>
                            <w:spacing w:val="-1"/>
                            <w:sz w:val="18"/>
                            <w:u w:val="thick" w:color="000000"/>
                          </w:rPr>
                          <w:t>75,435,996.52</w:t>
                        </w:r>
                        <w:r>
                          <w:rPr>
                            <w:rFonts w:ascii="宋体"/>
                            <w:spacing w:val="-1"/>
                            <w:sz w:val="18"/>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宋体" w:hAnsi="宋体" w:cs="宋体" w:eastAsia="宋体" w:hint="default"/>
                            <w:sz w:val="18"/>
                            <w:szCs w:val="18"/>
                          </w:rPr>
                        </w:pPr>
                        <w:r>
                          <w:rPr>
                            <w:rFonts w:ascii="宋体"/>
                            <w:w w:val="101"/>
                            <w:sz w:val="18"/>
                          </w:rPr>
                        </w:r>
                        <w:r>
                          <w:rPr>
                            <w:rFonts w:ascii="宋体"/>
                            <w:sz w:val="18"/>
                            <w:u w:val="thick" w:color="000000"/>
                          </w:rPr>
                          <w:t>61,110,118.51</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w w:val="101"/>
                            <w:sz w:val="18"/>
                          </w:rPr>
                        </w:r>
                        <w:r>
                          <w:rPr>
                            <w:rFonts w:ascii="宋体"/>
                            <w:spacing w:val="-1"/>
                            <w:sz w:val="18"/>
                            <w:u w:val="thick" w:color="000000"/>
                          </w:rPr>
                          <w:t>1,670,000.00</w:t>
                        </w:r>
                        <w:r>
                          <w:rPr>
                            <w:rFonts w:ascii="宋体"/>
                            <w:spacing w:val="-1"/>
                            <w:sz w:val="18"/>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宋体" w:hAnsi="宋体" w:cs="宋体" w:eastAsia="宋体" w:hint="default"/>
                            <w:sz w:val="18"/>
                            <w:szCs w:val="18"/>
                          </w:rPr>
                        </w:pPr>
                        <w:r>
                          <w:rPr>
                            <w:rFonts w:ascii="宋体"/>
                            <w:w w:val="101"/>
                            <w:sz w:val="18"/>
                          </w:rPr>
                        </w:r>
                        <w:r>
                          <w:rPr>
                            <w:rFonts w:ascii="宋体"/>
                            <w:spacing w:val="-2"/>
                            <w:sz w:val="18"/>
                            <w:u w:val="thick" w:color="000000"/>
                          </w:rPr>
                          <w:t>134,876,115.03</w:t>
                        </w:r>
                        <w:r>
                          <w:rPr>
                            <w:rFonts w:ascii="宋体"/>
                            <w:spacing w:val="-2"/>
                            <w:sz w:val="18"/>
                          </w:rPr>
                        </w:r>
                      </w:p>
                    </w:tc>
                    <w:tc>
                      <w:tcPr>
                        <w:tcW w:w="1032"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本期计提</w:t>
      </w:r>
      <w:r>
        <w:rPr>
          <w:rFonts w:ascii="宋体" w:hAnsi="宋体" w:cs="宋体" w:eastAsia="宋体" w:hint="default"/>
          <w:sz w:val="18"/>
          <w:szCs w:val="18"/>
        </w:rPr>
      </w:r>
    </w:p>
    <w:p>
      <w:pPr>
        <w:spacing w:line="367" w:lineRule="auto" w:before="46"/>
        <w:ind w:left="238" w:right="836"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减值准</w:t>
      </w:r>
      <w:r>
        <w:rPr>
          <w:rFonts w:ascii="宋体" w:hAnsi="宋体" w:cs="宋体" w:eastAsia="宋体" w:hint="default"/>
          <w:b/>
          <w:bCs/>
          <w:spacing w:val="-86"/>
          <w:sz w:val="18"/>
          <w:szCs w:val="18"/>
        </w:rPr>
        <w:t> </w:t>
      </w:r>
      <w:r>
        <w:rPr>
          <w:rFonts w:ascii="宋体" w:hAnsi="宋体" w:cs="宋体" w:eastAsia="宋体" w:hint="default"/>
          <w:b/>
          <w:bCs/>
          <w:sz w:val="18"/>
          <w:szCs w:val="18"/>
        </w:rPr>
        <w:t>备期末</w:t>
      </w:r>
      <w:r>
        <w:rPr>
          <w:rFonts w:ascii="宋体" w:hAnsi="宋体" w:cs="宋体" w:eastAsia="宋体" w:hint="default"/>
          <w:sz w:val="18"/>
          <w:szCs w:val="18"/>
        </w:rPr>
      </w:r>
    </w:p>
    <w:p>
      <w:pPr>
        <w:spacing w:after="0" w:line="367" w:lineRule="auto"/>
        <w:jc w:val="left"/>
        <w:rPr>
          <w:rFonts w:ascii="宋体" w:hAnsi="宋体" w:cs="宋体" w:eastAsia="宋体" w:hint="default"/>
          <w:sz w:val="18"/>
          <w:szCs w:val="18"/>
        </w:rPr>
        <w:sectPr>
          <w:type w:val="continuous"/>
          <w:pgSz w:w="11910" w:h="16840"/>
          <w:pgMar w:top="1060" w:bottom="1160" w:left="600" w:right="0"/>
          <w:cols w:num="3" w:equalWidth="0">
            <w:col w:w="8394" w:space="40"/>
            <w:col w:w="1195" w:space="40"/>
            <w:col w:w="164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BodyText"/>
        <w:spacing w:line="240" w:lineRule="auto" w:before="36"/>
        <w:ind w:left="955" w:right="0"/>
        <w:jc w:val="left"/>
      </w:pPr>
      <w:r>
        <w:rPr>
          <w:rFonts w:ascii="宋体" w:hAnsi="宋体" w:cs="宋体" w:eastAsia="宋体" w:hint="default"/>
        </w:rPr>
        <w:t>2.</w:t>
      </w:r>
      <w:r>
        <w:rPr/>
        <w:t>对联营企业、合营企业投资</w:t>
      </w:r>
    </w:p>
    <w:p>
      <w:pPr>
        <w:spacing w:line="240" w:lineRule="auto" w:before="12"/>
        <w:rPr>
          <w:rFonts w:ascii="宋体" w:hAnsi="宋体" w:cs="宋体" w:eastAsia="宋体" w:hint="default"/>
          <w:sz w:val="26"/>
          <w:szCs w:val="26"/>
        </w:rPr>
      </w:pPr>
    </w:p>
    <w:tbl>
      <w:tblPr>
        <w:tblW w:w="0" w:type="auto"/>
        <w:jc w:val="left"/>
        <w:tblInd w:w="1099" w:type="dxa"/>
        <w:tblLayout w:type="fixed"/>
        <w:tblCellMar>
          <w:top w:w="0" w:type="dxa"/>
          <w:left w:w="0" w:type="dxa"/>
          <w:bottom w:w="0" w:type="dxa"/>
          <w:right w:w="0" w:type="dxa"/>
        </w:tblCellMar>
        <w:tblLook w:val="01E0"/>
      </w:tblPr>
      <w:tblGrid>
        <w:gridCol w:w="4000"/>
        <w:gridCol w:w="2893"/>
        <w:gridCol w:w="1616"/>
      </w:tblGrid>
      <w:tr>
        <w:trPr>
          <w:trHeight w:val="192" w:hRule="exact"/>
        </w:trPr>
        <w:tc>
          <w:tcPr>
            <w:tcW w:w="4000" w:type="dxa"/>
            <w:tcBorders>
              <w:top w:val="nil" w:sz="6" w:space="0" w:color="auto"/>
              <w:left w:val="nil" w:sz="6" w:space="0" w:color="auto"/>
              <w:bottom w:val="nil" w:sz="6" w:space="0" w:color="auto"/>
              <w:right w:val="nil" w:sz="6" w:space="0" w:color="auto"/>
            </w:tcBorders>
          </w:tcPr>
          <w:p>
            <w:pPr/>
          </w:p>
        </w:tc>
        <w:tc>
          <w:tcPr>
            <w:tcW w:w="4509"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2319"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199"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192" w:lineRule="exact"/>
              <w:ind w:left="1406"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893" w:type="dxa"/>
            <w:tcBorders>
              <w:top w:val="nil" w:sz="6" w:space="0" w:color="auto"/>
              <w:left w:val="nil" w:sz="6" w:space="0" w:color="auto"/>
              <w:bottom w:val="nil" w:sz="6" w:space="0" w:color="auto"/>
              <w:right w:val="nil" w:sz="6" w:space="0" w:color="auto"/>
            </w:tcBorders>
          </w:tcPr>
          <w:p>
            <w:pPr>
              <w:pStyle w:val="TableParagraph"/>
              <w:spacing w:line="192"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16" w:type="dxa"/>
            <w:tcBorders>
              <w:top w:val="nil" w:sz="6" w:space="0" w:color="auto"/>
              <w:left w:val="nil" w:sz="6" w:space="0" w:color="auto"/>
              <w:bottom w:val="nil" w:sz="6" w:space="0" w:color="auto"/>
              <w:right w:val="nil" w:sz="6" w:space="0" w:color="auto"/>
            </w:tcBorders>
          </w:tcPr>
          <w:p>
            <w:pPr/>
          </w:p>
        </w:tc>
      </w:tr>
      <w:tr>
        <w:trPr>
          <w:trHeight w:val="260" w:hRule="exact"/>
        </w:trPr>
        <w:tc>
          <w:tcPr>
            <w:tcW w:w="4000" w:type="dxa"/>
            <w:tcBorders>
              <w:top w:val="nil" w:sz="6" w:space="0" w:color="auto"/>
              <w:left w:val="nil" w:sz="6" w:space="0" w:color="auto"/>
              <w:bottom w:val="single" w:sz="4" w:space="0" w:color="000000"/>
              <w:right w:val="nil" w:sz="6" w:space="0" w:color="auto"/>
            </w:tcBorders>
          </w:tcPr>
          <w:p>
            <w:pPr/>
          </w:p>
        </w:tc>
        <w:tc>
          <w:tcPr>
            <w:tcW w:w="2893" w:type="dxa"/>
            <w:tcBorders>
              <w:top w:val="nil" w:sz="6" w:space="0" w:color="auto"/>
              <w:left w:val="nil" w:sz="6" w:space="0" w:color="auto"/>
              <w:bottom w:val="single" w:sz="4" w:space="0" w:color="000000"/>
              <w:right w:val="nil" w:sz="6" w:space="0" w:color="auto"/>
            </w:tcBorders>
          </w:tcPr>
          <w:p>
            <w:pPr>
              <w:pStyle w:val="TableParagraph"/>
              <w:spacing w:line="189" w:lineRule="exact"/>
              <w:ind w:left="1705"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616" w:type="dxa"/>
            <w:tcBorders>
              <w:top w:val="nil" w:sz="6" w:space="0" w:color="auto"/>
              <w:left w:val="nil" w:sz="6" w:space="0" w:color="auto"/>
              <w:bottom w:val="single" w:sz="4" w:space="0" w:color="000000"/>
              <w:right w:val="nil" w:sz="6" w:space="0" w:color="auto"/>
            </w:tcBorders>
          </w:tcPr>
          <w:p>
            <w:pPr>
              <w:pStyle w:val="TableParagraph"/>
              <w:spacing w:line="189"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r>
      <w:tr>
        <w:trPr>
          <w:trHeight w:val="426" w:hRule="exact"/>
        </w:trPr>
        <w:tc>
          <w:tcPr>
            <w:tcW w:w="400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89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r>
      <w:tr>
        <w:trPr>
          <w:trHeight w:val="396"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2893"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
        </w:tc>
      </w:tr>
      <w:tr>
        <w:trPr>
          <w:trHeight w:val="406"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3"/>
                <w:sz w:val="18"/>
                <w:szCs w:val="18"/>
              </w:rPr>
              <w:t>北京创新黑马投资管理合伙企业（有限合伙）</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7"/>
              <w:jc w:val="right"/>
              <w:rPr>
                <w:rFonts w:ascii="宋体" w:hAnsi="宋体" w:cs="宋体" w:eastAsia="宋体" w:hint="default"/>
                <w:sz w:val="18"/>
                <w:szCs w:val="18"/>
              </w:rPr>
            </w:pPr>
            <w:r>
              <w:rPr>
                <w:rFonts w:ascii="宋体"/>
                <w:spacing w:val="-1"/>
                <w:sz w:val="18"/>
              </w:rPr>
              <w:t>26,000,000.00</w:t>
            </w:r>
          </w:p>
        </w:tc>
        <w:tc>
          <w:tcPr>
            <w:tcW w:w="1616" w:type="dxa"/>
            <w:tcBorders>
              <w:top w:val="nil" w:sz="6" w:space="0" w:color="auto"/>
              <w:left w:val="nil" w:sz="6" w:space="0" w:color="auto"/>
              <w:bottom w:val="nil" w:sz="6" w:space="0" w:color="auto"/>
              <w:right w:val="nil" w:sz="6" w:space="0" w:color="auto"/>
            </w:tcBorders>
          </w:tcPr>
          <w:p>
            <w:pPr/>
          </w:p>
        </w:tc>
      </w:tr>
      <w:tr>
        <w:trPr>
          <w:trHeight w:val="398"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8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宋体" w:hAnsi="宋体" w:cs="宋体" w:eastAsia="宋体" w:hint="default"/>
                <w:sz w:val="18"/>
                <w:szCs w:val="18"/>
              </w:rPr>
            </w:pPr>
            <w:r>
              <w:rPr>
                <w:rFonts w:ascii="宋体"/>
                <w:w w:val="101"/>
                <w:sz w:val="18"/>
              </w:rPr>
            </w:r>
            <w:r>
              <w:rPr>
                <w:rFonts w:ascii="宋体"/>
                <w:spacing w:val="-1"/>
                <w:sz w:val="18"/>
                <w:u w:val="single" w:color="000000"/>
              </w:rPr>
              <w:t>26,000,000.00</w:t>
            </w:r>
            <w:r>
              <w:rPr>
                <w:rFonts w:ascii="宋体"/>
                <w:spacing w:val="-1"/>
                <w:sz w:val="18"/>
              </w:rPr>
            </w:r>
          </w:p>
        </w:tc>
        <w:tc>
          <w:tcPr>
            <w:tcW w:w="1616" w:type="dxa"/>
            <w:tcBorders>
              <w:top w:val="nil" w:sz="6" w:space="0" w:color="auto"/>
              <w:left w:val="nil" w:sz="6" w:space="0" w:color="auto"/>
              <w:bottom w:val="nil" w:sz="6" w:space="0" w:color="auto"/>
              <w:right w:val="nil" w:sz="6" w:space="0" w:color="auto"/>
            </w:tcBorders>
          </w:tcPr>
          <w:p>
            <w:pPr/>
          </w:p>
        </w:tc>
      </w:tr>
      <w:tr>
        <w:trPr>
          <w:trHeight w:val="300"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45"/>
              <w:ind w:left="8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7"/>
              <w:jc w:val="right"/>
              <w:rPr>
                <w:rFonts w:ascii="宋体" w:hAnsi="宋体" w:cs="宋体" w:eastAsia="宋体" w:hint="default"/>
                <w:sz w:val="18"/>
                <w:szCs w:val="18"/>
              </w:rPr>
            </w:pPr>
            <w:r>
              <w:rPr>
                <w:rFonts w:ascii="宋体"/>
                <w:w w:val="101"/>
                <w:sz w:val="18"/>
              </w:rPr>
            </w:r>
            <w:r>
              <w:rPr>
                <w:rFonts w:ascii="宋体"/>
                <w:spacing w:val="-1"/>
                <w:sz w:val="18"/>
                <w:u w:val="thick" w:color="000000"/>
              </w:rPr>
              <w:t>26,000,000.00</w:t>
            </w:r>
            <w:r>
              <w:rPr>
                <w:rFonts w:ascii="宋体"/>
                <w:spacing w:val="-1"/>
                <w:sz w:val="18"/>
              </w:rPr>
            </w:r>
          </w:p>
        </w:tc>
        <w:tc>
          <w:tcPr>
            <w:tcW w:w="161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955" w:right="0"/>
        <w:jc w:val="left"/>
      </w:pPr>
      <w:r>
        <w:rPr/>
        <w:t>接上表：</w:t>
      </w:r>
    </w:p>
    <w:p>
      <w:pPr>
        <w:spacing w:line="240" w:lineRule="auto" w:before="3"/>
        <w:rPr>
          <w:rFonts w:ascii="宋体" w:hAnsi="宋体" w:cs="宋体" w:eastAsia="宋体" w:hint="default"/>
          <w:sz w:val="27"/>
          <w:szCs w:val="27"/>
        </w:rPr>
      </w:pPr>
    </w:p>
    <w:tbl>
      <w:tblPr>
        <w:tblW w:w="0" w:type="auto"/>
        <w:jc w:val="left"/>
        <w:tblInd w:w="1099" w:type="dxa"/>
        <w:tblLayout w:type="fixed"/>
        <w:tblCellMar>
          <w:top w:w="0" w:type="dxa"/>
          <w:left w:w="0" w:type="dxa"/>
          <w:bottom w:w="0" w:type="dxa"/>
          <w:right w:w="0" w:type="dxa"/>
        </w:tblCellMar>
        <w:tblLook w:val="01E0"/>
      </w:tblPr>
      <w:tblGrid>
        <w:gridCol w:w="3143"/>
        <w:gridCol w:w="1923"/>
        <w:gridCol w:w="1052"/>
        <w:gridCol w:w="845"/>
        <w:gridCol w:w="1546"/>
      </w:tblGrid>
      <w:tr>
        <w:trPr>
          <w:trHeight w:val="271" w:hRule="exact"/>
        </w:trPr>
        <w:tc>
          <w:tcPr>
            <w:tcW w:w="8509" w:type="dxa"/>
            <w:gridSpan w:val="5"/>
            <w:tcBorders>
              <w:top w:val="nil" w:sz="6" w:space="0" w:color="auto"/>
              <w:left w:val="nil" w:sz="6" w:space="0" w:color="auto"/>
              <w:bottom w:val="nil" w:sz="6" w:space="0" w:color="auto"/>
              <w:right w:val="nil" w:sz="6" w:space="0" w:color="auto"/>
            </w:tcBorders>
          </w:tcPr>
          <w:p>
            <w:pPr>
              <w:pStyle w:val="TableParagraph"/>
              <w:spacing w:line="182" w:lineRule="exact"/>
              <w:ind w:left="5546"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702" w:hRule="exact"/>
        </w:trPr>
        <w:tc>
          <w:tcPr>
            <w:tcW w:w="314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205"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761" w:right="0" w:hanging="92"/>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sz w:val="18"/>
                <w:szCs w:val="18"/>
              </w:rPr>
            </w:r>
          </w:p>
          <w:p>
            <w:pPr>
              <w:pStyle w:val="TableParagraph"/>
              <w:spacing w:line="240" w:lineRule="auto" w:before="124"/>
              <w:ind w:left="761" w:right="0"/>
              <w:jc w:val="left"/>
              <w:rPr>
                <w:rFonts w:ascii="宋体" w:hAnsi="宋体" w:cs="宋体" w:eastAsia="宋体" w:hint="default"/>
                <w:sz w:val="18"/>
                <w:szCs w:val="18"/>
              </w:rPr>
            </w:pPr>
            <w:r>
              <w:rPr>
                <w:rFonts w:ascii="宋体" w:hAnsi="宋体" w:cs="宋体" w:eastAsia="宋体" w:hint="default"/>
                <w:b/>
                <w:bCs/>
                <w:sz w:val="18"/>
                <w:szCs w:val="18"/>
              </w:rPr>
              <w:t>的投资损益</w:t>
            </w:r>
            <w:r>
              <w:rPr>
                <w:rFonts w:ascii="宋体" w:hAnsi="宋体" w:cs="宋体" w:eastAsia="宋体" w:hint="default"/>
                <w:sz w:val="18"/>
                <w:szCs w:val="18"/>
              </w:rPr>
            </w: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sz w:val="18"/>
                <w:szCs w:val="18"/>
              </w:rPr>
            </w:r>
          </w:p>
          <w:p>
            <w:pPr>
              <w:pStyle w:val="TableParagraph"/>
              <w:spacing w:line="240" w:lineRule="auto" w:before="124"/>
              <w:ind w:left="163" w:right="0"/>
              <w:jc w:val="left"/>
              <w:rPr>
                <w:rFonts w:ascii="宋体" w:hAnsi="宋体" w:cs="宋体" w:eastAsia="宋体" w:hint="default"/>
                <w:sz w:val="18"/>
                <w:szCs w:val="18"/>
              </w:rPr>
            </w:pPr>
            <w:r>
              <w:rPr>
                <w:rFonts w:ascii="宋体" w:hAnsi="宋体" w:cs="宋体" w:eastAsia="宋体" w:hint="default"/>
                <w:b/>
                <w:bCs/>
                <w:sz w:val="18"/>
                <w:szCs w:val="18"/>
              </w:rPr>
              <w:t>收益调整</w:t>
            </w:r>
            <w:r>
              <w:rPr>
                <w:rFonts w:ascii="宋体" w:hAnsi="宋体" w:cs="宋体" w:eastAsia="宋体" w:hint="default"/>
                <w:sz w:val="18"/>
                <w:szCs w:val="18"/>
              </w:rPr>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sz w:val="18"/>
                <w:szCs w:val="18"/>
              </w:rPr>
            </w:r>
          </w:p>
          <w:p>
            <w:pPr>
              <w:pStyle w:val="TableParagraph"/>
              <w:spacing w:line="240" w:lineRule="auto" w:before="124"/>
              <w:ind w:left="158" w:right="0"/>
              <w:jc w:val="left"/>
              <w:rPr>
                <w:rFonts w:ascii="宋体" w:hAnsi="宋体" w:cs="宋体" w:eastAsia="宋体" w:hint="default"/>
                <w:sz w:val="18"/>
                <w:szCs w:val="18"/>
              </w:rPr>
            </w:pPr>
            <w:r>
              <w:rPr>
                <w:rFonts w:ascii="宋体" w:hAnsi="宋体" w:cs="宋体" w:eastAsia="宋体" w:hint="default"/>
                <w:b/>
                <w:bCs/>
                <w:sz w:val="18"/>
                <w:szCs w:val="18"/>
              </w:rPr>
              <w:t>益变动</w:t>
            </w:r>
            <w:r>
              <w:rPr>
                <w:rFonts w:ascii="宋体" w:hAnsi="宋体" w:cs="宋体" w:eastAsia="宋体" w:hint="default"/>
                <w:sz w:val="18"/>
                <w:szCs w:val="18"/>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宣告发放现金红</w:t>
            </w:r>
            <w:r>
              <w:rPr>
                <w:rFonts w:ascii="宋体" w:hAnsi="宋体" w:cs="宋体" w:eastAsia="宋体" w:hint="default"/>
                <w:sz w:val="18"/>
                <w:szCs w:val="18"/>
              </w:rPr>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利或利润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060" w:bottom="1160" w:left="6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799" w:type="dxa"/>
        <w:tblLayout w:type="fixed"/>
        <w:tblCellMar>
          <w:top w:w="0" w:type="dxa"/>
          <w:left w:w="0" w:type="dxa"/>
          <w:bottom w:w="0" w:type="dxa"/>
          <w:right w:w="0" w:type="dxa"/>
        </w:tblCellMar>
        <w:tblLook w:val="01E0"/>
      </w:tblPr>
      <w:tblGrid>
        <w:gridCol w:w="3735"/>
        <w:gridCol w:w="1330"/>
        <w:gridCol w:w="1052"/>
        <w:gridCol w:w="845"/>
        <w:gridCol w:w="1546"/>
      </w:tblGrid>
      <w:tr>
        <w:trPr>
          <w:trHeight w:val="271" w:hRule="exact"/>
        </w:trPr>
        <w:tc>
          <w:tcPr>
            <w:tcW w:w="8509" w:type="dxa"/>
            <w:gridSpan w:val="5"/>
            <w:tcBorders>
              <w:top w:val="nil" w:sz="6" w:space="0" w:color="auto"/>
              <w:left w:val="nil" w:sz="6" w:space="0" w:color="auto"/>
              <w:bottom w:val="nil" w:sz="6" w:space="0" w:color="auto"/>
              <w:right w:val="nil" w:sz="6" w:space="0" w:color="auto"/>
            </w:tcBorders>
          </w:tcPr>
          <w:p>
            <w:pPr>
              <w:pStyle w:val="TableParagraph"/>
              <w:spacing w:line="182" w:lineRule="exact"/>
              <w:ind w:left="5546"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sz w:val="18"/>
                <w:szCs w:val="18"/>
              </w:rPr>
            </w:r>
          </w:p>
        </w:tc>
      </w:tr>
      <w:tr>
        <w:trPr>
          <w:trHeight w:val="702" w:hRule="exact"/>
        </w:trPr>
        <w:tc>
          <w:tcPr>
            <w:tcW w:w="373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205"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8" w:right="0" w:hanging="92"/>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sz w:val="18"/>
                <w:szCs w:val="18"/>
              </w:rPr>
            </w:r>
          </w:p>
          <w:p>
            <w:pPr>
              <w:pStyle w:val="TableParagraph"/>
              <w:spacing w:line="240" w:lineRule="auto" w:before="124"/>
              <w:ind w:left="168" w:right="0"/>
              <w:jc w:val="left"/>
              <w:rPr>
                <w:rFonts w:ascii="宋体" w:hAnsi="宋体" w:cs="宋体" w:eastAsia="宋体" w:hint="default"/>
                <w:sz w:val="18"/>
                <w:szCs w:val="18"/>
              </w:rPr>
            </w:pPr>
            <w:r>
              <w:rPr>
                <w:rFonts w:ascii="宋体" w:hAnsi="宋体" w:cs="宋体" w:eastAsia="宋体" w:hint="default"/>
                <w:b/>
                <w:bCs/>
                <w:sz w:val="18"/>
                <w:szCs w:val="18"/>
              </w:rPr>
              <w:t>的投资损益</w:t>
            </w:r>
            <w:r>
              <w:rPr>
                <w:rFonts w:ascii="宋体" w:hAnsi="宋体" w:cs="宋体" w:eastAsia="宋体" w:hint="default"/>
                <w:sz w:val="18"/>
                <w:szCs w:val="18"/>
              </w:rPr>
            </w: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sz w:val="18"/>
                <w:szCs w:val="18"/>
              </w:rPr>
            </w:r>
          </w:p>
          <w:p>
            <w:pPr>
              <w:pStyle w:val="TableParagraph"/>
              <w:spacing w:line="240" w:lineRule="auto" w:before="124"/>
              <w:ind w:left="163" w:right="0"/>
              <w:jc w:val="left"/>
              <w:rPr>
                <w:rFonts w:ascii="宋体" w:hAnsi="宋体" w:cs="宋体" w:eastAsia="宋体" w:hint="default"/>
                <w:sz w:val="18"/>
                <w:szCs w:val="18"/>
              </w:rPr>
            </w:pPr>
            <w:r>
              <w:rPr>
                <w:rFonts w:ascii="宋体" w:hAnsi="宋体" w:cs="宋体" w:eastAsia="宋体" w:hint="default"/>
                <w:b/>
                <w:bCs/>
                <w:sz w:val="18"/>
                <w:szCs w:val="18"/>
              </w:rPr>
              <w:t>收益调整</w:t>
            </w:r>
            <w:r>
              <w:rPr>
                <w:rFonts w:ascii="宋体" w:hAnsi="宋体" w:cs="宋体" w:eastAsia="宋体" w:hint="default"/>
                <w:sz w:val="18"/>
                <w:szCs w:val="18"/>
              </w:rPr>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sz w:val="18"/>
                <w:szCs w:val="18"/>
              </w:rPr>
            </w:r>
          </w:p>
          <w:p>
            <w:pPr>
              <w:pStyle w:val="TableParagraph"/>
              <w:spacing w:line="240" w:lineRule="auto" w:before="124"/>
              <w:ind w:left="158" w:right="0"/>
              <w:jc w:val="left"/>
              <w:rPr>
                <w:rFonts w:ascii="宋体" w:hAnsi="宋体" w:cs="宋体" w:eastAsia="宋体" w:hint="default"/>
                <w:sz w:val="18"/>
                <w:szCs w:val="18"/>
              </w:rPr>
            </w:pPr>
            <w:r>
              <w:rPr>
                <w:rFonts w:ascii="宋体" w:hAnsi="宋体" w:cs="宋体" w:eastAsia="宋体" w:hint="default"/>
                <w:b/>
                <w:bCs/>
                <w:sz w:val="18"/>
                <w:szCs w:val="18"/>
              </w:rPr>
              <w:t>益变动</w:t>
            </w:r>
            <w:r>
              <w:rPr>
                <w:rFonts w:ascii="宋体" w:hAnsi="宋体" w:cs="宋体" w:eastAsia="宋体" w:hint="default"/>
                <w:sz w:val="18"/>
                <w:szCs w:val="18"/>
              </w:rPr>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宣告发放现金红</w:t>
            </w:r>
            <w:r>
              <w:rPr>
                <w:rFonts w:ascii="宋体" w:hAnsi="宋体" w:cs="宋体" w:eastAsia="宋体" w:hint="default"/>
                <w:sz w:val="18"/>
                <w:szCs w:val="18"/>
              </w:rPr>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b/>
                <w:bCs/>
                <w:sz w:val="18"/>
                <w:szCs w:val="18"/>
              </w:rPr>
              <w:t>利或利润</w:t>
            </w:r>
            <w:r>
              <w:rPr>
                <w:rFonts w:ascii="宋体" w:hAnsi="宋体" w:cs="宋体" w:eastAsia="宋体" w:hint="default"/>
                <w:sz w:val="18"/>
                <w:szCs w:val="18"/>
              </w:rPr>
            </w:r>
          </w:p>
        </w:tc>
      </w:tr>
      <w:tr>
        <w:trPr>
          <w:trHeight w:val="426" w:hRule="exact"/>
        </w:trPr>
        <w:tc>
          <w:tcPr>
            <w:tcW w:w="373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330" w:type="dxa"/>
            <w:tcBorders>
              <w:top w:val="single" w:sz="4" w:space="0" w:color="000000"/>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330"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96"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pacing w:val="-6"/>
                <w:sz w:val="18"/>
                <w:szCs w:val="18"/>
              </w:rPr>
              <w:t>北京创新黑马投资管理合伙企业（有限合伙）</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2"/>
              <w:jc w:val="right"/>
              <w:rPr>
                <w:rFonts w:ascii="宋体" w:hAnsi="宋体" w:cs="宋体" w:eastAsia="宋体" w:hint="default"/>
                <w:sz w:val="18"/>
                <w:szCs w:val="18"/>
              </w:rPr>
            </w:pPr>
            <w:r>
              <w:rPr>
                <w:rFonts w:ascii="宋体"/>
                <w:spacing w:val="-1"/>
                <w:sz w:val="18"/>
              </w:rPr>
              <w:t>-497,713.84</w:t>
            </w:r>
          </w:p>
        </w:tc>
        <w:tc>
          <w:tcPr>
            <w:tcW w:w="10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99"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宋体" w:hAnsi="宋体" w:cs="宋体" w:eastAsia="宋体" w:hint="default"/>
                <w:sz w:val="18"/>
                <w:szCs w:val="18"/>
              </w:rPr>
            </w:pPr>
            <w:r>
              <w:rPr>
                <w:rFonts w:ascii="宋体"/>
                <w:w w:val="101"/>
                <w:sz w:val="18"/>
              </w:rPr>
            </w:r>
            <w:r>
              <w:rPr>
                <w:rFonts w:ascii="宋体"/>
                <w:spacing w:val="-1"/>
                <w:sz w:val="18"/>
                <w:u w:val="single" w:color="000000"/>
              </w:rPr>
              <w:t>-497,713.84</w:t>
            </w:r>
            <w:r>
              <w:rPr>
                <w:rFonts w:ascii="宋体"/>
                <w:spacing w:val="-1"/>
                <w:sz w:val="18"/>
              </w:rPr>
            </w:r>
          </w:p>
        </w:tc>
        <w:tc>
          <w:tcPr>
            <w:tcW w:w="10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291"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宋体" w:hAnsi="宋体" w:cs="宋体" w:eastAsia="宋体" w:hint="default"/>
                <w:sz w:val="18"/>
                <w:szCs w:val="18"/>
              </w:rPr>
            </w:pPr>
            <w:r>
              <w:rPr>
                <w:rFonts w:ascii="宋体"/>
                <w:w w:val="101"/>
                <w:sz w:val="18"/>
              </w:rPr>
            </w:r>
            <w:r>
              <w:rPr>
                <w:rFonts w:ascii="宋体"/>
                <w:spacing w:val="-1"/>
                <w:sz w:val="18"/>
                <w:u w:val="thick" w:color="000000"/>
              </w:rPr>
              <w:t>-497,713.84</w:t>
            </w:r>
            <w:r>
              <w:rPr>
                <w:rFonts w:ascii="宋体"/>
                <w:spacing w:val="-1"/>
                <w:sz w:val="18"/>
              </w:rPr>
            </w:r>
          </w:p>
        </w:tc>
        <w:tc>
          <w:tcPr>
            <w:tcW w:w="10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6"/>
        <w:ind w:left="655" w:right="1115"/>
        <w:jc w:val="left"/>
      </w:pPr>
      <w:r>
        <w:rPr/>
        <w:t>接上表：</w:t>
      </w:r>
    </w:p>
    <w:p>
      <w:pPr>
        <w:spacing w:line="240" w:lineRule="auto" w:before="5"/>
        <w:rPr>
          <w:rFonts w:ascii="宋体" w:hAnsi="宋体" w:cs="宋体" w:eastAsia="宋体" w:hint="default"/>
          <w:sz w:val="25"/>
          <w:szCs w:val="25"/>
        </w:rPr>
      </w:pPr>
    </w:p>
    <w:tbl>
      <w:tblPr>
        <w:tblW w:w="0" w:type="auto"/>
        <w:jc w:val="left"/>
        <w:tblInd w:w="655" w:type="dxa"/>
        <w:tblLayout w:type="fixed"/>
        <w:tblCellMar>
          <w:top w:w="0" w:type="dxa"/>
          <w:left w:w="0" w:type="dxa"/>
          <w:bottom w:w="0" w:type="dxa"/>
          <w:right w:w="0" w:type="dxa"/>
        </w:tblCellMar>
        <w:tblLook w:val="01E0"/>
      </w:tblPr>
      <w:tblGrid>
        <w:gridCol w:w="5647"/>
        <w:gridCol w:w="2024"/>
        <w:gridCol w:w="1126"/>
      </w:tblGrid>
      <w:tr>
        <w:trPr>
          <w:trHeight w:val="202"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182" w:lineRule="exact"/>
              <w:ind w:right="94"/>
              <w:jc w:val="right"/>
              <w:rPr>
                <w:rFonts w:ascii="宋体" w:hAnsi="宋体" w:cs="宋体" w:eastAsia="宋体" w:hint="default"/>
                <w:sz w:val="18"/>
                <w:szCs w:val="18"/>
              </w:rPr>
            </w:pPr>
            <w:r>
              <w:rPr>
                <w:rFonts w:ascii="宋体" w:hAnsi="宋体" w:cs="宋体" w:eastAsia="宋体" w:hint="default"/>
                <w:b/>
                <w:bCs/>
                <w:spacing w:val="-1"/>
                <w:sz w:val="18"/>
                <w:szCs w:val="18"/>
              </w:rPr>
              <w:t>本期增减变动</w:t>
            </w:r>
            <w:r>
              <w:rPr>
                <w:rFonts w:ascii="宋体" w:hAnsi="宋体" w:cs="宋体" w:eastAsia="宋体" w:hint="default"/>
                <w:spacing w:val="-1"/>
                <w:sz w:val="18"/>
                <w:szCs w:val="18"/>
              </w:rPr>
            </w:r>
          </w:p>
        </w:tc>
        <w:tc>
          <w:tcPr>
            <w:tcW w:w="2024" w:type="dxa"/>
            <w:tcBorders>
              <w:top w:val="nil" w:sz="6" w:space="0" w:color="auto"/>
              <w:left w:val="nil" w:sz="6" w:space="0" w:color="auto"/>
              <w:bottom w:val="nil" w:sz="6" w:space="0" w:color="auto"/>
              <w:right w:val="nil" w:sz="6" w:space="0" w:color="auto"/>
            </w:tcBorders>
          </w:tcPr>
          <w:p>
            <w:pPr/>
          </w:p>
        </w:tc>
        <w:tc>
          <w:tcPr>
            <w:tcW w:w="1126" w:type="dxa"/>
            <w:vMerge w:val="restart"/>
            <w:tcBorders>
              <w:top w:val="nil" w:sz="6" w:space="0" w:color="auto"/>
              <w:left w:val="nil" w:sz="6" w:space="0" w:color="auto"/>
              <w:right w:val="nil" w:sz="6" w:space="0" w:color="auto"/>
            </w:tcBorders>
          </w:tcPr>
          <w:p>
            <w:pPr>
              <w:pStyle w:val="TableParagraph"/>
              <w:spacing w:line="221"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p>
            <w:pPr>
              <w:pStyle w:val="TableParagraph"/>
              <w:spacing w:line="240" w:lineRule="auto" w:before="124"/>
              <w:ind w:left="24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0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02" w:lineRule="exact"/>
              <w:ind w:left="1190"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2024" w:type="dxa"/>
            <w:tcBorders>
              <w:top w:val="nil" w:sz="6" w:space="0" w:color="auto"/>
              <w:left w:val="nil" w:sz="6" w:space="0" w:color="auto"/>
              <w:bottom w:val="nil" w:sz="6" w:space="0" w:color="auto"/>
              <w:right w:val="nil" w:sz="6" w:space="0" w:color="auto"/>
            </w:tcBorders>
          </w:tcPr>
          <w:p>
            <w:pPr>
              <w:pStyle w:val="TableParagraph"/>
              <w:spacing w:line="202" w:lineRule="exact"/>
              <w:ind w:left="104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126" w:type="dxa"/>
            <w:vMerge/>
            <w:tcBorders>
              <w:left w:val="nil" w:sz="6" w:space="0" w:color="auto"/>
              <w:right w:val="nil" w:sz="6" w:space="0" w:color="auto"/>
            </w:tcBorders>
          </w:tcPr>
          <w:p>
            <w:pPr/>
          </w:p>
        </w:tc>
      </w:tr>
      <w:tr>
        <w:trPr>
          <w:trHeight w:val="270" w:hRule="exact"/>
        </w:trPr>
        <w:tc>
          <w:tcPr>
            <w:tcW w:w="5647" w:type="dxa"/>
            <w:tcBorders>
              <w:top w:val="nil" w:sz="6" w:space="0" w:color="auto"/>
              <w:left w:val="nil" w:sz="6" w:space="0" w:color="auto"/>
              <w:bottom w:val="single" w:sz="4" w:space="0" w:color="000000"/>
              <w:right w:val="nil" w:sz="6" w:space="0" w:color="auto"/>
            </w:tcBorders>
          </w:tcPr>
          <w:p>
            <w:pPr>
              <w:pStyle w:val="TableParagraph"/>
              <w:spacing w:line="180" w:lineRule="exact"/>
              <w:ind w:right="339"/>
              <w:jc w:val="right"/>
              <w:rPr>
                <w:rFonts w:ascii="宋体" w:hAnsi="宋体" w:cs="宋体" w:eastAsia="宋体" w:hint="default"/>
                <w:sz w:val="18"/>
                <w:szCs w:val="18"/>
              </w:rPr>
            </w:pPr>
            <w:r>
              <w:rPr>
                <w:rFonts w:ascii="宋体" w:hAnsi="宋体" w:cs="宋体" w:eastAsia="宋体" w:hint="default"/>
                <w:b/>
                <w:bCs/>
                <w:spacing w:val="-2"/>
                <w:sz w:val="18"/>
                <w:szCs w:val="18"/>
              </w:rPr>
              <w:t>本期计提减值准备</w:t>
            </w:r>
            <w:r>
              <w:rPr>
                <w:rFonts w:ascii="宋体" w:hAnsi="宋体" w:cs="宋体" w:eastAsia="宋体" w:hint="default"/>
                <w:spacing w:val="-2"/>
                <w:sz w:val="18"/>
                <w:szCs w:val="18"/>
              </w:rPr>
            </w:r>
          </w:p>
        </w:tc>
        <w:tc>
          <w:tcPr>
            <w:tcW w:w="2024" w:type="dxa"/>
            <w:tcBorders>
              <w:top w:val="nil" w:sz="6" w:space="0" w:color="auto"/>
              <w:left w:val="nil" w:sz="6" w:space="0" w:color="auto"/>
              <w:bottom w:val="single" w:sz="4" w:space="0" w:color="000000"/>
              <w:right w:val="nil" w:sz="6" w:space="0" w:color="auto"/>
            </w:tcBorders>
          </w:tcPr>
          <w:p>
            <w:pPr>
              <w:pStyle w:val="TableParagraph"/>
              <w:spacing w:line="180" w:lineRule="exact"/>
              <w:ind w:left="96"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26" w:type="dxa"/>
            <w:vMerge/>
            <w:tcBorders>
              <w:left w:val="nil" w:sz="6" w:space="0" w:color="auto"/>
              <w:bottom w:val="single" w:sz="4" w:space="0" w:color="000000"/>
              <w:right w:val="nil" w:sz="6" w:space="0" w:color="auto"/>
            </w:tcBorders>
          </w:tcPr>
          <w:p>
            <w:pPr/>
          </w:p>
        </w:tc>
      </w:tr>
      <w:tr>
        <w:trPr>
          <w:trHeight w:val="426" w:hRule="exact"/>
        </w:trPr>
        <w:tc>
          <w:tcPr>
            <w:tcW w:w="56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2024" w:type="dxa"/>
            <w:tcBorders>
              <w:top w:val="single" w:sz="4" w:space="0" w:color="000000"/>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2024"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r>
      <w:tr>
        <w:trPr>
          <w:trHeight w:val="406"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创</w:t>
            </w:r>
            <w:r>
              <w:rPr>
                <w:rFonts w:ascii="宋体" w:hAnsi="宋体" w:cs="宋体" w:eastAsia="宋体" w:hint="default"/>
                <w:spacing w:val="-5"/>
                <w:w w:val="101"/>
                <w:sz w:val="18"/>
                <w:szCs w:val="18"/>
              </w:rPr>
              <w:t>新</w:t>
            </w:r>
            <w:r>
              <w:rPr>
                <w:rFonts w:ascii="宋体" w:hAnsi="宋体" w:cs="宋体" w:eastAsia="宋体" w:hint="default"/>
                <w:w w:val="101"/>
                <w:sz w:val="18"/>
                <w:szCs w:val="18"/>
              </w:rPr>
              <w:t>黑</w:t>
            </w:r>
            <w:r>
              <w:rPr>
                <w:rFonts w:ascii="宋体" w:hAnsi="宋体" w:cs="宋体" w:eastAsia="宋体" w:hint="default"/>
                <w:spacing w:val="-5"/>
                <w:w w:val="101"/>
                <w:sz w:val="18"/>
                <w:szCs w:val="18"/>
              </w:rPr>
              <w:t>马</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合</w:t>
            </w:r>
            <w:r>
              <w:rPr>
                <w:rFonts w:ascii="宋体" w:hAnsi="宋体" w:cs="宋体" w:eastAsia="宋体" w:hint="default"/>
                <w:spacing w:val="-5"/>
                <w:w w:val="101"/>
                <w:sz w:val="18"/>
                <w:szCs w:val="18"/>
              </w:rPr>
              <w:t>伙</w:t>
            </w:r>
            <w:r>
              <w:rPr>
                <w:rFonts w:ascii="宋体" w:hAnsi="宋体" w:cs="宋体" w:eastAsia="宋体" w:hint="default"/>
                <w:w w:val="101"/>
                <w:sz w:val="18"/>
                <w:szCs w:val="18"/>
              </w:rPr>
              <w:t>企</w:t>
            </w:r>
            <w:r>
              <w:rPr>
                <w:rFonts w:ascii="宋体" w:hAnsi="宋体" w:cs="宋体" w:eastAsia="宋体" w:hint="default"/>
                <w:spacing w:val="-77"/>
                <w:w w:val="101"/>
                <w:sz w:val="18"/>
                <w:szCs w:val="18"/>
              </w:rPr>
              <w:t>业</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z w:val="18"/>
                <w:szCs w:val="18"/>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
              <w:jc w:val="right"/>
              <w:rPr>
                <w:rFonts w:ascii="宋体" w:hAnsi="宋体" w:cs="宋体" w:eastAsia="宋体" w:hint="default"/>
                <w:sz w:val="18"/>
                <w:szCs w:val="18"/>
              </w:rPr>
            </w:pPr>
            <w:r>
              <w:rPr>
                <w:rFonts w:ascii="宋体"/>
                <w:spacing w:val="-1"/>
                <w:sz w:val="18"/>
              </w:rPr>
              <w:t>25,502,286.16</w:t>
            </w:r>
          </w:p>
        </w:tc>
        <w:tc>
          <w:tcPr>
            <w:tcW w:w="1126" w:type="dxa"/>
            <w:tcBorders>
              <w:top w:val="nil" w:sz="6" w:space="0" w:color="auto"/>
              <w:left w:val="nil" w:sz="6" w:space="0" w:color="auto"/>
              <w:bottom w:val="nil" w:sz="6" w:space="0" w:color="auto"/>
              <w:right w:val="nil" w:sz="6" w:space="0" w:color="auto"/>
            </w:tcBorders>
          </w:tcPr>
          <w:p>
            <w:pPr/>
          </w:p>
        </w:tc>
      </w:tr>
      <w:tr>
        <w:trPr>
          <w:trHeight w:val="399"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42"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
              <w:jc w:val="right"/>
              <w:rPr>
                <w:rFonts w:ascii="宋体" w:hAnsi="宋体" w:cs="宋体" w:eastAsia="宋体" w:hint="default"/>
                <w:sz w:val="18"/>
                <w:szCs w:val="18"/>
              </w:rPr>
            </w:pPr>
            <w:r>
              <w:rPr>
                <w:rFonts w:ascii="宋体"/>
                <w:w w:val="101"/>
                <w:sz w:val="18"/>
              </w:rPr>
            </w:r>
            <w:r>
              <w:rPr>
                <w:rFonts w:ascii="宋体"/>
                <w:spacing w:val="-1"/>
                <w:sz w:val="18"/>
                <w:u w:val="single" w:color="000000"/>
              </w:rPr>
              <w:t>25,502,286.16</w:t>
            </w:r>
            <w:r>
              <w:rPr>
                <w:rFonts w:ascii="宋体"/>
                <w:spacing w:val="-1"/>
                <w:sz w:val="18"/>
              </w:rPr>
            </w:r>
          </w:p>
        </w:tc>
        <w:tc>
          <w:tcPr>
            <w:tcW w:w="1126" w:type="dxa"/>
            <w:tcBorders>
              <w:top w:val="nil" w:sz="6" w:space="0" w:color="auto"/>
              <w:left w:val="nil" w:sz="6" w:space="0" w:color="auto"/>
              <w:bottom w:val="nil" w:sz="6" w:space="0" w:color="auto"/>
              <w:right w:val="nil" w:sz="6" w:space="0" w:color="auto"/>
            </w:tcBorders>
          </w:tcPr>
          <w:p>
            <w:pPr/>
          </w:p>
        </w:tc>
      </w:tr>
      <w:tr>
        <w:trPr>
          <w:trHeight w:val="30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642"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
              <w:jc w:val="right"/>
              <w:rPr>
                <w:rFonts w:ascii="宋体" w:hAnsi="宋体" w:cs="宋体" w:eastAsia="宋体" w:hint="default"/>
                <w:sz w:val="18"/>
                <w:szCs w:val="18"/>
              </w:rPr>
            </w:pPr>
            <w:r>
              <w:rPr>
                <w:rFonts w:ascii="宋体"/>
                <w:w w:val="101"/>
                <w:sz w:val="18"/>
              </w:rPr>
            </w:r>
            <w:r>
              <w:rPr>
                <w:rFonts w:ascii="宋体"/>
                <w:spacing w:val="-1"/>
                <w:sz w:val="18"/>
                <w:u w:val="thick" w:color="000000"/>
              </w:rPr>
              <w:t>25,502,286.16</w:t>
            </w:r>
            <w:r>
              <w:rPr>
                <w:rFonts w:ascii="宋体"/>
                <w:spacing w:val="-1"/>
                <w:sz w:val="18"/>
              </w:rPr>
            </w:r>
          </w:p>
        </w:tc>
        <w:tc>
          <w:tcPr>
            <w:tcW w:w="112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pStyle w:val="BodyText"/>
        <w:spacing w:line="453" w:lineRule="auto" w:before="36"/>
        <w:ind w:left="655" w:right="5980"/>
        <w:jc w:val="left"/>
      </w:pPr>
      <w:bookmarkStart w:name="（四）营业收入、营业成本" w:id="279"/>
      <w:bookmarkEnd w:id="279"/>
      <w:r>
        <w:rPr/>
      </w:r>
      <w:r>
        <w:rPr>
          <w:spacing w:val="-1"/>
        </w:rPr>
        <w:t>（四）营业收入、营业成本</w:t>
      </w:r>
      <w:r>
        <w:rPr>
          <w:spacing w:val="-89"/>
        </w:rPr>
        <w:t> </w:t>
      </w:r>
      <w:r>
        <w:rPr>
          <w:spacing w:val="-89"/>
        </w:rPr>
      </w:r>
      <w:r>
        <w:rPr>
          <w:rFonts w:ascii="宋体" w:hAnsi="宋体" w:cs="宋体" w:eastAsia="宋体" w:hint="default"/>
          <w:spacing w:val="-1"/>
        </w:rPr>
        <w:t>1.</w:t>
      </w:r>
      <w:r>
        <w:rPr>
          <w:spacing w:val="-1"/>
        </w:rPr>
        <w:t>营业收入和营业成本情况</w:t>
      </w:r>
    </w:p>
    <w:p>
      <w:pPr>
        <w:tabs>
          <w:tab w:pos="5409" w:val="left" w:leader="none"/>
        </w:tabs>
        <w:spacing w:line="216" w:lineRule="exact" w:before="111"/>
        <w:ind w:left="1615" w:right="0" w:firstLine="0"/>
        <w:jc w:val="center"/>
        <w:rPr>
          <w:rFonts w:ascii="宋体" w:hAnsi="宋体" w:cs="宋体" w:eastAsia="宋体" w:hint="default"/>
          <w:sz w:val="18"/>
          <w:szCs w:val="18"/>
        </w:rPr>
      </w:pPr>
      <w:r>
        <w:rPr>
          <w:rFonts w:ascii="宋体" w:hAnsi="宋体" w:cs="宋体" w:eastAsia="宋体" w:hint="default"/>
          <w:b/>
          <w:bCs/>
          <w:spacing w:val="-1"/>
          <w:sz w:val="18"/>
          <w:szCs w:val="18"/>
        </w:rPr>
        <w:t>本期发生额</w:t>
        <w:tab/>
        <w:t>上期发生额</w:t>
      </w:r>
      <w:r>
        <w:rPr>
          <w:rFonts w:ascii="宋体" w:hAnsi="宋体" w:cs="宋体" w:eastAsia="宋体" w:hint="default"/>
          <w:spacing w:val="-1"/>
          <w:sz w:val="18"/>
          <w:szCs w:val="18"/>
        </w:rPr>
      </w:r>
    </w:p>
    <w:p>
      <w:pPr>
        <w:spacing w:line="199" w:lineRule="exact" w:before="0"/>
        <w:ind w:left="1083" w:right="1115"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3709" w:val="left" w:leader="none"/>
          <w:tab w:pos="5639" w:val="left" w:leader="none"/>
          <w:tab w:pos="7421" w:val="left" w:leader="none"/>
        </w:tabs>
        <w:spacing w:line="219" w:lineRule="exact" w:before="0"/>
        <w:ind w:left="1697" w:right="0" w:firstLine="0"/>
        <w:jc w:val="center"/>
        <w:rPr>
          <w:rFonts w:ascii="宋体" w:hAnsi="宋体" w:cs="宋体" w:eastAsia="宋体" w:hint="default"/>
          <w:sz w:val="18"/>
          <w:szCs w:val="18"/>
        </w:rPr>
      </w:pPr>
      <w:r>
        <w:rPr>
          <w:rFonts w:ascii="宋体" w:hAnsi="宋体" w:cs="宋体" w:eastAsia="宋体" w:hint="default"/>
          <w:b/>
          <w:bCs/>
          <w:sz w:val="18"/>
          <w:szCs w:val="18"/>
        </w:rPr>
        <w:t>收入</w:t>
        <w:tab/>
        <w:t>成本</w:t>
        <w:tab/>
        <w:t>收入</w:t>
        <w:tab/>
        <w:t>成本</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93.4pt;height:.5pt;mso-position-horizontal-relative:char;mso-position-vertical-relative:line" coordorigin="0,0" coordsize="9868,10">
            <v:group style="position:absolute;left:5;top:5;width:2286;height:2" coordorigin="5,5" coordsize="2286,2">
              <v:shape style="position:absolute;left:5;top:5;width:2286;height:2" coordorigin="5,5" coordsize="2286,0" path="m5,5l2291,5e" filled="false" stroked="true" strokeweight=".47998pt" strokecolor="#000000">
                <v:path arrowok="t"/>
              </v:shape>
            </v:group>
            <v:group style="position:absolute;left:2291;top:5;width:10;height:2" coordorigin="2291,5" coordsize="10,2">
              <v:shape style="position:absolute;left:2291;top:5;width:10;height:2" coordorigin="2291,5" coordsize="10,0" path="m2291,5l2300,5e" filled="false" stroked="true" strokeweight=".47998pt" strokecolor="#000000">
                <v:path arrowok="t"/>
              </v:shape>
            </v:group>
            <v:group style="position:absolute;left:2300;top:5;width:2151;height:2" coordorigin="2300,5" coordsize="2151,2">
              <v:shape style="position:absolute;left:2300;top:5;width:2151;height:2" coordorigin="2300,5" coordsize="2151,0" path="m2300,5l4451,5e" filled="false" stroked="true" strokeweight=".47998pt" strokecolor="#000000">
                <v:path arrowok="t"/>
              </v:shape>
            </v:group>
            <v:group style="position:absolute;left:4451;top:5;width:10;height:2" coordorigin="4451,5" coordsize="10,2">
              <v:shape style="position:absolute;left:4451;top:5;width:10;height:2" coordorigin="4451,5" coordsize="10,0" path="m4451,5l4461,5e" filled="false" stroked="true" strokeweight=".47998pt" strokecolor="#000000">
                <v:path arrowok="t"/>
              </v:shape>
            </v:group>
            <v:group style="position:absolute;left:4461;top:5;width:1845;height:2" coordorigin="4461,5" coordsize="1845,2">
              <v:shape style="position:absolute;left:4461;top:5;width:1845;height:2" coordorigin="4461,5" coordsize="1845,0" path="m4461,5l6305,5e" filled="false" stroked="true" strokeweight=".47998pt" strokecolor="#000000">
                <v:path arrowok="t"/>
              </v:shape>
            </v:group>
            <v:group style="position:absolute;left:6305;top:5;width:10;height:2" coordorigin="6305,5" coordsize="10,2">
              <v:shape style="position:absolute;left:6305;top:5;width:10;height:2" coordorigin="6305,5" coordsize="10,0" path="m6305,5l6314,5e" filled="false" stroked="true" strokeweight=".47998pt" strokecolor="#000000">
                <v:path arrowok="t"/>
              </v:shape>
            </v:group>
            <v:group style="position:absolute;left:6314;top:5;width:1998;height:2" coordorigin="6314,5" coordsize="1998,2">
              <v:shape style="position:absolute;left:6314;top:5;width:1998;height:2" coordorigin="6314,5" coordsize="1998,0" path="m6314,5l8312,5e" filled="false" stroked="true" strokeweight=".47998pt" strokecolor="#000000">
                <v:path arrowok="t"/>
              </v:shape>
            </v:group>
            <v:group style="position:absolute;left:8312;top:5;width:10;height:2" coordorigin="8312,5" coordsize="10,2">
              <v:shape style="position:absolute;left:8312;top:5;width:10;height:2" coordorigin="8312,5" coordsize="10,0" path="m8312,5l8321,5e" filled="false" stroked="true" strokeweight=".47998pt" strokecolor="#000000">
                <v:path arrowok="t"/>
              </v:shape>
            </v:group>
            <v:group style="position:absolute;left:8321;top:5;width:1542;height:2" coordorigin="8321,5" coordsize="1542,2">
              <v:shape style="position:absolute;left:8321;top:5;width:1542;height:2" coordorigin="8321,5" coordsize="1542,0" path="m8321,5l9863,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
          <w:szCs w:val="2"/>
        </w:rPr>
      </w:pPr>
    </w:p>
    <w:tbl>
      <w:tblPr>
        <w:tblW w:w="0" w:type="auto"/>
        <w:jc w:val="left"/>
        <w:tblInd w:w="870" w:type="dxa"/>
        <w:tblLayout w:type="fixed"/>
        <w:tblCellMar>
          <w:top w:w="0" w:type="dxa"/>
          <w:left w:w="0" w:type="dxa"/>
          <w:bottom w:w="0" w:type="dxa"/>
          <w:right w:w="0" w:type="dxa"/>
        </w:tblCellMar>
        <w:tblLook w:val="01E0"/>
      </w:tblPr>
      <w:tblGrid>
        <w:gridCol w:w="2330"/>
        <w:gridCol w:w="1263"/>
        <w:gridCol w:w="682"/>
        <w:gridCol w:w="1176"/>
        <w:gridCol w:w="744"/>
        <w:gridCol w:w="1263"/>
        <w:gridCol w:w="380"/>
        <w:gridCol w:w="1211"/>
      </w:tblGrid>
      <w:tr>
        <w:trPr>
          <w:trHeight w:val="395"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3"/>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2"/>
                <w:sz w:val="18"/>
              </w:rPr>
              <w:t>153,175,211.49</w:t>
            </w:r>
          </w:p>
        </w:tc>
        <w:tc>
          <w:tcPr>
            <w:tcW w:w="68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1"/>
                <w:sz w:val="18"/>
              </w:rPr>
              <w:t>70,275,129.66</w:t>
            </w:r>
          </w:p>
        </w:tc>
        <w:tc>
          <w:tcPr>
            <w:tcW w:w="74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pacing w:val="-2"/>
                <w:sz w:val="18"/>
              </w:rPr>
              <w:t>137,961,697.75</w:t>
            </w:r>
          </w:p>
        </w:tc>
        <w:tc>
          <w:tcPr>
            <w:tcW w:w="38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pacing w:val="-1"/>
                <w:sz w:val="18"/>
              </w:rPr>
              <w:t>73,886,521.08</w:t>
            </w:r>
          </w:p>
        </w:tc>
      </w:tr>
      <w:tr>
        <w:trPr>
          <w:trHeight w:val="399"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33"/>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6,206,738.14</w:t>
            </w:r>
          </w:p>
        </w:tc>
        <w:tc>
          <w:tcPr>
            <w:tcW w:w="68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78,930.00</w:t>
            </w:r>
          </w:p>
        </w:tc>
        <w:tc>
          <w:tcPr>
            <w:tcW w:w="74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8,149,999.21</w:t>
            </w:r>
          </w:p>
        </w:tc>
        <w:tc>
          <w:tcPr>
            <w:tcW w:w="38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18"/>
                <w:szCs w:val="18"/>
              </w:rPr>
            </w:pPr>
            <w:r>
              <w:rPr>
                <w:rFonts w:ascii="宋体"/>
                <w:spacing w:val="-1"/>
                <w:sz w:val="18"/>
              </w:rPr>
              <w:t>2,844,570.95</w:t>
            </w:r>
          </w:p>
        </w:tc>
      </w:tr>
      <w:tr>
        <w:trPr>
          <w:trHeight w:val="308" w:hRule="exact"/>
        </w:trPr>
        <w:tc>
          <w:tcPr>
            <w:tcW w:w="233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537"/>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263" w:type="dxa"/>
            <w:tcBorders>
              <w:top w:val="nil" w:sz="6" w:space="0" w:color="auto"/>
              <w:left w:val="nil" w:sz="6" w:space="0" w:color="auto"/>
              <w:bottom w:val="single" w:sz="13"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2"/>
                <w:sz w:val="18"/>
              </w:rPr>
              <w:t>159,381,949.63</w:t>
            </w:r>
          </w:p>
        </w:tc>
        <w:tc>
          <w:tcPr>
            <w:tcW w:w="682"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13"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1"/>
                <w:sz w:val="18"/>
              </w:rPr>
              <w:t>70,354,059.66</w:t>
            </w:r>
          </w:p>
        </w:tc>
        <w:tc>
          <w:tcPr>
            <w:tcW w:w="744"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13" w:space="0" w:color="000000"/>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pacing w:val="-2"/>
                <w:sz w:val="18"/>
              </w:rPr>
              <w:t>146,111,696.96</w:t>
            </w:r>
          </w:p>
        </w:tc>
        <w:tc>
          <w:tcPr>
            <w:tcW w:w="380"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33"/>
              <w:jc w:val="right"/>
              <w:rPr>
                <w:rFonts w:ascii="宋体" w:hAnsi="宋体" w:cs="宋体" w:eastAsia="宋体" w:hint="default"/>
                <w:sz w:val="18"/>
                <w:szCs w:val="18"/>
              </w:rPr>
            </w:pPr>
            <w:r>
              <w:rPr>
                <w:rFonts w:ascii="宋体"/>
                <w:w w:val="101"/>
                <w:sz w:val="18"/>
              </w:rPr>
            </w:r>
            <w:r>
              <w:rPr>
                <w:rFonts w:ascii="宋体"/>
                <w:spacing w:val="-1"/>
                <w:sz w:val="18"/>
                <w:u w:val="single" w:color="000000"/>
              </w:rPr>
              <w:t>76,731,092.03</w:t>
            </w:r>
            <w:r>
              <w:rPr>
                <w:rFonts w:ascii="宋体"/>
                <w:spacing w:val="-1"/>
                <w:sz w:val="18"/>
              </w:rPr>
            </w:r>
          </w:p>
        </w:tc>
      </w:tr>
    </w:tbl>
    <w:p>
      <w:pPr>
        <w:spacing w:line="240" w:lineRule="auto" w:before="13"/>
        <w:rPr>
          <w:rFonts w:ascii="宋体" w:hAnsi="宋体" w:cs="宋体" w:eastAsia="宋体" w:hint="default"/>
          <w:b/>
          <w:bCs/>
          <w:sz w:val="16"/>
          <w:szCs w:val="16"/>
        </w:rPr>
      </w:pPr>
    </w:p>
    <w:p>
      <w:pPr>
        <w:pStyle w:val="BodyText"/>
        <w:spacing w:line="240" w:lineRule="auto" w:before="36"/>
        <w:ind w:left="655" w:right="1115"/>
        <w:jc w:val="left"/>
      </w:pPr>
      <w:bookmarkStart w:name="（五）投资收益" w:id="280"/>
      <w:bookmarkEnd w:id="280"/>
      <w:r>
        <w:rPr/>
      </w:r>
      <w:r>
        <w:rPr/>
        <w:t>（五）投资收益</w:t>
      </w:r>
    </w:p>
    <w:p>
      <w:pPr>
        <w:spacing w:line="240" w:lineRule="auto" w:before="10"/>
        <w:rPr>
          <w:rFonts w:ascii="宋体" w:hAnsi="宋体" w:cs="宋体" w:eastAsia="宋体" w:hint="default"/>
          <w:sz w:val="25"/>
          <w:szCs w:val="25"/>
        </w:rPr>
      </w:pPr>
    </w:p>
    <w:tbl>
      <w:tblPr>
        <w:tblW w:w="0" w:type="auto"/>
        <w:jc w:val="left"/>
        <w:tblInd w:w="233" w:type="dxa"/>
        <w:tblLayout w:type="fixed"/>
        <w:tblCellMar>
          <w:top w:w="0" w:type="dxa"/>
          <w:left w:w="0" w:type="dxa"/>
          <w:bottom w:w="0" w:type="dxa"/>
          <w:right w:w="0" w:type="dxa"/>
        </w:tblCellMar>
        <w:tblLook w:val="01E0"/>
      </w:tblPr>
      <w:tblGrid>
        <w:gridCol w:w="4259"/>
        <w:gridCol w:w="3316"/>
        <w:gridCol w:w="2072"/>
      </w:tblGrid>
      <w:tr>
        <w:trPr>
          <w:trHeight w:val="272" w:hRule="exact"/>
        </w:trPr>
        <w:tc>
          <w:tcPr>
            <w:tcW w:w="4259" w:type="dxa"/>
            <w:tcBorders>
              <w:top w:val="nil" w:sz="6" w:space="0" w:color="auto"/>
              <w:left w:val="nil" w:sz="6" w:space="0" w:color="auto"/>
              <w:bottom w:val="single" w:sz="4" w:space="0" w:color="000000"/>
              <w:right w:val="nil" w:sz="6" w:space="0" w:color="auto"/>
            </w:tcBorders>
          </w:tcPr>
          <w:p>
            <w:pPr>
              <w:pStyle w:val="TableParagraph"/>
              <w:spacing w:line="182" w:lineRule="exact"/>
              <w:ind w:left="1464"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316" w:type="dxa"/>
            <w:tcBorders>
              <w:top w:val="nil" w:sz="6" w:space="0" w:color="auto"/>
              <w:left w:val="nil" w:sz="6" w:space="0" w:color="auto"/>
              <w:bottom w:val="single" w:sz="4" w:space="0" w:color="000000"/>
              <w:right w:val="nil" w:sz="6" w:space="0" w:color="auto"/>
            </w:tcBorders>
          </w:tcPr>
          <w:p>
            <w:pPr>
              <w:pStyle w:val="TableParagraph"/>
              <w:spacing w:line="182" w:lineRule="exact"/>
              <w:ind w:right="82"/>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72" w:type="dxa"/>
            <w:tcBorders>
              <w:top w:val="nil" w:sz="6" w:space="0" w:color="auto"/>
              <w:left w:val="nil" w:sz="6" w:space="0" w:color="auto"/>
              <w:bottom w:val="single" w:sz="4" w:space="0" w:color="000000"/>
              <w:right w:val="nil" w:sz="6" w:space="0" w:color="auto"/>
            </w:tcBorders>
          </w:tcPr>
          <w:p>
            <w:pPr>
              <w:pStyle w:val="TableParagraph"/>
              <w:spacing w:line="182"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4" w:hRule="exact"/>
        </w:trPr>
        <w:tc>
          <w:tcPr>
            <w:tcW w:w="425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31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84"/>
              <w:jc w:val="right"/>
              <w:rPr>
                <w:rFonts w:ascii="宋体" w:hAnsi="宋体" w:cs="宋体" w:eastAsia="宋体" w:hint="default"/>
                <w:sz w:val="18"/>
                <w:szCs w:val="18"/>
              </w:rPr>
            </w:pPr>
            <w:r>
              <w:rPr>
                <w:rFonts w:ascii="宋体"/>
                <w:spacing w:val="-1"/>
                <w:sz w:val="18"/>
              </w:rPr>
              <w:t>-497,713.84</w:t>
            </w:r>
          </w:p>
        </w:tc>
        <w:tc>
          <w:tcPr>
            <w:tcW w:w="2072" w:type="dxa"/>
            <w:tcBorders>
              <w:top w:val="single" w:sz="4" w:space="0" w:color="000000"/>
              <w:left w:val="nil" w:sz="6" w:space="0" w:color="auto"/>
              <w:bottom w:val="nil" w:sz="6" w:space="0" w:color="auto"/>
              <w:right w:val="nil" w:sz="6" w:space="0" w:color="auto"/>
            </w:tcBorders>
          </w:tcPr>
          <w:p>
            <w:pPr/>
          </w:p>
        </w:tc>
      </w:tr>
      <w:tr>
        <w:trPr>
          <w:trHeight w:val="396"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4"/>
              <w:jc w:val="right"/>
              <w:rPr>
                <w:rFonts w:ascii="宋体" w:hAnsi="宋体" w:cs="宋体" w:eastAsia="宋体" w:hint="default"/>
                <w:sz w:val="18"/>
                <w:szCs w:val="18"/>
              </w:rPr>
            </w:pPr>
            <w:r>
              <w:rPr>
                <w:rFonts w:ascii="宋体"/>
                <w:spacing w:val="-1"/>
                <w:sz w:val="18"/>
              </w:rPr>
              <w:t>-871,334.63</w:t>
            </w:r>
          </w:p>
        </w:tc>
        <w:tc>
          <w:tcPr>
            <w:tcW w:w="2072" w:type="dxa"/>
            <w:tcBorders>
              <w:top w:val="nil" w:sz="6" w:space="0" w:color="auto"/>
              <w:left w:val="nil" w:sz="6" w:space="0" w:color="auto"/>
              <w:bottom w:val="nil" w:sz="6" w:space="0" w:color="auto"/>
              <w:right w:val="nil" w:sz="6" w:space="0" w:color="auto"/>
            </w:tcBorders>
          </w:tcPr>
          <w:p>
            <w:pPr/>
          </w:p>
        </w:tc>
      </w:tr>
      <w:tr>
        <w:trPr>
          <w:trHeight w:val="398"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pacing w:val="-3"/>
                <w:sz w:val="18"/>
                <w:szCs w:val="18"/>
              </w:rPr>
              <w:t>债务重组产生的投资收益</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4"/>
              <w:jc w:val="right"/>
              <w:rPr>
                <w:rFonts w:ascii="宋体" w:hAnsi="宋体" w:cs="宋体" w:eastAsia="宋体" w:hint="default"/>
                <w:sz w:val="18"/>
                <w:szCs w:val="18"/>
              </w:rPr>
            </w:pPr>
            <w:r>
              <w:rPr>
                <w:rFonts w:ascii="宋体"/>
                <w:spacing w:val="-1"/>
                <w:sz w:val="18"/>
              </w:rPr>
              <w:t>-2,420,810.26</w:t>
            </w:r>
          </w:p>
        </w:tc>
        <w:tc>
          <w:tcPr>
            <w:tcW w:w="2072" w:type="dxa"/>
            <w:tcBorders>
              <w:top w:val="nil" w:sz="6" w:space="0" w:color="auto"/>
              <w:left w:val="nil" w:sz="6" w:space="0" w:color="auto"/>
              <w:bottom w:val="nil" w:sz="6" w:space="0" w:color="auto"/>
              <w:right w:val="nil" w:sz="6" w:space="0" w:color="auto"/>
            </w:tcBorders>
          </w:tcPr>
          <w:p>
            <w:pPr/>
          </w:p>
        </w:tc>
      </w:tr>
      <w:tr>
        <w:trPr>
          <w:trHeight w:val="396"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4"/>
              <w:jc w:val="right"/>
              <w:rPr>
                <w:rFonts w:ascii="宋体" w:hAnsi="宋体" w:cs="宋体" w:eastAsia="宋体" w:hint="default"/>
                <w:sz w:val="18"/>
                <w:szCs w:val="18"/>
              </w:rPr>
            </w:pPr>
            <w:r>
              <w:rPr>
                <w:rFonts w:ascii="宋体"/>
                <w:spacing w:val="-1"/>
                <w:sz w:val="18"/>
              </w:rPr>
              <w:t>3,008,398.98</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pacing w:val="-1"/>
                <w:sz w:val="18"/>
              </w:rPr>
              <w:t>7,923,150.39</w:t>
            </w:r>
          </w:p>
        </w:tc>
      </w:tr>
      <w:tr>
        <w:trPr>
          <w:trHeight w:val="288" w:hRule="exact"/>
        </w:trPr>
        <w:tc>
          <w:tcPr>
            <w:tcW w:w="4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2"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4"/>
              <w:jc w:val="right"/>
              <w:rPr>
                <w:rFonts w:ascii="宋体" w:hAnsi="宋体" w:cs="宋体" w:eastAsia="宋体" w:hint="default"/>
                <w:sz w:val="18"/>
                <w:szCs w:val="18"/>
              </w:rPr>
            </w:pPr>
            <w:r>
              <w:rPr>
                <w:rFonts w:ascii="宋体"/>
                <w:w w:val="101"/>
                <w:sz w:val="18"/>
              </w:rPr>
            </w:r>
            <w:r>
              <w:rPr>
                <w:rFonts w:ascii="宋体"/>
                <w:spacing w:val="-1"/>
                <w:sz w:val="18"/>
                <w:u w:val="thick" w:color="000000"/>
              </w:rPr>
              <w:t>-781,459.75</w:t>
            </w:r>
            <w:r>
              <w:rPr>
                <w:rFonts w:ascii="宋体"/>
                <w:spacing w:val="-1"/>
                <w:sz w:val="18"/>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w w:val="101"/>
                <w:sz w:val="18"/>
              </w:rPr>
            </w:r>
            <w:r>
              <w:rPr>
                <w:rFonts w:ascii="宋体"/>
                <w:spacing w:val="-1"/>
                <w:sz w:val="18"/>
                <w:u w:val="thick" w:color="000000"/>
              </w:rPr>
              <w:t>7,923,150.39</w:t>
            </w:r>
            <w:r>
              <w:rPr>
                <w:rFonts w:ascii="宋体"/>
                <w:spacing w:val="-1"/>
                <w:sz w:val="18"/>
              </w:rPr>
            </w:r>
          </w:p>
        </w:tc>
      </w:tr>
    </w:tbl>
    <w:p>
      <w:pPr>
        <w:spacing w:line="240" w:lineRule="auto" w:before="12"/>
        <w:rPr>
          <w:rFonts w:ascii="宋体" w:hAnsi="宋体" w:cs="宋体" w:eastAsia="宋体" w:hint="default"/>
          <w:sz w:val="28"/>
          <w:szCs w:val="28"/>
        </w:rPr>
      </w:pPr>
    </w:p>
    <w:p>
      <w:pPr>
        <w:pStyle w:val="Heading2"/>
        <w:spacing w:line="240" w:lineRule="auto" w:before="26"/>
        <w:ind w:left="713" w:right="1115"/>
        <w:jc w:val="left"/>
        <w:rPr>
          <w:rFonts w:ascii="黑体" w:hAnsi="黑体" w:cs="黑体" w:eastAsia="黑体" w:hint="default"/>
          <w:b w:val="0"/>
          <w:bCs w:val="0"/>
        </w:rPr>
      </w:pPr>
      <w:bookmarkStart w:name="十七、补充资料" w:id="281"/>
      <w:bookmarkEnd w:id="281"/>
      <w:r>
        <w:rPr>
          <w:b w:val="0"/>
          <w:bCs w:val="0"/>
        </w:rPr>
      </w:r>
      <w:r>
        <w:rPr>
          <w:rFonts w:ascii="黑体" w:hAnsi="黑体" w:cs="黑体" w:eastAsia="黑体" w:hint="default"/>
        </w:rPr>
        <w:t>十七、补充资料</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741" w:footer="979" w:top="1060" w:bottom="1160" w:left="900" w:right="0"/>
        </w:sectPr>
      </w:pPr>
    </w:p>
    <w:p>
      <w:pPr>
        <w:spacing w:line="240" w:lineRule="auto" w:before="4"/>
        <w:rPr>
          <w:rFonts w:ascii="黑体" w:hAnsi="黑体" w:cs="黑体" w:eastAsia="黑体" w:hint="default"/>
          <w:b/>
          <w:bCs/>
          <w:sz w:val="29"/>
          <w:szCs w:val="29"/>
        </w:rPr>
      </w:pPr>
    </w:p>
    <w:p>
      <w:pPr>
        <w:pStyle w:val="BodyText"/>
        <w:spacing w:line="309" w:lineRule="auto" w:before="36"/>
        <w:ind w:left="213" w:right="1118" w:firstLine="422"/>
        <w:jc w:val="left"/>
      </w:pPr>
      <w:r>
        <w:rPr/>
        <w:t>（一）按照证监会《公开发行证券的公司信息披露解释性公告第</w:t>
      </w:r>
      <w:r>
        <w:rPr>
          <w:rFonts w:ascii="宋体" w:hAnsi="宋体" w:cs="宋体" w:eastAsia="宋体" w:hint="default"/>
        </w:rPr>
        <w:t>1</w:t>
      </w:r>
      <w:r>
        <w:rPr/>
        <w:t>号——非经常性损益》的要求，报</w:t>
      </w:r>
      <w:r>
        <w:rPr>
          <w:w w:val="100"/>
        </w:rPr>
        <w:t> </w:t>
      </w:r>
      <w:r>
        <w:rPr/>
        <w:t>告期非经常性损益情况</w:t>
      </w:r>
    </w:p>
    <w:p>
      <w:pPr>
        <w:spacing w:line="240" w:lineRule="auto" w:before="0"/>
        <w:rPr>
          <w:rFonts w:ascii="宋体" w:hAnsi="宋体" w:cs="宋体" w:eastAsia="宋体" w:hint="default"/>
          <w:sz w:val="14"/>
          <w:szCs w:val="14"/>
        </w:rPr>
      </w:pPr>
    </w:p>
    <w:p>
      <w:pPr>
        <w:pStyle w:val="BodyText"/>
        <w:spacing w:line="240" w:lineRule="auto"/>
        <w:ind w:left="635" w:right="1118"/>
        <w:jc w:val="left"/>
      </w:pPr>
      <w:r>
        <w:rPr>
          <w:rFonts w:ascii="宋体" w:hAnsi="宋体" w:cs="宋体" w:eastAsia="宋体" w:hint="default"/>
        </w:rPr>
        <w:t>1.</w:t>
      </w:r>
      <w:r>
        <w:rPr/>
        <w:t>报告期非经常性损益明细</w:t>
      </w:r>
    </w:p>
    <w:p>
      <w:pPr>
        <w:spacing w:line="240" w:lineRule="auto" w:before="5"/>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6818"/>
        <w:gridCol w:w="1470"/>
        <w:gridCol w:w="1570"/>
      </w:tblGrid>
      <w:tr>
        <w:trPr>
          <w:trHeight w:val="234" w:hRule="exact"/>
        </w:trPr>
        <w:tc>
          <w:tcPr>
            <w:tcW w:w="6818" w:type="dxa"/>
            <w:tcBorders>
              <w:top w:val="nil" w:sz="6" w:space="0" w:color="auto"/>
              <w:left w:val="nil" w:sz="6" w:space="0" w:color="auto"/>
              <w:bottom w:val="single" w:sz="4" w:space="0" w:color="000000"/>
              <w:right w:val="nil" w:sz="6" w:space="0" w:color="auto"/>
            </w:tcBorders>
          </w:tcPr>
          <w:p>
            <w:pPr>
              <w:pStyle w:val="TableParagraph"/>
              <w:spacing w:line="182" w:lineRule="exact"/>
              <w:ind w:right="170"/>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182" w:lineRule="exact"/>
              <w:ind w:left="48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182" w:lineRule="exact"/>
              <w:ind w:left="4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7" w:hRule="exact"/>
        </w:trPr>
        <w:tc>
          <w:tcPr>
            <w:tcW w:w="681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0"/>
              <w:jc w:val="right"/>
              <w:rPr>
                <w:rFonts w:ascii="宋体" w:hAnsi="宋体" w:cs="宋体" w:eastAsia="宋体" w:hint="default"/>
                <w:sz w:val="18"/>
                <w:szCs w:val="18"/>
              </w:rPr>
            </w:pPr>
            <w:r>
              <w:rPr>
                <w:rFonts w:ascii="宋体"/>
                <w:spacing w:val="-1"/>
                <w:sz w:val="18"/>
              </w:rPr>
              <w:t>110,144.93</w:t>
            </w:r>
          </w:p>
        </w:tc>
        <w:tc>
          <w:tcPr>
            <w:tcW w:w="1570" w:type="dxa"/>
            <w:tcBorders>
              <w:top w:val="single" w:sz="4" w:space="0" w:color="000000"/>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）越权审批或无正式批准文件的税收返还、减免</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72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10" w:right="3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）计入当期损益的政府补助（与企业业务密切相关，按照国家统一标准定额或</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定量享受的政府补助除外）</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3,737,099.55</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）计入当期损益的对非金融企业收取的资金占用费</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72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10" w:right="3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）企业取得子公司、联营企业及合营企业的投资成本小于取得投资时应享有被</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投资单位可辨认净资产公允价值产生的收益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7</w:t>
            </w:r>
            <w:r>
              <w:rPr>
                <w:rFonts w:ascii="宋体" w:hAnsi="宋体" w:cs="宋体" w:eastAsia="宋体" w:hint="default"/>
                <w:spacing w:val="-3"/>
                <w:sz w:val="18"/>
                <w:szCs w:val="18"/>
              </w:rPr>
              <w:t>）委托他人投资或管理资产的损益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8</w:t>
            </w:r>
            <w:r>
              <w:rPr>
                <w:rFonts w:ascii="宋体" w:hAnsi="宋体" w:cs="宋体" w:eastAsia="宋体" w:hint="default"/>
                <w:spacing w:val="-3"/>
                <w:sz w:val="18"/>
                <w:szCs w:val="18"/>
              </w:rPr>
              <w:t>）因不可抗力因素，如遭受自然灾害而计提的各项资产减值准备</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-879,200.00</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10</w:t>
            </w:r>
            <w:r>
              <w:rPr>
                <w:rFonts w:ascii="宋体" w:hAnsi="宋体" w:cs="宋体" w:eastAsia="宋体" w:hint="default"/>
                <w:spacing w:val="-3"/>
                <w:sz w:val="18"/>
                <w:szCs w:val="18"/>
              </w:rPr>
              <w:t>）企业重组费用，如安置职工的支出、整合费用等</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11</w:t>
            </w:r>
            <w:r>
              <w:rPr>
                <w:rFonts w:ascii="宋体" w:hAnsi="宋体" w:cs="宋体" w:eastAsia="宋体" w:hint="default"/>
                <w:spacing w:val="-3"/>
                <w:sz w:val="18"/>
                <w:szCs w:val="18"/>
              </w:rPr>
              <w:t>）交易价格显失公允的交易产生的超过公允价值部分的损益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12</w:t>
            </w:r>
            <w:r>
              <w:rPr>
                <w:rFonts w:ascii="宋体" w:hAnsi="宋体" w:cs="宋体" w:eastAsia="宋体" w:hint="default"/>
                <w:spacing w:val="-3"/>
                <w:sz w:val="18"/>
                <w:szCs w:val="18"/>
              </w:rPr>
              <w:t>）同一控制下企业合并产生的子公司期初至合并日的当期净损益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13</w:t>
            </w:r>
            <w:r>
              <w:rPr>
                <w:rFonts w:ascii="宋体" w:hAnsi="宋体" w:cs="宋体" w:eastAsia="宋体" w:hint="default"/>
                <w:spacing w:val="-3"/>
                <w:sz w:val="18"/>
                <w:szCs w:val="18"/>
              </w:rPr>
              <w:t>）与公司正常经营业务无关的或有事项产生的损益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144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10" w:right="2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14</w:t>
            </w:r>
            <w:r>
              <w:rPr>
                <w:rFonts w:ascii="宋体" w:hAnsi="宋体" w:cs="宋体" w:eastAsia="宋体" w:hint="default"/>
                <w:spacing w:val="-3"/>
                <w:sz w:val="18"/>
                <w:szCs w:val="18"/>
              </w:rPr>
              <w:t>）除同公司正常经营业务相关的有效套期保值业务外，持有交易性金融资产、</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5"/>
                <w:sz w:val="18"/>
                <w:szCs w:val="18"/>
              </w:rPr>
              <w:t>衍生金融资产、交易性金融负债、衍生金融负债产生的公允价值变动损益，以及处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置交易性金融资产、衍生金融资产、交易性金融负债、衍生金融负债和其他债权投</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资取得的投资收益</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407,869.90</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15</w:t>
            </w:r>
            <w:r>
              <w:rPr>
                <w:rFonts w:ascii="宋体" w:hAnsi="宋体" w:cs="宋体" w:eastAsia="宋体" w:hint="default"/>
                <w:spacing w:val="-3"/>
                <w:sz w:val="18"/>
                <w:szCs w:val="18"/>
              </w:rPr>
              <w:t>）单独进行减值测试的应收款项、合同资产减值准备转回</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17</w:t>
            </w:r>
            <w:r>
              <w:rPr>
                <w:rFonts w:ascii="宋体" w:hAnsi="宋体" w:cs="宋体" w:eastAsia="宋体" w:hint="default"/>
                <w:spacing w:val="-3"/>
                <w:sz w:val="18"/>
                <w:szCs w:val="18"/>
              </w:rPr>
              <w:t>）采用公允价值模式进行后续计量的投资性房地产公允价值变动产生的损益</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72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10" w:right="286"/>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18</w:t>
            </w:r>
            <w:r>
              <w:rPr>
                <w:rFonts w:ascii="宋体" w:hAnsi="宋体" w:cs="宋体" w:eastAsia="宋体" w:hint="default"/>
                <w:spacing w:val="-5"/>
                <w:sz w:val="18"/>
                <w:szCs w:val="18"/>
              </w:rPr>
              <w:t>）根据税收、会计等法律、法规的要求对当期损益进行一次性调整对当期损益</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的影响</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19</w:t>
            </w:r>
            <w:r>
              <w:rPr>
                <w:rFonts w:ascii="宋体" w:hAnsi="宋体" w:cs="宋体" w:eastAsia="宋体" w:hint="default"/>
                <w:spacing w:val="-3"/>
                <w:sz w:val="18"/>
                <w:szCs w:val="18"/>
              </w:rPr>
              <w:t>）受托经营取得的托管费收入</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w:t>
            </w:r>
            <w:r>
              <w:rPr>
                <w:rFonts w:ascii="宋体" w:hAnsi="宋体" w:cs="宋体" w:eastAsia="宋体" w:hint="default"/>
                <w:spacing w:val="-3"/>
                <w:sz w:val="18"/>
                <w:szCs w:val="18"/>
              </w:rPr>
              <w:t>）除上述各项之外的其他营业外收入和支出</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-2,542,667.56</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21</w:t>
            </w:r>
            <w:r>
              <w:rPr>
                <w:rFonts w:ascii="宋体" w:hAnsi="宋体" w:cs="宋体" w:eastAsia="宋体" w:hint="default"/>
                <w:spacing w:val="-3"/>
                <w:sz w:val="18"/>
                <w:szCs w:val="18"/>
              </w:rPr>
              <w:t>）其他符合非经常性损益定义的损益项目</w:t>
            </w:r>
          </w:p>
        </w:tc>
        <w:tc>
          <w:tcPr>
            <w:tcW w:w="1470"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833,246.82</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减：所得税影响金额</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116,020.78</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717,226.04</w:t>
            </w:r>
          </w:p>
        </w:tc>
        <w:tc>
          <w:tcPr>
            <w:tcW w:w="1570" w:type="dxa"/>
            <w:tcBorders>
              <w:top w:val="nil" w:sz="6" w:space="0" w:color="auto"/>
              <w:left w:val="nil" w:sz="6" w:space="0" w:color="auto"/>
              <w:bottom w:val="nil" w:sz="6" w:space="0" w:color="auto"/>
              <w:right w:val="nil" w:sz="6" w:space="0" w:color="auto"/>
            </w:tcBorders>
          </w:tcPr>
          <w:p>
            <w:pPr/>
          </w:p>
        </w:tc>
      </w:tr>
      <w:tr>
        <w:trPr>
          <w:trHeight w:val="360"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其中：归属于母公司所有者的非经常性损益</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230,196.02</w:t>
            </w:r>
          </w:p>
        </w:tc>
        <w:tc>
          <w:tcPr>
            <w:tcW w:w="1570" w:type="dxa"/>
            <w:tcBorders>
              <w:top w:val="nil" w:sz="6" w:space="0" w:color="auto"/>
              <w:left w:val="nil" w:sz="6" w:space="0" w:color="auto"/>
              <w:bottom w:val="nil" w:sz="6" w:space="0" w:color="auto"/>
              <w:right w:val="nil" w:sz="6" w:space="0" w:color="auto"/>
            </w:tcBorders>
          </w:tcPr>
          <w:p>
            <w:pPr/>
          </w:p>
        </w:tc>
      </w:tr>
      <w:tr>
        <w:trPr>
          <w:trHeight w:val="272" w:hRule="exact"/>
        </w:trPr>
        <w:tc>
          <w:tcPr>
            <w:tcW w:w="68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0"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归属于少数股东的非经常性损益</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宋体" w:hAnsi="宋体" w:cs="宋体" w:eastAsia="宋体" w:hint="default"/>
                <w:sz w:val="18"/>
                <w:szCs w:val="18"/>
              </w:rPr>
            </w:pPr>
            <w:r>
              <w:rPr>
                <w:rFonts w:ascii="宋体"/>
                <w:spacing w:val="-1"/>
                <w:sz w:val="18"/>
              </w:rPr>
              <w:t>487,030.02</w:t>
            </w:r>
          </w:p>
        </w:tc>
        <w:tc>
          <w:tcPr>
            <w:tcW w:w="1570"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9"/>
          <w:szCs w:val="19"/>
        </w:rPr>
      </w:pPr>
    </w:p>
    <w:p>
      <w:pPr>
        <w:pStyle w:val="BodyText"/>
        <w:spacing w:line="240" w:lineRule="auto" w:before="36"/>
        <w:ind w:left="635" w:right="1118"/>
        <w:jc w:val="left"/>
      </w:pPr>
      <w:r>
        <w:rPr/>
        <w:t>（二）净资产收益率及每股收益</w:t>
      </w:r>
    </w:p>
    <w:p>
      <w:pPr>
        <w:spacing w:after="0" w:line="240" w:lineRule="auto"/>
        <w:jc w:val="left"/>
        <w:sectPr>
          <w:pgSz w:w="11910" w:h="16840"/>
          <w:pgMar w:header="741" w:footer="979" w:top="1060" w:bottom="1160" w:left="92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1" w:footer="979" w:top="1060" w:bottom="1160" w:left="900" w:right="0"/>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tabs>
          <w:tab w:pos="3613" w:val="left" w:leader="none"/>
        </w:tabs>
        <w:spacing w:before="0"/>
        <w:ind w:left="1323" w:right="0" w:firstLine="0"/>
        <w:jc w:val="left"/>
        <w:rPr>
          <w:rFonts w:ascii="宋体" w:hAnsi="宋体" w:cs="宋体" w:eastAsia="宋体" w:hint="default"/>
          <w:sz w:val="18"/>
          <w:szCs w:val="18"/>
        </w:rPr>
      </w:pPr>
      <w:r>
        <w:rPr>
          <w:rFonts w:ascii="宋体" w:hAnsi="宋体" w:cs="宋体" w:eastAsia="宋体" w:hint="default"/>
          <w:b/>
          <w:bCs/>
          <w:spacing w:val="-1"/>
          <w:sz w:val="18"/>
          <w:szCs w:val="18"/>
        </w:rPr>
        <w:t>报告期利润</w:t>
        <w:tab/>
      </w:r>
      <w:r>
        <w:rPr>
          <w:rFonts w:ascii="宋体" w:hAnsi="宋体" w:cs="宋体" w:eastAsia="宋体" w:hint="default"/>
          <w:b/>
          <w:bCs/>
          <w:spacing w:val="-2"/>
          <w:sz w:val="18"/>
          <w:szCs w:val="18"/>
        </w:rPr>
        <w:t>加权平均净资产收益率（</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w:t>
      </w:r>
      <w:r>
        <w:rPr>
          <w:rFonts w:ascii="宋体" w:hAnsi="宋体" w:cs="宋体" w:eastAsia="宋体" w:hint="default"/>
          <w:spacing w:val="-2"/>
          <w:sz w:val="18"/>
          <w:szCs w:val="18"/>
        </w:rPr>
      </w:r>
    </w:p>
    <w:p>
      <w:pPr>
        <w:spacing w:line="240" w:lineRule="auto" w:before="3"/>
        <w:rPr>
          <w:rFonts w:ascii="宋体" w:hAnsi="宋体" w:cs="宋体" w:eastAsia="宋体" w:hint="default"/>
          <w:b/>
          <w:bCs/>
          <w:sz w:val="16"/>
          <w:szCs w:val="16"/>
        </w:rPr>
      </w:pPr>
      <w:r>
        <w:rPr/>
        <w:br w:type="column"/>
      </w:r>
      <w:r>
        <w:rPr>
          <w:rFonts w:ascii="宋体"/>
          <w:b/>
          <w:sz w:val="16"/>
        </w:rPr>
      </w:r>
    </w:p>
    <w:p>
      <w:pPr>
        <w:spacing w:before="0"/>
        <w:ind w:left="0" w:right="859" w:firstLine="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tabs>
          <w:tab w:pos="1954" w:val="left" w:leader="none"/>
        </w:tabs>
        <w:spacing w:before="0"/>
        <w:ind w:left="0" w:right="859" w:firstLine="0"/>
        <w:jc w:val="center"/>
        <w:rPr>
          <w:rFonts w:ascii="宋体" w:hAnsi="宋体" w:cs="宋体" w:eastAsia="宋体" w:hint="default"/>
          <w:sz w:val="18"/>
          <w:szCs w:val="18"/>
        </w:rPr>
      </w:pPr>
      <w:r>
        <w:rPr>
          <w:rFonts w:ascii="宋体" w:hAnsi="宋体" w:cs="宋体" w:eastAsia="宋体" w:hint="default"/>
          <w:b/>
          <w:bCs/>
          <w:spacing w:val="-1"/>
          <w:sz w:val="18"/>
          <w:szCs w:val="18"/>
        </w:rPr>
        <w:t>基本每股收益</w:t>
        <w:tab/>
        <w:t>稀释每股收益</w:t>
      </w:r>
      <w:r>
        <w:rPr>
          <w:rFonts w:ascii="宋体" w:hAnsi="宋体" w:cs="宋体" w:eastAsia="宋体" w:hint="default"/>
          <w:spacing w:val="-1"/>
          <w:sz w:val="18"/>
          <w:szCs w:val="18"/>
        </w:rPr>
      </w:r>
    </w:p>
    <w:p>
      <w:pPr>
        <w:spacing w:after="0"/>
        <w:jc w:val="center"/>
        <w:rPr>
          <w:rFonts w:ascii="宋体" w:hAnsi="宋体" w:cs="宋体" w:eastAsia="宋体" w:hint="default"/>
          <w:sz w:val="18"/>
          <w:szCs w:val="18"/>
        </w:rPr>
        <w:sectPr>
          <w:type w:val="continuous"/>
          <w:pgSz w:w="11910" w:h="16840"/>
          <w:pgMar w:top="1060" w:bottom="1160" w:left="900" w:right="0"/>
          <w:cols w:num="2" w:equalWidth="0">
            <w:col w:w="5881" w:space="40"/>
            <w:col w:w="5089"/>
          </w:cols>
        </w:sectPr>
      </w:pPr>
    </w:p>
    <w:p>
      <w:pPr>
        <w:spacing w:line="240" w:lineRule="auto" w:before="9"/>
        <w:rPr>
          <w:rFonts w:ascii="宋体" w:hAnsi="宋体" w:cs="宋体" w:eastAsia="宋体" w:hint="default"/>
          <w:b/>
          <w:bCs/>
          <w:sz w:val="4"/>
          <w:szCs w:val="4"/>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93.4pt;height:.5pt;mso-position-horizontal-relative:char;mso-position-vertical-relative:line" coordorigin="0,0" coordsize="9868,10">
            <v:group style="position:absolute;left:5;top:5;width:3299;height:2" coordorigin="5,5" coordsize="3299,2">
              <v:shape style="position:absolute;left:5;top:5;width:3299;height:2" coordorigin="5,5" coordsize="3299,0" path="m5,5l3303,5e" filled="false" stroked="true" strokeweight=".48pt" strokecolor="#000000">
                <v:path arrowok="t"/>
              </v:shape>
            </v:group>
            <v:group style="position:absolute;left:3303;top:5;width:10;height:2" coordorigin="3303,5" coordsize="10,2">
              <v:shape style="position:absolute;left:3303;top:5;width:10;height:2" coordorigin="3303,5" coordsize="10,0" path="m3303,5l3313,5e" filled="false" stroked="true" strokeweight=".48pt" strokecolor="#000000">
                <v:path arrowok="t"/>
              </v:shape>
            </v:group>
            <v:group style="position:absolute;left:3313;top:5;width:2642;height:2" coordorigin="3313,5" coordsize="2642,2">
              <v:shape style="position:absolute;left:3313;top:5;width:2642;height:2" coordorigin="3313,5" coordsize="2642,0" path="m3313,5l5954,5e" filled="false" stroked="true" strokeweight=".48pt" strokecolor="#000000">
                <v:path arrowok="t"/>
              </v:shape>
            </v:group>
            <v:group style="position:absolute;left:5954;top:5;width:10;height:2" coordorigin="5954,5" coordsize="10,2">
              <v:shape style="position:absolute;left:5954;top:5;width:10;height:2" coordorigin="5954,5" coordsize="10,0" path="m5954,5l5964,5e" filled="false" stroked="true" strokeweight=".48pt" strokecolor="#000000">
                <v:path arrowok="t"/>
              </v:shape>
            </v:group>
            <v:group style="position:absolute;left:5964;top:5;width:1950;height:2" coordorigin="5964,5" coordsize="1950,2">
              <v:shape style="position:absolute;left:5964;top:5;width:1950;height:2" coordorigin="5964,5" coordsize="1950,0" path="m5964,5l7913,5e" filled="false" stroked="true" strokeweight=".48pt" strokecolor="#000000">
                <v:path arrowok="t"/>
              </v:shape>
            </v:group>
            <v:group style="position:absolute;left:7913;top:5;width:10;height:2" coordorigin="7913,5" coordsize="10,2">
              <v:shape style="position:absolute;left:7913;top:5;width:10;height:2" coordorigin="7913,5" coordsize="10,0" path="m7913,5l7923,5e" filled="false" stroked="true" strokeweight=".48pt" strokecolor="#000000">
                <v:path arrowok="t"/>
              </v:shape>
            </v:group>
            <v:group style="position:absolute;left:7923;top:5;width:1941;height:2" coordorigin="7923,5" coordsize="1941,2">
              <v:shape style="position:absolute;left:7923;top:5;width:1941;height:2" coordorigin="7923,5" coordsize="1941,0" path="m7923,5l9863,5e" filled="false" stroked="true" strokeweight=".48pt" strokecolor="#000000">
                <v:path arrowok="t"/>
              </v:shape>
            </v:group>
          </v:group>
        </w:pict>
      </w:r>
      <w:r>
        <w:rPr>
          <w:rFonts w:ascii="宋体" w:hAnsi="宋体" w:cs="宋体" w:eastAsia="宋体" w:hint="default"/>
          <w:sz w:val="2"/>
          <w:szCs w:val="2"/>
        </w:rPr>
      </w:r>
    </w:p>
    <w:p>
      <w:pPr>
        <w:tabs>
          <w:tab w:pos="4564" w:val="left" w:leader="none"/>
          <w:tab w:pos="6873" w:val="left" w:leader="none"/>
          <w:tab w:pos="9188" w:val="right" w:leader="none"/>
        </w:tabs>
        <w:spacing w:before="87"/>
        <w:ind w:left="233" w:right="0" w:firstLine="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tab/>
      </w:r>
      <w:r>
        <w:rPr>
          <w:rFonts w:ascii="宋体" w:hAnsi="宋体" w:cs="宋体" w:eastAsia="宋体" w:hint="default"/>
          <w:sz w:val="18"/>
          <w:szCs w:val="18"/>
        </w:rPr>
        <w:t>4.28</w:t>
        <w:tab/>
        <w:t>0.17</w:t>
        <w:tab/>
        <w:t>0.17</w:t>
      </w:r>
    </w:p>
    <w:p>
      <w:pPr>
        <w:spacing w:after="0"/>
        <w:jc w:val="left"/>
        <w:rPr>
          <w:rFonts w:ascii="宋体" w:hAnsi="宋体" w:cs="宋体" w:eastAsia="宋体" w:hint="default"/>
          <w:sz w:val="18"/>
          <w:szCs w:val="18"/>
        </w:rPr>
        <w:sectPr>
          <w:type w:val="continuous"/>
          <w:pgSz w:w="11910" w:h="16840"/>
          <w:pgMar w:top="1060" w:bottom="1160" w:left="900" w:right="0"/>
        </w:sectPr>
      </w:pPr>
    </w:p>
    <w:p>
      <w:pPr>
        <w:spacing w:line="367" w:lineRule="auto" w:before="143"/>
        <w:ind w:left="233" w:right="0" w:firstLine="0"/>
        <w:jc w:val="left"/>
        <w:rPr>
          <w:rFonts w:ascii="宋体" w:hAnsi="宋体" w:cs="宋体" w:eastAsia="宋体" w:hint="default"/>
          <w:sz w:val="18"/>
          <w:szCs w:val="18"/>
        </w:rPr>
      </w:pPr>
      <w:r>
        <w:rPr>
          <w:rFonts w:ascii="宋体" w:hAnsi="宋体" w:cs="宋体" w:eastAsia="宋体" w:hint="default"/>
          <w:spacing w:val="-1"/>
          <w:sz w:val="18"/>
          <w:szCs w:val="18"/>
        </w:rPr>
        <w:t>扣除非经常性损益后归属于公司普通股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股东的净利润</w:t>
      </w:r>
    </w:p>
    <w:p>
      <w:pPr>
        <w:tabs>
          <w:tab w:pos="2542" w:val="left" w:leader="none"/>
          <w:tab w:pos="4492" w:val="left" w:leader="none"/>
        </w:tabs>
        <w:spacing w:before="326"/>
        <w:ind w:left="233" w:right="0" w:firstLine="0"/>
        <w:jc w:val="left"/>
        <w:rPr>
          <w:rFonts w:ascii="宋体" w:hAnsi="宋体" w:cs="宋体" w:eastAsia="宋体" w:hint="default"/>
          <w:sz w:val="18"/>
          <w:szCs w:val="18"/>
        </w:rPr>
      </w:pPr>
      <w:r>
        <w:rPr/>
        <w:br w:type="column"/>
      </w:r>
      <w:r>
        <w:rPr>
          <w:rFonts w:ascii="宋体"/>
          <w:sz w:val="18"/>
        </w:rPr>
        <w:t>4.22</w:t>
        <w:tab/>
        <w:t>0.17</w:t>
        <w:tab/>
        <w:t>0.17</w:t>
      </w:r>
    </w:p>
    <w:p>
      <w:pPr>
        <w:spacing w:after="0"/>
        <w:jc w:val="left"/>
        <w:rPr>
          <w:rFonts w:ascii="宋体" w:hAnsi="宋体" w:cs="宋体" w:eastAsia="宋体" w:hint="default"/>
          <w:sz w:val="18"/>
          <w:szCs w:val="18"/>
        </w:rPr>
        <w:sectPr>
          <w:type w:val="continuous"/>
          <w:pgSz w:w="11910" w:h="16840"/>
          <w:pgMar w:top="1060" w:bottom="1160" w:left="900" w:right="0"/>
          <w:cols w:num="2" w:equalWidth="0">
            <w:col w:w="3320" w:space="1011"/>
            <w:col w:w="6679"/>
          </w:cols>
        </w:sectPr>
      </w:pPr>
    </w:p>
    <w:p>
      <w:pPr>
        <w:spacing w:line="240" w:lineRule="auto" w:before="0"/>
        <w:rPr>
          <w:rFonts w:ascii="宋体" w:hAnsi="宋体" w:cs="宋体" w:eastAsia="宋体" w:hint="default"/>
          <w:sz w:val="32"/>
          <w:szCs w:val="32"/>
        </w:rPr>
      </w:pPr>
    </w:p>
    <w:p>
      <w:pPr>
        <w:spacing w:line="240" w:lineRule="auto" w:before="10"/>
        <w:rPr>
          <w:rFonts w:ascii="宋体" w:hAnsi="宋体" w:cs="宋体" w:eastAsia="宋体" w:hint="default"/>
          <w:sz w:val="28"/>
          <w:szCs w:val="28"/>
        </w:rPr>
      </w:pPr>
    </w:p>
    <w:p>
      <w:pPr>
        <w:spacing w:before="0"/>
        <w:ind w:left="3365" w:right="0" w:firstLine="0"/>
        <w:jc w:val="left"/>
        <w:rPr>
          <w:rFonts w:ascii="宋体" w:hAnsi="宋体" w:cs="宋体" w:eastAsia="宋体" w:hint="default"/>
          <w:sz w:val="32"/>
          <w:szCs w:val="32"/>
        </w:rPr>
      </w:pPr>
      <w:bookmarkStart w:name="第十三节备查文件目录" w:id="282"/>
      <w:bookmarkEnd w:id="282"/>
      <w:r>
        <w:rPr/>
      </w:r>
      <w:bookmarkStart w:name="_bookmark12" w:id="283"/>
      <w:bookmarkEnd w:id="283"/>
      <w:r>
        <w:rPr/>
      </w:r>
      <w:r>
        <w:rPr>
          <w:rFonts w:ascii="宋体" w:hAnsi="宋体" w:cs="宋体" w:eastAsia="宋体" w:hint="default"/>
          <w:b/>
          <w:bCs/>
          <w:sz w:val="32"/>
          <w:szCs w:val="32"/>
        </w:rPr>
        <w:t>第十三节备查文件目录</w:t>
      </w:r>
      <w:r>
        <w:rPr>
          <w:rFonts w:ascii="宋体" w:hAnsi="宋体" w:cs="宋体" w:eastAsia="宋体" w:hint="default"/>
          <w:sz w:val="32"/>
          <w:szCs w:val="32"/>
        </w:rPr>
      </w:r>
    </w:p>
    <w:p>
      <w:pPr>
        <w:spacing w:line="240" w:lineRule="auto" w:before="12"/>
        <w:rPr>
          <w:rFonts w:ascii="宋体" w:hAnsi="宋体" w:cs="宋体" w:eastAsia="宋体" w:hint="default"/>
          <w:b/>
          <w:bCs/>
          <w:sz w:val="42"/>
          <w:szCs w:val="42"/>
        </w:rPr>
      </w:pPr>
    </w:p>
    <w:p>
      <w:pPr>
        <w:spacing w:line="352" w:lineRule="auto"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一、载有公司法定代表人、主管会计工作的公司负责人、公司会计机构负责人（会计主管人员）签名并盖章的财务报表。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二、载有会计师事务所盖章、注册会计师签名并盖章的审计报告原件。</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三、经公司法定代表人签名并盖章的公司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年年度报告全文及其摘要。</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四、报告期内在中国证监会指定网站上公开披露过的所有公司文件的正本及公告的原稿。</w:t>
      </w:r>
    </w:p>
    <w:p>
      <w:pPr>
        <w:spacing w:line="357" w:lineRule="auto" w:before="30"/>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五、其他相关资料。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以上备查文件的备置地点：公司证券事务部。</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25072" type="#_x0000_t75" stroked="false">
          <v:imagedata r:id="rId1" o:title=""/>
        </v:shape>
      </w:pict>
    </w:r>
    <w:r>
      <w:rPr/>
      <w:pict>
        <v:shape style="position:absolute;margin-left:533.190002pt;margin-top:795.661377pt;width:6.6pt;height:11.15pt;mso-position-horizontal-relative:page;mso-position-vertical-relative:page;z-index:-92504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25024" type="#_x0000_t75" stroked="false">
          <v:imagedata r:id="rId1" o:title=""/>
        </v:shape>
      </w:pict>
    </w:r>
    <w:r>
      <w:rPr/>
      <w:pict>
        <v:shape style="position:absolute;margin-left:527.869995pt;margin-top:781.957336pt;width:13.15pt;height:11.15pt;mso-position-horizontal-relative:page;mso-position-vertical-relative:page;z-index:-9250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24976" type="#_x0000_t75" stroked="false">
          <v:imagedata r:id="rId1" o:title=""/>
        </v:shape>
      </w:pict>
    </w:r>
    <w:r>
      <w:rPr/>
      <w:pict>
        <v:shape style="position:absolute;margin-left:524.309998pt;margin-top:781.957336pt;width:15.7pt;height:11.15pt;mso-position-horizontal-relative:page;mso-position-vertical-relative:page;z-index:-92495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24928" type="#_x0000_t75" stroked="false">
          <v:imagedata r:id="rId1" o:title=""/>
        </v:shape>
      </w:pict>
    </w:r>
    <w:r>
      <w:rPr/>
      <w:pict>
        <v:shape style="position:absolute;margin-left:523.309998pt;margin-top:781.957336pt;width:17.7pt;height:11.15pt;mso-position-horizontal-relative:page;mso-position-vertical-relative:page;z-index:-9249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239990pt;margin-top:36.062485pt;width:213.8pt;height:11.65pt;mso-position-horizontal-relative:page;mso-position-vertical-relative:page;z-index:-92509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创业黑马科技集团股份有限公司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6"/>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iheima.com/" TargetMode="External"/><Relationship Id="rId10" Type="http://schemas.openxmlformats.org/officeDocument/2006/relationships/hyperlink" Target="mailto:zq@iheima.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3.xml"/><Relationship Id="rId2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创业黑马科技集团股份有限公司</dc:creator>
  <dc:title>创业黑马科技集团股份有限公司2019年年度报告全文</dc:title>
  <dcterms:created xsi:type="dcterms:W3CDTF">2020-05-19T13:13:31Z</dcterms:created>
  <dcterms:modified xsi:type="dcterms:W3CDTF">2020-05-19T13:13:31Z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